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CDC0A" w14:textId="77777777" w:rsidR="0089652B" w:rsidRPr="003C0A88" w:rsidRDefault="0089652B" w:rsidP="0089652B">
      <w:pPr>
        <w:spacing w:after="0" w:line="240" w:lineRule="auto"/>
        <w:jc w:val="center"/>
        <w:rPr>
          <w:rFonts w:ascii="Times New Roman" w:hAnsi="Times New Roman"/>
          <w:b/>
          <w:sz w:val="24"/>
          <w:szCs w:val="24"/>
          <w:lang w:eastAsia="hr-HR"/>
        </w:rPr>
      </w:pPr>
      <w:r w:rsidRPr="003C0A88">
        <w:rPr>
          <w:rFonts w:ascii="Times New Roman" w:hAnsi="Times New Roman"/>
          <w:b/>
          <w:sz w:val="24"/>
          <w:szCs w:val="24"/>
          <w:lang w:eastAsia="hr-HR"/>
        </w:rPr>
        <w:t>REPUBLIKA HRVATSKA</w:t>
      </w:r>
    </w:p>
    <w:p w14:paraId="65E278DF" w14:textId="77777777" w:rsidR="0089652B" w:rsidRPr="003C0A88" w:rsidRDefault="0089652B" w:rsidP="0089652B">
      <w:pPr>
        <w:pBdr>
          <w:bottom w:val="single" w:sz="12" w:space="1" w:color="auto"/>
        </w:pBdr>
        <w:spacing w:after="0" w:line="240" w:lineRule="auto"/>
        <w:jc w:val="center"/>
        <w:rPr>
          <w:rFonts w:ascii="Times New Roman" w:hAnsi="Times New Roman"/>
          <w:b/>
          <w:sz w:val="24"/>
          <w:szCs w:val="24"/>
          <w:lang w:eastAsia="hr-HR"/>
        </w:rPr>
      </w:pPr>
      <w:r w:rsidRPr="003C0A88">
        <w:rPr>
          <w:rFonts w:ascii="Times New Roman" w:hAnsi="Times New Roman"/>
          <w:b/>
          <w:sz w:val="24"/>
          <w:szCs w:val="24"/>
          <w:lang w:eastAsia="hr-HR"/>
        </w:rPr>
        <w:t xml:space="preserve">MINISTARSTVO </w:t>
      </w:r>
      <w:r>
        <w:rPr>
          <w:rFonts w:ascii="Times New Roman" w:hAnsi="Times New Roman"/>
          <w:b/>
          <w:sz w:val="24"/>
          <w:szCs w:val="24"/>
          <w:lang w:eastAsia="hr-HR"/>
        </w:rPr>
        <w:t>GOSPODARSTVA I ODRŽIVOG RAZVOJA</w:t>
      </w:r>
    </w:p>
    <w:p w14:paraId="3C43EBFD" w14:textId="77777777" w:rsidR="0089652B" w:rsidRPr="003C0A88" w:rsidRDefault="0089652B" w:rsidP="0089652B">
      <w:pPr>
        <w:spacing w:after="0" w:line="240" w:lineRule="auto"/>
        <w:jc w:val="center"/>
        <w:rPr>
          <w:rFonts w:ascii="Times New Roman" w:hAnsi="Times New Roman"/>
          <w:sz w:val="24"/>
          <w:szCs w:val="24"/>
          <w:lang w:eastAsia="hr-HR"/>
        </w:rPr>
      </w:pPr>
    </w:p>
    <w:p w14:paraId="14C10EBF" w14:textId="77777777" w:rsidR="0089652B" w:rsidRPr="003C0A88" w:rsidRDefault="0089652B" w:rsidP="0089652B">
      <w:pPr>
        <w:spacing w:after="0" w:line="240" w:lineRule="auto"/>
        <w:rPr>
          <w:rFonts w:ascii="Times New Roman" w:hAnsi="Times New Roman"/>
          <w:sz w:val="24"/>
          <w:szCs w:val="24"/>
          <w:lang w:eastAsia="hr-HR"/>
        </w:rPr>
      </w:pPr>
    </w:p>
    <w:p w14:paraId="4D5F73F4" w14:textId="77777777" w:rsidR="0089652B" w:rsidRPr="003C0A88" w:rsidRDefault="0089652B" w:rsidP="0089652B">
      <w:pPr>
        <w:spacing w:after="0" w:line="240" w:lineRule="auto"/>
        <w:rPr>
          <w:rFonts w:ascii="Times New Roman" w:hAnsi="Times New Roman"/>
          <w:sz w:val="24"/>
          <w:szCs w:val="24"/>
          <w:lang w:eastAsia="hr-HR"/>
        </w:rPr>
      </w:pPr>
    </w:p>
    <w:p w14:paraId="61F024D1" w14:textId="77777777" w:rsidR="0089652B" w:rsidRPr="003C0A88" w:rsidRDefault="0089652B" w:rsidP="0089652B">
      <w:pPr>
        <w:spacing w:after="0" w:line="240" w:lineRule="auto"/>
        <w:rPr>
          <w:rFonts w:ascii="Times New Roman" w:hAnsi="Times New Roman"/>
          <w:sz w:val="24"/>
          <w:szCs w:val="24"/>
          <w:lang w:eastAsia="hr-HR"/>
        </w:rPr>
      </w:pPr>
    </w:p>
    <w:p w14:paraId="54C14336" w14:textId="77777777" w:rsidR="0089652B" w:rsidRPr="003C0A88" w:rsidRDefault="0089652B" w:rsidP="0089652B">
      <w:pPr>
        <w:spacing w:after="0" w:line="240" w:lineRule="auto"/>
        <w:rPr>
          <w:rFonts w:ascii="Times New Roman" w:hAnsi="Times New Roman"/>
          <w:sz w:val="24"/>
          <w:szCs w:val="24"/>
          <w:lang w:eastAsia="hr-HR"/>
        </w:rPr>
      </w:pPr>
    </w:p>
    <w:p w14:paraId="153C4DEE" w14:textId="77777777" w:rsidR="0089652B" w:rsidRPr="003C0A88" w:rsidRDefault="0089652B" w:rsidP="0089652B">
      <w:pPr>
        <w:spacing w:after="0" w:line="240" w:lineRule="auto"/>
        <w:rPr>
          <w:rFonts w:ascii="Times New Roman" w:hAnsi="Times New Roman"/>
          <w:sz w:val="24"/>
          <w:szCs w:val="24"/>
          <w:lang w:eastAsia="hr-HR"/>
        </w:rPr>
      </w:pPr>
    </w:p>
    <w:p w14:paraId="458658BC" w14:textId="77777777" w:rsidR="0089652B" w:rsidRPr="003C0A88" w:rsidRDefault="0089652B" w:rsidP="0089652B">
      <w:pPr>
        <w:spacing w:after="0" w:line="240" w:lineRule="auto"/>
        <w:rPr>
          <w:rFonts w:ascii="Times New Roman" w:hAnsi="Times New Roman"/>
          <w:sz w:val="24"/>
          <w:szCs w:val="24"/>
          <w:lang w:eastAsia="hr-HR"/>
        </w:rPr>
      </w:pPr>
    </w:p>
    <w:p w14:paraId="4E0703C1" w14:textId="77777777" w:rsidR="0089652B" w:rsidRPr="003C0A88" w:rsidRDefault="0089652B" w:rsidP="0089652B">
      <w:pPr>
        <w:spacing w:after="0" w:line="240" w:lineRule="auto"/>
        <w:rPr>
          <w:rFonts w:ascii="Times New Roman" w:hAnsi="Times New Roman"/>
          <w:sz w:val="24"/>
          <w:szCs w:val="24"/>
          <w:lang w:eastAsia="hr-HR"/>
        </w:rPr>
      </w:pPr>
    </w:p>
    <w:p w14:paraId="7E27ECAF" w14:textId="77777777" w:rsidR="0089652B" w:rsidRPr="003C0A88" w:rsidRDefault="0089652B" w:rsidP="0089652B">
      <w:pPr>
        <w:spacing w:after="0" w:line="240" w:lineRule="auto"/>
        <w:rPr>
          <w:rFonts w:ascii="Times New Roman" w:hAnsi="Times New Roman"/>
          <w:sz w:val="24"/>
          <w:szCs w:val="24"/>
          <w:lang w:eastAsia="hr-HR"/>
        </w:rPr>
      </w:pPr>
    </w:p>
    <w:p w14:paraId="5CAFF327" w14:textId="77777777" w:rsidR="0089652B" w:rsidRPr="003C0A88" w:rsidRDefault="0089652B" w:rsidP="0089652B">
      <w:pPr>
        <w:spacing w:after="0" w:line="240" w:lineRule="auto"/>
        <w:rPr>
          <w:rFonts w:ascii="Times New Roman" w:hAnsi="Times New Roman"/>
          <w:sz w:val="24"/>
          <w:szCs w:val="24"/>
          <w:lang w:eastAsia="hr-HR"/>
        </w:rPr>
      </w:pPr>
    </w:p>
    <w:p w14:paraId="6510097D" w14:textId="77777777" w:rsidR="0089652B" w:rsidRPr="003C0A88" w:rsidRDefault="0089652B" w:rsidP="0089652B">
      <w:pPr>
        <w:spacing w:after="0" w:line="240" w:lineRule="auto"/>
        <w:rPr>
          <w:rFonts w:ascii="Times New Roman" w:hAnsi="Times New Roman"/>
          <w:sz w:val="24"/>
          <w:szCs w:val="24"/>
          <w:lang w:eastAsia="hr-HR"/>
        </w:rPr>
      </w:pPr>
    </w:p>
    <w:p w14:paraId="3348F6F3" w14:textId="77777777" w:rsidR="0089652B" w:rsidRPr="003C0A88" w:rsidRDefault="0089652B" w:rsidP="0089652B">
      <w:pPr>
        <w:spacing w:after="0" w:line="240" w:lineRule="auto"/>
        <w:rPr>
          <w:rFonts w:ascii="Times New Roman" w:hAnsi="Times New Roman"/>
          <w:sz w:val="24"/>
          <w:szCs w:val="24"/>
          <w:lang w:eastAsia="hr-HR"/>
        </w:rPr>
      </w:pPr>
    </w:p>
    <w:p w14:paraId="11368965" w14:textId="77777777" w:rsidR="0089652B" w:rsidRPr="003C0A88" w:rsidRDefault="0089652B" w:rsidP="0089652B">
      <w:pPr>
        <w:spacing w:after="0" w:line="240" w:lineRule="auto"/>
        <w:rPr>
          <w:rFonts w:ascii="Times New Roman" w:hAnsi="Times New Roman"/>
          <w:sz w:val="24"/>
          <w:szCs w:val="24"/>
          <w:lang w:eastAsia="hr-HR"/>
        </w:rPr>
      </w:pPr>
    </w:p>
    <w:p w14:paraId="7441953F" w14:textId="77777777" w:rsidR="0089652B" w:rsidRPr="003C0A88" w:rsidRDefault="0089652B" w:rsidP="0089652B">
      <w:pPr>
        <w:spacing w:after="0" w:line="240" w:lineRule="auto"/>
        <w:rPr>
          <w:rFonts w:ascii="Times New Roman" w:hAnsi="Times New Roman"/>
          <w:sz w:val="24"/>
          <w:szCs w:val="24"/>
          <w:lang w:eastAsia="hr-HR"/>
        </w:rPr>
      </w:pPr>
    </w:p>
    <w:p w14:paraId="13077C83" w14:textId="77777777" w:rsidR="0089652B" w:rsidRPr="003C0A88" w:rsidRDefault="0089652B" w:rsidP="0089652B">
      <w:pPr>
        <w:spacing w:after="0" w:line="240" w:lineRule="auto"/>
        <w:rPr>
          <w:rFonts w:ascii="Times New Roman" w:hAnsi="Times New Roman"/>
          <w:sz w:val="24"/>
          <w:szCs w:val="24"/>
          <w:lang w:eastAsia="hr-HR"/>
        </w:rPr>
      </w:pPr>
    </w:p>
    <w:p w14:paraId="2140735A" w14:textId="77777777" w:rsidR="0089652B" w:rsidRPr="003C0A88" w:rsidRDefault="0089652B" w:rsidP="0089652B">
      <w:pPr>
        <w:spacing w:after="0" w:line="240" w:lineRule="auto"/>
        <w:rPr>
          <w:rFonts w:ascii="Times New Roman" w:hAnsi="Times New Roman"/>
          <w:sz w:val="24"/>
          <w:szCs w:val="24"/>
          <w:lang w:eastAsia="hr-HR"/>
        </w:rPr>
      </w:pPr>
    </w:p>
    <w:p w14:paraId="4095FB4B" w14:textId="77777777" w:rsidR="0089652B" w:rsidRPr="003C0A88" w:rsidRDefault="0089652B" w:rsidP="0089652B">
      <w:pPr>
        <w:spacing w:after="0" w:line="240" w:lineRule="auto"/>
        <w:rPr>
          <w:rFonts w:ascii="Times New Roman" w:hAnsi="Times New Roman"/>
          <w:sz w:val="24"/>
          <w:szCs w:val="24"/>
          <w:lang w:eastAsia="hr-HR"/>
        </w:rPr>
      </w:pPr>
    </w:p>
    <w:p w14:paraId="54D63D8B" w14:textId="77777777" w:rsidR="0089652B" w:rsidRPr="003C0A88" w:rsidRDefault="0089652B" w:rsidP="0089652B">
      <w:pPr>
        <w:spacing w:after="0" w:line="240" w:lineRule="auto"/>
        <w:jc w:val="center"/>
        <w:rPr>
          <w:rFonts w:ascii="Times New Roman" w:hAnsi="Times New Roman"/>
          <w:b/>
          <w:sz w:val="24"/>
          <w:szCs w:val="24"/>
          <w:lang w:eastAsia="hr-HR"/>
        </w:rPr>
      </w:pPr>
      <w:r w:rsidRPr="003C0A88">
        <w:rPr>
          <w:rFonts w:ascii="Times New Roman" w:hAnsi="Times New Roman"/>
          <w:b/>
          <w:sz w:val="24"/>
          <w:szCs w:val="24"/>
          <w:lang w:eastAsia="hr-HR"/>
        </w:rPr>
        <w:t xml:space="preserve">PRIJEDLOG </w:t>
      </w:r>
    </w:p>
    <w:p w14:paraId="3A03DA68" w14:textId="77777777" w:rsidR="0089652B" w:rsidRPr="003C0A88" w:rsidRDefault="0089652B" w:rsidP="0089652B">
      <w:pPr>
        <w:spacing w:before="100" w:beforeAutospacing="1" w:after="225" w:line="240" w:lineRule="auto"/>
        <w:jc w:val="center"/>
        <w:rPr>
          <w:rFonts w:ascii="Times New Roman" w:hAnsi="Times New Roman"/>
          <w:b/>
          <w:caps/>
          <w:sz w:val="24"/>
          <w:szCs w:val="24"/>
          <w:lang w:eastAsia="hr-HR"/>
        </w:rPr>
      </w:pPr>
      <w:r>
        <w:rPr>
          <w:rFonts w:ascii="Times New Roman" w:hAnsi="Times New Roman"/>
          <w:b/>
          <w:bCs/>
          <w:caps/>
          <w:sz w:val="24"/>
          <w:szCs w:val="24"/>
          <w:lang w:eastAsia="hr-HR"/>
        </w:rPr>
        <w:t>PLANA GOSPODARENJA OTPADOM REPUBLIKE HRVATSKE ZA RAZDOBLJE 2023.-2028. GODINE</w:t>
      </w:r>
    </w:p>
    <w:p w14:paraId="40DEAA9D" w14:textId="77777777" w:rsidR="0089652B" w:rsidRPr="003C0A88" w:rsidRDefault="0089652B" w:rsidP="0089652B">
      <w:pPr>
        <w:spacing w:after="0" w:line="240" w:lineRule="auto"/>
        <w:rPr>
          <w:rFonts w:ascii="Times New Roman" w:hAnsi="Times New Roman"/>
          <w:sz w:val="24"/>
          <w:szCs w:val="24"/>
          <w:lang w:eastAsia="hr-HR"/>
        </w:rPr>
      </w:pPr>
    </w:p>
    <w:p w14:paraId="394412EA" w14:textId="77777777" w:rsidR="0089652B" w:rsidRPr="003C0A88" w:rsidRDefault="0089652B" w:rsidP="0089652B">
      <w:pPr>
        <w:spacing w:after="0" w:line="240" w:lineRule="auto"/>
        <w:rPr>
          <w:rFonts w:ascii="Times New Roman" w:hAnsi="Times New Roman"/>
          <w:sz w:val="24"/>
          <w:szCs w:val="24"/>
          <w:lang w:eastAsia="hr-HR"/>
        </w:rPr>
      </w:pPr>
    </w:p>
    <w:p w14:paraId="03967899" w14:textId="77777777" w:rsidR="0089652B" w:rsidRPr="003C0A88" w:rsidRDefault="0089652B" w:rsidP="0089652B">
      <w:pPr>
        <w:spacing w:after="0" w:line="240" w:lineRule="auto"/>
        <w:rPr>
          <w:rFonts w:ascii="Times New Roman" w:hAnsi="Times New Roman"/>
          <w:sz w:val="24"/>
          <w:szCs w:val="24"/>
          <w:lang w:eastAsia="hr-HR"/>
        </w:rPr>
      </w:pPr>
    </w:p>
    <w:p w14:paraId="3E9D340A" w14:textId="77777777" w:rsidR="0089652B" w:rsidRPr="003C0A88" w:rsidRDefault="0089652B" w:rsidP="0089652B">
      <w:pPr>
        <w:spacing w:after="0" w:line="240" w:lineRule="auto"/>
        <w:rPr>
          <w:rFonts w:ascii="Times New Roman" w:hAnsi="Times New Roman"/>
          <w:sz w:val="24"/>
          <w:szCs w:val="24"/>
          <w:lang w:eastAsia="hr-HR"/>
        </w:rPr>
      </w:pPr>
    </w:p>
    <w:p w14:paraId="2FE22ECA" w14:textId="77777777" w:rsidR="0089652B" w:rsidRPr="003C0A88" w:rsidRDefault="0089652B" w:rsidP="0089652B">
      <w:pPr>
        <w:spacing w:after="0" w:line="240" w:lineRule="auto"/>
        <w:rPr>
          <w:rFonts w:ascii="Times New Roman" w:hAnsi="Times New Roman"/>
          <w:sz w:val="24"/>
          <w:szCs w:val="24"/>
          <w:lang w:eastAsia="hr-HR"/>
        </w:rPr>
      </w:pPr>
    </w:p>
    <w:p w14:paraId="1329B5FB" w14:textId="77777777" w:rsidR="0089652B" w:rsidRPr="003C0A88" w:rsidRDefault="0089652B" w:rsidP="0089652B">
      <w:pPr>
        <w:spacing w:after="0" w:line="240" w:lineRule="auto"/>
        <w:rPr>
          <w:rFonts w:ascii="Times New Roman" w:hAnsi="Times New Roman"/>
          <w:sz w:val="24"/>
          <w:szCs w:val="24"/>
          <w:lang w:eastAsia="hr-HR"/>
        </w:rPr>
      </w:pPr>
    </w:p>
    <w:p w14:paraId="4237134F" w14:textId="77777777" w:rsidR="0089652B" w:rsidRPr="003C0A88" w:rsidRDefault="0089652B" w:rsidP="0089652B">
      <w:pPr>
        <w:spacing w:after="0" w:line="240" w:lineRule="auto"/>
        <w:rPr>
          <w:rFonts w:ascii="Times New Roman" w:hAnsi="Times New Roman"/>
          <w:sz w:val="24"/>
          <w:szCs w:val="24"/>
          <w:lang w:eastAsia="hr-HR"/>
        </w:rPr>
      </w:pPr>
    </w:p>
    <w:p w14:paraId="55EC8F38" w14:textId="77777777" w:rsidR="0089652B" w:rsidRPr="003C0A88" w:rsidRDefault="0089652B" w:rsidP="0089652B">
      <w:pPr>
        <w:spacing w:after="0" w:line="240" w:lineRule="auto"/>
        <w:rPr>
          <w:rFonts w:ascii="Times New Roman" w:hAnsi="Times New Roman"/>
          <w:sz w:val="24"/>
          <w:szCs w:val="24"/>
          <w:lang w:eastAsia="hr-HR"/>
        </w:rPr>
      </w:pPr>
    </w:p>
    <w:p w14:paraId="6F3F4928" w14:textId="77777777" w:rsidR="0089652B" w:rsidRPr="003C0A88" w:rsidRDefault="0089652B" w:rsidP="0089652B">
      <w:pPr>
        <w:spacing w:after="0" w:line="240" w:lineRule="auto"/>
        <w:rPr>
          <w:rFonts w:ascii="Times New Roman" w:hAnsi="Times New Roman"/>
          <w:sz w:val="24"/>
          <w:szCs w:val="24"/>
          <w:lang w:eastAsia="hr-HR"/>
        </w:rPr>
      </w:pPr>
    </w:p>
    <w:p w14:paraId="69E6805C" w14:textId="77777777" w:rsidR="0089652B" w:rsidRPr="003C0A88" w:rsidRDefault="0089652B" w:rsidP="0089652B">
      <w:pPr>
        <w:spacing w:after="0" w:line="240" w:lineRule="auto"/>
        <w:rPr>
          <w:rFonts w:ascii="Times New Roman" w:hAnsi="Times New Roman"/>
          <w:sz w:val="24"/>
          <w:szCs w:val="24"/>
          <w:lang w:eastAsia="hr-HR"/>
        </w:rPr>
      </w:pPr>
    </w:p>
    <w:p w14:paraId="4AD73AF0" w14:textId="5A8BA3A3" w:rsidR="0089652B" w:rsidRDefault="0089652B" w:rsidP="0089652B">
      <w:pPr>
        <w:spacing w:after="0" w:line="240" w:lineRule="auto"/>
        <w:rPr>
          <w:rFonts w:ascii="Times New Roman" w:hAnsi="Times New Roman"/>
          <w:sz w:val="24"/>
          <w:szCs w:val="24"/>
          <w:lang w:eastAsia="hr-HR"/>
        </w:rPr>
      </w:pPr>
    </w:p>
    <w:p w14:paraId="3A119D13" w14:textId="0CDC6426" w:rsidR="0089652B" w:rsidRDefault="0089652B" w:rsidP="0089652B">
      <w:pPr>
        <w:spacing w:after="0" w:line="240" w:lineRule="auto"/>
        <w:rPr>
          <w:rFonts w:ascii="Times New Roman" w:hAnsi="Times New Roman"/>
          <w:sz w:val="24"/>
          <w:szCs w:val="24"/>
          <w:lang w:eastAsia="hr-HR"/>
        </w:rPr>
      </w:pPr>
    </w:p>
    <w:p w14:paraId="7DFAB96D" w14:textId="4B5D25C8" w:rsidR="0089652B" w:rsidRDefault="0089652B" w:rsidP="0089652B">
      <w:pPr>
        <w:spacing w:after="0" w:line="240" w:lineRule="auto"/>
        <w:rPr>
          <w:rFonts w:ascii="Times New Roman" w:hAnsi="Times New Roman"/>
          <w:sz w:val="24"/>
          <w:szCs w:val="24"/>
          <w:lang w:eastAsia="hr-HR"/>
        </w:rPr>
      </w:pPr>
    </w:p>
    <w:p w14:paraId="4F7F5361" w14:textId="7E2708F5" w:rsidR="0089652B" w:rsidRDefault="0089652B" w:rsidP="0089652B">
      <w:pPr>
        <w:spacing w:after="0" w:line="240" w:lineRule="auto"/>
        <w:rPr>
          <w:rFonts w:ascii="Times New Roman" w:hAnsi="Times New Roman"/>
          <w:sz w:val="24"/>
          <w:szCs w:val="24"/>
          <w:lang w:eastAsia="hr-HR"/>
        </w:rPr>
      </w:pPr>
    </w:p>
    <w:p w14:paraId="3A8F8FFF" w14:textId="25A80BF1" w:rsidR="0089652B" w:rsidRDefault="0089652B" w:rsidP="0089652B">
      <w:pPr>
        <w:spacing w:after="0" w:line="240" w:lineRule="auto"/>
        <w:rPr>
          <w:rFonts w:ascii="Times New Roman" w:hAnsi="Times New Roman"/>
          <w:sz w:val="24"/>
          <w:szCs w:val="24"/>
          <w:lang w:eastAsia="hr-HR"/>
        </w:rPr>
      </w:pPr>
    </w:p>
    <w:p w14:paraId="3ADEEFCC" w14:textId="77777777" w:rsidR="0089652B" w:rsidRPr="003C0A88" w:rsidRDefault="0089652B" w:rsidP="0089652B">
      <w:pPr>
        <w:spacing w:after="0" w:line="240" w:lineRule="auto"/>
        <w:rPr>
          <w:rFonts w:ascii="Times New Roman" w:hAnsi="Times New Roman"/>
          <w:sz w:val="24"/>
          <w:szCs w:val="24"/>
          <w:lang w:eastAsia="hr-HR"/>
        </w:rPr>
      </w:pPr>
    </w:p>
    <w:p w14:paraId="3DFCEA25" w14:textId="77777777" w:rsidR="0089652B" w:rsidRPr="003C0A88" w:rsidRDefault="0089652B" w:rsidP="0089652B">
      <w:pPr>
        <w:spacing w:after="0" w:line="240" w:lineRule="auto"/>
        <w:rPr>
          <w:rFonts w:ascii="Times New Roman" w:hAnsi="Times New Roman"/>
          <w:sz w:val="24"/>
          <w:szCs w:val="24"/>
          <w:lang w:eastAsia="hr-HR"/>
        </w:rPr>
      </w:pPr>
    </w:p>
    <w:p w14:paraId="2AAF68EE" w14:textId="77777777" w:rsidR="0089652B" w:rsidRPr="003C0A88" w:rsidRDefault="0089652B" w:rsidP="0089652B">
      <w:pPr>
        <w:spacing w:after="0" w:line="240" w:lineRule="auto"/>
        <w:rPr>
          <w:rFonts w:ascii="Times New Roman" w:hAnsi="Times New Roman"/>
          <w:sz w:val="24"/>
          <w:szCs w:val="24"/>
          <w:lang w:eastAsia="hr-HR"/>
        </w:rPr>
      </w:pPr>
    </w:p>
    <w:p w14:paraId="265943FC" w14:textId="77777777" w:rsidR="0089652B" w:rsidRPr="003C0A88" w:rsidRDefault="0089652B" w:rsidP="0089652B">
      <w:pPr>
        <w:spacing w:after="0" w:line="240" w:lineRule="auto"/>
        <w:rPr>
          <w:rFonts w:ascii="Times New Roman" w:hAnsi="Times New Roman"/>
          <w:sz w:val="24"/>
          <w:szCs w:val="24"/>
          <w:lang w:eastAsia="hr-HR"/>
        </w:rPr>
      </w:pPr>
    </w:p>
    <w:p w14:paraId="4991E600" w14:textId="77777777" w:rsidR="0089652B" w:rsidRPr="003C0A88" w:rsidRDefault="0089652B" w:rsidP="0089652B">
      <w:pPr>
        <w:spacing w:after="0" w:line="240" w:lineRule="auto"/>
        <w:rPr>
          <w:rFonts w:ascii="Times New Roman" w:hAnsi="Times New Roman"/>
          <w:sz w:val="24"/>
          <w:szCs w:val="24"/>
          <w:lang w:eastAsia="hr-HR"/>
        </w:rPr>
      </w:pPr>
    </w:p>
    <w:p w14:paraId="7D316477" w14:textId="7F2D38B7" w:rsidR="0089652B" w:rsidRDefault="0089652B" w:rsidP="0089652B">
      <w:pPr>
        <w:spacing w:after="0" w:line="240" w:lineRule="auto"/>
        <w:rPr>
          <w:rFonts w:ascii="Times New Roman" w:hAnsi="Times New Roman"/>
          <w:sz w:val="24"/>
          <w:szCs w:val="24"/>
          <w:lang w:eastAsia="hr-HR"/>
        </w:rPr>
      </w:pPr>
    </w:p>
    <w:p w14:paraId="7CADC52E" w14:textId="630AA166" w:rsidR="008D7C56" w:rsidRDefault="008D7C56" w:rsidP="0089652B">
      <w:pPr>
        <w:spacing w:after="0" w:line="240" w:lineRule="auto"/>
        <w:rPr>
          <w:rFonts w:ascii="Times New Roman" w:hAnsi="Times New Roman"/>
          <w:sz w:val="24"/>
          <w:szCs w:val="24"/>
          <w:lang w:eastAsia="hr-HR"/>
        </w:rPr>
      </w:pPr>
    </w:p>
    <w:p w14:paraId="6AE81A98" w14:textId="77777777" w:rsidR="0089652B" w:rsidRPr="003C0A88" w:rsidRDefault="0089652B" w:rsidP="0089652B">
      <w:pPr>
        <w:spacing w:after="0" w:line="240" w:lineRule="auto"/>
        <w:rPr>
          <w:rFonts w:ascii="Times New Roman" w:hAnsi="Times New Roman"/>
          <w:sz w:val="24"/>
          <w:szCs w:val="24"/>
          <w:lang w:eastAsia="hr-HR"/>
        </w:rPr>
      </w:pPr>
    </w:p>
    <w:p w14:paraId="655132AD" w14:textId="77777777" w:rsidR="0089652B" w:rsidRPr="003C0A88" w:rsidRDefault="0089652B" w:rsidP="0089652B">
      <w:pPr>
        <w:spacing w:after="0" w:line="240" w:lineRule="auto"/>
        <w:rPr>
          <w:rFonts w:ascii="Times New Roman" w:hAnsi="Times New Roman"/>
          <w:sz w:val="24"/>
          <w:szCs w:val="24"/>
          <w:lang w:eastAsia="hr-HR"/>
        </w:rPr>
      </w:pPr>
    </w:p>
    <w:p w14:paraId="7712019E" w14:textId="7CE4A9AD" w:rsidR="0089652B" w:rsidRPr="003C0A88" w:rsidRDefault="0089652B" w:rsidP="0089652B">
      <w:pPr>
        <w:spacing w:after="0" w:line="240" w:lineRule="auto"/>
        <w:jc w:val="center"/>
        <w:rPr>
          <w:rFonts w:ascii="Times New Roman" w:hAnsi="Times New Roman"/>
          <w:sz w:val="24"/>
          <w:szCs w:val="24"/>
          <w:lang w:eastAsia="hr-HR"/>
        </w:rPr>
      </w:pPr>
      <w:r w:rsidRPr="003C0A88">
        <w:rPr>
          <w:rFonts w:ascii="Times New Roman" w:hAnsi="Times New Roman"/>
          <w:b/>
          <w:sz w:val="24"/>
          <w:szCs w:val="24"/>
          <w:lang w:eastAsia="hr-HR"/>
        </w:rPr>
        <w:t>Zagreb,</w:t>
      </w:r>
      <w:r w:rsidR="008D50B9">
        <w:rPr>
          <w:rFonts w:ascii="Times New Roman" w:hAnsi="Times New Roman"/>
          <w:b/>
          <w:sz w:val="24"/>
          <w:szCs w:val="24"/>
          <w:lang w:eastAsia="hr-HR"/>
        </w:rPr>
        <w:t xml:space="preserve"> </w:t>
      </w:r>
      <w:r w:rsidR="006F1602">
        <w:rPr>
          <w:rFonts w:ascii="Times New Roman" w:hAnsi="Times New Roman"/>
          <w:b/>
          <w:sz w:val="24"/>
          <w:szCs w:val="24"/>
          <w:lang w:eastAsia="hr-HR"/>
        </w:rPr>
        <w:t>1</w:t>
      </w:r>
      <w:r>
        <w:rPr>
          <w:rFonts w:ascii="Times New Roman" w:hAnsi="Times New Roman"/>
          <w:b/>
          <w:sz w:val="24"/>
          <w:szCs w:val="24"/>
          <w:lang w:eastAsia="hr-HR"/>
        </w:rPr>
        <w:t xml:space="preserve">. </w:t>
      </w:r>
      <w:r w:rsidR="006F1602">
        <w:rPr>
          <w:rFonts w:ascii="Times New Roman" w:hAnsi="Times New Roman"/>
          <w:b/>
          <w:sz w:val="24"/>
          <w:szCs w:val="24"/>
          <w:lang w:eastAsia="hr-HR"/>
        </w:rPr>
        <w:t>veljače</w:t>
      </w:r>
      <w:r w:rsidR="008D50B9">
        <w:rPr>
          <w:rFonts w:ascii="Times New Roman" w:hAnsi="Times New Roman"/>
          <w:b/>
          <w:sz w:val="24"/>
          <w:szCs w:val="24"/>
          <w:lang w:eastAsia="hr-HR"/>
        </w:rPr>
        <w:t xml:space="preserve"> 2023</w:t>
      </w:r>
      <w:r>
        <w:rPr>
          <w:rFonts w:ascii="Times New Roman" w:hAnsi="Times New Roman"/>
          <w:b/>
          <w:sz w:val="24"/>
          <w:szCs w:val="24"/>
          <w:lang w:eastAsia="hr-HR"/>
        </w:rPr>
        <w:t>.</w:t>
      </w:r>
    </w:p>
    <w:p w14:paraId="37FF3CDD" w14:textId="77777777" w:rsidR="0089652B" w:rsidRDefault="0089652B" w:rsidP="0089652B">
      <w:pPr>
        <w:rPr>
          <w:sz w:val="24"/>
          <w:szCs w:val="24"/>
        </w:rPr>
      </w:pPr>
      <w:r w:rsidRPr="003C0A88">
        <w:rPr>
          <w:sz w:val="24"/>
          <w:szCs w:val="24"/>
        </w:rPr>
        <w:t>___________________________________________________________________________</w:t>
      </w:r>
    </w:p>
    <w:p w14:paraId="5EF86919" w14:textId="718F9367" w:rsidR="009725D3" w:rsidRPr="0089652B" w:rsidRDefault="00000000" w:rsidP="0089652B">
      <w:pPr>
        <w:rPr>
          <w:rFonts w:ascii="Cambria" w:eastAsia="Calibri" w:hAnsi="Cambria" w:cstheme="minorHAnsi"/>
          <w:b/>
        </w:rPr>
      </w:pPr>
      <w:sdt>
        <w:sdtPr>
          <w:id w:val="-1255050339"/>
          <w:docPartObj>
            <w:docPartGallery w:val="Cover Pages"/>
            <w:docPartUnique/>
          </w:docPartObj>
        </w:sdtPr>
        <w:sdtEndPr>
          <w:rPr>
            <w:rFonts w:ascii="Cambria" w:eastAsia="Calibri" w:hAnsi="Cambria" w:cstheme="minorHAnsi"/>
            <w:b/>
          </w:rPr>
        </w:sdtEndPr>
        <w:sdtContent/>
      </w:sdt>
      <w:r w:rsidR="009725D3" w:rsidRPr="009725D3">
        <w:rPr>
          <w:rFonts w:ascii="Cambria" w:hAnsi="Cambria"/>
          <w:b/>
          <w:bCs/>
          <w:sz w:val="30"/>
          <w:szCs w:val="30"/>
        </w:rPr>
        <w:t>SADRŽAJ</w:t>
      </w:r>
    </w:p>
    <w:p w14:paraId="75422747" w14:textId="72BBE971" w:rsidR="00D058ED" w:rsidRDefault="00187A1C">
      <w:pPr>
        <w:pStyle w:val="Sadraj1"/>
        <w:rPr>
          <w:rFonts w:eastAsiaTheme="minorEastAsia"/>
          <w:caps w:val="0"/>
          <w:noProof/>
          <w:lang w:eastAsia="hr-HR"/>
        </w:rPr>
      </w:pPr>
      <w:r>
        <w:rPr>
          <w:b/>
        </w:rPr>
        <w:fldChar w:fldCharType="begin"/>
      </w:r>
      <w:r>
        <w:rPr>
          <w:b/>
        </w:rPr>
        <w:instrText xml:space="preserve"> TOC \h \z \t "IR Naslov 1;1;IR Naslov 2;2;IR Naslov 3;3" </w:instrText>
      </w:r>
      <w:r>
        <w:rPr>
          <w:b/>
        </w:rPr>
        <w:fldChar w:fldCharType="separate"/>
      </w:r>
      <w:hyperlink w:anchor="_Toc123211631" w:history="1">
        <w:r w:rsidR="00D058ED" w:rsidRPr="00157FF2">
          <w:rPr>
            <w:rStyle w:val="Hiperveza"/>
            <w:noProof/>
          </w:rPr>
          <w:t>1.</w:t>
        </w:r>
        <w:r w:rsidR="00D058ED">
          <w:rPr>
            <w:rFonts w:eastAsiaTheme="minorEastAsia"/>
            <w:caps w:val="0"/>
            <w:noProof/>
            <w:lang w:eastAsia="hr-HR"/>
          </w:rPr>
          <w:tab/>
        </w:r>
        <w:r w:rsidR="00D058ED" w:rsidRPr="00157FF2">
          <w:rPr>
            <w:rStyle w:val="Hiperveza"/>
            <w:noProof/>
          </w:rPr>
          <w:t>Uvod</w:t>
        </w:r>
        <w:r w:rsidR="00D058ED">
          <w:rPr>
            <w:noProof/>
            <w:webHidden/>
          </w:rPr>
          <w:tab/>
        </w:r>
        <w:r w:rsidR="00D058ED">
          <w:rPr>
            <w:noProof/>
            <w:webHidden/>
          </w:rPr>
          <w:fldChar w:fldCharType="begin"/>
        </w:r>
        <w:r w:rsidR="00D058ED">
          <w:rPr>
            <w:noProof/>
            <w:webHidden/>
          </w:rPr>
          <w:instrText xml:space="preserve"> PAGEREF _Toc123211631 \h </w:instrText>
        </w:r>
        <w:r w:rsidR="00D058ED">
          <w:rPr>
            <w:noProof/>
            <w:webHidden/>
          </w:rPr>
        </w:r>
        <w:r w:rsidR="00D058ED">
          <w:rPr>
            <w:noProof/>
            <w:webHidden/>
          </w:rPr>
          <w:fldChar w:fldCharType="separate"/>
        </w:r>
        <w:r w:rsidR="00F37B62">
          <w:rPr>
            <w:noProof/>
            <w:webHidden/>
          </w:rPr>
          <w:t>14</w:t>
        </w:r>
        <w:r w:rsidR="00D058ED">
          <w:rPr>
            <w:noProof/>
            <w:webHidden/>
          </w:rPr>
          <w:fldChar w:fldCharType="end"/>
        </w:r>
      </w:hyperlink>
    </w:p>
    <w:p w14:paraId="05E9D7FE" w14:textId="27969208" w:rsidR="00D058ED" w:rsidRDefault="00000000">
      <w:pPr>
        <w:pStyle w:val="Sadraj1"/>
        <w:rPr>
          <w:rFonts w:eastAsiaTheme="minorEastAsia"/>
          <w:caps w:val="0"/>
          <w:noProof/>
          <w:lang w:eastAsia="hr-HR"/>
        </w:rPr>
      </w:pPr>
      <w:hyperlink w:anchor="_Toc123211632" w:history="1">
        <w:r w:rsidR="00D058ED" w:rsidRPr="00157FF2">
          <w:rPr>
            <w:rStyle w:val="Hiperveza"/>
            <w:noProof/>
          </w:rPr>
          <w:t>2.</w:t>
        </w:r>
        <w:r w:rsidR="00D058ED">
          <w:rPr>
            <w:rFonts w:eastAsiaTheme="minorEastAsia"/>
            <w:caps w:val="0"/>
            <w:noProof/>
            <w:lang w:eastAsia="hr-HR"/>
          </w:rPr>
          <w:tab/>
        </w:r>
        <w:r w:rsidR="00D058ED" w:rsidRPr="00157FF2">
          <w:rPr>
            <w:rStyle w:val="Hiperveza"/>
            <w:noProof/>
          </w:rPr>
          <w:t>Stanje gospodarenja otpadom u Republici Hrvatskoj</w:t>
        </w:r>
        <w:r w:rsidR="00D058ED">
          <w:rPr>
            <w:noProof/>
            <w:webHidden/>
          </w:rPr>
          <w:tab/>
        </w:r>
        <w:r w:rsidR="00D058ED">
          <w:rPr>
            <w:noProof/>
            <w:webHidden/>
          </w:rPr>
          <w:fldChar w:fldCharType="begin"/>
        </w:r>
        <w:r w:rsidR="00D058ED">
          <w:rPr>
            <w:noProof/>
            <w:webHidden/>
          </w:rPr>
          <w:instrText xml:space="preserve"> PAGEREF _Toc123211632 \h </w:instrText>
        </w:r>
        <w:r w:rsidR="00D058ED">
          <w:rPr>
            <w:noProof/>
            <w:webHidden/>
          </w:rPr>
        </w:r>
        <w:r w:rsidR="00D058ED">
          <w:rPr>
            <w:noProof/>
            <w:webHidden/>
          </w:rPr>
          <w:fldChar w:fldCharType="separate"/>
        </w:r>
        <w:r w:rsidR="00F37B62">
          <w:rPr>
            <w:noProof/>
            <w:webHidden/>
          </w:rPr>
          <w:t>16</w:t>
        </w:r>
        <w:r w:rsidR="00D058ED">
          <w:rPr>
            <w:noProof/>
            <w:webHidden/>
          </w:rPr>
          <w:fldChar w:fldCharType="end"/>
        </w:r>
      </w:hyperlink>
    </w:p>
    <w:p w14:paraId="770FDA66" w14:textId="2EC9F4B2" w:rsidR="00D058ED" w:rsidRDefault="00000000">
      <w:pPr>
        <w:pStyle w:val="Sadraj2"/>
        <w:tabs>
          <w:tab w:val="left" w:pos="880"/>
        </w:tabs>
        <w:rPr>
          <w:rFonts w:eastAsiaTheme="minorEastAsia"/>
          <w:noProof/>
          <w:lang w:eastAsia="hr-HR"/>
        </w:rPr>
      </w:pPr>
      <w:hyperlink w:anchor="_Toc123211633" w:history="1">
        <w:r w:rsidR="00D058ED" w:rsidRPr="00157FF2">
          <w:rPr>
            <w:rStyle w:val="Hiperveza"/>
            <w:noProof/>
          </w:rPr>
          <w:t>2.1.</w:t>
        </w:r>
        <w:r w:rsidR="00D058ED">
          <w:rPr>
            <w:rFonts w:eastAsiaTheme="minorEastAsia"/>
            <w:noProof/>
            <w:lang w:eastAsia="hr-HR"/>
          </w:rPr>
          <w:tab/>
        </w:r>
        <w:r w:rsidR="00D058ED" w:rsidRPr="00157FF2">
          <w:rPr>
            <w:rStyle w:val="Hiperveza"/>
            <w:noProof/>
          </w:rPr>
          <w:t>Informacijski sustav gospodarenja otpadom</w:t>
        </w:r>
        <w:r w:rsidR="00D058ED">
          <w:rPr>
            <w:noProof/>
            <w:webHidden/>
          </w:rPr>
          <w:tab/>
        </w:r>
        <w:r w:rsidR="00D058ED">
          <w:rPr>
            <w:noProof/>
            <w:webHidden/>
          </w:rPr>
          <w:fldChar w:fldCharType="begin"/>
        </w:r>
        <w:r w:rsidR="00D058ED">
          <w:rPr>
            <w:noProof/>
            <w:webHidden/>
          </w:rPr>
          <w:instrText xml:space="preserve"> PAGEREF _Toc123211633 \h </w:instrText>
        </w:r>
        <w:r w:rsidR="00D058ED">
          <w:rPr>
            <w:noProof/>
            <w:webHidden/>
          </w:rPr>
        </w:r>
        <w:r w:rsidR="00D058ED">
          <w:rPr>
            <w:noProof/>
            <w:webHidden/>
          </w:rPr>
          <w:fldChar w:fldCharType="separate"/>
        </w:r>
        <w:r w:rsidR="00F37B62">
          <w:rPr>
            <w:noProof/>
            <w:webHidden/>
          </w:rPr>
          <w:t>16</w:t>
        </w:r>
        <w:r w:rsidR="00D058ED">
          <w:rPr>
            <w:noProof/>
            <w:webHidden/>
          </w:rPr>
          <w:fldChar w:fldCharType="end"/>
        </w:r>
      </w:hyperlink>
    </w:p>
    <w:p w14:paraId="363A84EC" w14:textId="33C1BA54" w:rsidR="00D058ED" w:rsidRDefault="00000000">
      <w:pPr>
        <w:pStyle w:val="Sadraj2"/>
        <w:tabs>
          <w:tab w:val="left" w:pos="880"/>
        </w:tabs>
        <w:rPr>
          <w:rFonts w:eastAsiaTheme="minorEastAsia"/>
          <w:noProof/>
          <w:lang w:eastAsia="hr-HR"/>
        </w:rPr>
      </w:pPr>
      <w:hyperlink w:anchor="_Toc123211634" w:history="1">
        <w:r w:rsidR="00D058ED" w:rsidRPr="00157FF2">
          <w:rPr>
            <w:rStyle w:val="Hiperveza"/>
            <w:noProof/>
          </w:rPr>
          <w:t>2.2.</w:t>
        </w:r>
        <w:r w:rsidR="00D058ED">
          <w:rPr>
            <w:rFonts w:eastAsiaTheme="minorEastAsia"/>
            <w:noProof/>
            <w:lang w:eastAsia="hr-HR"/>
          </w:rPr>
          <w:tab/>
        </w:r>
        <w:r w:rsidR="00D058ED" w:rsidRPr="00157FF2">
          <w:rPr>
            <w:rStyle w:val="Hiperveza"/>
            <w:noProof/>
          </w:rPr>
          <w:t>Porijeklo, sastav, kategorije i vrste otpada</w:t>
        </w:r>
        <w:r w:rsidR="00D058ED">
          <w:rPr>
            <w:noProof/>
            <w:webHidden/>
          </w:rPr>
          <w:tab/>
        </w:r>
        <w:r w:rsidR="00D058ED">
          <w:rPr>
            <w:noProof/>
            <w:webHidden/>
          </w:rPr>
          <w:fldChar w:fldCharType="begin"/>
        </w:r>
        <w:r w:rsidR="00D058ED">
          <w:rPr>
            <w:noProof/>
            <w:webHidden/>
          </w:rPr>
          <w:instrText xml:space="preserve"> PAGEREF _Toc123211634 \h </w:instrText>
        </w:r>
        <w:r w:rsidR="00D058ED">
          <w:rPr>
            <w:noProof/>
            <w:webHidden/>
          </w:rPr>
        </w:r>
        <w:r w:rsidR="00D058ED">
          <w:rPr>
            <w:noProof/>
            <w:webHidden/>
          </w:rPr>
          <w:fldChar w:fldCharType="separate"/>
        </w:r>
        <w:r w:rsidR="00F37B62">
          <w:rPr>
            <w:noProof/>
            <w:webHidden/>
          </w:rPr>
          <w:t>16</w:t>
        </w:r>
        <w:r w:rsidR="00D058ED">
          <w:rPr>
            <w:noProof/>
            <w:webHidden/>
          </w:rPr>
          <w:fldChar w:fldCharType="end"/>
        </w:r>
      </w:hyperlink>
    </w:p>
    <w:p w14:paraId="7E0A33F6" w14:textId="25A23A0E" w:rsidR="00D058ED" w:rsidRDefault="00000000">
      <w:pPr>
        <w:pStyle w:val="Sadraj3"/>
        <w:rPr>
          <w:rFonts w:eastAsiaTheme="minorEastAsia"/>
          <w:noProof/>
          <w:lang w:eastAsia="hr-HR"/>
        </w:rPr>
      </w:pPr>
      <w:hyperlink w:anchor="_Toc123211635" w:history="1">
        <w:r w:rsidR="00D058ED" w:rsidRPr="00157FF2">
          <w:rPr>
            <w:rStyle w:val="Hiperveza"/>
            <w:noProof/>
          </w:rPr>
          <w:t>2.2.1.</w:t>
        </w:r>
        <w:r w:rsidR="00D058ED">
          <w:rPr>
            <w:rFonts w:eastAsiaTheme="minorEastAsia"/>
            <w:noProof/>
            <w:lang w:eastAsia="hr-HR"/>
          </w:rPr>
          <w:tab/>
        </w:r>
        <w:r w:rsidR="00D058ED" w:rsidRPr="00157FF2">
          <w:rPr>
            <w:rStyle w:val="Hiperveza"/>
            <w:noProof/>
          </w:rPr>
          <w:t>Ukupne količine otpada u RH</w:t>
        </w:r>
        <w:r w:rsidR="00D058ED">
          <w:rPr>
            <w:noProof/>
            <w:webHidden/>
          </w:rPr>
          <w:tab/>
        </w:r>
        <w:r w:rsidR="00D058ED">
          <w:rPr>
            <w:noProof/>
            <w:webHidden/>
          </w:rPr>
          <w:fldChar w:fldCharType="begin"/>
        </w:r>
        <w:r w:rsidR="00D058ED">
          <w:rPr>
            <w:noProof/>
            <w:webHidden/>
          </w:rPr>
          <w:instrText xml:space="preserve"> PAGEREF _Toc123211635 \h </w:instrText>
        </w:r>
        <w:r w:rsidR="00D058ED">
          <w:rPr>
            <w:noProof/>
            <w:webHidden/>
          </w:rPr>
        </w:r>
        <w:r w:rsidR="00D058ED">
          <w:rPr>
            <w:noProof/>
            <w:webHidden/>
          </w:rPr>
          <w:fldChar w:fldCharType="separate"/>
        </w:r>
        <w:r w:rsidR="00F37B62">
          <w:rPr>
            <w:noProof/>
            <w:webHidden/>
          </w:rPr>
          <w:t>17</w:t>
        </w:r>
        <w:r w:rsidR="00D058ED">
          <w:rPr>
            <w:noProof/>
            <w:webHidden/>
          </w:rPr>
          <w:fldChar w:fldCharType="end"/>
        </w:r>
      </w:hyperlink>
    </w:p>
    <w:p w14:paraId="68786996" w14:textId="3E966B73" w:rsidR="00D058ED" w:rsidRDefault="00000000">
      <w:pPr>
        <w:pStyle w:val="Sadraj3"/>
        <w:rPr>
          <w:rFonts w:eastAsiaTheme="minorEastAsia"/>
          <w:noProof/>
          <w:lang w:eastAsia="hr-HR"/>
        </w:rPr>
      </w:pPr>
      <w:hyperlink w:anchor="_Toc123211636" w:history="1">
        <w:r w:rsidR="00D058ED" w:rsidRPr="00157FF2">
          <w:rPr>
            <w:rStyle w:val="Hiperveza"/>
            <w:noProof/>
          </w:rPr>
          <w:t>2.2.2.</w:t>
        </w:r>
        <w:r w:rsidR="00D058ED">
          <w:rPr>
            <w:rFonts w:eastAsiaTheme="minorEastAsia"/>
            <w:noProof/>
            <w:lang w:eastAsia="hr-HR"/>
          </w:rPr>
          <w:tab/>
        </w:r>
        <w:r w:rsidR="00D058ED" w:rsidRPr="00157FF2">
          <w:rPr>
            <w:rStyle w:val="Hiperveza"/>
            <w:noProof/>
          </w:rPr>
          <w:t>Opasni otpad</w:t>
        </w:r>
        <w:r w:rsidR="00D058ED">
          <w:rPr>
            <w:noProof/>
            <w:webHidden/>
          </w:rPr>
          <w:tab/>
        </w:r>
        <w:r w:rsidR="00D058ED">
          <w:rPr>
            <w:noProof/>
            <w:webHidden/>
          </w:rPr>
          <w:fldChar w:fldCharType="begin"/>
        </w:r>
        <w:r w:rsidR="00D058ED">
          <w:rPr>
            <w:noProof/>
            <w:webHidden/>
          </w:rPr>
          <w:instrText xml:space="preserve"> PAGEREF _Toc123211636 \h </w:instrText>
        </w:r>
        <w:r w:rsidR="00D058ED">
          <w:rPr>
            <w:noProof/>
            <w:webHidden/>
          </w:rPr>
        </w:r>
        <w:r w:rsidR="00D058ED">
          <w:rPr>
            <w:noProof/>
            <w:webHidden/>
          </w:rPr>
          <w:fldChar w:fldCharType="separate"/>
        </w:r>
        <w:r w:rsidR="00F37B62">
          <w:rPr>
            <w:noProof/>
            <w:webHidden/>
          </w:rPr>
          <w:t>22</w:t>
        </w:r>
        <w:r w:rsidR="00D058ED">
          <w:rPr>
            <w:noProof/>
            <w:webHidden/>
          </w:rPr>
          <w:fldChar w:fldCharType="end"/>
        </w:r>
      </w:hyperlink>
    </w:p>
    <w:p w14:paraId="6E779E32" w14:textId="747F6997" w:rsidR="00D058ED" w:rsidRDefault="00000000">
      <w:pPr>
        <w:pStyle w:val="Sadraj3"/>
        <w:rPr>
          <w:rFonts w:eastAsiaTheme="minorEastAsia"/>
          <w:noProof/>
          <w:lang w:eastAsia="hr-HR"/>
        </w:rPr>
      </w:pPr>
      <w:hyperlink w:anchor="_Toc123211637" w:history="1">
        <w:r w:rsidR="00D058ED" w:rsidRPr="00157FF2">
          <w:rPr>
            <w:rStyle w:val="Hiperveza"/>
            <w:noProof/>
          </w:rPr>
          <w:t>2.2.3.</w:t>
        </w:r>
        <w:r w:rsidR="00D058ED">
          <w:rPr>
            <w:rFonts w:eastAsiaTheme="minorEastAsia"/>
            <w:noProof/>
            <w:lang w:eastAsia="hr-HR"/>
          </w:rPr>
          <w:tab/>
        </w:r>
        <w:r w:rsidR="00D058ED" w:rsidRPr="00157FF2">
          <w:rPr>
            <w:rStyle w:val="Hiperveza"/>
            <w:noProof/>
          </w:rPr>
          <w:t>Komunalni otpad</w:t>
        </w:r>
        <w:r w:rsidR="00D058ED">
          <w:rPr>
            <w:noProof/>
            <w:webHidden/>
          </w:rPr>
          <w:tab/>
        </w:r>
        <w:r w:rsidR="00D058ED">
          <w:rPr>
            <w:noProof/>
            <w:webHidden/>
          </w:rPr>
          <w:fldChar w:fldCharType="begin"/>
        </w:r>
        <w:r w:rsidR="00D058ED">
          <w:rPr>
            <w:noProof/>
            <w:webHidden/>
          </w:rPr>
          <w:instrText xml:space="preserve"> PAGEREF _Toc123211637 \h </w:instrText>
        </w:r>
        <w:r w:rsidR="00D058ED">
          <w:rPr>
            <w:noProof/>
            <w:webHidden/>
          </w:rPr>
        </w:r>
        <w:r w:rsidR="00D058ED">
          <w:rPr>
            <w:noProof/>
            <w:webHidden/>
          </w:rPr>
          <w:fldChar w:fldCharType="separate"/>
        </w:r>
        <w:r w:rsidR="00F37B62">
          <w:rPr>
            <w:noProof/>
            <w:webHidden/>
          </w:rPr>
          <w:t>25</w:t>
        </w:r>
        <w:r w:rsidR="00D058ED">
          <w:rPr>
            <w:noProof/>
            <w:webHidden/>
          </w:rPr>
          <w:fldChar w:fldCharType="end"/>
        </w:r>
      </w:hyperlink>
    </w:p>
    <w:p w14:paraId="7DFCC3EB" w14:textId="1F752AC9" w:rsidR="00D058ED" w:rsidRDefault="00000000">
      <w:pPr>
        <w:pStyle w:val="Sadraj3"/>
        <w:rPr>
          <w:rFonts w:eastAsiaTheme="minorEastAsia"/>
          <w:noProof/>
          <w:lang w:eastAsia="hr-HR"/>
        </w:rPr>
      </w:pPr>
      <w:hyperlink w:anchor="_Toc123211638" w:history="1">
        <w:r w:rsidR="00D058ED" w:rsidRPr="00157FF2">
          <w:rPr>
            <w:rStyle w:val="Hiperveza"/>
            <w:noProof/>
          </w:rPr>
          <w:t>2.2.4.</w:t>
        </w:r>
        <w:r w:rsidR="00D058ED">
          <w:rPr>
            <w:rFonts w:eastAsiaTheme="minorEastAsia"/>
            <w:noProof/>
            <w:lang w:eastAsia="hr-HR"/>
          </w:rPr>
          <w:tab/>
        </w:r>
        <w:r w:rsidR="00D058ED" w:rsidRPr="00157FF2">
          <w:rPr>
            <w:rStyle w:val="Hiperveza"/>
            <w:noProof/>
          </w:rPr>
          <w:t>Biootpad</w:t>
        </w:r>
        <w:r w:rsidR="00D058ED">
          <w:rPr>
            <w:noProof/>
            <w:webHidden/>
          </w:rPr>
          <w:tab/>
        </w:r>
        <w:r w:rsidR="00D058ED">
          <w:rPr>
            <w:noProof/>
            <w:webHidden/>
          </w:rPr>
          <w:fldChar w:fldCharType="begin"/>
        </w:r>
        <w:r w:rsidR="00D058ED">
          <w:rPr>
            <w:noProof/>
            <w:webHidden/>
          </w:rPr>
          <w:instrText xml:space="preserve"> PAGEREF _Toc123211638 \h </w:instrText>
        </w:r>
        <w:r w:rsidR="00D058ED">
          <w:rPr>
            <w:noProof/>
            <w:webHidden/>
          </w:rPr>
        </w:r>
        <w:r w:rsidR="00D058ED">
          <w:rPr>
            <w:noProof/>
            <w:webHidden/>
          </w:rPr>
          <w:fldChar w:fldCharType="separate"/>
        </w:r>
        <w:r w:rsidR="00F37B62">
          <w:rPr>
            <w:noProof/>
            <w:webHidden/>
          </w:rPr>
          <w:t>35</w:t>
        </w:r>
        <w:r w:rsidR="00D058ED">
          <w:rPr>
            <w:noProof/>
            <w:webHidden/>
          </w:rPr>
          <w:fldChar w:fldCharType="end"/>
        </w:r>
      </w:hyperlink>
    </w:p>
    <w:p w14:paraId="64F513F7" w14:textId="5D58C3A0" w:rsidR="00D058ED" w:rsidRDefault="00000000">
      <w:pPr>
        <w:pStyle w:val="Sadraj3"/>
        <w:rPr>
          <w:rFonts w:eastAsiaTheme="minorEastAsia"/>
          <w:noProof/>
          <w:lang w:eastAsia="hr-HR"/>
        </w:rPr>
      </w:pPr>
      <w:hyperlink w:anchor="_Toc123211639" w:history="1">
        <w:r w:rsidR="00D058ED" w:rsidRPr="00157FF2">
          <w:rPr>
            <w:rStyle w:val="Hiperveza"/>
            <w:noProof/>
          </w:rPr>
          <w:t>2.2.5.</w:t>
        </w:r>
        <w:r w:rsidR="00D058ED">
          <w:rPr>
            <w:rFonts w:eastAsiaTheme="minorEastAsia"/>
            <w:noProof/>
            <w:lang w:eastAsia="hr-HR"/>
          </w:rPr>
          <w:tab/>
        </w:r>
        <w:r w:rsidR="00D058ED" w:rsidRPr="00157FF2">
          <w:rPr>
            <w:rStyle w:val="Hiperveza"/>
            <w:noProof/>
          </w:rPr>
          <w:t>Mulj iz uređaja za pročišćavanje komunalnih otpadnih voda</w:t>
        </w:r>
        <w:r w:rsidR="00D058ED">
          <w:rPr>
            <w:noProof/>
            <w:webHidden/>
          </w:rPr>
          <w:tab/>
        </w:r>
        <w:r w:rsidR="00D058ED">
          <w:rPr>
            <w:noProof/>
            <w:webHidden/>
          </w:rPr>
          <w:fldChar w:fldCharType="begin"/>
        </w:r>
        <w:r w:rsidR="00D058ED">
          <w:rPr>
            <w:noProof/>
            <w:webHidden/>
          </w:rPr>
          <w:instrText xml:space="preserve"> PAGEREF _Toc123211639 \h </w:instrText>
        </w:r>
        <w:r w:rsidR="00D058ED">
          <w:rPr>
            <w:noProof/>
            <w:webHidden/>
          </w:rPr>
        </w:r>
        <w:r w:rsidR="00D058ED">
          <w:rPr>
            <w:noProof/>
            <w:webHidden/>
          </w:rPr>
          <w:fldChar w:fldCharType="separate"/>
        </w:r>
        <w:r w:rsidR="00F37B62">
          <w:rPr>
            <w:noProof/>
            <w:webHidden/>
          </w:rPr>
          <w:t>36</w:t>
        </w:r>
        <w:r w:rsidR="00D058ED">
          <w:rPr>
            <w:noProof/>
            <w:webHidden/>
          </w:rPr>
          <w:fldChar w:fldCharType="end"/>
        </w:r>
      </w:hyperlink>
    </w:p>
    <w:p w14:paraId="290BE5D7" w14:textId="4349A0D4" w:rsidR="00D058ED" w:rsidRDefault="00000000">
      <w:pPr>
        <w:pStyle w:val="Sadraj3"/>
        <w:rPr>
          <w:rFonts w:eastAsiaTheme="minorEastAsia"/>
          <w:noProof/>
          <w:lang w:eastAsia="hr-HR"/>
        </w:rPr>
      </w:pPr>
      <w:hyperlink w:anchor="_Toc123211640" w:history="1">
        <w:r w:rsidR="00D058ED" w:rsidRPr="00157FF2">
          <w:rPr>
            <w:rStyle w:val="Hiperveza"/>
            <w:noProof/>
          </w:rPr>
          <w:t>2.2.6.</w:t>
        </w:r>
        <w:r w:rsidR="00D058ED">
          <w:rPr>
            <w:rFonts w:eastAsiaTheme="minorEastAsia"/>
            <w:noProof/>
            <w:lang w:eastAsia="hr-HR"/>
          </w:rPr>
          <w:tab/>
        </w:r>
        <w:r w:rsidR="00D058ED" w:rsidRPr="00157FF2">
          <w:rPr>
            <w:rStyle w:val="Hiperveza"/>
            <w:noProof/>
          </w:rPr>
          <w:t>Morski otpad</w:t>
        </w:r>
        <w:r w:rsidR="00D058ED">
          <w:rPr>
            <w:noProof/>
            <w:webHidden/>
          </w:rPr>
          <w:tab/>
        </w:r>
        <w:r w:rsidR="00D058ED">
          <w:rPr>
            <w:noProof/>
            <w:webHidden/>
          </w:rPr>
          <w:fldChar w:fldCharType="begin"/>
        </w:r>
        <w:r w:rsidR="00D058ED">
          <w:rPr>
            <w:noProof/>
            <w:webHidden/>
          </w:rPr>
          <w:instrText xml:space="preserve"> PAGEREF _Toc123211640 \h </w:instrText>
        </w:r>
        <w:r w:rsidR="00D058ED">
          <w:rPr>
            <w:noProof/>
            <w:webHidden/>
          </w:rPr>
        </w:r>
        <w:r w:rsidR="00D058ED">
          <w:rPr>
            <w:noProof/>
            <w:webHidden/>
          </w:rPr>
          <w:fldChar w:fldCharType="separate"/>
        </w:r>
        <w:r w:rsidR="00F37B62">
          <w:rPr>
            <w:noProof/>
            <w:webHidden/>
          </w:rPr>
          <w:t>38</w:t>
        </w:r>
        <w:r w:rsidR="00D058ED">
          <w:rPr>
            <w:noProof/>
            <w:webHidden/>
          </w:rPr>
          <w:fldChar w:fldCharType="end"/>
        </w:r>
      </w:hyperlink>
    </w:p>
    <w:p w14:paraId="487D2D4A" w14:textId="27CBBFFE" w:rsidR="00D058ED" w:rsidRDefault="00000000">
      <w:pPr>
        <w:pStyle w:val="Sadraj3"/>
        <w:rPr>
          <w:rFonts w:eastAsiaTheme="minorEastAsia"/>
          <w:noProof/>
          <w:lang w:eastAsia="hr-HR"/>
        </w:rPr>
      </w:pPr>
      <w:hyperlink w:anchor="_Toc123211641" w:history="1">
        <w:r w:rsidR="00D058ED" w:rsidRPr="00157FF2">
          <w:rPr>
            <w:rStyle w:val="Hiperveza"/>
            <w:noProof/>
          </w:rPr>
          <w:t>2.2.7.</w:t>
        </w:r>
        <w:r w:rsidR="00D058ED">
          <w:rPr>
            <w:rFonts w:eastAsiaTheme="minorEastAsia"/>
            <w:noProof/>
            <w:lang w:eastAsia="hr-HR"/>
          </w:rPr>
          <w:tab/>
        </w:r>
        <w:r w:rsidR="00D058ED" w:rsidRPr="00157FF2">
          <w:rPr>
            <w:rStyle w:val="Hiperveza"/>
            <w:noProof/>
          </w:rPr>
          <w:t>Posebne kategorije otpada</w:t>
        </w:r>
        <w:r w:rsidR="00D058ED">
          <w:rPr>
            <w:noProof/>
            <w:webHidden/>
          </w:rPr>
          <w:tab/>
        </w:r>
        <w:r w:rsidR="00D058ED">
          <w:rPr>
            <w:noProof/>
            <w:webHidden/>
          </w:rPr>
          <w:fldChar w:fldCharType="begin"/>
        </w:r>
        <w:r w:rsidR="00D058ED">
          <w:rPr>
            <w:noProof/>
            <w:webHidden/>
          </w:rPr>
          <w:instrText xml:space="preserve"> PAGEREF _Toc123211641 \h </w:instrText>
        </w:r>
        <w:r w:rsidR="00D058ED">
          <w:rPr>
            <w:noProof/>
            <w:webHidden/>
          </w:rPr>
        </w:r>
        <w:r w:rsidR="00D058ED">
          <w:rPr>
            <w:noProof/>
            <w:webHidden/>
          </w:rPr>
          <w:fldChar w:fldCharType="separate"/>
        </w:r>
        <w:r w:rsidR="00F37B62">
          <w:rPr>
            <w:noProof/>
            <w:webHidden/>
          </w:rPr>
          <w:t>40</w:t>
        </w:r>
        <w:r w:rsidR="00D058ED">
          <w:rPr>
            <w:noProof/>
            <w:webHidden/>
          </w:rPr>
          <w:fldChar w:fldCharType="end"/>
        </w:r>
      </w:hyperlink>
    </w:p>
    <w:p w14:paraId="053F54F7" w14:textId="36B2A9EF" w:rsidR="00D058ED" w:rsidRDefault="00000000">
      <w:pPr>
        <w:pStyle w:val="Sadraj2"/>
        <w:tabs>
          <w:tab w:val="left" w:pos="880"/>
        </w:tabs>
        <w:rPr>
          <w:rFonts w:eastAsiaTheme="minorEastAsia"/>
          <w:noProof/>
          <w:lang w:eastAsia="hr-HR"/>
        </w:rPr>
      </w:pPr>
      <w:hyperlink w:anchor="_Toc123211642" w:history="1">
        <w:r w:rsidR="00D058ED" w:rsidRPr="00157FF2">
          <w:rPr>
            <w:rStyle w:val="Hiperveza"/>
            <w:noProof/>
          </w:rPr>
          <w:t>2.3.</w:t>
        </w:r>
        <w:r w:rsidR="00D058ED">
          <w:rPr>
            <w:rFonts w:eastAsiaTheme="minorEastAsia"/>
            <w:noProof/>
            <w:lang w:eastAsia="hr-HR"/>
          </w:rPr>
          <w:tab/>
        </w:r>
        <w:r w:rsidR="00D058ED" w:rsidRPr="00157FF2">
          <w:rPr>
            <w:rStyle w:val="Hiperveza"/>
            <w:noProof/>
          </w:rPr>
          <w:t>Prekogranični promet otpada</w:t>
        </w:r>
        <w:r w:rsidR="00D058ED">
          <w:rPr>
            <w:noProof/>
            <w:webHidden/>
          </w:rPr>
          <w:tab/>
        </w:r>
        <w:r w:rsidR="00D058ED">
          <w:rPr>
            <w:noProof/>
            <w:webHidden/>
          </w:rPr>
          <w:fldChar w:fldCharType="begin"/>
        </w:r>
        <w:r w:rsidR="00D058ED">
          <w:rPr>
            <w:noProof/>
            <w:webHidden/>
          </w:rPr>
          <w:instrText xml:space="preserve"> PAGEREF _Toc123211642 \h </w:instrText>
        </w:r>
        <w:r w:rsidR="00D058ED">
          <w:rPr>
            <w:noProof/>
            <w:webHidden/>
          </w:rPr>
        </w:r>
        <w:r w:rsidR="00D058ED">
          <w:rPr>
            <w:noProof/>
            <w:webHidden/>
          </w:rPr>
          <w:fldChar w:fldCharType="separate"/>
        </w:r>
        <w:r w:rsidR="00F37B62">
          <w:rPr>
            <w:noProof/>
            <w:webHidden/>
          </w:rPr>
          <w:t>60</w:t>
        </w:r>
        <w:r w:rsidR="00D058ED">
          <w:rPr>
            <w:noProof/>
            <w:webHidden/>
          </w:rPr>
          <w:fldChar w:fldCharType="end"/>
        </w:r>
      </w:hyperlink>
    </w:p>
    <w:p w14:paraId="69AB3C7A" w14:textId="22A91AA0" w:rsidR="00D058ED" w:rsidRDefault="00000000">
      <w:pPr>
        <w:pStyle w:val="Sadraj2"/>
        <w:tabs>
          <w:tab w:val="left" w:pos="880"/>
        </w:tabs>
        <w:rPr>
          <w:rFonts w:eastAsiaTheme="minorEastAsia"/>
          <w:noProof/>
          <w:lang w:eastAsia="hr-HR"/>
        </w:rPr>
      </w:pPr>
      <w:hyperlink w:anchor="_Toc123211643" w:history="1">
        <w:r w:rsidR="00D058ED" w:rsidRPr="00157FF2">
          <w:rPr>
            <w:rStyle w:val="Hiperveza"/>
            <w:noProof/>
          </w:rPr>
          <w:t>2.4.</w:t>
        </w:r>
        <w:r w:rsidR="00D058ED">
          <w:rPr>
            <w:rFonts w:eastAsiaTheme="minorEastAsia"/>
            <w:noProof/>
            <w:lang w:eastAsia="hr-HR"/>
          </w:rPr>
          <w:tab/>
        </w:r>
        <w:r w:rsidR="00D058ED" w:rsidRPr="00157FF2">
          <w:rPr>
            <w:rStyle w:val="Hiperveza"/>
            <w:noProof/>
          </w:rPr>
          <w:t>Postojeće građevine, uređaji i sustavi za gospodarenje otpadom</w:t>
        </w:r>
        <w:r w:rsidR="00D058ED">
          <w:rPr>
            <w:noProof/>
            <w:webHidden/>
          </w:rPr>
          <w:tab/>
        </w:r>
        <w:r w:rsidR="00D058ED">
          <w:rPr>
            <w:noProof/>
            <w:webHidden/>
          </w:rPr>
          <w:fldChar w:fldCharType="begin"/>
        </w:r>
        <w:r w:rsidR="00D058ED">
          <w:rPr>
            <w:noProof/>
            <w:webHidden/>
          </w:rPr>
          <w:instrText xml:space="preserve"> PAGEREF _Toc123211643 \h </w:instrText>
        </w:r>
        <w:r w:rsidR="00D058ED">
          <w:rPr>
            <w:noProof/>
            <w:webHidden/>
          </w:rPr>
        </w:r>
        <w:r w:rsidR="00D058ED">
          <w:rPr>
            <w:noProof/>
            <w:webHidden/>
          </w:rPr>
          <w:fldChar w:fldCharType="separate"/>
        </w:r>
        <w:r w:rsidR="00F37B62">
          <w:rPr>
            <w:noProof/>
            <w:webHidden/>
          </w:rPr>
          <w:t>64</w:t>
        </w:r>
        <w:r w:rsidR="00D058ED">
          <w:rPr>
            <w:noProof/>
            <w:webHidden/>
          </w:rPr>
          <w:fldChar w:fldCharType="end"/>
        </w:r>
      </w:hyperlink>
    </w:p>
    <w:p w14:paraId="693C0FBA" w14:textId="60720DB7" w:rsidR="00D058ED" w:rsidRDefault="00000000">
      <w:pPr>
        <w:pStyle w:val="Sadraj3"/>
        <w:rPr>
          <w:rFonts w:eastAsiaTheme="minorEastAsia"/>
          <w:noProof/>
          <w:lang w:eastAsia="hr-HR"/>
        </w:rPr>
      </w:pPr>
      <w:hyperlink w:anchor="_Toc123211644" w:history="1">
        <w:r w:rsidR="00D058ED" w:rsidRPr="00157FF2">
          <w:rPr>
            <w:rStyle w:val="Hiperveza"/>
            <w:noProof/>
          </w:rPr>
          <w:t>2.4.1.</w:t>
        </w:r>
        <w:r w:rsidR="00D058ED">
          <w:rPr>
            <w:rFonts w:eastAsiaTheme="minorEastAsia"/>
            <w:noProof/>
            <w:lang w:eastAsia="hr-HR"/>
          </w:rPr>
          <w:tab/>
        </w:r>
        <w:r w:rsidR="00D058ED" w:rsidRPr="00157FF2">
          <w:rPr>
            <w:rStyle w:val="Hiperveza"/>
            <w:noProof/>
          </w:rPr>
          <w:t>Građevine i uređaji za gospodarenja otpadom</w:t>
        </w:r>
        <w:r w:rsidR="00D058ED">
          <w:rPr>
            <w:noProof/>
            <w:webHidden/>
          </w:rPr>
          <w:tab/>
        </w:r>
        <w:r w:rsidR="00D058ED">
          <w:rPr>
            <w:noProof/>
            <w:webHidden/>
          </w:rPr>
          <w:fldChar w:fldCharType="begin"/>
        </w:r>
        <w:r w:rsidR="00D058ED">
          <w:rPr>
            <w:noProof/>
            <w:webHidden/>
          </w:rPr>
          <w:instrText xml:space="preserve"> PAGEREF _Toc123211644 \h </w:instrText>
        </w:r>
        <w:r w:rsidR="00D058ED">
          <w:rPr>
            <w:noProof/>
            <w:webHidden/>
          </w:rPr>
        </w:r>
        <w:r w:rsidR="00D058ED">
          <w:rPr>
            <w:noProof/>
            <w:webHidden/>
          </w:rPr>
          <w:fldChar w:fldCharType="separate"/>
        </w:r>
        <w:r w:rsidR="00F37B62">
          <w:rPr>
            <w:noProof/>
            <w:webHidden/>
          </w:rPr>
          <w:t>64</w:t>
        </w:r>
        <w:r w:rsidR="00D058ED">
          <w:rPr>
            <w:noProof/>
            <w:webHidden/>
          </w:rPr>
          <w:fldChar w:fldCharType="end"/>
        </w:r>
      </w:hyperlink>
    </w:p>
    <w:p w14:paraId="403432A1" w14:textId="16F853C9" w:rsidR="00D058ED" w:rsidRDefault="00000000">
      <w:pPr>
        <w:pStyle w:val="Sadraj3"/>
        <w:rPr>
          <w:rFonts w:eastAsiaTheme="minorEastAsia"/>
          <w:noProof/>
          <w:lang w:eastAsia="hr-HR"/>
        </w:rPr>
      </w:pPr>
      <w:hyperlink w:anchor="_Toc123211645" w:history="1">
        <w:r w:rsidR="00D058ED" w:rsidRPr="00157FF2">
          <w:rPr>
            <w:rStyle w:val="Hiperveza"/>
            <w:noProof/>
          </w:rPr>
          <w:t>2.4.2.</w:t>
        </w:r>
        <w:r w:rsidR="00D058ED">
          <w:rPr>
            <w:rFonts w:eastAsiaTheme="minorEastAsia"/>
            <w:noProof/>
            <w:lang w:eastAsia="hr-HR"/>
          </w:rPr>
          <w:tab/>
        </w:r>
        <w:r w:rsidR="00D058ED" w:rsidRPr="00157FF2">
          <w:rPr>
            <w:rStyle w:val="Hiperveza"/>
            <w:noProof/>
          </w:rPr>
          <w:t>Postojeći sustavi za gospodarenje otpadom</w:t>
        </w:r>
        <w:r w:rsidR="00D058ED">
          <w:rPr>
            <w:noProof/>
            <w:webHidden/>
          </w:rPr>
          <w:tab/>
        </w:r>
        <w:r w:rsidR="00D058ED">
          <w:rPr>
            <w:noProof/>
            <w:webHidden/>
          </w:rPr>
          <w:fldChar w:fldCharType="begin"/>
        </w:r>
        <w:r w:rsidR="00D058ED">
          <w:rPr>
            <w:noProof/>
            <w:webHidden/>
          </w:rPr>
          <w:instrText xml:space="preserve"> PAGEREF _Toc123211645 \h </w:instrText>
        </w:r>
        <w:r w:rsidR="00D058ED">
          <w:rPr>
            <w:noProof/>
            <w:webHidden/>
          </w:rPr>
        </w:r>
        <w:r w:rsidR="00D058ED">
          <w:rPr>
            <w:noProof/>
            <w:webHidden/>
          </w:rPr>
          <w:fldChar w:fldCharType="separate"/>
        </w:r>
        <w:r w:rsidR="00F37B62">
          <w:rPr>
            <w:noProof/>
            <w:webHidden/>
          </w:rPr>
          <w:t>81</w:t>
        </w:r>
        <w:r w:rsidR="00D058ED">
          <w:rPr>
            <w:noProof/>
            <w:webHidden/>
          </w:rPr>
          <w:fldChar w:fldCharType="end"/>
        </w:r>
      </w:hyperlink>
    </w:p>
    <w:p w14:paraId="2D871F15" w14:textId="2333AB1E" w:rsidR="00D058ED" w:rsidRDefault="00000000">
      <w:pPr>
        <w:pStyle w:val="Sadraj3"/>
        <w:rPr>
          <w:rFonts w:eastAsiaTheme="minorEastAsia"/>
          <w:noProof/>
          <w:lang w:eastAsia="hr-HR"/>
        </w:rPr>
      </w:pPr>
      <w:hyperlink w:anchor="_Toc123211646" w:history="1">
        <w:r w:rsidR="00D058ED" w:rsidRPr="00157FF2">
          <w:rPr>
            <w:rStyle w:val="Hiperveza"/>
            <w:noProof/>
          </w:rPr>
          <w:t>2.4.3.</w:t>
        </w:r>
        <w:r w:rsidR="00D058ED">
          <w:rPr>
            <w:rFonts w:eastAsiaTheme="minorEastAsia"/>
            <w:noProof/>
            <w:lang w:eastAsia="hr-HR"/>
          </w:rPr>
          <w:tab/>
        </w:r>
        <w:r w:rsidR="00D058ED" w:rsidRPr="00157FF2">
          <w:rPr>
            <w:rStyle w:val="Hiperveza"/>
            <w:noProof/>
          </w:rPr>
          <w:t>Pregled tvrtki koje obavljaju neku od djelatnosti gospodarenja otpadom</w:t>
        </w:r>
        <w:r w:rsidR="00D058ED">
          <w:rPr>
            <w:noProof/>
            <w:webHidden/>
          </w:rPr>
          <w:tab/>
        </w:r>
        <w:r w:rsidR="00D058ED">
          <w:rPr>
            <w:noProof/>
            <w:webHidden/>
          </w:rPr>
          <w:fldChar w:fldCharType="begin"/>
        </w:r>
        <w:r w:rsidR="00D058ED">
          <w:rPr>
            <w:noProof/>
            <w:webHidden/>
          </w:rPr>
          <w:instrText xml:space="preserve"> PAGEREF _Toc123211646 \h </w:instrText>
        </w:r>
        <w:r w:rsidR="00D058ED">
          <w:rPr>
            <w:noProof/>
            <w:webHidden/>
          </w:rPr>
        </w:r>
        <w:r w:rsidR="00D058ED">
          <w:rPr>
            <w:noProof/>
            <w:webHidden/>
          </w:rPr>
          <w:fldChar w:fldCharType="separate"/>
        </w:r>
        <w:r w:rsidR="00F37B62">
          <w:rPr>
            <w:noProof/>
            <w:webHidden/>
          </w:rPr>
          <w:t>84</w:t>
        </w:r>
        <w:r w:rsidR="00D058ED">
          <w:rPr>
            <w:noProof/>
            <w:webHidden/>
          </w:rPr>
          <w:fldChar w:fldCharType="end"/>
        </w:r>
      </w:hyperlink>
    </w:p>
    <w:p w14:paraId="33C0453E" w14:textId="5D8ACB0B" w:rsidR="00D058ED" w:rsidRDefault="00000000">
      <w:pPr>
        <w:pStyle w:val="Sadraj3"/>
        <w:rPr>
          <w:rFonts w:eastAsiaTheme="minorEastAsia"/>
          <w:noProof/>
          <w:lang w:eastAsia="hr-HR"/>
        </w:rPr>
      </w:pPr>
      <w:hyperlink w:anchor="_Toc123211647" w:history="1">
        <w:r w:rsidR="00D058ED" w:rsidRPr="00157FF2">
          <w:rPr>
            <w:rStyle w:val="Hiperveza"/>
            <w:noProof/>
          </w:rPr>
          <w:t>2.4.4.</w:t>
        </w:r>
        <w:r w:rsidR="00D058ED">
          <w:rPr>
            <w:rFonts w:eastAsiaTheme="minorEastAsia"/>
            <w:noProof/>
            <w:lang w:eastAsia="hr-HR"/>
          </w:rPr>
          <w:tab/>
        </w:r>
        <w:r w:rsidR="00D058ED" w:rsidRPr="00157FF2">
          <w:rPr>
            <w:rStyle w:val="Hiperveza"/>
            <w:noProof/>
          </w:rPr>
          <w:t>Statusi projekata sanacija „crnih točaka“</w:t>
        </w:r>
        <w:r w:rsidR="00D058ED">
          <w:rPr>
            <w:noProof/>
            <w:webHidden/>
          </w:rPr>
          <w:tab/>
        </w:r>
        <w:r w:rsidR="00D058ED">
          <w:rPr>
            <w:noProof/>
            <w:webHidden/>
          </w:rPr>
          <w:fldChar w:fldCharType="begin"/>
        </w:r>
        <w:r w:rsidR="00D058ED">
          <w:rPr>
            <w:noProof/>
            <w:webHidden/>
          </w:rPr>
          <w:instrText xml:space="preserve"> PAGEREF _Toc123211647 \h </w:instrText>
        </w:r>
        <w:r w:rsidR="00D058ED">
          <w:rPr>
            <w:noProof/>
            <w:webHidden/>
          </w:rPr>
        </w:r>
        <w:r w:rsidR="00D058ED">
          <w:rPr>
            <w:noProof/>
            <w:webHidden/>
          </w:rPr>
          <w:fldChar w:fldCharType="separate"/>
        </w:r>
        <w:r w:rsidR="00F37B62">
          <w:rPr>
            <w:noProof/>
            <w:webHidden/>
          </w:rPr>
          <w:t>86</w:t>
        </w:r>
        <w:r w:rsidR="00D058ED">
          <w:rPr>
            <w:noProof/>
            <w:webHidden/>
          </w:rPr>
          <w:fldChar w:fldCharType="end"/>
        </w:r>
      </w:hyperlink>
    </w:p>
    <w:p w14:paraId="722D227A" w14:textId="76D855C1" w:rsidR="00D058ED" w:rsidRDefault="00000000">
      <w:pPr>
        <w:pStyle w:val="Sadraj1"/>
        <w:rPr>
          <w:rFonts w:eastAsiaTheme="minorEastAsia"/>
          <w:caps w:val="0"/>
          <w:noProof/>
          <w:lang w:eastAsia="hr-HR"/>
        </w:rPr>
      </w:pPr>
      <w:hyperlink w:anchor="_Toc123211648" w:history="1">
        <w:r w:rsidR="00D058ED" w:rsidRPr="00157FF2">
          <w:rPr>
            <w:rStyle w:val="Hiperveza"/>
            <w:noProof/>
          </w:rPr>
          <w:t>3.</w:t>
        </w:r>
        <w:r w:rsidR="00D058ED">
          <w:rPr>
            <w:rFonts w:eastAsiaTheme="minorEastAsia"/>
            <w:caps w:val="0"/>
            <w:noProof/>
            <w:lang w:eastAsia="hr-HR"/>
          </w:rPr>
          <w:tab/>
        </w:r>
        <w:r w:rsidR="00D058ED" w:rsidRPr="00157FF2">
          <w:rPr>
            <w:rStyle w:val="Hiperveza"/>
            <w:noProof/>
          </w:rPr>
          <w:t>Ocjena stanja gospodarenja otpadom u Republici Hrvatskoj</w:t>
        </w:r>
        <w:r w:rsidR="00D058ED">
          <w:rPr>
            <w:noProof/>
            <w:webHidden/>
          </w:rPr>
          <w:tab/>
        </w:r>
        <w:r w:rsidR="00D058ED">
          <w:rPr>
            <w:noProof/>
            <w:webHidden/>
          </w:rPr>
          <w:fldChar w:fldCharType="begin"/>
        </w:r>
        <w:r w:rsidR="00D058ED">
          <w:rPr>
            <w:noProof/>
            <w:webHidden/>
          </w:rPr>
          <w:instrText xml:space="preserve"> PAGEREF _Toc123211648 \h </w:instrText>
        </w:r>
        <w:r w:rsidR="00D058ED">
          <w:rPr>
            <w:noProof/>
            <w:webHidden/>
          </w:rPr>
        </w:r>
        <w:r w:rsidR="00D058ED">
          <w:rPr>
            <w:noProof/>
            <w:webHidden/>
          </w:rPr>
          <w:fldChar w:fldCharType="separate"/>
        </w:r>
        <w:r w:rsidR="00F37B62">
          <w:rPr>
            <w:noProof/>
            <w:webHidden/>
          </w:rPr>
          <w:t>88</w:t>
        </w:r>
        <w:r w:rsidR="00D058ED">
          <w:rPr>
            <w:noProof/>
            <w:webHidden/>
          </w:rPr>
          <w:fldChar w:fldCharType="end"/>
        </w:r>
      </w:hyperlink>
    </w:p>
    <w:p w14:paraId="4890A30C" w14:textId="220344AD" w:rsidR="00D058ED" w:rsidRDefault="00000000">
      <w:pPr>
        <w:pStyle w:val="Sadraj1"/>
        <w:rPr>
          <w:rFonts w:eastAsiaTheme="minorEastAsia"/>
          <w:caps w:val="0"/>
          <w:noProof/>
          <w:lang w:eastAsia="hr-HR"/>
        </w:rPr>
      </w:pPr>
      <w:hyperlink w:anchor="_Toc123211649" w:history="1">
        <w:r w:rsidR="00D058ED" w:rsidRPr="00157FF2">
          <w:rPr>
            <w:rStyle w:val="Hiperveza"/>
            <w:noProof/>
          </w:rPr>
          <w:t>4.</w:t>
        </w:r>
        <w:r w:rsidR="00D058ED">
          <w:rPr>
            <w:rFonts w:eastAsiaTheme="minorEastAsia"/>
            <w:caps w:val="0"/>
            <w:noProof/>
            <w:lang w:eastAsia="hr-HR"/>
          </w:rPr>
          <w:tab/>
        </w:r>
        <w:r w:rsidR="00D058ED" w:rsidRPr="00157FF2">
          <w:rPr>
            <w:rStyle w:val="Hiperveza"/>
            <w:noProof/>
          </w:rPr>
          <w:t>Ciljevi gospodarenja otpadom</w:t>
        </w:r>
        <w:r w:rsidR="00D058ED">
          <w:rPr>
            <w:noProof/>
            <w:webHidden/>
          </w:rPr>
          <w:tab/>
        </w:r>
        <w:r w:rsidR="00D058ED">
          <w:rPr>
            <w:noProof/>
            <w:webHidden/>
          </w:rPr>
          <w:fldChar w:fldCharType="begin"/>
        </w:r>
        <w:r w:rsidR="00D058ED">
          <w:rPr>
            <w:noProof/>
            <w:webHidden/>
          </w:rPr>
          <w:instrText xml:space="preserve"> PAGEREF _Toc123211649 \h </w:instrText>
        </w:r>
        <w:r w:rsidR="00D058ED">
          <w:rPr>
            <w:noProof/>
            <w:webHidden/>
          </w:rPr>
        </w:r>
        <w:r w:rsidR="00D058ED">
          <w:rPr>
            <w:noProof/>
            <w:webHidden/>
          </w:rPr>
          <w:fldChar w:fldCharType="separate"/>
        </w:r>
        <w:r w:rsidR="00F37B62">
          <w:rPr>
            <w:noProof/>
            <w:webHidden/>
          </w:rPr>
          <w:t>89</w:t>
        </w:r>
        <w:r w:rsidR="00D058ED">
          <w:rPr>
            <w:noProof/>
            <w:webHidden/>
          </w:rPr>
          <w:fldChar w:fldCharType="end"/>
        </w:r>
      </w:hyperlink>
    </w:p>
    <w:p w14:paraId="6FCBDF98" w14:textId="12996CCB" w:rsidR="00D058ED" w:rsidRDefault="00000000">
      <w:pPr>
        <w:pStyle w:val="Sadraj1"/>
        <w:rPr>
          <w:rFonts w:eastAsiaTheme="minorEastAsia"/>
          <w:caps w:val="0"/>
          <w:noProof/>
          <w:lang w:eastAsia="hr-HR"/>
        </w:rPr>
      </w:pPr>
      <w:hyperlink w:anchor="_Toc123211650" w:history="1">
        <w:r w:rsidR="00D058ED" w:rsidRPr="00157FF2">
          <w:rPr>
            <w:rStyle w:val="Hiperveza"/>
            <w:noProof/>
          </w:rPr>
          <w:t>5.</w:t>
        </w:r>
        <w:r w:rsidR="00D058ED">
          <w:rPr>
            <w:rFonts w:eastAsiaTheme="minorEastAsia"/>
            <w:caps w:val="0"/>
            <w:noProof/>
            <w:lang w:eastAsia="hr-HR"/>
          </w:rPr>
          <w:tab/>
        </w:r>
        <w:r w:rsidR="00D058ED" w:rsidRPr="00157FF2">
          <w:rPr>
            <w:rStyle w:val="Hiperveza"/>
            <w:noProof/>
          </w:rPr>
          <w:t>Procjena razvoja tijeka otpada, potrebe i način uspostave novih sustava i mreže građevina i uređaja za gospodarenje otpadom</w:t>
        </w:r>
        <w:r w:rsidR="00D058ED">
          <w:rPr>
            <w:noProof/>
            <w:webHidden/>
          </w:rPr>
          <w:tab/>
        </w:r>
        <w:r w:rsidR="00D058ED">
          <w:rPr>
            <w:noProof/>
            <w:webHidden/>
          </w:rPr>
          <w:fldChar w:fldCharType="begin"/>
        </w:r>
        <w:r w:rsidR="00D058ED">
          <w:rPr>
            <w:noProof/>
            <w:webHidden/>
          </w:rPr>
          <w:instrText xml:space="preserve"> PAGEREF _Toc123211650 \h </w:instrText>
        </w:r>
        <w:r w:rsidR="00D058ED">
          <w:rPr>
            <w:noProof/>
            <w:webHidden/>
          </w:rPr>
        </w:r>
        <w:r w:rsidR="00D058ED">
          <w:rPr>
            <w:noProof/>
            <w:webHidden/>
          </w:rPr>
          <w:fldChar w:fldCharType="separate"/>
        </w:r>
        <w:r w:rsidR="00F37B62">
          <w:rPr>
            <w:noProof/>
            <w:webHidden/>
          </w:rPr>
          <w:t>95</w:t>
        </w:r>
        <w:r w:rsidR="00D058ED">
          <w:rPr>
            <w:noProof/>
            <w:webHidden/>
          </w:rPr>
          <w:fldChar w:fldCharType="end"/>
        </w:r>
      </w:hyperlink>
    </w:p>
    <w:p w14:paraId="7B4DBB0F" w14:textId="5717C283" w:rsidR="00D058ED" w:rsidRDefault="00000000">
      <w:pPr>
        <w:pStyle w:val="Sadraj2"/>
        <w:tabs>
          <w:tab w:val="left" w:pos="880"/>
        </w:tabs>
        <w:rPr>
          <w:rFonts w:eastAsiaTheme="minorEastAsia"/>
          <w:noProof/>
          <w:lang w:eastAsia="hr-HR"/>
        </w:rPr>
      </w:pPr>
      <w:hyperlink w:anchor="_Toc123211651" w:history="1">
        <w:r w:rsidR="00D058ED" w:rsidRPr="00157FF2">
          <w:rPr>
            <w:rStyle w:val="Hiperveza"/>
            <w:noProof/>
          </w:rPr>
          <w:t>5.1.</w:t>
        </w:r>
        <w:r w:rsidR="00D058ED">
          <w:rPr>
            <w:rFonts w:eastAsiaTheme="minorEastAsia"/>
            <w:noProof/>
            <w:lang w:eastAsia="hr-HR"/>
          </w:rPr>
          <w:tab/>
        </w:r>
        <w:r w:rsidR="00D058ED" w:rsidRPr="00157FF2">
          <w:rPr>
            <w:rStyle w:val="Hiperveza"/>
            <w:noProof/>
          </w:rPr>
          <w:t>Procjena razvoja tijeka komunalnog otpada</w:t>
        </w:r>
        <w:r w:rsidR="00D058ED">
          <w:rPr>
            <w:noProof/>
            <w:webHidden/>
          </w:rPr>
          <w:tab/>
        </w:r>
        <w:r w:rsidR="00D058ED">
          <w:rPr>
            <w:noProof/>
            <w:webHidden/>
          </w:rPr>
          <w:fldChar w:fldCharType="begin"/>
        </w:r>
        <w:r w:rsidR="00D058ED">
          <w:rPr>
            <w:noProof/>
            <w:webHidden/>
          </w:rPr>
          <w:instrText xml:space="preserve"> PAGEREF _Toc123211651 \h </w:instrText>
        </w:r>
        <w:r w:rsidR="00D058ED">
          <w:rPr>
            <w:noProof/>
            <w:webHidden/>
          </w:rPr>
        </w:r>
        <w:r w:rsidR="00D058ED">
          <w:rPr>
            <w:noProof/>
            <w:webHidden/>
          </w:rPr>
          <w:fldChar w:fldCharType="separate"/>
        </w:r>
        <w:r w:rsidR="00F37B62">
          <w:rPr>
            <w:noProof/>
            <w:webHidden/>
          </w:rPr>
          <w:t>95</w:t>
        </w:r>
        <w:r w:rsidR="00D058ED">
          <w:rPr>
            <w:noProof/>
            <w:webHidden/>
          </w:rPr>
          <w:fldChar w:fldCharType="end"/>
        </w:r>
      </w:hyperlink>
    </w:p>
    <w:p w14:paraId="700E1D91" w14:textId="724C8BC9" w:rsidR="00D058ED" w:rsidRDefault="00000000">
      <w:pPr>
        <w:pStyle w:val="Sadraj2"/>
        <w:rPr>
          <w:rFonts w:eastAsiaTheme="minorEastAsia"/>
          <w:noProof/>
          <w:lang w:eastAsia="hr-HR"/>
        </w:rPr>
      </w:pPr>
      <w:hyperlink w:anchor="_Toc123211652" w:history="1">
        <w:r w:rsidR="00D058ED" w:rsidRPr="00157FF2">
          <w:rPr>
            <w:rStyle w:val="Hiperveza"/>
            <w:noProof/>
          </w:rPr>
          <w:t>5.2. Otpadna ambalaža</w:t>
        </w:r>
        <w:r w:rsidR="00D058ED">
          <w:rPr>
            <w:noProof/>
            <w:webHidden/>
          </w:rPr>
          <w:tab/>
        </w:r>
        <w:r w:rsidR="00D058ED">
          <w:rPr>
            <w:noProof/>
            <w:webHidden/>
          </w:rPr>
          <w:fldChar w:fldCharType="begin"/>
        </w:r>
        <w:r w:rsidR="00D058ED">
          <w:rPr>
            <w:noProof/>
            <w:webHidden/>
          </w:rPr>
          <w:instrText xml:space="preserve"> PAGEREF _Toc123211652 \h </w:instrText>
        </w:r>
        <w:r w:rsidR="00D058ED">
          <w:rPr>
            <w:noProof/>
            <w:webHidden/>
          </w:rPr>
        </w:r>
        <w:r w:rsidR="00D058ED">
          <w:rPr>
            <w:noProof/>
            <w:webHidden/>
          </w:rPr>
          <w:fldChar w:fldCharType="separate"/>
        </w:r>
        <w:r w:rsidR="00F37B62">
          <w:rPr>
            <w:noProof/>
            <w:webHidden/>
          </w:rPr>
          <w:t>96</w:t>
        </w:r>
        <w:r w:rsidR="00D058ED">
          <w:rPr>
            <w:noProof/>
            <w:webHidden/>
          </w:rPr>
          <w:fldChar w:fldCharType="end"/>
        </w:r>
      </w:hyperlink>
    </w:p>
    <w:p w14:paraId="68912BE6" w14:textId="53E9DB49" w:rsidR="00D058ED" w:rsidRDefault="00000000">
      <w:pPr>
        <w:pStyle w:val="Sadraj2"/>
        <w:rPr>
          <w:rFonts w:eastAsiaTheme="minorEastAsia"/>
          <w:noProof/>
          <w:lang w:eastAsia="hr-HR"/>
        </w:rPr>
      </w:pPr>
      <w:hyperlink w:anchor="_Toc123211653" w:history="1">
        <w:r w:rsidR="00D058ED" w:rsidRPr="00157FF2">
          <w:rPr>
            <w:rStyle w:val="Hiperveza"/>
            <w:noProof/>
          </w:rPr>
          <w:t>5.3. Otpadni muljevi iz uređaja za pročišćavanje otpadnih voda</w:t>
        </w:r>
        <w:r w:rsidR="00D058ED">
          <w:rPr>
            <w:noProof/>
            <w:webHidden/>
          </w:rPr>
          <w:tab/>
        </w:r>
        <w:r w:rsidR="00D058ED">
          <w:rPr>
            <w:noProof/>
            <w:webHidden/>
          </w:rPr>
          <w:fldChar w:fldCharType="begin"/>
        </w:r>
        <w:r w:rsidR="00D058ED">
          <w:rPr>
            <w:noProof/>
            <w:webHidden/>
          </w:rPr>
          <w:instrText xml:space="preserve"> PAGEREF _Toc123211653 \h </w:instrText>
        </w:r>
        <w:r w:rsidR="00D058ED">
          <w:rPr>
            <w:noProof/>
            <w:webHidden/>
          </w:rPr>
        </w:r>
        <w:r w:rsidR="00D058ED">
          <w:rPr>
            <w:noProof/>
            <w:webHidden/>
          </w:rPr>
          <w:fldChar w:fldCharType="separate"/>
        </w:r>
        <w:r w:rsidR="00F37B62">
          <w:rPr>
            <w:noProof/>
            <w:webHidden/>
          </w:rPr>
          <w:t>98</w:t>
        </w:r>
        <w:r w:rsidR="00D058ED">
          <w:rPr>
            <w:noProof/>
            <w:webHidden/>
          </w:rPr>
          <w:fldChar w:fldCharType="end"/>
        </w:r>
      </w:hyperlink>
    </w:p>
    <w:p w14:paraId="244E09DF" w14:textId="67DBFD8B" w:rsidR="00D058ED" w:rsidRDefault="00000000">
      <w:pPr>
        <w:pStyle w:val="Sadraj2"/>
        <w:rPr>
          <w:rFonts w:eastAsiaTheme="minorEastAsia"/>
          <w:noProof/>
          <w:lang w:eastAsia="hr-HR"/>
        </w:rPr>
      </w:pPr>
      <w:hyperlink w:anchor="_Toc123211654" w:history="1">
        <w:r w:rsidR="00D058ED" w:rsidRPr="00157FF2">
          <w:rPr>
            <w:rStyle w:val="Hiperveza"/>
            <w:noProof/>
          </w:rPr>
          <w:t>5.4. Ostale procjene razvoja tijeka otpada</w:t>
        </w:r>
        <w:r w:rsidR="00D058ED">
          <w:rPr>
            <w:noProof/>
            <w:webHidden/>
          </w:rPr>
          <w:tab/>
        </w:r>
        <w:r w:rsidR="00D058ED">
          <w:rPr>
            <w:noProof/>
            <w:webHidden/>
          </w:rPr>
          <w:fldChar w:fldCharType="begin"/>
        </w:r>
        <w:r w:rsidR="00D058ED">
          <w:rPr>
            <w:noProof/>
            <w:webHidden/>
          </w:rPr>
          <w:instrText xml:space="preserve"> PAGEREF _Toc123211654 \h </w:instrText>
        </w:r>
        <w:r w:rsidR="00D058ED">
          <w:rPr>
            <w:noProof/>
            <w:webHidden/>
          </w:rPr>
        </w:r>
        <w:r w:rsidR="00D058ED">
          <w:rPr>
            <w:noProof/>
            <w:webHidden/>
          </w:rPr>
          <w:fldChar w:fldCharType="separate"/>
        </w:r>
        <w:r w:rsidR="00F37B62">
          <w:rPr>
            <w:noProof/>
            <w:webHidden/>
          </w:rPr>
          <w:t>99</w:t>
        </w:r>
        <w:r w:rsidR="00D058ED">
          <w:rPr>
            <w:noProof/>
            <w:webHidden/>
          </w:rPr>
          <w:fldChar w:fldCharType="end"/>
        </w:r>
      </w:hyperlink>
    </w:p>
    <w:p w14:paraId="60DD7864" w14:textId="2F984550" w:rsidR="00D058ED" w:rsidRDefault="00000000">
      <w:pPr>
        <w:pStyle w:val="Sadraj1"/>
        <w:rPr>
          <w:rFonts w:eastAsiaTheme="minorEastAsia"/>
          <w:caps w:val="0"/>
          <w:noProof/>
          <w:lang w:eastAsia="hr-HR"/>
        </w:rPr>
      </w:pPr>
      <w:hyperlink w:anchor="_Toc123211655" w:history="1">
        <w:r w:rsidR="00D058ED" w:rsidRPr="00157FF2">
          <w:rPr>
            <w:rStyle w:val="Hiperveza"/>
            <w:noProof/>
          </w:rPr>
          <w:t>6.</w:t>
        </w:r>
        <w:r w:rsidR="00D058ED">
          <w:rPr>
            <w:rFonts w:eastAsiaTheme="minorEastAsia"/>
            <w:caps w:val="0"/>
            <w:noProof/>
            <w:lang w:eastAsia="hr-HR"/>
          </w:rPr>
          <w:tab/>
        </w:r>
        <w:r w:rsidR="00D058ED" w:rsidRPr="00157FF2">
          <w:rPr>
            <w:rStyle w:val="Hiperveza"/>
            <w:noProof/>
          </w:rPr>
          <w:t>Procjena nužnosti zatvaranja postojeće i uspostave nove infrastrukture za zbrinjavanje i oporabu miješanog komunalnog otpada iz kućanstva</w:t>
        </w:r>
        <w:r w:rsidR="00D058ED">
          <w:rPr>
            <w:noProof/>
            <w:webHidden/>
          </w:rPr>
          <w:tab/>
        </w:r>
        <w:r w:rsidR="00D058ED">
          <w:rPr>
            <w:noProof/>
            <w:webHidden/>
          </w:rPr>
          <w:fldChar w:fldCharType="begin"/>
        </w:r>
        <w:r w:rsidR="00D058ED">
          <w:rPr>
            <w:noProof/>
            <w:webHidden/>
          </w:rPr>
          <w:instrText xml:space="preserve"> PAGEREF _Toc123211655 \h </w:instrText>
        </w:r>
        <w:r w:rsidR="00D058ED">
          <w:rPr>
            <w:noProof/>
            <w:webHidden/>
          </w:rPr>
        </w:r>
        <w:r w:rsidR="00D058ED">
          <w:rPr>
            <w:noProof/>
            <w:webHidden/>
          </w:rPr>
          <w:fldChar w:fldCharType="separate"/>
        </w:r>
        <w:r w:rsidR="00F37B62">
          <w:rPr>
            <w:noProof/>
            <w:webHidden/>
          </w:rPr>
          <w:t>99</w:t>
        </w:r>
        <w:r w:rsidR="00D058ED">
          <w:rPr>
            <w:noProof/>
            <w:webHidden/>
          </w:rPr>
          <w:fldChar w:fldCharType="end"/>
        </w:r>
      </w:hyperlink>
    </w:p>
    <w:p w14:paraId="2B608000" w14:textId="62C110E8" w:rsidR="00D058ED" w:rsidRDefault="00000000">
      <w:pPr>
        <w:pStyle w:val="Sadraj2"/>
        <w:tabs>
          <w:tab w:val="left" w:pos="880"/>
        </w:tabs>
        <w:rPr>
          <w:rFonts w:eastAsiaTheme="minorEastAsia"/>
          <w:noProof/>
          <w:lang w:eastAsia="hr-HR"/>
        </w:rPr>
      </w:pPr>
      <w:hyperlink w:anchor="_Toc123211656" w:history="1">
        <w:r w:rsidR="00D058ED" w:rsidRPr="00157FF2">
          <w:rPr>
            <w:rStyle w:val="Hiperveza"/>
            <w:noProof/>
          </w:rPr>
          <w:t>6.1.</w:t>
        </w:r>
        <w:r w:rsidR="00D058ED">
          <w:rPr>
            <w:rFonts w:eastAsiaTheme="minorEastAsia"/>
            <w:noProof/>
            <w:lang w:eastAsia="hr-HR"/>
          </w:rPr>
          <w:tab/>
        </w:r>
        <w:r w:rsidR="00D058ED" w:rsidRPr="00157FF2">
          <w:rPr>
            <w:rStyle w:val="Hiperveza"/>
            <w:noProof/>
          </w:rPr>
          <w:t>Osnove i pretpostavke za uspostavu i razvoj sustava oporabe i zbrinjavanja mKO-a</w:t>
        </w:r>
        <w:r w:rsidR="00D058ED">
          <w:rPr>
            <w:noProof/>
            <w:webHidden/>
          </w:rPr>
          <w:tab/>
        </w:r>
        <w:r w:rsidR="00D058ED">
          <w:rPr>
            <w:noProof/>
            <w:webHidden/>
          </w:rPr>
          <w:fldChar w:fldCharType="begin"/>
        </w:r>
        <w:r w:rsidR="00D058ED">
          <w:rPr>
            <w:noProof/>
            <w:webHidden/>
          </w:rPr>
          <w:instrText xml:space="preserve"> PAGEREF _Toc123211656 \h </w:instrText>
        </w:r>
        <w:r w:rsidR="00D058ED">
          <w:rPr>
            <w:noProof/>
            <w:webHidden/>
          </w:rPr>
        </w:r>
        <w:r w:rsidR="00D058ED">
          <w:rPr>
            <w:noProof/>
            <w:webHidden/>
          </w:rPr>
          <w:fldChar w:fldCharType="separate"/>
        </w:r>
        <w:r w:rsidR="00F37B62">
          <w:rPr>
            <w:noProof/>
            <w:webHidden/>
          </w:rPr>
          <w:t>101</w:t>
        </w:r>
        <w:r w:rsidR="00D058ED">
          <w:rPr>
            <w:noProof/>
            <w:webHidden/>
          </w:rPr>
          <w:fldChar w:fldCharType="end"/>
        </w:r>
      </w:hyperlink>
    </w:p>
    <w:p w14:paraId="301B5A84" w14:textId="0FD865B2" w:rsidR="00D058ED" w:rsidRDefault="00000000">
      <w:pPr>
        <w:pStyle w:val="Sadraj2"/>
        <w:tabs>
          <w:tab w:val="left" w:pos="880"/>
        </w:tabs>
        <w:rPr>
          <w:rFonts w:eastAsiaTheme="minorEastAsia"/>
          <w:noProof/>
          <w:lang w:eastAsia="hr-HR"/>
        </w:rPr>
      </w:pPr>
      <w:hyperlink w:anchor="_Toc123211657" w:history="1">
        <w:r w:rsidR="00D058ED" w:rsidRPr="00157FF2">
          <w:rPr>
            <w:rStyle w:val="Hiperveza"/>
            <w:noProof/>
          </w:rPr>
          <w:t>6.2.</w:t>
        </w:r>
        <w:r w:rsidR="00D058ED">
          <w:rPr>
            <w:rFonts w:eastAsiaTheme="minorEastAsia"/>
            <w:noProof/>
            <w:lang w:eastAsia="hr-HR"/>
          </w:rPr>
          <w:tab/>
        </w:r>
        <w:r w:rsidR="00D058ED" w:rsidRPr="00157FF2">
          <w:rPr>
            <w:rStyle w:val="Hiperveza"/>
            <w:noProof/>
          </w:rPr>
          <w:t>Uspostava Centara za gospodarenje otpadom (CGO)</w:t>
        </w:r>
        <w:r w:rsidR="00D058ED">
          <w:rPr>
            <w:noProof/>
            <w:webHidden/>
          </w:rPr>
          <w:tab/>
        </w:r>
        <w:r w:rsidR="00D058ED">
          <w:rPr>
            <w:noProof/>
            <w:webHidden/>
          </w:rPr>
          <w:fldChar w:fldCharType="begin"/>
        </w:r>
        <w:r w:rsidR="00D058ED">
          <w:rPr>
            <w:noProof/>
            <w:webHidden/>
          </w:rPr>
          <w:instrText xml:space="preserve"> PAGEREF _Toc123211657 \h </w:instrText>
        </w:r>
        <w:r w:rsidR="00D058ED">
          <w:rPr>
            <w:noProof/>
            <w:webHidden/>
          </w:rPr>
        </w:r>
        <w:r w:rsidR="00D058ED">
          <w:rPr>
            <w:noProof/>
            <w:webHidden/>
          </w:rPr>
          <w:fldChar w:fldCharType="separate"/>
        </w:r>
        <w:r w:rsidR="00F37B62">
          <w:rPr>
            <w:noProof/>
            <w:webHidden/>
          </w:rPr>
          <w:t>105</w:t>
        </w:r>
        <w:r w:rsidR="00D058ED">
          <w:rPr>
            <w:noProof/>
            <w:webHidden/>
          </w:rPr>
          <w:fldChar w:fldCharType="end"/>
        </w:r>
      </w:hyperlink>
    </w:p>
    <w:p w14:paraId="246C3D9E" w14:textId="5EF0258F" w:rsidR="00D058ED" w:rsidRDefault="00000000">
      <w:pPr>
        <w:pStyle w:val="Sadraj2"/>
        <w:tabs>
          <w:tab w:val="left" w:pos="880"/>
        </w:tabs>
        <w:rPr>
          <w:rFonts w:eastAsiaTheme="minorEastAsia"/>
          <w:noProof/>
          <w:lang w:eastAsia="hr-HR"/>
        </w:rPr>
      </w:pPr>
      <w:hyperlink w:anchor="_Toc123211658" w:history="1">
        <w:r w:rsidR="00D058ED" w:rsidRPr="00157FF2">
          <w:rPr>
            <w:rStyle w:val="Hiperveza"/>
            <w:noProof/>
          </w:rPr>
          <w:t>6.3.</w:t>
        </w:r>
        <w:r w:rsidR="00D058ED">
          <w:rPr>
            <w:rFonts w:eastAsiaTheme="minorEastAsia"/>
            <w:noProof/>
            <w:lang w:eastAsia="hr-HR"/>
          </w:rPr>
          <w:tab/>
        </w:r>
        <w:r w:rsidR="00D058ED" w:rsidRPr="00157FF2">
          <w:rPr>
            <w:rStyle w:val="Hiperveza"/>
            <w:noProof/>
          </w:rPr>
          <w:t>Odlagališta neopasnog otpada</w:t>
        </w:r>
        <w:r w:rsidR="00D058ED">
          <w:rPr>
            <w:noProof/>
            <w:webHidden/>
          </w:rPr>
          <w:tab/>
        </w:r>
        <w:r w:rsidR="00D058ED">
          <w:rPr>
            <w:noProof/>
            <w:webHidden/>
          </w:rPr>
          <w:fldChar w:fldCharType="begin"/>
        </w:r>
        <w:r w:rsidR="00D058ED">
          <w:rPr>
            <w:noProof/>
            <w:webHidden/>
          </w:rPr>
          <w:instrText xml:space="preserve"> PAGEREF _Toc123211658 \h </w:instrText>
        </w:r>
        <w:r w:rsidR="00D058ED">
          <w:rPr>
            <w:noProof/>
            <w:webHidden/>
          </w:rPr>
        </w:r>
        <w:r w:rsidR="00D058ED">
          <w:rPr>
            <w:noProof/>
            <w:webHidden/>
          </w:rPr>
          <w:fldChar w:fldCharType="separate"/>
        </w:r>
        <w:r w:rsidR="00F37B62">
          <w:rPr>
            <w:noProof/>
            <w:webHidden/>
          </w:rPr>
          <w:t>107</w:t>
        </w:r>
        <w:r w:rsidR="00D058ED">
          <w:rPr>
            <w:noProof/>
            <w:webHidden/>
          </w:rPr>
          <w:fldChar w:fldCharType="end"/>
        </w:r>
      </w:hyperlink>
    </w:p>
    <w:p w14:paraId="67848AB2" w14:textId="00DB4E78" w:rsidR="00D058ED" w:rsidRDefault="00000000">
      <w:pPr>
        <w:pStyle w:val="Sadraj2"/>
        <w:tabs>
          <w:tab w:val="left" w:pos="880"/>
        </w:tabs>
        <w:rPr>
          <w:rFonts w:eastAsiaTheme="minorEastAsia"/>
          <w:noProof/>
          <w:lang w:eastAsia="hr-HR"/>
        </w:rPr>
      </w:pPr>
      <w:hyperlink w:anchor="_Toc123211659" w:history="1">
        <w:r w:rsidR="00D058ED" w:rsidRPr="00157FF2">
          <w:rPr>
            <w:rStyle w:val="Hiperveza"/>
            <w:noProof/>
          </w:rPr>
          <w:t>6.4.</w:t>
        </w:r>
        <w:r w:rsidR="00D058ED">
          <w:rPr>
            <w:rFonts w:eastAsiaTheme="minorEastAsia"/>
            <w:noProof/>
            <w:lang w:eastAsia="hr-HR"/>
          </w:rPr>
          <w:tab/>
        </w:r>
        <w:r w:rsidR="00D058ED" w:rsidRPr="00157FF2">
          <w:rPr>
            <w:rStyle w:val="Hiperveza"/>
            <w:noProof/>
          </w:rPr>
          <w:t>Energetska oporaba otpada</w:t>
        </w:r>
        <w:r w:rsidR="00D058ED">
          <w:rPr>
            <w:noProof/>
            <w:webHidden/>
          </w:rPr>
          <w:tab/>
        </w:r>
        <w:r w:rsidR="00D058ED">
          <w:rPr>
            <w:noProof/>
            <w:webHidden/>
          </w:rPr>
          <w:fldChar w:fldCharType="begin"/>
        </w:r>
        <w:r w:rsidR="00D058ED">
          <w:rPr>
            <w:noProof/>
            <w:webHidden/>
          </w:rPr>
          <w:instrText xml:space="preserve"> PAGEREF _Toc123211659 \h </w:instrText>
        </w:r>
        <w:r w:rsidR="00D058ED">
          <w:rPr>
            <w:noProof/>
            <w:webHidden/>
          </w:rPr>
        </w:r>
        <w:r w:rsidR="00D058ED">
          <w:rPr>
            <w:noProof/>
            <w:webHidden/>
          </w:rPr>
          <w:fldChar w:fldCharType="separate"/>
        </w:r>
        <w:r w:rsidR="00F37B62">
          <w:rPr>
            <w:noProof/>
            <w:webHidden/>
          </w:rPr>
          <w:t>109</w:t>
        </w:r>
        <w:r w:rsidR="00D058ED">
          <w:rPr>
            <w:noProof/>
            <w:webHidden/>
          </w:rPr>
          <w:fldChar w:fldCharType="end"/>
        </w:r>
      </w:hyperlink>
    </w:p>
    <w:p w14:paraId="62C9C69F" w14:textId="497C9AA5" w:rsidR="00D058ED" w:rsidRDefault="00000000">
      <w:pPr>
        <w:pStyle w:val="Sadraj1"/>
        <w:rPr>
          <w:rFonts w:eastAsiaTheme="minorEastAsia"/>
          <w:caps w:val="0"/>
          <w:noProof/>
          <w:lang w:eastAsia="hr-HR"/>
        </w:rPr>
      </w:pPr>
      <w:hyperlink w:anchor="_Toc123211660" w:history="1">
        <w:r w:rsidR="00D058ED" w:rsidRPr="00157FF2">
          <w:rPr>
            <w:rStyle w:val="Hiperveza"/>
            <w:noProof/>
          </w:rPr>
          <w:t>7.</w:t>
        </w:r>
        <w:r w:rsidR="00D058ED">
          <w:rPr>
            <w:rFonts w:eastAsiaTheme="minorEastAsia"/>
            <w:caps w:val="0"/>
            <w:noProof/>
            <w:lang w:eastAsia="hr-HR"/>
          </w:rPr>
          <w:tab/>
        </w:r>
        <w:r w:rsidR="00D058ED" w:rsidRPr="00157FF2">
          <w:rPr>
            <w:rStyle w:val="Hiperveza"/>
            <w:noProof/>
          </w:rPr>
          <w:t>OPORABA I/ILI ZBRINJAVANJE MULJA SA UREĐAJA ZA PROČIŠĆAVANJE KOMUNALNIH OTPADNIH VODA</w:t>
        </w:r>
        <w:r w:rsidR="00D058ED">
          <w:rPr>
            <w:noProof/>
            <w:webHidden/>
          </w:rPr>
          <w:tab/>
        </w:r>
        <w:r w:rsidR="00D058ED">
          <w:rPr>
            <w:noProof/>
            <w:webHidden/>
          </w:rPr>
          <w:fldChar w:fldCharType="begin"/>
        </w:r>
        <w:r w:rsidR="00D058ED">
          <w:rPr>
            <w:noProof/>
            <w:webHidden/>
          </w:rPr>
          <w:instrText xml:space="preserve"> PAGEREF _Toc123211660 \h </w:instrText>
        </w:r>
        <w:r w:rsidR="00D058ED">
          <w:rPr>
            <w:noProof/>
            <w:webHidden/>
          </w:rPr>
        </w:r>
        <w:r w:rsidR="00D058ED">
          <w:rPr>
            <w:noProof/>
            <w:webHidden/>
          </w:rPr>
          <w:fldChar w:fldCharType="separate"/>
        </w:r>
        <w:r w:rsidR="00F37B62">
          <w:rPr>
            <w:noProof/>
            <w:webHidden/>
          </w:rPr>
          <w:t>112</w:t>
        </w:r>
        <w:r w:rsidR="00D058ED">
          <w:rPr>
            <w:noProof/>
            <w:webHidden/>
          </w:rPr>
          <w:fldChar w:fldCharType="end"/>
        </w:r>
      </w:hyperlink>
    </w:p>
    <w:p w14:paraId="71D5BA8B" w14:textId="2104E886" w:rsidR="00D058ED" w:rsidRDefault="00000000">
      <w:pPr>
        <w:pStyle w:val="Sadraj1"/>
        <w:rPr>
          <w:rFonts w:eastAsiaTheme="minorEastAsia"/>
          <w:caps w:val="0"/>
          <w:noProof/>
          <w:lang w:eastAsia="hr-HR"/>
        </w:rPr>
      </w:pPr>
      <w:hyperlink w:anchor="_Toc123211661" w:history="1">
        <w:r w:rsidR="00D058ED" w:rsidRPr="00157FF2">
          <w:rPr>
            <w:rStyle w:val="Hiperveza"/>
            <w:noProof/>
          </w:rPr>
          <w:t>8.</w:t>
        </w:r>
        <w:r w:rsidR="00D058ED">
          <w:rPr>
            <w:rFonts w:eastAsiaTheme="minorEastAsia"/>
            <w:caps w:val="0"/>
            <w:noProof/>
            <w:lang w:eastAsia="hr-HR"/>
          </w:rPr>
          <w:tab/>
        </w:r>
        <w:r w:rsidR="00D058ED" w:rsidRPr="00157FF2">
          <w:rPr>
            <w:rStyle w:val="Hiperveza"/>
            <w:noProof/>
          </w:rPr>
          <w:t>Kriteriji za određivanje načelnih lokacija i potrebnih kapaciteta novih građevina i postrojenja</w:t>
        </w:r>
        <w:r w:rsidR="00D058ED">
          <w:rPr>
            <w:noProof/>
            <w:webHidden/>
          </w:rPr>
          <w:tab/>
        </w:r>
        <w:r w:rsidR="00D058ED">
          <w:rPr>
            <w:noProof/>
            <w:webHidden/>
          </w:rPr>
          <w:fldChar w:fldCharType="begin"/>
        </w:r>
        <w:r w:rsidR="00D058ED">
          <w:rPr>
            <w:noProof/>
            <w:webHidden/>
          </w:rPr>
          <w:instrText xml:space="preserve"> PAGEREF _Toc123211661 \h </w:instrText>
        </w:r>
        <w:r w:rsidR="00D058ED">
          <w:rPr>
            <w:noProof/>
            <w:webHidden/>
          </w:rPr>
        </w:r>
        <w:r w:rsidR="00D058ED">
          <w:rPr>
            <w:noProof/>
            <w:webHidden/>
          </w:rPr>
          <w:fldChar w:fldCharType="separate"/>
        </w:r>
        <w:r w:rsidR="00F37B62">
          <w:rPr>
            <w:noProof/>
            <w:webHidden/>
          </w:rPr>
          <w:t>113</w:t>
        </w:r>
        <w:r w:rsidR="00D058ED">
          <w:rPr>
            <w:noProof/>
            <w:webHidden/>
          </w:rPr>
          <w:fldChar w:fldCharType="end"/>
        </w:r>
      </w:hyperlink>
    </w:p>
    <w:p w14:paraId="2F625F35" w14:textId="777D23D2" w:rsidR="00D058ED" w:rsidRDefault="00000000">
      <w:pPr>
        <w:pStyle w:val="Sadraj2"/>
        <w:tabs>
          <w:tab w:val="left" w:pos="880"/>
        </w:tabs>
        <w:rPr>
          <w:rFonts w:eastAsiaTheme="minorEastAsia"/>
          <w:noProof/>
          <w:lang w:eastAsia="hr-HR"/>
        </w:rPr>
      </w:pPr>
      <w:hyperlink w:anchor="_Toc123211662" w:history="1">
        <w:r w:rsidR="00D058ED" w:rsidRPr="00157FF2">
          <w:rPr>
            <w:rStyle w:val="Hiperveza"/>
            <w:noProof/>
          </w:rPr>
          <w:t>8.1.</w:t>
        </w:r>
        <w:r w:rsidR="00D058ED">
          <w:rPr>
            <w:rFonts w:eastAsiaTheme="minorEastAsia"/>
            <w:noProof/>
            <w:lang w:eastAsia="hr-HR"/>
          </w:rPr>
          <w:tab/>
        </w:r>
        <w:r w:rsidR="00D058ED" w:rsidRPr="00157FF2">
          <w:rPr>
            <w:rStyle w:val="Hiperveza"/>
            <w:noProof/>
          </w:rPr>
          <w:t>Tehnički zahtjevi za građevine za gospodarenje otpadom</w:t>
        </w:r>
        <w:r w:rsidR="00D058ED">
          <w:rPr>
            <w:noProof/>
            <w:webHidden/>
          </w:rPr>
          <w:tab/>
        </w:r>
        <w:r w:rsidR="00D058ED">
          <w:rPr>
            <w:noProof/>
            <w:webHidden/>
          </w:rPr>
          <w:fldChar w:fldCharType="begin"/>
        </w:r>
        <w:r w:rsidR="00D058ED">
          <w:rPr>
            <w:noProof/>
            <w:webHidden/>
          </w:rPr>
          <w:instrText xml:space="preserve"> PAGEREF _Toc123211662 \h </w:instrText>
        </w:r>
        <w:r w:rsidR="00D058ED">
          <w:rPr>
            <w:noProof/>
            <w:webHidden/>
          </w:rPr>
        </w:r>
        <w:r w:rsidR="00D058ED">
          <w:rPr>
            <w:noProof/>
            <w:webHidden/>
          </w:rPr>
          <w:fldChar w:fldCharType="separate"/>
        </w:r>
        <w:r w:rsidR="00F37B62">
          <w:rPr>
            <w:noProof/>
            <w:webHidden/>
          </w:rPr>
          <w:t>114</w:t>
        </w:r>
        <w:r w:rsidR="00D058ED">
          <w:rPr>
            <w:noProof/>
            <w:webHidden/>
          </w:rPr>
          <w:fldChar w:fldCharType="end"/>
        </w:r>
      </w:hyperlink>
    </w:p>
    <w:p w14:paraId="6BEB3FB4" w14:textId="652906C7" w:rsidR="00D058ED" w:rsidRDefault="00000000">
      <w:pPr>
        <w:pStyle w:val="Sadraj2"/>
        <w:tabs>
          <w:tab w:val="left" w:pos="880"/>
        </w:tabs>
        <w:rPr>
          <w:rFonts w:eastAsiaTheme="minorEastAsia"/>
          <w:noProof/>
          <w:lang w:eastAsia="hr-HR"/>
        </w:rPr>
      </w:pPr>
      <w:hyperlink w:anchor="_Toc123211663" w:history="1">
        <w:r w:rsidR="00D058ED" w:rsidRPr="00157FF2">
          <w:rPr>
            <w:rStyle w:val="Hiperveza"/>
            <w:noProof/>
          </w:rPr>
          <w:t>8.2.</w:t>
        </w:r>
        <w:r w:rsidR="00D058ED">
          <w:rPr>
            <w:rFonts w:eastAsiaTheme="minorEastAsia"/>
            <w:noProof/>
            <w:lang w:eastAsia="hr-HR"/>
          </w:rPr>
          <w:tab/>
        </w:r>
        <w:r w:rsidR="00D058ED" w:rsidRPr="00157FF2">
          <w:rPr>
            <w:rStyle w:val="Hiperveza"/>
            <w:noProof/>
          </w:rPr>
          <w:t>Način određivanja potrebnih kapaciteta novih pogona za oporabu ili zbrinjavanje otpada</w:t>
        </w:r>
        <w:r w:rsidR="00D058ED">
          <w:rPr>
            <w:noProof/>
            <w:webHidden/>
          </w:rPr>
          <w:tab/>
        </w:r>
        <w:r w:rsidR="00D058ED">
          <w:rPr>
            <w:noProof/>
            <w:webHidden/>
          </w:rPr>
          <w:fldChar w:fldCharType="begin"/>
        </w:r>
        <w:r w:rsidR="00D058ED">
          <w:rPr>
            <w:noProof/>
            <w:webHidden/>
          </w:rPr>
          <w:instrText xml:space="preserve"> PAGEREF _Toc123211663 \h </w:instrText>
        </w:r>
        <w:r w:rsidR="00D058ED">
          <w:rPr>
            <w:noProof/>
            <w:webHidden/>
          </w:rPr>
        </w:r>
        <w:r w:rsidR="00D058ED">
          <w:rPr>
            <w:noProof/>
            <w:webHidden/>
          </w:rPr>
          <w:fldChar w:fldCharType="separate"/>
        </w:r>
        <w:r w:rsidR="00F37B62">
          <w:rPr>
            <w:noProof/>
            <w:webHidden/>
          </w:rPr>
          <w:t>116</w:t>
        </w:r>
        <w:r w:rsidR="00D058ED">
          <w:rPr>
            <w:noProof/>
            <w:webHidden/>
          </w:rPr>
          <w:fldChar w:fldCharType="end"/>
        </w:r>
      </w:hyperlink>
    </w:p>
    <w:p w14:paraId="3AF7D939" w14:textId="01F4628D" w:rsidR="00D058ED" w:rsidRDefault="00000000">
      <w:pPr>
        <w:pStyle w:val="Sadraj3"/>
        <w:rPr>
          <w:rFonts w:eastAsiaTheme="minorEastAsia"/>
          <w:noProof/>
          <w:lang w:eastAsia="hr-HR"/>
        </w:rPr>
      </w:pPr>
      <w:hyperlink w:anchor="_Toc123211664" w:history="1">
        <w:r w:rsidR="00D058ED" w:rsidRPr="00157FF2">
          <w:rPr>
            <w:rStyle w:val="Hiperveza"/>
            <w:noProof/>
          </w:rPr>
          <w:t>8.2.1.</w:t>
        </w:r>
        <w:r w:rsidR="00D058ED">
          <w:rPr>
            <w:rFonts w:eastAsiaTheme="minorEastAsia"/>
            <w:noProof/>
            <w:lang w:eastAsia="hr-HR"/>
          </w:rPr>
          <w:tab/>
        </w:r>
        <w:r w:rsidR="00D058ED" w:rsidRPr="00157FF2">
          <w:rPr>
            <w:rStyle w:val="Hiperveza"/>
            <w:noProof/>
          </w:rPr>
          <w:t>Postrojenja za sortiranje odvojeno prikupljenih suhih reciklata</w:t>
        </w:r>
        <w:r w:rsidR="00D058ED">
          <w:rPr>
            <w:noProof/>
            <w:webHidden/>
          </w:rPr>
          <w:tab/>
        </w:r>
        <w:r w:rsidR="00D058ED">
          <w:rPr>
            <w:noProof/>
            <w:webHidden/>
          </w:rPr>
          <w:fldChar w:fldCharType="begin"/>
        </w:r>
        <w:r w:rsidR="00D058ED">
          <w:rPr>
            <w:noProof/>
            <w:webHidden/>
          </w:rPr>
          <w:instrText xml:space="preserve"> PAGEREF _Toc123211664 \h </w:instrText>
        </w:r>
        <w:r w:rsidR="00D058ED">
          <w:rPr>
            <w:noProof/>
            <w:webHidden/>
          </w:rPr>
        </w:r>
        <w:r w:rsidR="00D058ED">
          <w:rPr>
            <w:noProof/>
            <w:webHidden/>
          </w:rPr>
          <w:fldChar w:fldCharType="separate"/>
        </w:r>
        <w:r w:rsidR="00F37B62">
          <w:rPr>
            <w:noProof/>
            <w:webHidden/>
          </w:rPr>
          <w:t>116</w:t>
        </w:r>
        <w:r w:rsidR="00D058ED">
          <w:rPr>
            <w:noProof/>
            <w:webHidden/>
          </w:rPr>
          <w:fldChar w:fldCharType="end"/>
        </w:r>
      </w:hyperlink>
    </w:p>
    <w:p w14:paraId="51552ADC" w14:textId="0E27A616" w:rsidR="00D058ED" w:rsidRDefault="00000000">
      <w:pPr>
        <w:pStyle w:val="Sadraj3"/>
        <w:rPr>
          <w:rFonts w:eastAsiaTheme="minorEastAsia"/>
          <w:noProof/>
          <w:lang w:eastAsia="hr-HR"/>
        </w:rPr>
      </w:pPr>
      <w:hyperlink w:anchor="_Toc123211665" w:history="1">
        <w:r w:rsidR="00D058ED" w:rsidRPr="00157FF2">
          <w:rPr>
            <w:rStyle w:val="Hiperveza"/>
            <w:noProof/>
          </w:rPr>
          <w:t>8.2.2.</w:t>
        </w:r>
        <w:r w:rsidR="00D058ED">
          <w:rPr>
            <w:rFonts w:eastAsiaTheme="minorEastAsia"/>
            <w:noProof/>
            <w:lang w:eastAsia="hr-HR"/>
          </w:rPr>
          <w:tab/>
        </w:r>
        <w:r w:rsidR="00D058ED" w:rsidRPr="00157FF2">
          <w:rPr>
            <w:rStyle w:val="Hiperveza"/>
            <w:noProof/>
          </w:rPr>
          <w:t>Postrojenja za oporabu odvojeno prikupljenog biootpada</w:t>
        </w:r>
        <w:r w:rsidR="00D058ED">
          <w:rPr>
            <w:noProof/>
            <w:webHidden/>
          </w:rPr>
          <w:tab/>
        </w:r>
        <w:r w:rsidR="00D058ED">
          <w:rPr>
            <w:noProof/>
            <w:webHidden/>
          </w:rPr>
          <w:fldChar w:fldCharType="begin"/>
        </w:r>
        <w:r w:rsidR="00D058ED">
          <w:rPr>
            <w:noProof/>
            <w:webHidden/>
          </w:rPr>
          <w:instrText xml:space="preserve"> PAGEREF _Toc123211665 \h </w:instrText>
        </w:r>
        <w:r w:rsidR="00D058ED">
          <w:rPr>
            <w:noProof/>
            <w:webHidden/>
          </w:rPr>
        </w:r>
        <w:r w:rsidR="00D058ED">
          <w:rPr>
            <w:noProof/>
            <w:webHidden/>
          </w:rPr>
          <w:fldChar w:fldCharType="separate"/>
        </w:r>
        <w:r w:rsidR="00F37B62">
          <w:rPr>
            <w:noProof/>
            <w:webHidden/>
          </w:rPr>
          <w:t>119</w:t>
        </w:r>
        <w:r w:rsidR="00D058ED">
          <w:rPr>
            <w:noProof/>
            <w:webHidden/>
          </w:rPr>
          <w:fldChar w:fldCharType="end"/>
        </w:r>
      </w:hyperlink>
    </w:p>
    <w:p w14:paraId="4B5A1AE1" w14:textId="0CB4238E" w:rsidR="00D058ED" w:rsidRDefault="00000000">
      <w:pPr>
        <w:pStyle w:val="Sadraj3"/>
        <w:rPr>
          <w:rFonts w:eastAsiaTheme="minorEastAsia"/>
          <w:noProof/>
          <w:lang w:eastAsia="hr-HR"/>
        </w:rPr>
      </w:pPr>
      <w:hyperlink w:anchor="_Toc123211666" w:history="1">
        <w:r w:rsidR="00D058ED" w:rsidRPr="00157FF2">
          <w:rPr>
            <w:rStyle w:val="Hiperveza"/>
            <w:noProof/>
          </w:rPr>
          <w:t>8.2.3.</w:t>
        </w:r>
        <w:r w:rsidR="00D058ED">
          <w:rPr>
            <w:rFonts w:eastAsiaTheme="minorEastAsia"/>
            <w:noProof/>
            <w:lang w:eastAsia="hr-HR"/>
          </w:rPr>
          <w:tab/>
        </w:r>
        <w:r w:rsidR="00D058ED" w:rsidRPr="00157FF2">
          <w:rPr>
            <w:rStyle w:val="Hiperveza"/>
            <w:noProof/>
          </w:rPr>
          <w:t>Postrojenja za oporabu i zbrinjavanje miješanog komunalnog otpada</w:t>
        </w:r>
        <w:r w:rsidR="00D058ED">
          <w:rPr>
            <w:noProof/>
            <w:webHidden/>
          </w:rPr>
          <w:tab/>
        </w:r>
        <w:r w:rsidR="00D058ED">
          <w:rPr>
            <w:noProof/>
            <w:webHidden/>
          </w:rPr>
          <w:fldChar w:fldCharType="begin"/>
        </w:r>
        <w:r w:rsidR="00D058ED">
          <w:rPr>
            <w:noProof/>
            <w:webHidden/>
          </w:rPr>
          <w:instrText xml:space="preserve"> PAGEREF _Toc123211666 \h </w:instrText>
        </w:r>
        <w:r w:rsidR="00D058ED">
          <w:rPr>
            <w:noProof/>
            <w:webHidden/>
          </w:rPr>
        </w:r>
        <w:r w:rsidR="00D058ED">
          <w:rPr>
            <w:noProof/>
            <w:webHidden/>
          </w:rPr>
          <w:fldChar w:fldCharType="separate"/>
        </w:r>
        <w:r w:rsidR="00F37B62">
          <w:rPr>
            <w:noProof/>
            <w:webHidden/>
          </w:rPr>
          <w:t>123</w:t>
        </w:r>
        <w:r w:rsidR="00D058ED">
          <w:rPr>
            <w:noProof/>
            <w:webHidden/>
          </w:rPr>
          <w:fldChar w:fldCharType="end"/>
        </w:r>
      </w:hyperlink>
    </w:p>
    <w:p w14:paraId="5AC60539" w14:textId="14661334" w:rsidR="00D058ED" w:rsidRDefault="00000000">
      <w:pPr>
        <w:pStyle w:val="Sadraj3"/>
        <w:rPr>
          <w:rFonts w:eastAsiaTheme="minorEastAsia"/>
          <w:noProof/>
          <w:lang w:eastAsia="hr-HR"/>
        </w:rPr>
      </w:pPr>
      <w:hyperlink w:anchor="_Toc123211667" w:history="1">
        <w:r w:rsidR="00D058ED" w:rsidRPr="00157FF2">
          <w:rPr>
            <w:rStyle w:val="Hiperveza"/>
            <w:noProof/>
          </w:rPr>
          <w:t>8.2.4.</w:t>
        </w:r>
        <w:r w:rsidR="00D058ED">
          <w:rPr>
            <w:rFonts w:eastAsiaTheme="minorEastAsia"/>
            <w:noProof/>
            <w:lang w:eastAsia="hr-HR"/>
          </w:rPr>
          <w:tab/>
        </w:r>
        <w:r w:rsidR="00D058ED" w:rsidRPr="00157FF2">
          <w:rPr>
            <w:rStyle w:val="Hiperveza"/>
            <w:noProof/>
          </w:rPr>
          <w:t>Postrojenja za oporabu građevnog otpada</w:t>
        </w:r>
        <w:r w:rsidR="00D058ED">
          <w:rPr>
            <w:noProof/>
            <w:webHidden/>
          </w:rPr>
          <w:tab/>
        </w:r>
        <w:r w:rsidR="00D058ED">
          <w:rPr>
            <w:noProof/>
            <w:webHidden/>
          </w:rPr>
          <w:fldChar w:fldCharType="begin"/>
        </w:r>
        <w:r w:rsidR="00D058ED">
          <w:rPr>
            <w:noProof/>
            <w:webHidden/>
          </w:rPr>
          <w:instrText xml:space="preserve"> PAGEREF _Toc123211667 \h </w:instrText>
        </w:r>
        <w:r w:rsidR="00D058ED">
          <w:rPr>
            <w:noProof/>
            <w:webHidden/>
          </w:rPr>
        </w:r>
        <w:r w:rsidR="00D058ED">
          <w:rPr>
            <w:noProof/>
            <w:webHidden/>
          </w:rPr>
          <w:fldChar w:fldCharType="separate"/>
        </w:r>
        <w:r w:rsidR="00F37B62">
          <w:rPr>
            <w:noProof/>
            <w:webHidden/>
          </w:rPr>
          <w:t>133</w:t>
        </w:r>
        <w:r w:rsidR="00D058ED">
          <w:rPr>
            <w:noProof/>
            <w:webHidden/>
          </w:rPr>
          <w:fldChar w:fldCharType="end"/>
        </w:r>
      </w:hyperlink>
    </w:p>
    <w:p w14:paraId="79C35397" w14:textId="0D7D2A02" w:rsidR="00D058ED" w:rsidRDefault="00000000">
      <w:pPr>
        <w:pStyle w:val="Sadraj3"/>
        <w:rPr>
          <w:rFonts w:eastAsiaTheme="minorEastAsia"/>
          <w:noProof/>
          <w:lang w:eastAsia="hr-HR"/>
        </w:rPr>
      </w:pPr>
      <w:hyperlink w:anchor="_Toc123211668" w:history="1">
        <w:r w:rsidR="00D058ED" w:rsidRPr="00157FF2">
          <w:rPr>
            <w:rStyle w:val="Hiperveza"/>
            <w:noProof/>
          </w:rPr>
          <w:t>8.2.5.</w:t>
        </w:r>
        <w:r w:rsidR="00D058ED">
          <w:rPr>
            <w:rFonts w:eastAsiaTheme="minorEastAsia"/>
            <w:noProof/>
            <w:lang w:eastAsia="hr-HR"/>
          </w:rPr>
          <w:tab/>
        </w:r>
        <w:r w:rsidR="00D058ED" w:rsidRPr="00157FF2">
          <w:rPr>
            <w:rStyle w:val="Hiperveza"/>
            <w:noProof/>
          </w:rPr>
          <w:t>Postrojenja za oporabu plastike</w:t>
        </w:r>
        <w:r w:rsidR="00D058ED">
          <w:rPr>
            <w:noProof/>
            <w:webHidden/>
          </w:rPr>
          <w:tab/>
        </w:r>
        <w:r w:rsidR="00D058ED">
          <w:rPr>
            <w:noProof/>
            <w:webHidden/>
          </w:rPr>
          <w:fldChar w:fldCharType="begin"/>
        </w:r>
        <w:r w:rsidR="00D058ED">
          <w:rPr>
            <w:noProof/>
            <w:webHidden/>
          </w:rPr>
          <w:instrText xml:space="preserve"> PAGEREF _Toc123211668 \h </w:instrText>
        </w:r>
        <w:r w:rsidR="00D058ED">
          <w:rPr>
            <w:noProof/>
            <w:webHidden/>
          </w:rPr>
        </w:r>
        <w:r w:rsidR="00D058ED">
          <w:rPr>
            <w:noProof/>
            <w:webHidden/>
          </w:rPr>
          <w:fldChar w:fldCharType="separate"/>
        </w:r>
        <w:r w:rsidR="00F37B62">
          <w:rPr>
            <w:noProof/>
            <w:webHidden/>
          </w:rPr>
          <w:t>133</w:t>
        </w:r>
        <w:r w:rsidR="00D058ED">
          <w:rPr>
            <w:noProof/>
            <w:webHidden/>
          </w:rPr>
          <w:fldChar w:fldCharType="end"/>
        </w:r>
      </w:hyperlink>
    </w:p>
    <w:p w14:paraId="556AB9AC" w14:textId="32AB0FD7" w:rsidR="00D058ED" w:rsidRDefault="00000000">
      <w:pPr>
        <w:pStyle w:val="Sadraj3"/>
        <w:rPr>
          <w:rFonts w:eastAsiaTheme="minorEastAsia"/>
          <w:noProof/>
          <w:lang w:eastAsia="hr-HR"/>
        </w:rPr>
      </w:pPr>
      <w:hyperlink w:anchor="_Toc123211669" w:history="1">
        <w:r w:rsidR="00D058ED" w:rsidRPr="00157FF2">
          <w:rPr>
            <w:rStyle w:val="Hiperveza"/>
            <w:noProof/>
          </w:rPr>
          <w:t>8.2.6.</w:t>
        </w:r>
        <w:r w:rsidR="00D058ED">
          <w:rPr>
            <w:rFonts w:eastAsiaTheme="minorEastAsia"/>
            <w:noProof/>
            <w:lang w:eastAsia="hr-HR"/>
          </w:rPr>
          <w:tab/>
        </w:r>
        <w:r w:rsidR="00D058ED" w:rsidRPr="00157FF2">
          <w:rPr>
            <w:rStyle w:val="Hiperveza"/>
            <w:noProof/>
          </w:rPr>
          <w:t>Postrojenja za oporabu stakla</w:t>
        </w:r>
        <w:r w:rsidR="00D058ED">
          <w:rPr>
            <w:noProof/>
            <w:webHidden/>
          </w:rPr>
          <w:tab/>
        </w:r>
        <w:r w:rsidR="00D058ED">
          <w:rPr>
            <w:noProof/>
            <w:webHidden/>
          </w:rPr>
          <w:fldChar w:fldCharType="begin"/>
        </w:r>
        <w:r w:rsidR="00D058ED">
          <w:rPr>
            <w:noProof/>
            <w:webHidden/>
          </w:rPr>
          <w:instrText xml:space="preserve"> PAGEREF _Toc123211669 \h </w:instrText>
        </w:r>
        <w:r w:rsidR="00D058ED">
          <w:rPr>
            <w:noProof/>
            <w:webHidden/>
          </w:rPr>
        </w:r>
        <w:r w:rsidR="00D058ED">
          <w:rPr>
            <w:noProof/>
            <w:webHidden/>
          </w:rPr>
          <w:fldChar w:fldCharType="separate"/>
        </w:r>
        <w:r w:rsidR="00F37B62">
          <w:rPr>
            <w:noProof/>
            <w:webHidden/>
          </w:rPr>
          <w:t>135</w:t>
        </w:r>
        <w:r w:rsidR="00D058ED">
          <w:rPr>
            <w:noProof/>
            <w:webHidden/>
          </w:rPr>
          <w:fldChar w:fldCharType="end"/>
        </w:r>
      </w:hyperlink>
    </w:p>
    <w:p w14:paraId="7A61D206" w14:textId="6B087128" w:rsidR="00D058ED" w:rsidRDefault="00000000">
      <w:pPr>
        <w:pStyle w:val="Sadraj3"/>
        <w:rPr>
          <w:rFonts w:eastAsiaTheme="minorEastAsia"/>
          <w:noProof/>
          <w:lang w:eastAsia="hr-HR"/>
        </w:rPr>
      </w:pPr>
      <w:hyperlink w:anchor="_Toc123211670" w:history="1">
        <w:r w:rsidR="00D058ED" w:rsidRPr="00157FF2">
          <w:rPr>
            <w:rStyle w:val="Hiperveza"/>
            <w:noProof/>
          </w:rPr>
          <w:t>8.2.7.</w:t>
        </w:r>
        <w:r w:rsidR="00D058ED">
          <w:rPr>
            <w:rFonts w:eastAsiaTheme="minorEastAsia"/>
            <w:noProof/>
            <w:lang w:eastAsia="hr-HR"/>
          </w:rPr>
          <w:tab/>
        </w:r>
        <w:r w:rsidR="00D058ED" w:rsidRPr="00157FF2">
          <w:rPr>
            <w:rStyle w:val="Hiperveza"/>
            <w:noProof/>
          </w:rPr>
          <w:t>Postrojenja za oporabu papira i kartona</w:t>
        </w:r>
        <w:r w:rsidR="00D058ED">
          <w:rPr>
            <w:noProof/>
            <w:webHidden/>
          </w:rPr>
          <w:tab/>
        </w:r>
        <w:r w:rsidR="00D058ED">
          <w:rPr>
            <w:noProof/>
            <w:webHidden/>
          </w:rPr>
          <w:fldChar w:fldCharType="begin"/>
        </w:r>
        <w:r w:rsidR="00D058ED">
          <w:rPr>
            <w:noProof/>
            <w:webHidden/>
          </w:rPr>
          <w:instrText xml:space="preserve"> PAGEREF _Toc123211670 \h </w:instrText>
        </w:r>
        <w:r w:rsidR="00D058ED">
          <w:rPr>
            <w:noProof/>
            <w:webHidden/>
          </w:rPr>
        </w:r>
        <w:r w:rsidR="00D058ED">
          <w:rPr>
            <w:noProof/>
            <w:webHidden/>
          </w:rPr>
          <w:fldChar w:fldCharType="separate"/>
        </w:r>
        <w:r w:rsidR="00F37B62">
          <w:rPr>
            <w:noProof/>
            <w:webHidden/>
          </w:rPr>
          <w:t>136</w:t>
        </w:r>
        <w:r w:rsidR="00D058ED">
          <w:rPr>
            <w:noProof/>
            <w:webHidden/>
          </w:rPr>
          <w:fldChar w:fldCharType="end"/>
        </w:r>
      </w:hyperlink>
    </w:p>
    <w:p w14:paraId="15C32884" w14:textId="5602065B" w:rsidR="00D058ED" w:rsidRDefault="00000000">
      <w:pPr>
        <w:pStyle w:val="Sadraj1"/>
        <w:rPr>
          <w:rFonts w:eastAsiaTheme="minorEastAsia"/>
          <w:caps w:val="0"/>
          <w:noProof/>
          <w:lang w:eastAsia="hr-HR"/>
        </w:rPr>
      </w:pPr>
      <w:hyperlink w:anchor="_Toc123211671" w:history="1">
        <w:r w:rsidR="00D058ED" w:rsidRPr="00157FF2">
          <w:rPr>
            <w:rStyle w:val="Hiperveza"/>
            <w:noProof/>
          </w:rPr>
          <w:t>9.</w:t>
        </w:r>
        <w:r w:rsidR="00D058ED">
          <w:rPr>
            <w:rFonts w:eastAsiaTheme="minorEastAsia"/>
            <w:caps w:val="0"/>
            <w:noProof/>
            <w:lang w:eastAsia="hr-HR"/>
          </w:rPr>
          <w:tab/>
        </w:r>
        <w:r w:rsidR="00D058ED" w:rsidRPr="00157FF2">
          <w:rPr>
            <w:rStyle w:val="Hiperveza"/>
            <w:noProof/>
          </w:rPr>
          <w:t>Procjena nužnih investicija i drugih financijskih sredstava za razvoj i unaprjeđenje sustava gospodarenja otpadom</w:t>
        </w:r>
        <w:r w:rsidR="00D058ED">
          <w:rPr>
            <w:noProof/>
            <w:webHidden/>
          </w:rPr>
          <w:tab/>
        </w:r>
        <w:r w:rsidR="00D058ED">
          <w:rPr>
            <w:noProof/>
            <w:webHidden/>
          </w:rPr>
          <w:fldChar w:fldCharType="begin"/>
        </w:r>
        <w:r w:rsidR="00D058ED">
          <w:rPr>
            <w:noProof/>
            <w:webHidden/>
          </w:rPr>
          <w:instrText xml:space="preserve"> PAGEREF _Toc123211671 \h </w:instrText>
        </w:r>
        <w:r w:rsidR="00D058ED">
          <w:rPr>
            <w:noProof/>
            <w:webHidden/>
          </w:rPr>
        </w:r>
        <w:r w:rsidR="00D058ED">
          <w:rPr>
            <w:noProof/>
            <w:webHidden/>
          </w:rPr>
          <w:fldChar w:fldCharType="separate"/>
        </w:r>
        <w:r w:rsidR="00F37B62">
          <w:rPr>
            <w:noProof/>
            <w:webHidden/>
          </w:rPr>
          <w:t>138</w:t>
        </w:r>
        <w:r w:rsidR="00D058ED">
          <w:rPr>
            <w:noProof/>
            <w:webHidden/>
          </w:rPr>
          <w:fldChar w:fldCharType="end"/>
        </w:r>
      </w:hyperlink>
    </w:p>
    <w:p w14:paraId="7AF61F00" w14:textId="61AE3190" w:rsidR="00D058ED" w:rsidRDefault="00000000">
      <w:pPr>
        <w:pStyle w:val="Sadraj2"/>
        <w:tabs>
          <w:tab w:val="left" w:pos="880"/>
        </w:tabs>
        <w:rPr>
          <w:rFonts w:eastAsiaTheme="minorEastAsia"/>
          <w:noProof/>
          <w:lang w:eastAsia="hr-HR"/>
        </w:rPr>
      </w:pPr>
      <w:hyperlink w:anchor="_Toc123211672" w:history="1">
        <w:r w:rsidR="00D058ED" w:rsidRPr="00157FF2">
          <w:rPr>
            <w:rStyle w:val="Hiperveza"/>
            <w:noProof/>
          </w:rPr>
          <w:t>9.1.</w:t>
        </w:r>
        <w:r w:rsidR="00D058ED">
          <w:rPr>
            <w:rFonts w:eastAsiaTheme="minorEastAsia"/>
            <w:noProof/>
            <w:lang w:eastAsia="hr-HR"/>
          </w:rPr>
          <w:tab/>
        </w:r>
        <w:r w:rsidR="00D058ED" w:rsidRPr="00157FF2">
          <w:rPr>
            <w:rStyle w:val="Hiperveza"/>
            <w:noProof/>
          </w:rPr>
          <w:t>Procjena potrebnih ulaganja u izgradnju novih sortirnica</w:t>
        </w:r>
        <w:r w:rsidR="00D058ED">
          <w:rPr>
            <w:noProof/>
            <w:webHidden/>
          </w:rPr>
          <w:tab/>
        </w:r>
        <w:r w:rsidR="00D058ED">
          <w:rPr>
            <w:noProof/>
            <w:webHidden/>
          </w:rPr>
          <w:fldChar w:fldCharType="begin"/>
        </w:r>
        <w:r w:rsidR="00D058ED">
          <w:rPr>
            <w:noProof/>
            <w:webHidden/>
          </w:rPr>
          <w:instrText xml:space="preserve"> PAGEREF _Toc123211672 \h </w:instrText>
        </w:r>
        <w:r w:rsidR="00D058ED">
          <w:rPr>
            <w:noProof/>
            <w:webHidden/>
          </w:rPr>
        </w:r>
        <w:r w:rsidR="00D058ED">
          <w:rPr>
            <w:noProof/>
            <w:webHidden/>
          </w:rPr>
          <w:fldChar w:fldCharType="separate"/>
        </w:r>
        <w:r w:rsidR="00F37B62">
          <w:rPr>
            <w:noProof/>
            <w:webHidden/>
          </w:rPr>
          <w:t>138</w:t>
        </w:r>
        <w:r w:rsidR="00D058ED">
          <w:rPr>
            <w:noProof/>
            <w:webHidden/>
          </w:rPr>
          <w:fldChar w:fldCharType="end"/>
        </w:r>
      </w:hyperlink>
    </w:p>
    <w:p w14:paraId="4F10350A" w14:textId="6F4CE827" w:rsidR="00D058ED" w:rsidRDefault="00000000">
      <w:pPr>
        <w:pStyle w:val="Sadraj2"/>
        <w:tabs>
          <w:tab w:val="left" w:pos="880"/>
        </w:tabs>
        <w:rPr>
          <w:rFonts w:eastAsiaTheme="minorEastAsia"/>
          <w:noProof/>
          <w:lang w:eastAsia="hr-HR"/>
        </w:rPr>
      </w:pPr>
      <w:hyperlink w:anchor="_Toc123211673" w:history="1">
        <w:r w:rsidR="00D058ED" w:rsidRPr="00157FF2">
          <w:rPr>
            <w:rStyle w:val="Hiperveza"/>
            <w:noProof/>
          </w:rPr>
          <w:t>9.2.</w:t>
        </w:r>
        <w:r w:rsidR="00D058ED">
          <w:rPr>
            <w:rFonts w:eastAsiaTheme="minorEastAsia"/>
            <w:noProof/>
            <w:lang w:eastAsia="hr-HR"/>
          </w:rPr>
          <w:tab/>
        </w:r>
        <w:r w:rsidR="00D058ED" w:rsidRPr="00157FF2">
          <w:rPr>
            <w:rStyle w:val="Hiperveza"/>
            <w:noProof/>
          </w:rPr>
          <w:t>Procjena potrebnih ulaganja u izgradnju/dogradnju postrojenja za materijalnu i energetsku oporabu odvojeno prikupljenog biootpada</w:t>
        </w:r>
        <w:r w:rsidR="00D058ED">
          <w:rPr>
            <w:noProof/>
            <w:webHidden/>
          </w:rPr>
          <w:tab/>
        </w:r>
        <w:r w:rsidR="00D058ED">
          <w:rPr>
            <w:noProof/>
            <w:webHidden/>
          </w:rPr>
          <w:fldChar w:fldCharType="begin"/>
        </w:r>
        <w:r w:rsidR="00D058ED">
          <w:rPr>
            <w:noProof/>
            <w:webHidden/>
          </w:rPr>
          <w:instrText xml:space="preserve"> PAGEREF _Toc123211673 \h </w:instrText>
        </w:r>
        <w:r w:rsidR="00D058ED">
          <w:rPr>
            <w:noProof/>
            <w:webHidden/>
          </w:rPr>
        </w:r>
        <w:r w:rsidR="00D058ED">
          <w:rPr>
            <w:noProof/>
            <w:webHidden/>
          </w:rPr>
          <w:fldChar w:fldCharType="separate"/>
        </w:r>
        <w:r w:rsidR="00F37B62">
          <w:rPr>
            <w:noProof/>
            <w:webHidden/>
          </w:rPr>
          <w:t>139</w:t>
        </w:r>
        <w:r w:rsidR="00D058ED">
          <w:rPr>
            <w:noProof/>
            <w:webHidden/>
          </w:rPr>
          <w:fldChar w:fldCharType="end"/>
        </w:r>
      </w:hyperlink>
    </w:p>
    <w:p w14:paraId="3BCFAC28" w14:textId="00712578" w:rsidR="00D058ED" w:rsidRDefault="00000000">
      <w:pPr>
        <w:pStyle w:val="Sadraj2"/>
        <w:tabs>
          <w:tab w:val="left" w:pos="880"/>
        </w:tabs>
        <w:rPr>
          <w:rFonts w:eastAsiaTheme="minorEastAsia"/>
          <w:noProof/>
          <w:lang w:eastAsia="hr-HR"/>
        </w:rPr>
      </w:pPr>
      <w:hyperlink w:anchor="_Toc123211674" w:history="1">
        <w:r w:rsidR="00D058ED" w:rsidRPr="00157FF2">
          <w:rPr>
            <w:rStyle w:val="Hiperveza"/>
            <w:noProof/>
          </w:rPr>
          <w:t>9.3.</w:t>
        </w:r>
        <w:r w:rsidR="00D058ED">
          <w:rPr>
            <w:rFonts w:eastAsiaTheme="minorEastAsia"/>
            <w:noProof/>
            <w:lang w:eastAsia="hr-HR"/>
          </w:rPr>
          <w:tab/>
        </w:r>
        <w:r w:rsidR="00D058ED" w:rsidRPr="00157FF2">
          <w:rPr>
            <w:rStyle w:val="Hiperveza"/>
            <w:noProof/>
          </w:rPr>
          <w:t>Procjena potrebnih ulaganja u postrojenja za materijalnu oporabu odvojeno prikupljenih i/ili prethodno sortiranih suhih reciklata i građevnog otpada</w:t>
        </w:r>
        <w:r w:rsidR="00D058ED">
          <w:rPr>
            <w:noProof/>
            <w:webHidden/>
          </w:rPr>
          <w:tab/>
        </w:r>
        <w:r w:rsidR="00D058ED">
          <w:rPr>
            <w:noProof/>
            <w:webHidden/>
          </w:rPr>
          <w:fldChar w:fldCharType="begin"/>
        </w:r>
        <w:r w:rsidR="00D058ED">
          <w:rPr>
            <w:noProof/>
            <w:webHidden/>
          </w:rPr>
          <w:instrText xml:space="preserve"> PAGEREF _Toc123211674 \h </w:instrText>
        </w:r>
        <w:r w:rsidR="00D058ED">
          <w:rPr>
            <w:noProof/>
            <w:webHidden/>
          </w:rPr>
        </w:r>
        <w:r w:rsidR="00D058ED">
          <w:rPr>
            <w:noProof/>
            <w:webHidden/>
          </w:rPr>
          <w:fldChar w:fldCharType="separate"/>
        </w:r>
        <w:r w:rsidR="00F37B62">
          <w:rPr>
            <w:noProof/>
            <w:webHidden/>
          </w:rPr>
          <w:t>141</w:t>
        </w:r>
        <w:r w:rsidR="00D058ED">
          <w:rPr>
            <w:noProof/>
            <w:webHidden/>
          </w:rPr>
          <w:fldChar w:fldCharType="end"/>
        </w:r>
      </w:hyperlink>
    </w:p>
    <w:p w14:paraId="290C471C" w14:textId="7E92AD01" w:rsidR="00D058ED" w:rsidRDefault="00000000">
      <w:pPr>
        <w:pStyle w:val="Sadraj2"/>
        <w:tabs>
          <w:tab w:val="left" w:pos="880"/>
        </w:tabs>
        <w:rPr>
          <w:rFonts w:eastAsiaTheme="minorEastAsia"/>
          <w:noProof/>
          <w:lang w:eastAsia="hr-HR"/>
        </w:rPr>
      </w:pPr>
      <w:hyperlink w:anchor="_Toc123211675" w:history="1">
        <w:r w:rsidR="00D058ED" w:rsidRPr="00157FF2">
          <w:rPr>
            <w:rStyle w:val="Hiperveza"/>
            <w:noProof/>
          </w:rPr>
          <w:t>9.4.</w:t>
        </w:r>
        <w:r w:rsidR="00D058ED">
          <w:rPr>
            <w:rFonts w:eastAsiaTheme="minorEastAsia"/>
            <w:noProof/>
            <w:lang w:eastAsia="hr-HR"/>
          </w:rPr>
          <w:tab/>
        </w:r>
        <w:r w:rsidR="00D058ED" w:rsidRPr="00157FF2">
          <w:rPr>
            <w:rStyle w:val="Hiperveza"/>
            <w:noProof/>
          </w:rPr>
          <w:t>Procjena troškova zatvaranja aktivnih odlagališta otpada</w:t>
        </w:r>
        <w:r w:rsidR="00D058ED">
          <w:rPr>
            <w:noProof/>
            <w:webHidden/>
          </w:rPr>
          <w:tab/>
        </w:r>
        <w:r w:rsidR="00D058ED">
          <w:rPr>
            <w:noProof/>
            <w:webHidden/>
          </w:rPr>
          <w:fldChar w:fldCharType="begin"/>
        </w:r>
        <w:r w:rsidR="00D058ED">
          <w:rPr>
            <w:noProof/>
            <w:webHidden/>
          </w:rPr>
          <w:instrText xml:space="preserve"> PAGEREF _Toc123211675 \h </w:instrText>
        </w:r>
        <w:r w:rsidR="00D058ED">
          <w:rPr>
            <w:noProof/>
            <w:webHidden/>
          </w:rPr>
        </w:r>
        <w:r w:rsidR="00D058ED">
          <w:rPr>
            <w:noProof/>
            <w:webHidden/>
          </w:rPr>
          <w:fldChar w:fldCharType="separate"/>
        </w:r>
        <w:r w:rsidR="00F37B62">
          <w:rPr>
            <w:noProof/>
            <w:webHidden/>
          </w:rPr>
          <w:t>143</w:t>
        </w:r>
        <w:r w:rsidR="00D058ED">
          <w:rPr>
            <w:noProof/>
            <w:webHidden/>
          </w:rPr>
          <w:fldChar w:fldCharType="end"/>
        </w:r>
      </w:hyperlink>
    </w:p>
    <w:p w14:paraId="5710C913" w14:textId="1E18DA6D" w:rsidR="00D058ED" w:rsidRDefault="00000000">
      <w:pPr>
        <w:pStyle w:val="Sadraj2"/>
        <w:tabs>
          <w:tab w:val="left" w:pos="880"/>
        </w:tabs>
        <w:rPr>
          <w:rFonts w:eastAsiaTheme="minorEastAsia"/>
          <w:noProof/>
          <w:lang w:eastAsia="hr-HR"/>
        </w:rPr>
      </w:pPr>
      <w:hyperlink w:anchor="_Toc123211676" w:history="1">
        <w:r w:rsidR="00D058ED" w:rsidRPr="00157FF2">
          <w:rPr>
            <w:rStyle w:val="Hiperveza"/>
            <w:noProof/>
          </w:rPr>
          <w:t>9.5.</w:t>
        </w:r>
        <w:r w:rsidR="00D058ED">
          <w:rPr>
            <w:rFonts w:eastAsiaTheme="minorEastAsia"/>
            <w:noProof/>
            <w:lang w:eastAsia="hr-HR"/>
          </w:rPr>
          <w:tab/>
        </w:r>
        <w:r w:rsidR="00D058ED" w:rsidRPr="00157FF2">
          <w:rPr>
            <w:rStyle w:val="Hiperveza"/>
            <w:noProof/>
          </w:rPr>
          <w:t>Procjena troškova izgradnje centara za gospodarenje otpadom</w:t>
        </w:r>
        <w:r w:rsidR="00D058ED">
          <w:rPr>
            <w:noProof/>
            <w:webHidden/>
          </w:rPr>
          <w:tab/>
        </w:r>
        <w:r w:rsidR="00D058ED">
          <w:rPr>
            <w:noProof/>
            <w:webHidden/>
          </w:rPr>
          <w:fldChar w:fldCharType="begin"/>
        </w:r>
        <w:r w:rsidR="00D058ED">
          <w:rPr>
            <w:noProof/>
            <w:webHidden/>
          </w:rPr>
          <w:instrText xml:space="preserve"> PAGEREF _Toc123211676 \h </w:instrText>
        </w:r>
        <w:r w:rsidR="00D058ED">
          <w:rPr>
            <w:noProof/>
            <w:webHidden/>
          </w:rPr>
        </w:r>
        <w:r w:rsidR="00D058ED">
          <w:rPr>
            <w:noProof/>
            <w:webHidden/>
          </w:rPr>
          <w:fldChar w:fldCharType="separate"/>
        </w:r>
        <w:r w:rsidR="00F37B62">
          <w:rPr>
            <w:noProof/>
            <w:webHidden/>
          </w:rPr>
          <w:t>143</w:t>
        </w:r>
        <w:r w:rsidR="00D058ED">
          <w:rPr>
            <w:noProof/>
            <w:webHidden/>
          </w:rPr>
          <w:fldChar w:fldCharType="end"/>
        </w:r>
      </w:hyperlink>
    </w:p>
    <w:p w14:paraId="39FEB7D1" w14:textId="682FCDFD" w:rsidR="00D058ED" w:rsidRDefault="00000000">
      <w:pPr>
        <w:pStyle w:val="Sadraj2"/>
        <w:tabs>
          <w:tab w:val="left" w:pos="880"/>
        </w:tabs>
        <w:rPr>
          <w:rFonts w:eastAsiaTheme="minorEastAsia"/>
          <w:noProof/>
          <w:lang w:eastAsia="hr-HR"/>
        </w:rPr>
      </w:pPr>
      <w:hyperlink w:anchor="_Toc123211677" w:history="1">
        <w:r w:rsidR="00D058ED" w:rsidRPr="00157FF2">
          <w:rPr>
            <w:rStyle w:val="Hiperveza"/>
            <w:noProof/>
          </w:rPr>
          <w:t>9.6.</w:t>
        </w:r>
        <w:r w:rsidR="00D058ED">
          <w:rPr>
            <w:rFonts w:eastAsiaTheme="minorEastAsia"/>
            <w:noProof/>
            <w:lang w:eastAsia="hr-HR"/>
          </w:rPr>
          <w:tab/>
        </w:r>
        <w:r w:rsidR="00D058ED" w:rsidRPr="00157FF2">
          <w:rPr>
            <w:rStyle w:val="Hiperveza"/>
            <w:noProof/>
          </w:rPr>
          <w:t>Procjena potrebnih ulaganja u izgradnju postrojenja za energetsku oporabu otpada</w:t>
        </w:r>
        <w:r w:rsidR="00D058ED">
          <w:rPr>
            <w:noProof/>
            <w:webHidden/>
          </w:rPr>
          <w:tab/>
        </w:r>
        <w:r w:rsidR="00D058ED">
          <w:rPr>
            <w:noProof/>
            <w:webHidden/>
          </w:rPr>
          <w:fldChar w:fldCharType="begin"/>
        </w:r>
        <w:r w:rsidR="00D058ED">
          <w:rPr>
            <w:noProof/>
            <w:webHidden/>
          </w:rPr>
          <w:instrText xml:space="preserve"> PAGEREF _Toc123211677 \h </w:instrText>
        </w:r>
        <w:r w:rsidR="00D058ED">
          <w:rPr>
            <w:noProof/>
            <w:webHidden/>
          </w:rPr>
        </w:r>
        <w:r w:rsidR="00D058ED">
          <w:rPr>
            <w:noProof/>
            <w:webHidden/>
          </w:rPr>
          <w:fldChar w:fldCharType="separate"/>
        </w:r>
        <w:r w:rsidR="00F37B62">
          <w:rPr>
            <w:noProof/>
            <w:webHidden/>
          </w:rPr>
          <w:t>144</w:t>
        </w:r>
        <w:r w:rsidR="00D058ED">
          <w:rPr>
            <w:noProof/>
            <w:webHidden/>
          </w:rPr>
          <w:fldChar w:fldCharType="end"/>
        </w:r>
      </w:hyperlink>
    </w:p>
    <w:p w14:paraId="7BDEA590" w14:textId="14F3CF4E" w:rsidR="00D058ED" w:rsidRDefault="00000000">
      <w:pPr>
        <w:pStyle w:val="Sadraj2"/>
        <w:tabs>
          <w:tab w:val="left" w:pos="880"/>
        </w:tabs>
        <w:rPr>
          <w:rFonts w:eastAsiaTheme="minorEastAsia"/>
          <w:noProof/>
          <w:lang w:eastAsia="hr-HR"/>
        </w:rPr>
      </w:pPr>
      <w:hyperlink w:anchor="_Toc123211678" w:history="1">
        <w:r w:rsidR="00D058ED" w:rsidRPr="00157FF2">
          <w:rPr>
            <w:rStyle w:val="Hiperveza"/>
            <w:noProof/>
          </w:rPr>
          <w:t>9.7.</w:t>
        </w:r>
        <w:r w:rsidR="00D058ED">
          <w:rPr>
            <w:rFonts w:eastAsiaTheme="minorEastAsia"/>
            <w:noProof/>
            <w:lang w:eastAsia="hr-HR"/>
          </w:rPr>
          <w:tab/>
        </w:r>
        <w:r w:rsidR="00D058ED" w:rsidRPr="00157FF2">
          <w:rPr>
            <w:rStyle w:val="Hiperveza"/>
            <w:noProof/>
          </w:rPr>
          <w:t>Troškovi ulaganja u infrastrukturu za oporabu i zbrinjavanje mulja</w:t>
        </w:r>
        <w:r w:rsidR="00D058ED">
          <w:rPr>
            <w:noProof/>
            <w:webHidden/>
          </w:rPr>
          <w:tab/>
        </w:r>
        <w:r w:rsidR="00D058ED">
          <w:rPr>
            <w:noProof/>
            <w:webHidden/>
          </w:rPr>
          <w:fldChar w:fldCharType="begin"/>
        </w:r>
        <w:r w:rsidR="00D058ED">
          <w:rPr>
            <w:noProof/>
            <w:webHidden/>
          </w:rPr>
          <w:instrText xml:space="preserve"> PAGEREF _Toc123211678 \h </w:instrText>
        </w:r>
        <w:r w:rsidR="00D058ED">
          <w:rPr>
            <w:noProof/>
            <w:webHidden/>
          </w:rPr>
        </w:r>
        <w:r w:rsidR="00D058ED">
          <w:rPr>
            <w:noProof/>
            <w:webHidden/>
          </w:rPr>
          <w:fldChar w:fldCharType="separate"/>
        </w:r>
        <w:r w:rsidR="00F37B62">
          <w:rPr>
            <w:noProof/>
            <w:webHidden/>
          </w:rPr>
          <w:t>145</w:t>
        </w:r>
        <w:r w:rsidR="00D058ED">
          <w:rPr>
            <w:noProof/>
            <w:webHidden/>
          </w:rPr>
          <w:fldChar w:fldCharType="end"/>
        </w:r>
      </w:hyperlink>
    </w:p>
    <w:p w14:paraId="278280F2" w14:textId="79FCAD10" w:rsidR="00D058ED" w:rsidRDefault="00000000">
      <w:pPr>
        <w:pStyle w:val="Sadraj1"/>
        <w:rPr>
          <w:rFonts w:eastAsiaTheme="minorEastAsia"/>
          <w:caps w:val="0"/>
          <w:noProof/>
          <w:lang w:eastAsia="hr-HR"/>
        </w:rPr>
      </w:pPr>
      <w:hyperlink w:anchor="_Toc123211679" w:history="1">
        <w:r w:rsidR="00D058ED" w:rsidRPr="00157FF2">
          <w:rPr>
            <w:rStyle w:val="Hiperveza"/>
            <w:noProof/>
          </w:rPr>
          <w:t>10.</w:t>
        </w:r>
        <w:r w:rsidR="00D058ED">
          <w:rPr>
            <w:rFonts w:eastAsiaTheme="minorEastAsia"/>
            <w:caps w:val="0"/>
            <w:noProof/>
            <w:lang w:eastAsia="hr-HR"/>
          </w:rPr>
          <w:tab/>
        </w:r>
        <w:r w:rsidR="00D058ED" w:rsidRPr="00157FF2">
          <w:rPr>
            <w:rStyle w:val="Hiperveza"/>
            <w:noProof/>
          </w:rPr>
          <w:t>Organizacijski aspekti gospodarenja otpadom i raspodjela odgovornosti</w:t>
        </w:r>
        <w:r w:rsidR="00D058ED">
          <w:rPr>
            <w:noProof/>
            <w:webHidden/>
          </w:rPr>
          <w:tab/>
        </w:r>
        <w:r w:rsidR="00D058ED">
          <w:rPr>
            <w:noProof/>
            <w:webHidden/>
          </w:rPr>
          <w:fldChar w:fldCharType="begin"/>
        </w:r>
        <w:r w:rsidR="00D058ED">
          <w:rPr>
            <w:noProof/>
            <w:webHidden/>
          </w:rPr>
          <w:instrText xml:space="preserve"> PAGEREF _Toc123211679 \h </w:instrText>
        </w:r>
        <w:r w:rsidR="00D058ED">
          <w:rPr>
            <w:noProof/>
            <w:webHidden/>
          </w:rPr>
        </w:r>
        <w:r w:rsidR="00D058ED">
          <w:rPr>
            <w:noProof/>
            <w:webHidden/>
          </w:rPr>
          <w:fldChar w:fldCharType="separate"/>
        </w:r>
        <w:r w:rsidR="00F37B62">
          <w:rPr>
            <w:noProof/>
            <w:webHidden/>
          </w:rPr>
          <w:t>146</w:t>
        </w:r>
        <w:r w:rsidR="00D058ED">
          <w:rPr>
            <w:noProof/>
            <w:webHidden/>
          </w:rPr>
          <w:fldChar w:fldCharType="end"/>
        </w:r>
      </w:hyperlink>
    </w:p>
    <w:p w14:paraId="549992AA" w14:textId="1CD28634" w:rsidR="00D058ED" w:rsidRDefault="00000000">
      <w:pPr>
        <w:pStyle w:val="Sadraj2"/>
        <w:tabs>
          <w:tab w:val="left" w:pos="1100"/>
        </w:tabs>
        <w:rPr>
          <w:rFonts w:eastAsiaTheme="minorEastAsia"/>
          <w:noProof/>
          <w:lang w:eastAsia="hr-HR"/>
        </w:rPr>
      </w:pPr>
      <w:hyperlink w:anchor="_Toc123211680" w:history="1">
        <w:r w:rsidR="00D058ED" w:rsidRPr="00157FF2">
          <w:rPr>
            <w:rStyle w:val="Hiperveza"/>
            <w:noProof/>
          </w:rPr>
          <w:t>10.1.</w:t>
        </w:r>
        <w:r w:rsidR="00D058ED">
          <w:rPr>
            <w:rFonts w:eastAsiaTheme="minorEastAsia"/>
            <w:noProof/>
            <w:lang w:eastAsia="hr-HR"/>
          </w:rPr>
          <w:tab/>
        </w:r>
        <w:r w:rsidR="00D058ED" w:rsidRPr="00157FF2">
          <w:rPr>
            <w:rStyle w:val="Hiperveza"/>
            <w:noProof/>
          </w:rPr>
          <w:t>Nacionalna razina</w:t>
        </w:r>
        <w:r w:rsidR="00D058ED">
          <w:rPr>
            <w:noProof/>
            <w:webHidden/>
          </w:rPr>
          <w:tab/>
        </w:r>
        <w:r w:rsidR="00D058ED">
          <w:rPr>
            <w:noProof/>
            <w:webHidden/>
          </w:rPr>
          <w:fldChar w:fldCharType="begin"/>
        </w:r>
        <w:r w:rsidR="00D058ED">
          <w:rPr>
            <w:noProof/>
            <w:webHidden/>
          </w:rPr>
          <w:instrText xml:space="preserve"> PAGEREF _Toc123211680 \h </w:instrText>
        </w:r>
        <w:r w:rsidR="00D058ED">
          <w:rPr>
            <w:noProof/>
            <w:webHidden/>
          </w:rPr>
        </w:r>
        <w:r w:rsidR="00D058ED">
          <w:rPr>
            <w:noProof/>
            <w:webHidden/>
          </w:rPr>
          <w:fldChar w:fldCharType="separate"/>
        </w:r>
        <w:r w:rsidR="00F37B62">
          <w:rPr>
            <w:noProof/>
            <w:webHidden/>
          </w:rPr>
          <w:t>146</w:t>
        </w:r>
        <w:r w:rsidR="00D058ED">
          <w:rPr>
            <w:noProof/>
            <w:webHidden/>
          </w:rPr>
          <w:fldChar w:fldCharType="end"/>
        </w:r>
      </w:hyperlink>
    </w:p>
    <w:p w14:paraId="229C59ED" w14:textId="05C754D3" w:rsidR="00D058ED" w:rsidRDefault="00000000">
      <w:pPr>
        <w:pStyle w:val="Sadraj2"/>
        <w:tabs>
          <w:tab w:val="left" w:pos="1100"/>
        </w:tabs>
        <w:rPr>
          <w:rFonts w:eastAsiaTheme="minorEastAsia"/>
          <w:noProof/>
          <w:lang w:eastAsia="hr-HR"/>
        </w:rPr>
      </w:pPr>
      <w:hyperlink w:anchor="_Toc123211681" w:history="1">
        <w:r w:rsidR="00D058ED" w:rsidRPr="00157FF2">
          <w:rPr>
            <w:rStyle w:val="Hiperveza"/>
            <w:noProof/>
          </w:rPr>
          <w:t>10.2.</w:t>
        </w:r>
        <w:r w:rsidR="00D058ED">
          <w:rPr>
            <w:rFonts w:eastAsiaTheme="minorEastAsia"/>
            <w:noProof/>
            <w:lang w:eastAsia="hr-HR"/>
          </w:rPr>
          <w:tab/>
        </w:r>
        <w:r w:rsidR="00D058ED" w:rsidRPr="00157FF2">
          <w:rPr>
            <w:rStyle w:val="Hiperveza"/>
            <w:noProof/>
          </w:rPr>
          <w:t>Područna (regionalna) razina</w:t>
        </w:r>
        <w:r w:rsidR="00D058ED">
          <w:rPr>
            <w:noProof/>
            <w:webHidden/>
          </w:rPr>
          <w:tab/>
        </w:r>
        <w:r w:rsidR="00D058ED">
          <w:rPr>
            <w:noProof/>
            <w:webHidden/>
          </w:rPr>
          <w:fldChar w:fldCharType="begin"/>
        </w:r>
        <w:r w:rsidR="00D058ED">
          <w:rPr>
            <w:noProof/>
            <w:webHidden/>
          </w:rPr>
          <w:instrText xml:space="preserve"> PAGEREF _Toc123211681 \h </w:instrText>
        </w:r>
        <w:r w:rsidR="00D058ED">
          <w:rPr>
            <w:noProof/>
            <w:webHidden/>
          </w:rPr>
        </w:r>
        <w:r w:rsidR="00D058ED">
          <w:rPr>
            <w:noProof/>
            <w:webHidden/>
          </w:rPr>
          <w:fldChar w:fldCharType="separate"/>
        </w:r>
        <w:r w:rsidR="00F37B62">
          <w:rPr>
            <w:noProof/>
            <w:webHidden/>
          </w:rPr>
          <w:t>147</w:t>
        </w:r>
        <w:r w:rsidR="00D058ED">
          <w:rPr>
            <w:noProof/>
            <w:webHidden/>
          </w:rPr>
          <w:fldChar w:fldCharType="end"/>
        </w:r>
      </w:hyperlink>
    </w:p>
    <w:p w14:paraId="6332AE97" w14:textId="6A24E0F4" w:rsidR="00D058ED" w:rsidRDefault="00000000">
      <w:pPr>
        <w:pStyle w:val="Sadraj2"/>
        <w:tabs>
          <w:tab w:val="left" w:pos="1100"/>
        </w:tabs>
        <w:rPr>
          <w:rFonts w:eastAsiaTheme="minorEastAsia"/>
          <w:noProof/>
          <w:lang w:eastAsia="hr-HR"/>
        </w:rPr>
      </w:pPr>
      <w:hyperlink w:anchor="_Toc123211682" w:history="1">
        <w:r w:rsidR="00D058ED" w:rsidRPr="00157FF2">
          <w:rPr>
            <w:rStyle w:val="Hiperveza"/>
            <w:noProof/>
          </w:rPr>
          <w:t>10.3.</w:t>
        </w:r>
        <w:r w:rsidR="00D058ED">
          <w:rPr>
            <w:rFonts w:eastAsiaTheme="minorEastAsia"/>
            <w:noProof/>
            <w:lang w:eastAsia="hr-HR"/>
          </w:rPr>
          <w:tab/>
        </w:r>
        <w:r w:rsidR="00D058ED" w:rsidRPr="00157FF2">
          <w:rPr>
            <w:rStyle w:val="Hiperveza"/>
            <w:noProof/>
          </w:rPr>
          <w:t>Lokalna razina</w:t>
        </w:r>
        <w:r w:rsidR="00D058ED">
          <w:rPr>
            <w:noProof/>
            <w:webHidden/>
          </w:rPr>
          <w:tab/>
        </w:r>
        <w:r w:rsidR="00D058ED">
          <w:rPr>
            <w:noProof/>
            <w:webHidden/>
          </w:rPr>
          <w:fldChar w:fldCharType="begin"/>
        </w:r>
        <w:r w:rsidR="00D058ED">
          <w:rPr>
            <w:noProof/>
            <w:webHidden/>
          </w:rPr>
          <w:instrText xml:space="preserve"> PAGEREF _Toc123211682 \h </w:instrText>
        </w:r>
        <w:r w:rsidR="00D058ED">
          <w:rPr>
            <w:noProof/>
            <w:webHidden/>
          </w:rPr>
        </w:r>
        <w:r w:rsidR="00D058ED">
          <w:rPr>
            <w:noProof/>
            <w:webHidden/>
          </w:rPr>
          <w:fldChar w:fldCharType="separate"/>
        </w:r>
        <w:r w:rsidR="00F37B62">
          <w:rPr>
            <w:noProof/>
            <w:webHidden/>
          </w:rPr>
          <w:t>147</w:t>
        </w:r>
        <w:r w:rsidR="00D058ED">
          <w:rPr>
            <w:noProof/>
            <w:webHidden/>
          </w:rPr>
          <w:fldChar w:fldCharType="end"/>
        </w:r>
      </w:hyperlink>
    </w:p>
    <w:p w14:paraId="2A60BA5D" w14:textId="07CB612E" w:rsidR="00D058ED" w:rsidRDefault="00000000">
      <w:pPr>
        <w:pStyle w:val="Sadraj2"/>
        <w:tabs>
          <w:tab w:val="left" w:pos="1100"/>
        </w:tabs>
        <w:rPr>
          <w:rFonts w:eastAsiaTheme="minorEastAsia"/>
          <w:noProof/>
          <w:lang w:eastAsia="hr-HR"/>
        </w:rPr>
      </w:pPr>
      <w:hyperlink w:anchor="_Toc123211683" w:history="1">
        <w:r w:rsidR="00D058ED" w:rsidRPr="00157FF2">
          <w:rPr>
            <w:rStyle w:val="Hiperveza"/>
            <w:noProof/>
          </w:rPr>
          <w:t>10.4.</w:t>
        </w:r>
        <w:r w:rsidR="00D058ED">
          <w:rPr>
            <w:rFonts w:eastAsiaTheme="minorEastAsia"/>
            <w:noProof/>
            <w:lang w:eastAsia="hr-HR"/>
          </w:rPr>
          <w:tab/>
        </w:r>
        <w:r w:rsidR="00D058ED" w:rsidRPr="00157FF2">
          <w:rPr>
            <w:rStyle w:val="Hiperveza"/>
            <w:noProof/>
          </w:rPr>
          <w:t>Trgovačka društva u vlasništvu JP(R)S i JLS</w:t>
        </w:r>
        <w:r w:rsidR="00D058ED">
          <w:rPr>
            <w:noProof/>
            <w:webHidden/>
          </w:rPr>
          <w:tab/>
        </w:r>
        <w:r w:rsidR="00D058ED">
          <w:rPr>
            <w:noProof/>
            <w:webHidden/>
          </w:rPr>
          <w:fldChar w:fldCharType="begin"/>
        </w:r>
        <w:r w:rsidR="00D058ED">
          <w:rPr>
            <w:noProof/>
            <w:webHidden/>
          </w:rPr>
          <w:instrText xml:space="preserve"> PAGEREF _Toc123211683 \h </w:instrText>
        </w:r>
        <w:r w:rsidR="00D058ED">
          <w:rPr>
            <w:noProof/>
            <w:webHidden/>
          </w:rPr>
        </w:r>
        <w:r w:rsidR="00D058ED">
          <w:rPr>
            <w:noProof/>
            <w:webHidden/>
          </w:rPr>
          <w:fldChar w:fldCharType="separate"/>
        </w:r>
        <w:r w:rsidR="00F37B62">
          <w:rPr>
            <w:noProof/>
            <w:webHidden/>
          </w:rPr>
          <w:t>147</w:t>
        </w:r>
        <w:r w:rsidR="00D058ED">
          <w:rPr>
            <w:noProof/>
            <w:webHidden/>
          </w:rPr>
          <w:fldChar w:fldCharType="end"/>
        </w:r>
      </w:hyperlink>
    </w:p>
    <w:p w14:paraId="5BDA3DA7" w14:textId="7D2E2E31" w:rsidR="00D058ED" w:rsidRDefault="00000000">
      <w:pPr>
        <w:pStyle w:val="Sadraj2"/>
        <w:tabs>
          <w:tab w:val="left" w:pos="1100"/>
        </w:tabs>
        <w:rPr>
          <w:rFonts w:eastAsiaTheme="minorEastAsia"/>
          <w:noProof/>
          <w:lang w:eastAsia="hr-HR"/>
        </w:rPr>
      </w:pPr>
      <w:hyperlink w:anchor="_Toc123211684" w:history="1">
        <w:r w:rsidR="00D058ED" w:rsidRPr="00157FF2">
          <w:rPr>
            <w:rStyle w:val="Hiperveza"/>
            <w:noProof/>
          </w:rPr>
          <w:t>10.5.</w:t>
        </w:r>
        <w:r w:rsidR="00D058ED">
          <w:rPr>
            <w:rFonts w:eastAsiaTheme="minorEastAsia"/>
            <w:noProof/>
            <w:lang w:eastAsia="hr-HR"/>
          </w:rPr>
          <w:tab/>
        </w:r>
        <w:r w:rsidR="00D058ED" w:rsidRPr="00157FF2">
          <w:rPr>
            <w:rStyle w:val="Hiperveza"/>
            <w:noProof/>
          </w:rPr>
          <w:t>Trgovačka društva u privatnom vlasništvu (pravne osobe i fizičke osobe koje obavljaju neku od djelatnosti gospodarenja otpadom)</w:t>
        </w:r>
        <w:r w:rsidR="00D058ED">
          <w:rPr>
            <w:noProof/>
            <w:webHidden/>
          </w:rPr>
          <w:tab/>
        </w:r>
        <w:r w:rsidR="00D058ED">
          <w:rPr>
            <w:noProof/>
            <w:webHidden/>
          </w:rPr>
          <w:fldChar w:fldCharType="begin"/>
        </w:r>
        <w:r w:rsidR="00D058ED">
          <w:rPr>
            <w:noProof/>
            <w:webHidden/>
          </w:rPr>
          <w:instrText xml:space="preserve"> PAGEREF _Toc123211684 \h </w:instrText>
        </w:r>
        <w:r w:rsidR="00D058ED">
          <w:rPr>
            <w:noProof/>
            <w:webHidden/>
          </w:rPr>
        </w:r>
        <w:r w:rsidR="00D058ED">
          <w:rPr>
            <w:noProof/>
            <w:webHidden/>
          </w:rPr>
          <w:fldChar w:fldCharType="separate"/>
        </w:r>
        <w:r w:rsidR="00F37B62">
          <w:rPr>
            <w:noProof/>
            <w:webHidden/>
          </w:rPr>
          <w:t>148</w:t>
        </w:r>
        <w:r w:rsidR="00D058ED">
          <w:rPr>
            <w:noProof/>
            <w:webHidden/>
          </w:rPr>
          <w:fldChar w:fldCharType="end"/>
        </w:r>
      </w:hyperlink>
    </w:p>
    <w:p w14:paraId="5E7C0E87" w14:textId="2BD575CC" w:rsidR="00D058ED" w:rsidRDefault="00000000">
      <w:pPr>
        <w:pStyle w:val="Sadraj1"/>
        <w:rPr>
          <w:rFonts w:eastAsiaTheme="minorEastAsia"/>
          <w:caps w:val="0"/>
          <w:noProof/>
          <w:lang w:eastAsia="hr-HR"/>
        </w:rPr>
      </w:pPr>
      <w:hyperlink w:anchor="_Toc123211685" w:history="1">
        <w:r w:rsidR="00D058ED" w:rsidRPr="00157FF2">
          <w:rPr>
            <w:rStyle w:val="Hiperveza"/>
            <w:noProof/>
          </w:rPr>
          <w:t>11.</w:t>
        </w:r>
        <w:r w:rsidR="00D058ED">
          <w:rPr>
            <w:rFonts w:eastAsiaTheme="minorEastAsia"/>
            <w:caps w:val="0"/>
            <w:noProof/>
            <w:lang w:eastAsia="hr-HR"/>
          </w:rPr>
          <w:tab/>
        </w:r>
        <w:r w:rsidR="00D058ED" w:rsidRPr="00157FF2">
          <w:rPr>
            <w:rStyle w:val="Hiperveza"/>
            <w:noProof/>
          </w:rPr>
          <w:t>PROCJENA KORISNOSTI I PRIKLADNOSTI UPORABE EKONOMSKIH INSTRUMENATA UGOSPODARENJU OTPADOM UZ NESMETANO FUNKCIONIRANJE UNUTARNJEG TRŽIŠTA</w:t>
        </w:r>
        <w:r w:rsidR="00D058ED">
          <w:rPr>
            <w:noProof/>
            <w:webHidden/>
          </w:rPr>
          <w:tab/>
        </w:r>
        <w:r w:rsidR="00D058ED">
          <w:rPr>
            <w:noProof/>
            <w:webHidden/>
          </w:rPr>
          <w:fldChar w:fldCharType="begin"/>
        </w:r>
        <w:r w:rsidR="00D058ED">
          <w:rPr>
            <w:noProof/>
            <w:webHidden/>
          </w:rPr>
          <w:instrText xml:space="preserve"> PAGEREF _Toc123211685 \h </w:instrText>
        </w:r>
        <w:r w:rsidR="00D058ED">
          <w:rPr>
            <w:noProof/>
            <w:webHidden/>
          </w:rPr>
        </w:r>
        <w:r w:rsidR="00D058ED">
          <w:rPr>
            <w:noProof/>
            <w:webHidden/>
          </w:rPr>
          <w:fldChar w:fldCharType="separate"/>
        </w:r>
        <w:r w:rsidR="00F37B62">
          <w:rPr>
            <w:noProof/>
            <w:webHidden/>
          </w:rPr>
          <w:t>149</w:t>
        </w:r>
        <w:r w:rsidR="00D058ED">
          <w:rPr>
            <w:noProof/>
            <w:webHidden/>
          </w:rPr>
          <w:fldChar w:fldCharType="end"/>
        </w:r>
      </w:hyperlink>
    </w:p>
    <w:p w14:paraId="5846293B" w14:textId="38B07980" w:rsidR="00D058ED" w:rsidRDefault="00000000">
      <w:pPr>
        <w:pStyle w:val="Sadraj2"/>
        <w:tabs>
          <w:tab w:val="left" w:pos="1100"/>
        </w:tabs>
        <w:rPr>
          <w:rFonts w:eastAsiaTheme="minorEastAsia"/>
          <w:noProof/>
          <w:lang w:eastAsia="hr-HR"/>
        </w:rPr>
      </w:pPr>
      <w:hyperlink w:anchor="_Toc123211686" w:history="1">
        <w:r w:rsidR="00D058ED" w:rsidRPr="00157FF2">
          <w:rPr>
            <w:rStyle w:val="Hiperveza"/>
            <w:noProof/>
          </w:rPr>
          <w:t>11.1.</w:t>
        </w:r>
        <w:r w:rsidR="00D058ED">
          <w:rPr>
            <w:rFonts w:eastAsiaTheme="minorEastAsia"/>
            <w:noProof/>
            <w:lang w:eastAsia="hr-HR"/>
          </w:rPr>
          <w:tab/>
        </w:r>
        <w:r w:rsidR="00D058ED" w:rsidRPr="00157FF2">
          <w:rPr>
            <w:rStyle w:val="Hiperveza"/>
            <w:noProof/>
          </w:rPr>
          <w:t>Naknada za odlaganje otpada</w:t>
        </w:r>
        <w:r w:rsidR="00D058ED">
          <w:rPr>
            <w:noProof/>
            <w:webHidden/>
          </w:rPr>
          <w:tab/>
        </w:r>
        <w:r w:rsidR="00D058ED">
          <w:rPr>
            <w:noProof/>
            <w:webHidden/>
          </w:rPr>
          <w:fldChar w:fldCharType="begin"/>
        </w:r>
        <w:r w:rsidR="00D058ED">
          <w:rPr>
            <w:noProof/>
            <w:webHidden/>
          </w:rPr>
          <w:instrText xml:space="preserve"> PAGEREF _Toc123211686 \h </w:instrText>
        </w:r>
        <w:r w:rsidR="00D058ED">
          <w:rPr>
            <w:noProof/>
            <w:webHidden/>
          </w:rPr>
        </w:r>
        <w:r w:rsidR="00D058ED">
          <w:rPr>
            <w:noProof/>
            <w:webHidden/>
          </w:rPr>
          <w:fldChar w:fldCharType="separate"/>
        </w:r>
        <w:r w:rsidR="00F37B62">
          <w:rPr>
            <w:noProof/>
            <w:webHidden/>
          </w:rPr>
          <w:t>149</w:t>
        </w:r>
        <w:r w:rsidR="00D058ED">
          <w:rPr>
            <w:noProof/>
            <w:webHidden/>
          </w:rPr>
          <w:fldChar w:fldCharType="end"/>
        </w:r>
      </w:hyperlink>
    </w:p>
    <w:p w14:paraId="16A8B49F" w14:textId="4B68F1EA" w:rsidR="00D058ED" w:rsidRDefault="00000000">
      <w:pPr>
        <w:pStyle w:val="Sadraj2"/>
        <w:tabs>
          <w:tab w:val="left" w:pos="1100"/>
        </w:tabs>
        <w:rPr>
          <w:rFonts w:eastAsiaTheme="minorEastAsia"/>
          <w:noProof/>
          <w:lang w:eastAsia="hr-HR"/>
        </w:rPr>
      </w:pPr>
      <w:hyperlink w:anchor="_Toc123211687" w:history="1">
        <w:r w:rsidR="00D058ED" w:rsidRPr="00157FF2">
          <w:rPr>
            <w:rStyle w:val="Hiperveza"/>
            <w:noProof/>
          </w:rPr>
          <w:t>11.2.</w:t>
        </w:r>
        <w:r w:rsidR="00D058ED">
          <w:rPr>
            <w:rFonts w:eastAsiaTheme="minorEastAsia"/>
            <w:noProof/>
            <w:lang w:eastAsia="hr-HR"/>
          </w:rPr>
          <w:tab/>
        </w:r>
        <w:r w:rsidR="00D058ED" w:rsidRPr="00157FF2">
          <w:rPr>
            <w:rStyle w:val="Hiperveza"/>
            <w:noProof/>
          </w:rPr>
          <w:t>Poticajna naknada</w:t>
        </w:r>
        <w:r w:rsidR="00D058ED">
          <w:rPr>
            <w:noProof/>
            <w:webHidden/>
          </w:rPr>
          <w:tab/>
        </w:r>
        <w:r w:rsidR="00D058ED">
          <w:rPr>
            <w:noProof/>
            <w:webHidden/>
          </w:rPr>
          <w:fldChar w:fldCharType="begin"/>
        </w:r>
        <w:r w:rsidR="00D058ED">
          <w:rPr>
            <w:noProof/>
            <w:webHidden/>
          </w:rPr>
          <w:instrText xml:space="preserve"> PAGEREF _Toc123211687 \h </w:instrText>
        </w:r>
        <w:r w:rsidR="00D058ED">
          <w:rPr>
            <w:noProof/>
            <w:webHidden/>
          </w:rPr>
        </w:r>
        <w:r w:rsidR="00D058ED">
          <w:rPr>
            <w:noProof/>
            <w:webHidden/>
          </w:rPr>
          <w:fldChar w:fldCharType="separate"/>
        </w:r>
        <w:r w:rsidR="00F37B62">
          <w:rPr>
            <w:noProof/>
            <w:webHidden/>
          </w:rPr>
          <w:t>149</w:t>
        </w:r>
        <w:r w:rsidR="00D058ED">
          <w:rPr>
            <w:noProof/>
            <w:webHidden/>
          </w:rPr>
          <w:fldChar w:fldCharType="end"/>
        </w:r>
      </w:hyperlink>
    </w:p>
    <w:p w14:paraId="6125F8B9" w14:textId="151CA318" w:rsidR="00D058ED" w:rsidRDefault="00000000">
      <w:pPr>
        <w:pStyle w:val="Sadraj2"/>
        <w:tabs>
          <w:tab w:val="left" w:pos="1100"/>
        </w:tabs>
        <w:rPr>
          <w:rFonts w:eastAsiaTheme="minorEastAsia"/>
          <w:noProof/>
          <w:lang w:eastAsia="hr-HR"/>
        </w:rPr>
      </w:pPr>
      <w:hyperlink w:anchor="_Toc123211688" w:history="1">
        <w:r w:rsidR="00D058ED" w:rsidRPr="00157FF2">
          <w:rPr>
            <w:rStyle w:val="Hiperveza"/>
            <w:noProof/>
          </w:rPr>
          <w:t>11.3.</w:t>
        </w:r>
        <w:r w:rsidR="00D058ED">
          <w:rPr>
            <w:rFonts w:eastAsiaTheme="minorEastAsia"/>
            <w:noProof/>
            <w:lang w:eastAsia="hr-HR"/>
          </w:rPr>
          <w:tab/>
        </w:r>
        <w:r w:rsidR="00D058ED" w:rsidRPr="00157FF2">
          <w:rPr>
            <w:rStyle w:val="Hiperveza"/>
            <w:noProof/>
          </w:rPr>
          <w:t>Naknada zbog blizine odlagališta</w:t>
        </w:r>
        <w:r w:rsidR="00D058ED">
          <w:rPr>
            <w:noProof/>
            <w:webHidden/>
          </w:rPr>
          <w:tab/>
        </w:r>
        <w:r w:rsidR="00D058ED">
          <w:rPr>
            <w:noProof/>
            <w:webHidden/>
          </w:rPr>
          <w:fldChar w:fldCharType="begin"/>
        </w:r>
        <w:r w:rsidR="00D058ED">
          <w:rPr>
            <w:noProof/>
            <w:webHidden/>
          </w:rPr>
          <w:instrText xml:space="preserve"> PAGEREF _Toc123211688 \h </w:instrText>
        </w:r>
        <w:r w:rsidR="00D058ED">
          <w:rPr>
            <w:noProof/>
            <w:webHidden/>
          </w:rPr>
        </w:r>
        <w:r w:rsidR="00D058ED">
          <w:rPr>
            <w:noProof/>
            <w:webHidden/>
          </w:rPr>
          <w:fldChar w:fldCharType="separate"/>
        </w:r>
        <w:r w:rsidR="00F37B62">
          <w:rPr>
            <w:noProof/>
            <w:webHidden/>
          </w:rPr>
          <w:t>149</w:t>
        </w:r>
        <w:r w:rsidR="00D058ED">
          <w:rPr>
            <w:noProof/>
            <w:webHidden/>
          </w:rPr>
          <w:fldChar w:fldCharType="end"/>
        </w:r>
      </w:hyperlink>
    </w:p>
    <w:p w14:paraId="08C3BD8F" w14:textId="338A7F43" w:rsidR="00D058ED" w:rsidRDefault="00000000">
      <w:pPr>
        <w:pStyle w:val="Sadraj2"/>
        <w:tabs>
          <w:tab w:val="left" w:pos="1100"/>
        </w:tabs>
        <w:rPr>
          <w:rFonts w:eastAsiaTheme="minorEastAsia"/>
          <w:noProof/>
          <w:lang w:eastAsia="hr-HR"/>
        </w:rPr>
      </w:pPr>
      <w:hyperlink w:anchor="_Toc123211689" w:history="1">
        <w:r w:rsidR="00D058ED" w:rsidRPr="00157FF2">
          <w:rPr>
            <w:rStyle w:val="Hiperveza"/>
            <w:noProof/>
          </w:rPr>
          <w:t>11.4.</w:t>
        </w:r>
        <w:r w:rsidR="00D058ED">
          <w:rPr>
            <w:rFonts w:eastAsiaTheme="minorEastAsia"/>
            <w:noProof/>
            <w:lang w:eastAsia="hr-HR"/>
          </w:rPr>
          <w:tab/>
        </w:r>
        <w:r w:rsidR="00D058ED" w:rsidRPr="00157FF2">
          <w:rPr>
            <w:rStyle w:val="Hiperveza"/>
            <w:noProof/>
          </w:rPr>
          <w:t>Naknada za korištenje odlagališta otpada na području druge jedinice lokalne samouprave odnosno Grada Zagreba</w:t>
        </w:r>
        <w:r w:rsidR="00D058ED">
          <w:rPr>
            <w:noProof/>
            <w:webHidden/>
          </w:rPr>
          <w:tab/>
        </w:r>
        <w:r w:rsidR="00D058ED">
          <w:rPr>
            <w:noProof/>
            <w:webHidden/>
          </w:rPr>
          <w:fldChar w:fldCharType="begin"/>
        </w:r>
        <w:r w:rsidR="00D058ED">
          <w:rPr>
            <w:noProof/>
            <w:webHidden/>
          </w:rPr>
          <w:instrText xml:space="preserve"> PAGEREF _Toc123211689 \h </w:instrText>
        </w:r>
        <w:r w:rsidR="00D058ED">
          <w:rPr>
            <w:noProof/>
            <w:webHidden/>
          </w:rPr>
        </w:r>
        <w:r w:rsidR="00D058ED">
          <w:rPr>
            <w:noProof/>
            <w:webHidden/>
          </w:rPr>
          <w:fldChar w:fldCharType="separate"/>
        </w:r>
        <w:r w:rsidR="00F37B62">
          <w:rPr>
            <w:noProof/>
            <w:webHidden/>
          </w:rPr>
          <w:t>150</w:t>
        </w:r>
        <w:r w:rsidR="00D058ED">
          <w:rPr>
            <w:noProof/>
            <w:webHidden/>
          </w:rPr>
          <w:fldChar w:fldCharType="end"/>
        </w:r>
      </w:hyperlink>
    </w:p>
    <w:p w14:paraId="584BBD16" w14:textId="5169B99F" w:rsidR="00D058ED" w:rsidRDefault="00000000">
      <w:pPr>
        <w:pStyle w:val="Sadraj2"/>
        <w:tabs>
          <w:tab w:val="left" w:pos="1100"/>
        </w:tabs>
        <w:rPr>
          <w:rFonts w:eastAsiaTheme="minorEastAsia"/>
          <w:noProof/>
          <w:lang w:eastAsia="hr-HR"/>
        </w:rPr>
      </w:pPr>
      <w:hyperlink w:anchor="_Toc123211690" w:history="1">
        <w:r w:rsidR="00D058ED" w:rsidRPr="00157FF2">
          <w:rPr>
            <w:rStyle w:val="Hiperveza"/>
            <w:noProof/>
          </w:rPr>
          <w:t>11.5.</w:t>
        </w:r>
        <w:r w:rsidR="00D058ED">
          <w:rPr>
            <w:rFonts w:eastAsiaTheme="minorEastAsia"/>
            <w:noProof/>
            <w:lang w:eastAsia="hr-HR"/>
          </w:rPr>
          <w:tab/>
        </w:r>
        <w:r w:rsidR="00D058ED" w:rsidRPr="00157FF2">
          <w:rPr>
            <w:rStyle w:val="Hiperveza"/>
            <w:noProof/>
          </w:rPr>
          <w:t>Povratna naknada</w:t>
        </w:r>
        <w:r w:rsidR="00D058ED">
          <w:rPr>
            <w:noProof/>
            <w:webHidden/>
          </w:rPr>
          <w:tab/>
        </w:r>
        <w:r w:rsidR="00D058ED">
          <w:rPr>
            <w:noProof/>
            <w:webHidden/>
          </w:rPr>
          <w:fldChar w:fldCharType="begin"/>
        </w:r>
        <w:r w:rsidR="00D058ED">
          <w:rPr>
            <w:noProof/>
            <w:webHidden/>
          </w:rPr>
          <w:instrText xml:space="preserve"> PAGEREF _Toc123211690 \h </w:instrText>
        </w:r>
        <w:r w:rsidR="00D058ED">
          <w:rPr>
            <w:noProof/>
            <w:webHidden/>
          </w:rPr>
        </w:r>
        <w:r w:rsidR="00D058ED">
          <w:rPr>
            <w:noProof/>
            <w:webHidden/>
          </w:rPr>
          <w:fldChar w:fldCharType="separate"/>
        </w:r>
        <w:r w:rsidR="00F37B62">
          <w:rPr>
            <w:noProof/>
            <w:webHidden/>
          </w:rPr>
          <w:t>150</w:t>
        </w:r>
        <w:r w:rsidR="00D058ED">
          <w:rPr>
            <w:noProof/>
            <w:webHidden/>
          </w:rPr>
          <w:fldChar w:fldCharType="end"/>
        </w:r>
      </w:hyperlink>
    </w:p>
    <w:p w14:paraId="6CA1E049" w14:textId="6CDB1BAA" w:rsidR="00D058ED" w:rsidRDefault="00000000">
      <w:pPr>
        <w:pStyle w:val="Sadraj2"/>
        <w:tabs>
          <w:tab w:val="left" w:pos="1100"/>
        </w:tabs>
        <w:rPr>
          <w:rFonts w:eastAsiaTheme="minorEastAsia"/>
          <w:noProof/>
          <w:lang w:eastAsia="hr-HR"/>
        </w:rPr>
      </w:pPr>
      <w:hyperlink w:anchor="_Toc123211691" w:history="1">
        <w:r w:rsidR="00D058ED" w:rsidRPr="00157FF2">
          <w:rPr>
            <w:rStyle w:val="Hiperveza"/>
            <w:noProof/>
          </w:rPr>
          <w:t>11.6.</w:t>
        </w:r>
        <w:r w:rsidR="00D058ED">
          <w:rPr>
            <w:rFonts w:eastAsiaTheme="minorEastAsia"/>
            <w:noProof/>
            <w:lang w:eastAsia="hr-HR"/>
          </w:rPr>
          <w:tab/>
        </w:r>
        <w:r w:rsidR="00D058ED" w:rsidRPr="00157FF2">
          <w:rPr>
            <w:rStyle w:val="Hiperveza"/>
            <w:noProof/>
          </w:rPr>
          <w:t>Naknada gospodarenja otpadom</w:t>
        </w:r>
        <w:r w:rsidR="00D058ED">
          <w:rPr>
            <w:noProof/>
            <w:webHidden/>
          </w:rPr>
          <w:tab/>
        </w:r>
        <w:r w:rsidR="00D058ED">
          <w:rPr>
            <w:noProof/>
            <w:webHidden/>
          </w:rPr>
          <w:fldChar w:fldCharType="begin"/>
        </w:r>
        <w:r w:rsidR="00D058ED">
          <w:rPr>
            <w:noProof/>
            <w:webHidden/>
          </w:rPr>
          <w:instrText xml:space="preserve"> PAGEREF _Toc123211691 \h </w:instrText>
        </w:r>
        <w:r w:rsidR="00D058ED">
          <w:rPr>
            <w:noProof/>
            <w:webHidden/>
          </w:rPr>
        </w:r>
        <w:r w:rsidR="00D058ED">
          <w:rPr>
            <w:noProof/>
            <w:webHidden/>
          </w:rPr>
          <w:fldChar w:fldCharType="separate"/>
        </w:r>
        <w:r w:rsidR="00F37B62">
          <w:rPr>
            <w:noProof/>
            <w:webHidden/>
          </w:rPr>
          <w:t>150</w:t>
        </w:r>
        <w:r w:rsidR="00D058ED">
          <w:rPr>
            <w:noProof/>
            <w:webHidden/>
          </w:rPr>
          <w:fldChar w:fldCharType="end"/>
        </w:r>
      </w:hyperlink>
    </w:p>
    <w:p w14:paraId="192654EC" w14:textId="0911110E" w:rsidR="00D058ED" w:rsidRDefault="00000000">
      <w:pPr>
        <w:pStyle w:val="Sadraj2"/>
        <w:tabs>
          <w:tab w:val="left" w:pos="1100"/>
        </w:tabs>
        <w:rPr>
          <w:rFonts w:eastAsiaTheme="minorEastAsia"/>
          <w:noProof/>
          <w:lang w:eastAsia="hr-HR"/>
        </w:rPr>
      </w:pPr>
      <w:hyperlink w:anchor="_Toc123211692" w:history="1">
        <w:r w:rsidR="00D058ED" w:rsidRPr="00157FF2">
          <w:rPr>
            <w:rStyle w:val="Hiperveza"/>
            <w:noProof/>
          </w:rPr>
          <w:t>11.7.</w:t>
        </w:r>
        <w:r w:rsidR="00D058ED">
          <w:rPr>
            <w:rFonts w:eastAsiaTheme="minorEastAsia"/>
            <w:noProof/>
            <w:lang w:eastAsia="hr-HR"/>
          </w:rPr>
          <w:tab/>
        </w:r>
        <w:r w:rsidR="00D058ED" w:rsidRPr="00157FF2">
          <w:rPr>
            <w:rStyle w:val="Hiperveza"/>
            <w:noProof/>
          </w:rPr>
          <w:t>Cijena za javnu uslugu sakupljanja komunalnog otpada</w:t>
        </w:r>
        <w:r w:rsidR="00D058ED">
          <w:rPr>
            <w:noProof/>
            <w:webHidden/>
          </w:rPr>
          <w:tab/>
        </w:r>
        <w:r w:rsidR="00D058ED">
          <w:rPr>
            <w:noProof/>
            <w:webHidden/>
          </w:rPr>
          <w:fldChar w:fldCharType="begin"/>
        </w:r>
        <w:r w:rsidR="00D058ED">
          <w:rPr>
            <w:noProof/>
            <w:webHidden/>
          </w:rPr>
          <w:instrText xml:space="preserve"> PAGEREF _Toc123211692 \h </w:instrText>
        </w:r>
        <w:r w:rsidR="00D058ED">
          <w:rPr>
            <w:noProof/>
            <w:webHidden/>
          </w:rPr>
        </w:r>
        <w:r w:rsidR="00D058ED">
          <w:rPr>
            <w:noProof/>
            <w:webHidden/>
          </w:rPr>
          <w:fldChar w:fldCharType="separate"/>
        </w:r>
        <w:r w:rsidR="00F37B62">
          <w:rPr>
            <w:noProof/>
            <w:webHidden/>
          </w:rPr>
          <w:t>150</w:t>
        </w:r>
        <w:r w:rsidR="00D058ED">
          <w:rPr>
            <w:noProof/>
            <w:webHidden/>
          </w:rPr>
          <w:fldChar w:fldCharType="end"/>
        </w:r>
      </w:hyperlink>
    </w:p>
    <w:p w14:paraId="6E9493B6" w14:textId="0A6FE776" w:rsidR="00D058ED" w:rsidRDefault="00000000">
      <w:pPr>
        <w:pStyle w:val="Sadraj1"/>
        <w:rPr>
          <w:rFonts w:eastAsiaTheme="minorEastAsia"/>
          <w:caps w:val="0"/>
          <w:noProof/>
          <w:lang w:eastAsia="hr-HR"/>
        </w:rPr>
      </w:pPr>
      <w:hyperlink w:anchor="_Toc123211693" w:history="1">
        <w:r w:rsidR="00D058ED" w:rsidRPr="00157FF2">
          <w:rPr>
            <w:rStyle w:val="Hiperveza"/>
            <w:noProof/>
          </w:rPr>
          <w:t>12.</w:t>
        </w:r>
        <w:r w:rsidR="00D058ED">
          <w:rPr>
            <w:rFonts w:eastAsiaTheme="minorEastAsia"/>
            <w:caps w:val="0"/>
            <w:noProof/>
            <w:lang w:eastAsia="hr-HR"/>
          </w:rPr>
          <w:tab/>
        </w:r>
        <w:r w:rsidR="00D058ED" w:rsidRPr="00157FF2">
          <w:rPr>
            <w:rStyle w:val="Hiperveza"/>
            <w:noProof/>
          </w:rPr>
          <w:t>MJERE ZA PROVEDBU PLANA</w:t>
        </w:r>
        <w:r w:rsidR="00D058ED">
          <w:rPr>
            <w:noProof/>
            <w:webHidden/>
          </w:rPr>
          <w:tab/>
        </w:r>
        <w:r w:rsidR="00D058ED">
          <w:rPr>
            <w:noProof/>
            <w:webHidden/>
          </w:rPr>
          <w:fldChar w:fldCharType="begin"/>
        </w:r>
        <w:r w:rsidR="00D058ED">
          <w:rPr>
            <w:noProof/>
            <w:webHidden/>
          </w:rPr>
          <w:instrText xml:space="preserve"> PAGEREF _Toc123211693 \h </w:instrText>
        </w:r>
        <w:r w:rsidR="00D058ED">
          <w:rPr>
            <w:noProof/>
            <w:webHidden/>
          </w:rPr>
        </w:r>
        <w:r w:rsidR="00D058ED">
          <w:rPr>
            <w:noProof/>
            <w:webHidden/>
          </w:rPr>
          <w:fldChar w:fldCharType="separate"/>
        </w:r>
        <w:r w:rsidR="00F37B62">
          <w:rPr>
            <w:noProof/>
            <w:webHidden/>
          </w:rPr>
          <w:t>152</w:t>
        </w:r>
        <w:r w:rsidR="00D058ED">
          <w:rPr>
            <w:noProof/>
            <w:webHidden/>
          </w:rPr>
          <w:fldChar w:fldCharType="end"/>
        </w:r>
      </w:hyperlink>
    </w:p>
    <w:p w14:paraId="54F38CE0" w14:textId="1EC3C9E7" w:rsidR="00D058ED" w:rsidRDefault="00000000">
      <w:pPr>
        <w:pStyle w:val="Sadraj2"/>
        <w:tabs>
          <w:tab w:val="left" w:pos="1100"/>
        </w:tabs>
        <w:rPr>
          <w:rFonts w:eastAsiaTheme="minorEastAsia"/>
          <w:noProof/>
          <w:lang w:eastAsia="hr-HR"/>
        </w:rPr>
      </w:pPr>
      <w:hyperlink w:anchor="_Toc123211694" w:history="1">
        <w:r w:rsidR="00D058ED" w:rsidRPr="00157FF2">
          <w:rPr>
            <w:rStyle w:val="Hiperveza"/>
            <w:noProof/>
          </w:rPr>
          <w:t>12.1.</w:t>
        </w:r>
        <w:r w:rsidR="00D058ED">
          <w:rPr>
            <w:rFonts w:eastAsiaTheme="minorEastAsia"/>
            <w:noProof/>
            <w:lang w:eastAsia="hr-HR"/>
          </w:rPr>
          <w:tab/>
        </w:r>
        <w:r w:rsidR="00D058ED" w:rsidRPr="00157FF2">
          <w:rPr>
            <w:rStyle w:val="Hiperveza"/>
            <w:noProof/>
          </w:rPr>
          <w:t>Mjere unaprjeđenja ponovne uporabe, recikliranja i drugih postupaka oporabe komunalnog otpada i smanjenja odlaganja na odlagališta otpada</w:t>
        </w:r>
        <w:r w:rsidR="00D058ED">
          <w:rPr>
            <w:noProof/>
            <w:webHidden/>
          </w:rPr>
          <w:tab/>
        </w:r>
        <w:r w:rsidR="00D058ED">
          <w:rPr>
            <w:noProof/>
            <w:webHidden/>
          </w:rPr>
          <w:fldChar w:fldCharType="begin"/>
        </w:r>
        <w:r w:rsidR="00D058ED">
          <w:rPr>
            <w:noProof/>
            <w:webHidden/>
          </w:rPr>
          <w:instrText xml:space="preserve"> PAGEREF _Toc123211694 \h </w:instrText>
        </w:r>
        <w:r w:rsidR="00D058ED">
          <w:rPr>
            <w:noProof/>
            <w:webHidden/>
          </w:rPr>
        </w:r>
        <w:r w:rsidR="00D058ED">
          <w:rPr>
            <w:noProof/>
            <w:webHidden/>
          </w:rPr>
          <w:fldChar w:fldCharType="separate"/>
        </w:r>
        <w:r w:rsidR="00F37B62">
          <w:rPr>
            <w:noProof/>
            <w:webHidden/>
          </w:rPr>
          <w:t>166</w:t>
        </w:r>
        <w:r w:rsidR="00D058ED">
          <w:rPr>
            <w:noProof/>
            <w:webHidden/>
          </w:rPr>
          <w:fldChar w:fldCharType="end"/>
        </w:r>
      </w:hyperlink>
    </w:p>
    <w:p w14:paraId="1E704C9C" w14:textId="2F419D66" w:rsidR="00D058ED" w:rsidRDefault="00000000">
      <w:pPr>
        <w:pStyle w:val="Sadraj2"/>
        <w:tabs>
          <w:tab w:val="left" w:pos="1100"/>
        </w:tabs>
        <w:rPr>
          <w:rFonts w:eastAsiaTheme="minorEastAsia"/>
          <w:noProof/>
          <w:lang w:eastAsia="hr-HR"/>
        </w:rPr>
      </w:pPr>
      <w:hyperlink w:anchor="_Toc123211695" w:history="1">
        <w:r w:rsidR="00D058ED" w:rsidRPr="00157FF2">
          <w:rPr>
            <w:rStyle w:val="Hiperveza"/>
            <w:noProof/>
          </w:rPr>
          <w:t>12.2.</w:t>
        </w:r>
        <w:r w:rsidR="00D058ED">
          <w:rPr>
            <w:rFonts w:eastAsiaTheme="minorEastAsia"/>
            <w:noProof/>
            <w:lang w:eastAsia="hr-HR"/>
          </w:rPr>
          <w:tab/>
        </w:r>
        <w:r w:rsidR="00D058ED" w:rsidRPr="00157FF2">
          <w:rPr>
            <w:rStyle w:val="Hiperveza"/>
            <w:noProof/>
          </w:rPr>
          <w:t>Mjere za unaprjeđenje sustava za gospodarenje posebnim kategorijama otpada</w:t>
        </w:r>
        <w:r w:rsidR="00D058ED">
          <w:rPr>
            <w:noProof/>
            <w:webHidden/>
          </w:rPr>
          <w:tab/>
        </w:r>
        <w:r w:rsidR="00D058ED">
          <w:rPr>
            <w:noProof/>
            <w:webHidden/>
          </w:rPr>
          <w:fldChar w:fldCharType="begin"/>
        </w:r>
        <w:r w:rsidR="00D058ED">
          <w:rPr>
            <w:noProof/>
            <w:webHidden/>
          </w:rPr>
          <w:instrText xml:space="preserve"> PAGEREF _Toc123211695 \h </w:instrText>
        </w:r>
        <w:r w:rsidR="00D058ED">
          <w:rPr>
            <w:noProof/>
            <w:webHidden/>
          </w:rPr>
        </w:r>
        <w:r w:rsidR="00D058ED">
          <w:rPr>
            <w:noProof/>
            <w:webHidden/>
          </w:rPr>
          <w:fldChar w:fldCharType="separate"/>
        </w:r>
        <w:r w:rsidR="00F37B62">
          <w:rPr>
            <w:noProof/>
            <w:webHidden/>
          </w:rPr>
          <w:t>171</w:t>
        </w:r>
        <w:r w:rsidR="00D058ED">
          <w:rPr>
            <w:noProof/>
            <w:webHidden/>
          </w:rPr>
          <w:fldChar w:fldCharType="end"/>
        </w:r>
      </w:hyperlink>
    </w:p>
    <w:p w14:paraId="5537D157" w14:textId="4B7154F2" w:rsidR="00D058ED" w:rsidRDefault="00000000">
      <w:pPr>
        <w:pStyle w:val="Sadraj2"/>
        <w:tabs>
          <w:tab w:val="left" w:pos="1100"/>
        </w:tabs>
        <w:rPr>
          <w:rFonts w:eastAsiaTheme="minorEastAsia"/>
          <w:noProof/>
          <w:lang w:eastAsia="hr-HR"/>
        </w:rPr>
      </w:pPr>
      <w:hyperlink w:anchor="_Toc123211696" w:history="1">
        <w:r w:rsidR="00D058ED" w:rsidRPr="00157FF2">
          <w:rPr>
            <w:rStyle w:val="Hiperveza"/>
            <w:noProof/>
          </w:rPr>
          <w:t>12.3.</w:t>
        </w:r>
        <w:r w:rsidR="00D058ED">
          <w:rPr>
            <w:rFonts w:eastAsiaTheme="minorEastAsia"/>
            <w:noProof/>
            <w:lang w:eastAsia="hr-HR"/>
          </w:rPr>
          <w:tab/>
        </w:r>
        <w:r w:rsidR="00D058ED" w:rsidRPr="00157FF2">
          <w:rPr>
            <w:rStyle w:val="Hiperveza"/>
            <w:noProof/>
          </w:rPr>
          <w:t>Mjere za unaprjeđenje sustava za gospodarenje opasnim otpadom</w:t>
        </w:r>
        <w:r w:rsidR="00D058ED">
          <w:rPr>
            <w:noProof/>
            <w:webHidden/>
          </w:rPr>
          <w:tab/>
        </w:r>
        <w:r w:rsidR="00D058ED">
          <w:rPr>
            <w:noProof/>
            <w:webHidden/>
          </w:rPr>
          <w:fldChar w:fldCharType="begin"/>
        </w:r>
        <w:r w:rsidR="00D058ED">
          <w:rPr>
            <w:noProof/>
            <w:webHidden/>
          </w:rPr>
          <w:instrText xml:space="preserve"> PAGEREF _Toc123211696 \h </w:instrText>
        </w:r>
        <w:r w:rsidR="00D058ED">
          <w:rPr>
            <w:noProof/>
            <w:webHidden/>
          </w:rPr>
        </w:r>
        <w:r w:rsidR="00D058ED">
          <w:rPr>
            <w:noProof/>
            <w:webHidden/>
          </w:rPr>
          <w:fldChar w:fldCharType="separate"/>
        </w:r>
        <w:r w:rsidR="00F37B62">
          <w:rPr>
            <w:noProof/>
            <w:webHidden/>
          </w:rPr>
          <w:t>176</w:t>
        </w:r>
        <w:r w:rsidR="00D058ED">
          <w:rPr>
            <w:noProof/>
            <w:webHidden/>
          </w:rPr>
          <w:fldChar w:fldCharType="end"/>
        </w:r>
      </w:hyperlink>
    </w:p>
    <w:p w14:paraId="5966DA2F" w14:textId="5BB855FB" w:rsidR="00D058ED" w:rsidRDefault="00000000">
      <w:pPr>
        <w:pStyle w:val="Sadraj2"/>
        <w:tabs>
          <w:tab w:val="left" w:pos="1100"/>
        </w:tabs>
        <w:rPr>
          <w:rFonts w:eastAsiaTheme="minorEastAsia"/>
          <w:noProof/>
          <w:lang w:eastAsia="hr-HR"/>
        </w:rPr>
      </w:pPr>
      <w:hyperlink w:anchor="_Toc123211697" w:history="1">
        <w:r w:rsidR="00D058ED" w:rsidRPr="00157FF2">
          <w:rPr>
            <w:rStyle w:val="Hiperveza"/>
            <w:noProof/>
          </w:rPr>
          <w:t>12.4.</w:t>
        </w:r>
        <w:r w:rsidR="00D058ED">
          <w:rPr>
            <w:rFonts w:eastAsiaTheme="minorEastAsia"/>
            <w:noProof/>
            <w:lang w:eastAsia="hr-HR"/>
          </w:rPr>
          <w:tab/>
        </w:r>
        <w:r w:rsidR="00D058ED" w:rsidRPr="00157FF2">
          <w:rPr>
            <w:rStyle w:val="Hiperveza"/>
            <w:noProof/>
          </w:rPr>
          <w:t>Mjere za sanaciju lokacija onečišćenih otpadom</w:t>
        </w:r>
        <w:r w:rsidR="00D058ED">
          <w:rPr>
            <w:noProof/>
            <w:webHidden/>
          </w:rPr>
          <w:tab/>
        </w:r>
        <w:r w:rsidR="00D058ED">
          <w:rPr>
            <w:noProof/>
            <w:webHidden/>
          </w:rPr>
          <w:fldChar w:fldCharType="begin"/>
        </w:r>
        <w:r w:rsidR="00D058ED">
          <w:rPr>
            <w:noProof/>
            <w:webHidden/>
          </w:rPr>
          <w:instrText xml:space="preserve"> PAGEREF _Toc123211697 \h </w:instrText>
        </w:r>
        <w:r w:rsidR="00D058ED">
          <w:rPr>
            <w:noProof/>
            <w:webHidden/>
          </w:rPr>
        </w:r>
        <w:r w:rsidR="00D058ED">
          <w:rPr>
            <w:noProof/>
            <w:webHidden/>
          </w:rPr>
          <w:fldChar w:fldCharType="separate"/>
        </w:r>
        <w:r w:rsidR="00F37B62">
          <w:rPr>
            <w:noProof/>
            <w:webHidden/>
          </w:rPr>
          <w:t>177</w:t>
        </w:r>
        <w:r w:rsidR="00D058ED">
          <w:rPr>
            <w:noProof/>
            <w:webHidden/>
          </w:rPr>
          <w:fldChar w:fldCharType="end"/>
        </w:r>
      </w:hyperlink>
    </w:p>
    <w:p w14:paraId="59CD2646" w14:textId="034E8467" w:rsidR="00D058ED" w:rsidRDefault="00000000">
      <w:pPr>
        <w:pStyle w:val="Sadraj2"/>
        <w:tabs>
          <w:tab w:val="left" w:pos="1100"/>
        </w:tabs>
        <w:rPr>
          <w:rFonts w:eastAsiaTheme="minorEastAsia"/>
          <w:noProof/>
          <w:lang w:eastAsia="hr-HR"/>
        </w:rPr>
      </w:pPr>
      <w:hyperlink w:anchor="_Toc123211698" w:history="1">
        <w:r w:rsidR="00D058ED" w:rsidRPr="00157FF2">
          <w:rPr>
            <w:rStyle w:val="Hiperveza"/>
            <w:noProof/>
          </w:rPr>
          <w:t>12.5.</w:t>
        </w:r>
        <w:r w:rsidR="00D058ED">
          <w:rPr>
            <w:rFonts w:eastAsiaTheme="minorEastAsia"/>
            <w:noProof/>
            <w:lang w:eastAsia="hr-HR"/>
          </w:rPr>
          <w:tab/>
        </w:r>
        <w:r w:rsidR="00D058ED" w:rsidRPr="00157FF2">
          <w:rPr>
            <w:rStyle w:val="Hiperveza"/>
            <w:noProof/>
          </w:rPr>
          <w:t>Mjere za unaprjeđenje informacijskog sustava gospodarenja otpadom</w:t>
        </w:r>
        <w:r w:rsidR="00D058ED">
          <w:rPr>
            <w:noProof/>
            <w:webHidden/>
          </w:rPr>
          <w:tab/>
        </w:r>
        <w:r w:rsidR="00D058ED">
          <w:rPr>
            <w:noProof/>
            <w:webHidden/>
          </w:rPr>
          <w:fldChar w:fldCharType="begin"/>
        </w:r>
        <w:r w:rsidR="00D058ED">
          <w:rPr>
            <w:noProof/>
            <w:webHidden/>
          </w:rPr>
          <w:instrText xml:space="preserve"> PAGEREF _Toc123211698 \h </w:instrText>
        </w:r>
        <w:r w:rsidR="00D058ED">
          <w:rPr>
            <w:noProof/>
            <w:webHidden/>
          </w:rPr>
        </w:r>
        <w:r w:rsidR="00D058ED">
          <w:rPr>
            <w:noProof/>
            <w:webHidden/>
          </w:rPr>
          <w:fldChar w:fldCharType="separate"/>
        </w:r>
        <w:r w:rsidR="00F37B62">
          <w:rPr>
            <w:noProof/>
            <w:webHidden/>
          </w:rPr>
          <w:t>178</w:t>
        </w:r>
        <w:r w:rsidR="00D058ED">
          <w:rPr>
            <w:noProof/>
            <w:webHidden/>
          </w:rPr>
          <w:fldChar w:fldCharType="end"/>
        </w:r>
      </w:hyperlink>
    </w:p>
    <w:p w14:paraId="2E42262B" w14:textId="2CF1E7DA" w:rsidR="00D058ED" w:rsidRDefault="00000000">
      <w:pPr>
        <w:pStyle w:val="Sadraj2"/>
        <w:tabs>
          <w:tab w:val="left" w:pos="1100"/>
        </w:tabs>
        <w:rPr>
          <w:rFonts w:eastAsiaTheme="minorEastAsia"/>
          <w:noProof/>
          <w:lang w:eastAsia="hr-HR"/>
        </w:rPr>
      </w:pPr>
      <w:hyperlink w:anchor="_Toc123211699" w:history="1">
        <w:r w:rsidR="00D058ED" w:rsidRPr="00157FF2">
          <w:rPr>
            <w:rStyle w:val="Hiperveza"/>
            <w:noProof/>
          </w:rPr>
          <w:t>12.6.</w:t>
        </w:r>
        <w:r w:rsidR="00D058ED">
          <w:rPr>
            <w:rFonts w:eastAsiaTheme="minorEastAsia"/>
            <w:noProof/>
            <w:lang w:eastAsia="hr-HR"/>
          </w:rPr>
          <w:tab/>
        </w:r>
        <w:r w:rsidR="00D058ED" w:rsidRPr="00157FF2">
          <w:rPr>
            <w:rStyle w:val="Hiperveza"/>
            <w:noProof/>
          </w:rPr>
          <w:t>Mjere za unaprjeđenje nadzora nad gospodarenjem otpadom</w:t>
        </w:r>
        <w:r w:rsidR="00D058ED">
          <w:rPr>
            <w:noProof/>
            <w:webHidden/>
          </w:rPr>
          <w:tab/>
        </w:r>
        <w:r w:rsidR="00D058ED">
          <w:rPr>
            <w:noProof/>
            <w:webHidden/>
          </w:rPr>
          <w:fldChar w:fldCharType="begin"/>
        </w:r>
        <w:r w:rsidR="00D058ED">
          <w:rPr>
            <w:noProof/>
            <w:webHidden/>
          </w:rPr>
          <w:instrText xml:space="preserve"> PAGEREF _Toc123211699 \h </w:instrText>
        </w:r>
        <w:r w:rsidR="00D058ED">
          <w:rPr>
            <w:noProof/>
            <w:webHidden/>
          </w:rPr>
        </w:r>
        <w:r w:rsidR="00D058ED">
          <w:rPr>
            <w:noProof/>
            <w:webHidden/>
          </w:rPr>
          <w:fldChar w:fldCharType="separate"/>
        </w:r>
        <w:r w:rsidR="00F37B62">
          <w:rPr>
            <w:noProof/>
            <w:webHidden/>
          </w:rPr>
          <w:t>183</w:t>
        </w:r>
        <w:r w:rsidR="00D058ED">
          <w:rPr>
            <w:noProof/>
            <w:webHidden/>
          </w:rPr>
          <w:fldChar w:fldCharType="end"/>
        </w:r>
      </w:hyperlink>
    </w:p>
    <w:p w14:paraId="3ABF1830" w14:textId="734E034A" w:rsidR="00D058ED" w:rsidRDefault="00000000">
      <w:pPr>
        <w:pStyle w:val="Sadraj1"/>
        <w:rPr>
          <w:rFonts w:eastAsiaTheme="minorEastAsia"/>
          <w:caps w:val="0"/>
          <w:noProof/>
          <w:lang w:eastAsia="hr-HR"/>
        </w:rPr>
      </w:pPr>
      <w:hyperlink w:anchor="_Toc123211700" w:history="1">
        <w:r w:rsidR="00D058ED" w:rsidRPr="00157FF2">
          <w:rPr>
            <w:rStyle w:val="Hiperveza"/>
            <w:noProof/>
          </w:rPr>
          <w:t>13.</w:t>
        </w:r>
        <w:r w:rsidR="00D058ED">
          <w:rPr>
            <w:rFonts w:eastAsiaTheme="minorEastAsia"/>
            <w:caps w:val="0"/>
            <w:noProof/>
            <w:lang w:eastAsia="hr-HR"/>
          </w:rPr>
          <w:tab/>
        </w:r>
        <w:r w:rsidR="00D058ED" w:rsidRPr="00157FF2">
          <w:rPr>
            <w:rStyle w:val="Hiperveza"/>
            <w:noProof/>
          </w:rPr>
          <w:t>FINANCIJSKA SREDSTVA ZA PROVEDBU MJERA PLANA</w:t>
        </w:r>
        <w:r w:rsidR="00D058ED">
          <w:rPr>
            <w:noProof/>
            <w:webHidden/>
          </w:rPr>
          <w:tab/>
        </w:r>
        <w:r w:rsidR="00D058ED">
          <w:rPr>
            <w:noProof/>
            <w:webHidden/>
          </w:rPr>
          <w:fldChar w:fldCharType="begin"/>
        </w:r>
        <w:r w:rsidR="00D058ED">
          <w:rPr>
            <w:noProof/>
            <w:webHidden/>
          </w:rPr>
          <w:instrText xml:space="preserve"> PAGEREF _Toc123211700 \h </w:instrText>
        </w:r>
        <w:r w:rsidR="00D058ED">
          <w:rPr>
            <w:noProof/>
            <w:webHidden/>
          </w:rPr>
        </w:r>
        <w:r w:rsidR="00D058ED">
          <w:rPr>
            <w:noProof/>
            <w:webHidden/>
          </w:rPr>
          <w:fldChar w:fldCharType="separate"/>
        </w:r>
        <w:r w:rsidR="00F37B62">
          <w:rPr>
            <w:noProof/>
            <w:webHidden/>
          </w:rPr>
          <w:t>184</w:t>
        </w:r>
        <w:r w:rsidR="00D058ED">
          <w:rPr>
            <w:noProof/>
            <w:webHidden/>
          </w:rPr>
          <w:fldChar w:fldCharType="end"/>
        </w:r>
      </w:hyperlink>
    </w:p>
    <w:p w14:paraId="500FB7BD" w14:textId="60D7B496" w:rsidR="00D058ED" w:rsidRDefault="00000000">
      <w:pPr>
        <w:pStyle w:val="Sadraj2"/>
        <w:tabs>
          <w:tab w:val="left" w:pos="1100"/>
        </w:tabs>
        <w:rPr>
          <w:rFonts w:eastAsiaTheme="minorEastAsia"/>
          <w:noProof/>
          <w:lang w:eastAsia="hr-HR"/>
        </w:rPr>
      </w:pPr>
      <w:hyperlink w:anchor="_Toc123211701" w:history="1">
        <w:r w:rsidR="00D058ED" w:rsidRPr="00157FF2">
          <w:rPr>
            <w:rStyle w:val="Hiperveza"/>
            <w:noProof/>
          </w:rPr>
          <w:t>13.1.</w:t>
        </w:r>
        <w:r w:rsidR="00D058ED">
          <w:rPr>
            <w:rFonts w:eastAsiaTheme="minorEastAsia"/>
            <w:noProof/>
            <w:lang w:eastAsia="hr-HR"/>
          </w:rPr>
          <w:tab/>
        </w:r>
        <w:r w:rsidR="00D058ED" w:rsidRPr="00157FF2">
          <w:rPr>
            <w:rStyle w:val="Hiperveza"/>
            <w:noProof/>
          </w:rPr>
          <w:t>Mogući izvori financiranja</w:t>
        </w:r>
        <w:r w:rsidR="00D058ED">
          <w:rPr>
            <w:noProof/>
            <w:webHidden/>
          </w:rPr>
          <w:tab/>
        </w:r>
        <w:r w:rsidR="00D058ED">
          <w:rPr>
            <w:noProof/>
            <w:webHidden/>
          </w:rPr>
          <w:fldChar w:fldCharType="begin"/>
        </w:r>
        <w:r w:rsidR="00D058ED">
          <w:rPr>
            <w:noProof/>
            <w:webHidden/>
          </w:rPr>
          <w:instrText xml:space="preserve"> PAGEREF _Toc123211701 \h </w:instrText>
        </w:r>
        <w:r w:rsidR="00D058ED">
          <w:rPr>
            <w:noProof/>
            <w:webHidden/>
          </w:rPr>
        </w:r>
        <w:r w:rsidR="00D058ED">
          <w:rPr>
            <w:noProof/>
            <w:webHidden/>
          </w:rPr>
          <w:fldChar w:fldCharType="separate"/>
        </w:r>
        <w:r w:rsidR="00F37B62">
          <w:rPr>
            <w:noProof/>
            <w:webHidden/>
          </w:rPr>
          <w:t>184</w:t>
        </w:r>
        <w:r w:rsidR="00D058ED">
          <w:rPr>
            <w:noProof/>
            <w:webHidden/>
          </w:rPr>
          <w:fldChar w:fldCharType="end"/>
        </w:r>
      </w:hyperlink>
    </w:p>
    <w:p w14:paraId="0608A063" w14:textId="4D45286B" w:rsidR="00D058ED" w:rsidRDefault="00000000">
      <w:pPr>
        <w:pStyle w:val="Sadraj2"/>
        <w:tabs>
          <w:tab w:val="left" w:pos="1100"/>
        </w:tabs>
        <w:rPr>
          <w:rFonts w:eastAsiaTheme="minorEastAsia"/>
          <w:noProof/>
          <w:lang w:eastAsia="hr-HR"/>
        </w:rPr>
      </w:pPr>
      <w:hyperlink w:anchor="_Toc123211702" w:history="1">
        <w:r w:rsidR="00D058ED" w:rsidRPr="00157FF2">
          <w:rPr>
            <w:rStyle w:val="Hiperveza"/>
            <w:noProof/>
            <w:lang w:eastAsia="hr-HR"/>
          </w:rPr>
          <w:t>13.2.</w:t>
        </w:r>
        <w:r w:rsidR="00D058ED">
          <w:rPr>
            <w:rFonts w:eastAsiaTheme="minorEastAsia"/>
            <w:noProof/>
            <w:lang w:eastAsia="hr-HR"/>
          </w:rPr>
          <w:tab/>
        </w:r>
        <w:r w:rsidR="00D058ED" w:rsidRPr="00157FF2">
          <w:rPr>
            <w:rStyle w:val="Hiperveza"/>
            <w:noProof/>
          </w:rPr>
          <w:t>Procjena financijskih sredstava potrebnih za provedbu mjera Plana</w:t>
        </w:r>
        <w:r w:rsidR="00D058ED">
          <w:rPr>
            <w:noProof/>
            <w:webHidden/>
          </w:rPr>
          <w:tab/>
        </w:r>
        <w:r w:rsidR="00D058ED">
          <w:rPr>
            <w:noProof/>
            <w:webHidden/>
          </w:rPr>
          <w:fldChar w:fldCharType="begin"/>
        </w:r>
        <w:r w:rsidR="00D058ED">
          <w:rPr>
            <w:noProof/>
            <w:webHidden/>
          </w:rPr>
          <w:instrText xml:space="preserve"> PAGEREF _Toc123211702 \h </w:instrText>
        </w:r>
        <w:r w:rsidR="00D058ED">
          <w:rPr>
            <w:noProof/>
            <w:webHidden/>
          </w:rPr>
        </w:r>
        <w:r w:rsidR="00D058ED">
          <w:rPr>
            <w:noProof/>
            <w:webHidden/>
          </w:rPr>
          <w:fldChar w:fldCharType="separate"/>
        </w:r>
        <w:r w:rsidR="00F37B62">
          <w:rPr>
            <w:noProof/>
            <w:webHidden/>
          </w:rPr>
          <w:t>186</w:t>
        </w:r>
        <w:r w:rsidR="00D058ED">
          <w:rPr>
            <w:noProof/>
            <w:webHidden/>
          </w:rPr>
          <w:fldChar w:fldCharType="end"/>
        </w:r>
      </w:hyperlink>
    </w:p>
    <w:p w14:paraId="13FD9776" w14:textId="4FCA3C81" w:rsidR="00D058ED" w:rsidRDefault="00000000">
      <w:pPr>
        <w:pStyle w:val="Sadraj1"/>
        <w:rPr>
          <w:rFonts w:eastAsiaTheme="minorEastAsia"/>
          <w:caps w:val="0"/>
          <w:noProof/>
          <w:lang w:eastAsia="hr-HR"/>
        </w:rPr>
      </w:pPr>
      <w:hyperlink w:anchor="_Toc123211703" w:history="1">
        <w:r w:rsidR="00D058ED" w:rsidRPr="00157FF2">
          <w:rPr>
            <w:rStyle w:val="Hiperveza"/>
            <w:noProof/>
          </w:rPr>
          <w:t>14.</w:t>
        </w:r>
        <w:r w:rsidR="00D058ED">
          <w:rPr>
            <w:rFonts w:eastAsiaTheme="minorEastAsia"/>
            <w:caps w:val="0"/>
            <w:noProof/>
            <w:lang w:eastAsia="hr-HR"/>
          </w:rPr>
          <w:tab/>
        </w:r>
        <w:r w:rsidR="00D058ED" w:rsidRPr="00157FF2">
          <w:rPr>
            <w:rStyle w:val="Hiperveza"/>
            <w:noProof/>
          </w:rPr>
          <w:t>TERMINSKI PLAN PROVEDBE PLANA GOSPODARENJA OTPADOM REPUBLIKE HRVATSKE</w:t>
        </w:r>
        <w:r w:rsidR="00D058ED">
          <w:rPr>
            <w:noProof/>
            <w:webHidden/>
          </w:rPr>
          <w:tab/>
        </w:r>
        <w:r w:rsidR="00D058ED">
          <w:rPr>
            <w:noProof/>
            <w:webHidden/>
          </w:rPr>
          <w:fldChar w:fldCharType="begin"/>
        </w:r>
        <w:r w:rsidR="00D058ED">
          <w:rPr>
            <w:noProof/>
            <w:webHidden/>
          </w:rPr>
          <w:instrText xml:space="preserve"> PAGEREF _Toc123211703 \h </w:instrText>
        </w:r>
        <w:r w:rsidR="00D058ED">
          <w:rPr>
            <w:noProof/>
            <w:webHidden/>
          </w:rPr>
        </w:r>
        <w:r w:rsidR="00D058ED">
          <w:rPr>
            <w:noProof/>
            <w:webHidden/>
          </w:rPr>
          <w:fldChar w:fldCharType="separate"/>
        </w:r>
        <w:r w:rsidR="00F37B62">
          <w:rPr>
            <w:noProof/>
            <w:webHidden/>
          </w:rPr>
          <w:t>188</w:t>
        </w:r>
        <w:r w:rsidR="00D058ED">
          <w:rPr>
            <w:noProof/>
            <w:webHidden/>
          </w:rPr>
          <w:fldChar w:fldCharType="end"/>
        </w:r>
      </w:hyperlink>
    </w:p>
    <w:p w14:paraId="02A844C4" w14:textId="762BCCC4" w:rsidR="00D058ED" w:rsidRDefault="00000000">
      <w:pPr>
        <w:pStyle w:val="Sadraj1"/>
        <w:rPr>
          <w:rFonts w:eastAsiaTheme="minorEastAsia"/>
          <w:caps w:val="0"/>
          <w:noProof/>
          <w:lang w:eastAsia="hr-HR"/>
        </w:rPr>
      </w:pPr>
      <w:hyperlink w:anchor="_Toc123211704" w:history="1">
        <w:r w:rsidR="00D058ED" w:rsidRPr="00157FF2">
          <w:rPr>
            <w:rStyle w:val="Hiperveza"/>
            <w:noProof/>
          </w:rPr>
          <w:t>15.</w:t>
        </w:r>
        <w:r w:rsidR="00D058ED">
          <w:rPr>
            <w:rFonts w:eastAsiaTheme="minorEastAsia"/>
            <w:caps w:val="0"/>
            <w:noProof/>
            <w:lang w:eastAsia="hr-HR"/>
          </w:rPr>
          <w:tab/>
        </w:r>
        <w:r w:rsidR="00D058ED" w:rsidRPr="00157FF2">
          <w:rPr>
            <w:rStyle w:val="Hiperveza"/>
            <w:noProof/>
          </w:rPr>
          <w:t>PROGRAM SPRJEČAVANJA NASTANKA OTPADA</w:t>
        </w:r>
        <w:r w:rsidR="00D058ED">
          <w:rPr>
            <w:noProof/>
            <w:webHidden/>
          </w:rPr>
          <w:tab/>
        </w:r>
        <w:r w:rsidR="00D058ED">
          <w:rPr>
            <w:noProof/>
            <w:webHidden/>
          </w:rPr>
          <w:fldChar w:fldCharType="begin"/>
        </w:r>
        <w:r w:rsidR="00D058ED">
          <w:rPr>
            <w:noProof/>
            <w:webHidden/>
          </w:rPr>
          <w:instrText xml:space="preserve"> PAGEREF _Toc123211704 \h </w:instrText>
        </w:r>
        <w:r w:rsidR="00D058ED">
          <w:rPr>
            <w:noProof/>
            <w:webHidden/>
          </w:rPr>
        </w:r>
        <w:r w:rsidR="00D058ED">
          <w:rPr>
            <w:noProof/>
            <w:webHidden/>
          </w:rPr>
          <w:fldChar w:fldCharType="separate"/>
        </w:r>
        <w:r w:rsidR="00F37B62">
          <w:rPr>
            <w:noProof/>
            <w:webHidden/>
          </w:rPr>
          <w:t>192</w:t>
        </w:r>
        <w:r w:rsidR="00D058ED">
          <w:rPr>
            <w:noProof/>
            <w:webHidden/>
          </w:rPr>
          <w:fldChar w:fldCharType="end"/>
        </w:r>
      </w:hyperlink>
    </w:p>
    <w:p w14:paraId="0C62BDD7" w14:textId="12753ABE" w:rsidR="00D058ED" w:rsidRDefault="00000000">
      <w:pPr>
        <w:pStyle w:val="Sadraj2"/>
        <w:rPr>
          <w:rFonts w:eastAsiaTheme="minorEastAsia"/>
          <w:noProof/>
          <w:lang w:eastAsia="hr-HR"/>
        </w:rPr>
      </w:pPr>
      <w:hyperlink w:anchor="_Toc123211705" w:history="1">
        <w:r w:rsidR="00D058ED" w:rsidRPr="00157FF2">
          <w:rPr>
            <w:rStyle w:val="Hiperveza"/>
            <w:rFonts w:cstheme="minorHAnsi"/>
            <w:noProof/>
          </w:rPr>
          <w:t>15.1. Uvod</w:t>
        </w:r>
        <w:r w:rsidR="00D058ED">
          <w:rPr>
            <w:noProof/>
            <w:webHidden/>
          </w:rPr>
          <w:tab/>
        </w:r>
        <w:r w:rsidR="00D058ED">
          <w:rPr>
            <w:noProof/>
            <w:webHidden/>
          </w:rPr>
          <w:fldChar w:fldCharType="begin"/>
        </w:r>
        <w:r w:rsidR="00D058ED">
          <w:rPr>
            <w:noProof/>
            <w:webHidden/>
          </w:rPr>
          <w:instrText xml:space="preserve"> PAGEREF _Toc123211705 \h </w:instrText>
        </w:r>
        <w:r w:rsidR="00D058ED">
          <w:rPr>
            <w:noProof/>
            <w:webHidden/>
          </w:rPr>
        </w:r>
        <w:r w:rsidR="00D058ED">
          <w:rPr>
            <w:noProof/>
            <w:webHidden/>
          </w:rPr>
          <w:fldChar w:fldCharType="separate"/>
        </w:r>
        <w:r w:rsidR="00F37B62">
          <w:rPr>
            <w:noProof/>
            <w:webHidden/>
          </w:rPr>
          <w:t>192</w:t>
        </w:r>
        <w:r w:rsidR="00D058ED">
          <w:rPr>
            <w:noProof/>
            <w:webHidden/>
          </w:rPr>
          <w:fldChar w:fldCharType="end"/>
        </w:r>
      </w:hyperlink>
    </w:p>
    <w:p w14:paraId="4319A225" w14:textId="66E695BF" w:rsidR="00D058ED" w:rsidRDefault="00000000">
      <w:pPr>
        <w:pStyle w:val="Sadraj2"/>
        <w:rPr>
          <w:rFonts w:eastAsiaTheme="minorEastAsia"/>
          <w:noProof/>
          <w:lang w:eastAsia="hr-HR"/>
        </w:rPr>
      </w:pPr>
      <w:hyperlink w:anchor="_Toc123211706" w:history="1">
        <w:r w:rsidR="00D058ED" w:rsidRPr="00157FF2">
          <w:rPr>
            <w:rStyle w:val="Hiperveza"/>
            <w:rFonts w:cstheme="minorHAnsi"/>
            <w:noProof/>
          </w:rPr>
          <w:t>15.2. Europski Planovi i Strategije</w:t>
        </w:r>
        <w:r w:rsidR="00D058ED">
          <w:rPr>
            <w:noProof/>
            <w:webHidden/>
          </w:rPr>
          <w:tab/>
        </w:r>
        <w:r w:rsidR="00D058ED">
          <w:rPr>
            <w:noProof/>
            <w:webHidden/>
          </w:rPr>
          <w:fldChar w:fldCharType="begin"/>
        </w:r>
        <w:r w:rsidR="00D058ED">
          <w:rPr>
            <w:noProof/>
            <w:webHidden/>
          </w:rPr>
          <w:instrText xml:space="preserve"> PAGEREF _Toc123211706 \h </w:instrText>
        </w:r>
        <w:r w:rsidR="00D058ED">
          <w:rPr>
            <w:noProof/>
            <w:webHidden/>
          </w:rPr>
        </w:r>
        <w:r w:rsidR="00D058ED">
          <w:rPr>
            <w:noProof/>
            <w:webHidden/>
          </w:rPr>
          <w:fldChar w:fldCharType="separate"/>
        </w:r>
        <w:r w:rsidR="00F37B62">
          <w:rPr>
            <w:noProof/>
            <w:webHidden/>
          </w:rPr>
          <w:t>194</w:t>
        </w:r>
        <w:r w:rsidR="00D058ED">
          <w:rPr>
            <w:noProof/>
            <w:webHidden/>
          </w:rPr>
          <w:fldChar w:fldCharType="end"/>
        </w:r>
      </w:hyperlink>
    </w:p>
    <w:p w14:paraId="496E4963" w14:textId="55253DDA" w:rsidR="00D058ED" w:rsidRDefault="00000000">
      <w:pPr>
        <w:pStyle w:val="Sadraj2"/>
        <w:rPr>
          <w:rFonts w:eastAsiaTheme="minorEastAsia"/>
          <w:noProof/>
          <w:lang w:eastAsia="hr-HR"/>
        </w:rPr>
      </w:pPr>
      <w:hyperlink w:anchor="_Toc123211707" w:history="1">
        <w:r w:rsidR="00D058ED" w:rsidRPr="00157FF2">
          <w:rPr>
            <w:rStyle w:val="Hiperveza"/>
            <w:noProof/>
          </w:rPr>
          <w:t>15.3. Analiza stanja na području sprječavanja nastanka otpada</w:t>
        </w:r>
        <w:r w:rsidR="00D058ED">
          <w:rPr>
            <w:noProof/>
            <w:webHidden/>
          </w:rPr>
          <w:tab/>
        </w:r>
        <w:r w:rsidR="00D058ED">
          <w:rPr>
            <w:noProof/>
            <w:webHidden/>
          </w:rPr>
          <w:fldChar w:fldCharType="begin"/>
        </w:r>
        <w:r w:rsidR="00D058ED">
          <w:rPr>
            <w:noProof/>
            <w:webHidden/>
          </w:rPr>
          <w:instrText xml:space="preserve"> PAGEREF _Toc123211707 \h </w:instrText>
        </w:r>
        <w:r w:rsidR="00D058ED">
          <w:rPr>
            <w:noProof/>
            <w:webHidden/>
          </w:rPr>
        </w:r>
        <w:r w:rsidR="00D058ED">
          <w:rPr>
            <w:noProof/>
            <w:webHidden/>
          </w:rPr>
          <w:fldChar w:fldCharType="separate"/>
        </w:r>
        <w:r w:rsidR="00F37B62">
          <w:rPr>
            <w:noProof/>
            <w:webHidden/>
          </w:rPr>
          <w:t>196</w:t>
        </w:r>
        <w:r w:rsidR="00D058ED">
          <w:rPr>
            <w:noProof/>
            <w:webHidden/>
          </w:rPr>
          <w:fldChar w:fldCharType="end"/>
        </w:r>
      </w:hyperlink>
    </w:p>
    <w:p w14:paraId="2702315C" w14:textId="177602A0" w:rsidR="00D058ED" w:rsidRDefault="00000000">
      <w:pPr>
        <w:pStyle w:val="Sadraj2"/>
        <w:rPr>
          <w:rFonts w:eastAsiaTheme="minorEastAsia"/>
          <w:noProof/>
          <w:lang w:eastAsia="hr-HR"/>
        </w:rPr>
      </w:pPr>
      <w:hyperlink w:anchor="_Toc123211708" w:history="1">
        <w:r w:rsidR="00D058ED" w:rsidRPr="00157FF2">
          <w:rPr>
            <w:rStyle w:val="Hiperveza"/>
            <w:rFonts w:cstheme="minorHAnsi"/>
            <w:noProof/>
          </w:rPr>
          <w:t>15.4. Postojeće mjere i njihov doprinos sprječavanju nastanka otpada</w:t>
        </w:r>
        <w:r w:rsidR="00D058ED">
          <w:rPr>
            <w:noProof/>
            <w:webHidden/>
          </w:rPr>
          <w:tab/>
        </w:r>
        <w:r w:rsidR="00D058ED">
          <w:rPr>
            <w:noProof/>
            <w:webHidden/>
          </w:rPr>
          <w:fldChar w:fldCharType="begin"/>
        </w:r>
        <w:r w:rsidR="00D058ED">
          <w:rPr>
            <w:noProof/>
            <w:webHidden/>
          </w:rPr>
          <w:instrText xml:space="preserve"> PAGEREF _Toc123211708 \h </w:instrText>
        </w:r>
        <w:r w:rsidR="00D058ED">
          <w:rPr>
            <w:noProof/>
            <w:webHidden/>
          </w:rPr>
        </w:r>
        <w:r w:rsidR="00D058ED">
          <w:rPr>
            <w:noProof/>
            <w:webHidden/>
          </w:rPr>
          <w:fldChar w:fldCharType="separate"/>
        </w:r>
        <w:r w:rsidR="00F37B62">
          <w:rPr>
            <w:noProof/>
            <w:webHidden/>
          </w:rPr>
          <w:t>197</w:t>
        </w:r>
        <w:r w:rsidR="00D058ED">
          <w:rPr>
            <w:noProof/>
            <w:webHidden/>
          </w:rPr>
          <w:fldChar w:fldCharType="end"/>
        </w:r>
      </w:hyperlink>
    </w:p>
    <w:p w14:paraId="1A2C5A76" w14:textId="747C9723" w:rsidR="00D058ED" w:rsidRDefault="00000000">
      <w:pPr>
        <w:pStyle w:val="Sadraj3"/>
        <w:rPr>
          <w:rFonts w:eastAsiaTheme="minorEastAsia"/>
          <w:noProof/>
          <w:lang w:eastAsia="hr-HR"/>
        </w:rPr>
      </w:pPr>
      <w:hyperlink w:anchor="_Toc123211709" w:history="1">
        <w:r w:rsidR="00D058ED" w:rsidRPr="00157FF2">
          <w:rPr>
            <w:rStyle w:val="Hiperveza"/>
            <w:noProof/>
          </w:rPr>
          <w:t>15.4.1. Provedba mjera planiranja i drugih ekonomskih instrumenata kojima se promiče učinkovita uporaba resursa i odgovornije ponašanje potrošača prema okolišu</w:t>
        </w:r>
        <w:r w:rsidR="00D058ED">
          <w:rPr>
            <w:noProof/>
            <w:webHidden/>
          </w:rPr>
          <w:tab/>
        </w:r>
        <w:r w:rsidR="00D058ED">
          <w:rPr>
            <w:noProof/>
            <w:webHidden/>
          </w:rPr>
          <w:fldChar w:fldCharType="begin"/>
        </w:r>
        <w:r w:rsidR="00D058ED">
          <w:rPr>
            <w:noProof/>
            <w:webHidden/>
          </w:rPr>
          <w:instrText xml:space="preserve"> PAGEREF _Toc123211709 \h </w:instrText>
        </w:r>
        <w:r w:rsidR="00D058ED">
          <w:rPr>
            <w:noProof/>
            <w:webHidden/>
          </w:rPr>
        </w:r>
        <w:r w:rsidR="00D058ED">
          <w:rPr>
            <w:noProof/>
            <w:webHidden/>
          </w:rPr>
          <w:fldChar w:fldCharType="separate"/>
        </w:r>
        <w:r w:rsidR="00F37B62">
          <w:rPr>
            <w:noProof/>
            <w:webHidden/>
          </w:rPr>
          <w:t>197</w:t>
        </w:r>
        <w:r w:rsidR="00D058ED">
          <w:rPr>
            <w:noProof/>
            <w:webHidden/>
          </w:rPr>
          <w:fldChar w:fldCharType="end"/>
        </w:r>
      </w:hyperlink>
    </w:p>
    <w:p w14:paraId="329711A6" w14:textId="3F5249B4" w:rsidR="00D058ED" w:rsidRDefault="00000000">
      <w:pPr>
        <w:pStyle w:val="Sadraj3"/>
        <w:rPr>
          <w:rFonts w:eastAsiaTheme="minorEastAsia"/>
          <w:noProof/>
          <w:lang w:eastAsia="hr-HR"/>
        </w:rPr>
      </w:pPr>
      <w:hyperlink w:anchor="_Toc123211710" w:history="1">
        <w:r w:rsidR="00D058ED" w:rsidRPr="00157FF2">
          <w:rPr>
            <w:rStyle w:val="Hiperveza"/>
            <w:rFonts w:cstheme="minorHAnsi"/>
            <w:noProof/>
          </w:rPr>
          <w:t>15.4.2. Unaprjeđenje praćenja učinkovitosti mjera sprječavanja nastanka otpada</w:t>
        </w:r>
        <w:r w:rsidR="00D058ED">
          <w:rPr>
            <w:noProof/>
            <w:webHidden/>
          </w:rPr>
          <w:tab/>
        </w:r>
        <w:r w:rsidR="00D058ED">
          <w:rPr>
            <w:noProof/>
            <w:webHidden/>
          </w:rPr>
          <w:fldChar w:fldCharType="begin"/>
        </w:r>
        <w:r w:rsidR="00D058ED">
          <w:rPr>
            <w:noProof/>
            <w:webHidden/>
          </w:rPr>
          <w:instrText xml:space="preserve"> PAGEREF _Toc123211710 \h </w:instrText>
        </w:r>
        <w:r w:rsidR="00D058ED">
          <w:rPr>
            <w:noProof/>
            <w:webHidden/>
          </w:rPr>
        </w:r>
        <w:r w:rsidR="00D058ED">
          <w:rPr>
            <w:noProof/>
            <w:webHidden/>
          </w:rPr>
          <w:fldChar w:fldCharType="separate"/>
        </w:r>
        <w:r w:rsidR="00F37B62">
          <w:rPr>
            <w:noProof/>
            <w:webHidden/>
          </w:rPr>
          <w:t>200</w:t>
        </w:r>
        <w:r w:rsidR="00D058ED">
          <w:rPr>
            <w:noProof/>
            <w:webHidden/>
          </w:rPr>
          <w:fldChar w:fldCharType="end"/>
        </w:r>
      </w:hyperlink>
    </w:p>
    <w:p w14:paraId="688CCA4B" w14:textId="4FDE46ED" w:rsidR="00D058ED" w:rsidRDefault="00000000">
      <w:pPr>
        <w:pStyle w:val="Sadraj3"/>
        <w:rPr>
          <w:rFonts w:eastAsiaTheme="minorEastAsia"/>
          <w:noProof/>
          <w:lang w:eastAsia="hr-HR"/>
        </w:rPr>
      </w:pPr>
      <w:hyperlink w:anchor="_Toc123211711" w:history="1">
        <w:r w:rsidR="00D058ED" w:rsidRPr="00157FF2">
          <w:rPr>
            <w:rStyle w:val="Hiperveza"/>
            <w:rFonts w:cstheme="minorHAnsi"/>
            <w:noProof/>
          </w:rPr>
          <w:t>15.4.3. Promicanje provjerenih eko-oznaka i sustava za gospodarenje okolišem</w:t>
        </w:r>
        <w:r w:rsidR="00D058ED">
          <w:rPr>
            <w:noProof/>
            <w:webHidden/>
          </w:rPr>
          <w:tab/>
        </w:r>
        <w:r w:rsidR="00D058ED">
          <w:rPr>
            <w:noProof/>
            <w:webHidden/>
          </w:rPr>
          <w:fldChar w:fldCharType="begin"/>
        </w:r>
        <w:r w:rsidR="00D058ED">
          <w:rPr>
            <w:noProof/>
            <w:webHidden/>
          </w:rPr>
          <w:instrText xml:space="preserve"> PAGEREF _Toc123211711 \h </w:instrText>
        </w:r>
        <w:r w:rsidR="00D058ED">
          <w:rPr>
            <w:noProof/>
            <w:webHidden/>
          </w:rPr>
        </w:r>
        <w:r w:rsidR="00D058ED">
          <w:rPr>
            <w:noProof/>
            <w:webHidden/>
          </w:rPr>
          <w:fldChar w:fldCharType="separate"/>
        </w:r>
        <w:r w:rsidR="00F37B62">
          <w:rPr>
            <w:noProof/>
            <w:webHidden/>
          </w:rPr>
          <w:t>201</w:t>
        </w:r>
        <w:r w:rsidR="00D058ED">
          <w:rPr>
            <w:noProof/>
            <w:webHidden/>
          </w:rPr>
          <w:fldChar w:fldCharType="end"/>
        </w:r>
      </w:hyperlink>
    </w:p>
    <w:p w14:paraId="7C3999E6" w14:textId="31BDF3A1" w:rsidR="00D058ED" w:rsidRDefault="00000000">
      <w:pPr>
        <w:pStyle w:val="Sadraj3"/>
        <w:rPr>
          <w:rFonts w:eastAsiaTheme="minorEastAsia"/>
          <w:noProof/>
          <w:lang w:eastAsia="hr-HR"/>
        </w:rPr>
      </w:pPr>
      <w:hyperlink w:anchor="_Toc123211712" w:history="1">
        <w:r w:rsidR="00D058ED" w:rsidRPr="00157FF2">
          <w:rPr>
            <w:rStyle w:val="Hiperveza"/>
            <w:rFonts w:cstheme="minorHAnsi"/>
            <w:noProof/>
          </w:rPr>
          <w:t>15.4.4. Zelena i održiva javna nabava</w:t>
        </w:r>
        <w:r w:rsidR="00D058ED">
          <w:rPr>
            <w:noProof/>
            <w:webHidden/>
          </w:rPr>
          <w:tab/>
        </w:r>
        <w:r w:rsidR="00D058ED">
          <w:rPr>
            <w:noProof/>
            <w:webHidden/>
          </w:rPr>
          <w:fldChar w:fldCharType="begin"/>
        </w:r>
        <w:r w:rsidR="00D058ED">
          <w:rPr>
            <w:noProof/>
            <w:webHidden/>
          </w:rPr>
          <w:instrText xml:space="preserve"> PAGEREF _Toc123211712 \h </w:instrText>
        </w:r>
        <w:r w:rsidR="00D058ED">
          <w:rPr>
            <w:noProof/>
            <w:webHidden/>
          </w:rPr>
        </w:r>
        <w:r w:rsidR="00D058ED">
          <w:rPr>
            <w:noProof/>
            <w:webHidden/>
          </w:rPr>
          <w:fldChar w:fldCharType="separate"/>
        </w:r>
        <w:r w:rsidR="00F37B62">
          <w:rPr>
            <w:noProof/>
            <w:webHidden/>
          </w:rPr>
          <w:t>202</w:t>
        </w:r>
        <w:r w:rsidR="00D058ED">
          <w:rPr>
            <w:noProof/>
            <w:webHidden/>
          </w:rPr>
          <w:fldChar w:fldCharType="end"/>
        </w:r>
      </w:hyperlink>
    </w:p>
    <w:p w14:paraId="48D21A05" w14:textId="0AD334D7" w:rsidR="00D058ED" w:rsidRDefault="00000000">
      <w:pPr>
        <w:pStyle w:val="Sadraj3"/>
        <w:rPr>
          <w:rFonts w:eastAsiaTheme="minorEastAsia"/>
          <w:noProof/>
          <w:lang w:eastAsia="hr-HR"/>
        </w:rPr>
      </w:pPr>
      <w:hyperlink w:anchor="_Toc123211713" w:history="1">
        <w:r w:rsidR="00D058ED" w:rsidRPr="00157FF2">
          <w:rPr>
            <w:rStyle w:val="Hiperveza"/>
            <w:rFonts w:cstheme="minorHAnsi"/>
            <w:noProof/>
          </w:rPr>
          <w:t>15.4.5. Provedba izobrazno-informativnih aktivnosti i unaprjeđenje dostupnosti i transparentnosti informacijama o sprječavanju nastanka otpada</w:t>
        </w:r>
        <w:r w:rsidR="00D058ED">
          <w:rPr>
            <w:noProof/>
            <w:webHidden/>
          </w:rPr>
          <w:tab/>
        </w:r>
        <w:r w:rsidR="00D058ED">
          <w:rPr>
            <w:noProof/>
            <w:webHidden/>
          </w:rPr>
          <w:fldChar w:fldCharType="begin"/>
        </w:r>
        <w:r w:rsidR="00D058ED">
          <w:rPr>
            <w:noProof/>
            <w:webHidden/>
          </w:rPr>
          <w:instrText xml:space="preserve"> PAGEREF _Toc123211713 \h </w:instrText>
        </w:r>
        <w:r w:rsidR="00D058ED">
          <w:rPr>
            <w:noProof/>
            <w:webHidden/>
          </w:rPr>
        </w:r>
        <w:r w:rsidR="00D058ED">
          <w:rPr>
            <w:noProof/>
            <w:webHidden/>
          </w:rPr>
          <w:fldChar w:fldCharType="separate"/>
        </w:r>
        <w:r w:rsidR="00F37B62">
          <w:rPr>
            <w:noProof/>
            <w:webHidden/>
          </w:rPr>
          <w:t>203</w:t>
        </w:r>
        <w:r w:rsidR="00D058ED">
          <w:rPr>
            <w:noProof/>
            <w:webHidden/>
          </w:rPr>
          <w:fldChar w:fldCharType="end"/>
        </w:r>
      </w:hyperlink>
    </w:p>
    <w:p w14:paraId="3F3D0942" w14:textId="5E7A39B4" w:rsidR="00D058ED" w:rsidRDefault="00000000">
      <w:pPr>
        <w:pStyle w:val="Sadraj3"/>
        <w:rPr>
          <w:rFonts w:eastAsiaTheme="minorEastAsia"/>
          <w:noProof/>
          <w:lang w:eastAsia="hr-HR"/>
        </w:rPr>
      </w:pPr>
      <w:hyperlink w:anchor="_Toc123211714" w:history="1">
        <w:r w:rsidR="00D058ED" w:rsidRPr="00157FF2">
          <w:rPr>
            <w:rStyle w:val="Hiperveza"/>
            <w:rFonts w:cstheme="minorHAnsi"/>
            <w:noProof/>
          </w:rPr>
          <w:t>15.4.6. Promicanje ponovne uporabe i/ili popravka odgovarajućih odbačenih proizvoda ili njihovih sastavnih dijelova</w:t>
        </w:r>
        <w:r w:rsidR="00D058ED">
          <w:rPr>
            <w:noProof/>
            <w:webHidden/>
          </w:rPr>
          <w:tab/>
        </w:r>
        <w:r w:rsidR="00D058ED">
          <w:rPr>
            <w:noProof/>
            <w:webHidden/>
          </w:rPr>
          <w:fldChar w:fldCharType="begin"/>
        </w:r>
        <w:r w:rsidR="00D058ED">
          <w:rPr>
            <w:noProof/>
            <w:webHidden/>
          </w:rPr>
          <w:instrText xml:space="preserve"> PAGEREF _Toc123211714 \h </w:instrText>
        </w:r>
        <w:r w:rsidR="00D058ED">
          <w:rPr>
            <w:noProof/>
            <w:webHidden/>
          </w:rPr>
        </w:r>
        <w:r w:rsidR="00D058ED">
          <w:rPr>
            <w:noProof/>
            <w:webHidden/>
          </w:rPr>
          <w:fldChar w:fldCharType="separate"/>
        </w:r>
        <w:r w:rsidR="00F37B62">
          <w:rPr>
            <w:noProof/>
            <w:webHidden/>
          </w:rPr>
          <w:t>206</w:t>
        </w:r>
        <w:r w:rsidR="00D058ED">
          <w:rPr>
            <w:noProof/>
            <w:webHidden/>
          </w:rPr>
          <w:fldChar w:fldCharType="end"/>
        </w:r>
      </w:hyperlink>
    </w:p>
    <w:p w14:paraId="239901D8" w14:textId="572C8017" w:rsidR="00D058ED" w:rsidRDefault="00000000">
      <w:pPr>
        <w:pStyle w:val="Sadraj2"/>
        <w:rPr>
          <w:rFonts w:eastAsiaTheme="minorEastAsia"/>
          <w:noProof/>
          <w:lang w:eastAsia="hr-HR"/>
        </w:rPr>
      </w:pPr>
      <w:hyperlink w:anchor="_Toc123211715" w:history="1">
        <w:r w:rsidR="00D058ED" w:rsidRPr="00157FF2">
          <w:rPr>
            <w:rStyle w:val="Hiperveza"/>
            <w:noProof/>
          </w:rPr>
          <w:t>15.5. Ciljevi i prioriteti</w:t>
        </w:r>
        <w:r w:rsidR="00D058ED">
          <w:rPr>
            <w:noProof/>
            <w:webHidden/>
          </w:rPr>
          <w:tab/>
        </w:r>
        <w:r w:rsidR="00D058ED">
          <w:rPr>
            <w:noProof/>
            <w:webHidden/>
          </w:rPr>
          <w:fldChar w:fldCharType="begin"/>
        </w:r>
        <w:r w:rsidR="00D058ED">
          <w:rPr>
            <w:noProof/>
            <w:webHidden/>
          </w:rPr>
          <w:instrText xml:space="preserve"> PAGEREF _Toc123211715 \h </w:instrText>
        </w:r>
        <w:r w:rsidR="00D058ED">
          <w:rPr>
            <w:noProof/>
            <w:webHidden/>
          </w:rPr>
        </w:r>
        <w:r w:rsidR="00D058ED">
          <w:rPr>
            <w:noProof/>
            <w:webHidden/>
          </w:rPr>
          <w:fldChar w:fldCharType="separate"/>
        </w:r>
        <w:r w:rsidR="00F37B62">
          <w:rPr>
            <w:noProof/>
            <w:webHidden/>
          </w:rPr>
          <w:t>207</w:t>
        </w:r>
        <w:r w:rsidR="00D058ED">
          <w:rPr>
            <w:noProof/>
            <w:webHidden/>
          </w:rPr>
          <w:fldChar w:fldCharType="end"/>
        </w:r>
      </w:hyperlink>
    </w:p>
    <w:p w14:paraId="3FE87F47" w14:textId="294DB99A" w:rsidR="00D058ED" w:rsidRDefault="00000000">
      <w:pPr>
        <w:pStyle w:val="Sadraj2"/>
        <w:rPr>
          <w:rFonts w:eastAsiaTheme="minorEastAsia"/>
          <w:noProof/>
          <w:lang w:eastAsia="hr-HR"/>
        </w:rPr>
      </w:pPr>
      <w:hyperlink w:anchor="_Toc123211716" w:history="1">
        <w:r w:rsidR="00D058ED" w:rsidRPr="00157FF2">
          <w:rPr>
            <w:rStyle w:val="Hiperveza"/>
            <w:rFonts w:cstheme="minorHAnsi"/>
            <w:noProof/>
          </w:rPr>
          <w:t>15.6. Uvod</w:t>
        </w:r>
        <w:r w:rsidR="00D058ED">
          <w:rPr>
            <w:noProof/>
            <w:webHidden/>
          </w:rPr>
          <w:tab/>
        </w:r>
        <w:r w:rsidR="00D058ED">
          <w:rPr>
            <w:noProof/>
            <w:webHidden/>
          </w:rPr>
          <w:fldChar w:fldCharType="begin"/>
        </w:r>
        <w:r w:rsidR="00D058ED">
          <w:rPr>
            <w:noProof/>
            <w:webHidden/>
          </w:rPr>
          <w:instrText xml:space="preserve"> PAGEREF _Toc123211716 \h </w:instrText>
        </w:r>
        <w:r w:rsidR="00D058ED">
          <w:rPr>
            <w:noProof/>
            <w:webHidden/>
          </w:rPr>
        </w:r>
        <w:r w:rsidR="00D058ED">
          <w:rPr>
            <w:noProof/>
            <w:webHidden/>
          </w:rPr>
          <w:fldChar w:fldCharType="separate"/>
        </w:r>
        <w:r w:rsidR="00F37B62">
          <w:rPr>
            <w:noProof/>
            <w:webHidden/>
          </w:rPr>
          <w:t>207</w:t>
        </w:r>
        <w:r w:rsidR="00D058ED">
          <w:rPr>
            <w:noProof/>
            <w:webHidden/>
          </w:rPr>
          <w:fldChar w:fldCharType="end"/>
        </w:r>
      </w:hyperlink>
    </w:p>
    <w:p w14:paraId="5567AF64" w14:textId="2218752B" w:rsidR="00D058ED" w:rsidRDefault="00000000">
      <w:pPr>
        <w:pStyle w:val="Sadraj3"/>
        <w:rPr>
          <w:rFonts w:eastAsiaTheme="minorEastAsia"/>
          <w:noProof/>
          <w:lang w:eastAsia="hr-HR"/>
        </w:rPr>
      </w:pPr>
      <w:hyperlink w:anchor="_Toc123211717" w:history="1">
        <w:r w:rsidR="00D058ED" w:rsidRPr="00157FF2">
          <w:rPr>
            <w:rStyle w:val="Hiperveza"/>
            <w:noProof/>
          </w:rPr>
          <w:t>15.6.1. Specifični ciljevi</w:t>
        </w:r>
        <w:r w:rsidR="00D058ED">
          <w:rPr>
            <w:noProof/>
            <w:webHidden/>
          </w:rPr>
          <w:tab/>
        </w:r>
        <w:r w:rsidR="00D058ED">
          <w:rPr>
            <w:noProof/>
            <w:webHidden/>
          </w:rPr>
          <w:fldChar w:fldCharType="begin"/>
        </w:r>
        <w:r w:rsidR="00D058ED">
          <w:rPr>
            <w:noProof/>
            <w:webHidden/>
          </w:rPr>
          <w:instrText xml:space="preserve"> PAGEREF _Toc123211717 \h </w:instrText>
        </w:r>
        <w:r w:rsidR="00D058ED">
          <w:rPr>
            <w:noProof/>
            <w:webHidden/>
          </w:rPr>
        </w:r>
        <w:r w:rsidR="00D058ED">
          <w:rPr>
            <w:noProof/>
            <w:webHidden/>
          </w:rPr>
          <w:fldChar w:fldCharType="separate"/>
        </w:r>
        <w:r w:rsidR="00F37B62">
          <w:rPr>
            <w:noProof/>
            <w:webHidden/>
          </w:rPr>
          <w:t>207</w:t>
        </w:r>
        <w:r w:rsidR="00D058ED">
          <w:rPr>
            <w:noProof/>
            <w:webHidden/>
          </w:rPr>
          <w:fldChar w:fldCharType="end"/>
        </w:r>
      </w:hyperlink>
    </w:p>
    <w:p w14:paraId="05C07F0D" w14:textId="6B0E9119" w:rsidR="00D058ED" w:rsidRDefault="00000000">
      <w:pPr>
        <w:pStyle w:val="Sadraj3"/>
        <w:rPr>
          <w:rFonts w:eastAsiaTheme="minorEastAsia"/>
          <w:noProof/>
          <w:lang w:eastAsia="hr-HR"/>
        </w:rPr>
      </w:pPr>
      <w:hyperlink w:anchor="_Toc123211718" w:history="1">
        <w:r w:rsidR="00D058ED" w:rsidRPr="00157FF2">
          <w:rPr>
            <w:rStyle w:val="Hiperveza"/>
            <w:rFonts w:cstheme="minorHAnsi"/>
            <w:noProof/>
          </w:rPr>
          <w:t>15.6.2. Sprječavanje nastanka komunalnog otpada</w:t>
        </w:r>
        <w:r w:rsidR="00D058ED">
          <w:rPr>
            <w:noProof/>
            <w:webHidden/>
          </w:rPr>
          <w:tab/>
        </w:r>
        <w:r w:rsidR="00D058ED">
          <w:rPr>
            <w:noProof/>
            <w:webHidden/>
          </w:rPr>
          <w:fldChar w:fldCharType="begin"/>
        </w:r>
        <w:r w:rsidR="00D058ED">
          <w:rPr>
            <w:noProof/>
            <w:webHidden/>
          </w:rPr>
          <w:instrText xml:space="preserve"> PAGEREF _Toc123211718 \h </w:instrText>
        </w:r>
        <w:r w:rsidR="00D058ED">
          <w:rPr>
            <w:noProof/>
            <w:webHidden/>
          </w:rPr>
        </w:r>
        <w:r w:rsidR="00D058ED">
          <w:rPr>
            <w:noProof/>
            <w:webHidden/>
          </w:rPr>
          <w:fldChar w:fldCharType="separate"/>
        </w:r>
        <w:r w:rsidR="00F37B62">
          <w:rPr>
            <w:noProof/>
            <w:webHidden/>
          </w:rPr>
          <w:t>208</w:t>
        </w:r>
        <w:r w:rsidR="00D058ED">
          <w:rPr>
            <w:noProof/>
            <w:webHidden/>
          </w:rPr>
          <w:fldChar w:fldCharType="end"/>
        </w:r>
      </w:hyperlink>
    </w:p>
    <w:p w14:paraId="44D6C288" w14:textId="6B6899D0" w:rsidR="00D058ED" w:rsidRDefault="00000000">
      <w:pPr>
        <w:pStyle w:val="Sadraj3"/>
        <w:rPr>
          <w:rFonts w:eastAsiaTheme="minorEastAsia"/>
          <w:noProof/>
          <w:lang w:eastAsia="hr-HR"/>
        </w:rPr>
      </w:pPr>
      <w:hyperlink w:anchor="_Toc123211719" w:history="1">
        <w:r w:rsidR="00D058ED" w:rsidRPr="00157FF2">
          <w:rPr>
            <w:rStyle w:val="Hiperveza"/>
            <w:rFonts w:cstheme="minorHAnsi"/>
            <w:noProof/>
          </w:rPr>
          <w:t>15.6.3. Sprječavanje nastanka biootpada</w:t>
        </w:r>
        <w:r w:rsidR="00D058ED">
          <w:rPr>
            <w:noProof/>
            <w:webHidden/>
          </w:rPr>
          <w:tab/>
        </w:r>
        <w:r w:rsidR="00D058ED">
          <w:rPr>
            <w:noProof/>
            <w:webHidden/>
          </w:rPr>
          <w:fldChar w:fldCharType="begin"/>
        </w:r>
        <w:r w:rsidR="00D058ED">
          <w:rPr>
            <w:noProof/>
            <w:webHidden/>
          </w:rPr>
          <w:instrText xml:space="preserve"> PAGEREF _Toc123211719 \h </w:instrText>
        </w:r>
        <w:r w:rsidR="00D058ED">
          <w:rPr>
            <w:noProof/>
            <w:webHidden/>
          </w:rPr>
        </w:r>
        <w:r w:rsidR="00D058ED">
          <w:rPr>
            <w:noProof/>
            <w:webHidden/>
          </w:rPr>
          <w:fldChar w:fldCharType="separate"/>
        </w:r>
        <w:r w:rsidR="00F37B62">
          <w:rPr>
            <w:noProof/>
            <w:webHidden/>
          </w:rPr>
          <w:t>209</w:t>
        </w:r>
        <w:r w:rsidR="00D058ED">
          <w:rPr>
            <w:noProof/>
            <w:webHidden/>
          </w:rPr>
          <w:fldChar w:fldCharType="end"/>
        </w:r>
      </w:hyperlink>
    </w:p>
    <w:p w14:paraId="7DF1A6B5" w14:textId="3B542C0E" w:rsidR="00D058ED" w:rsidRDefault="00000000">
      <w:pPr>
        <w:pStyle w:val="Sadraj3"/>
        <w:rPr>
          <w:rFonts w:eastAsiaTheme="minorEastAsia"/>
          <w:noProof/>
          <w:lang w:eastAsia="hr-HR"/>
        </w:rPr>
      </w:pPr>
      <w:hyperlink w:anchor="_Toc123211720" w:history="1">
        <w:r w:rsidR="00D058ED" w:rsidRPr="00157FF2">
          <w:rPr>
            <w:rStyle w:val="Hiperveza"/>
            <w:rFonts w:cstheme="minorHAnsi"/>
            <w:noProof/>
          </w:rPr>
          <w:t>15.6.4. Sprječavanje nastanka električnog i elektroničkog otpada</w:t>
        </w:r>
        <w:r w:rsidR="00D058ED">
          <w:rPr>
            <w:noProof/>
            <w:webHidden/>
          </w:rPr>
          <w:tab/>
        </w:r>
        <w:r w:rsidR="00D058ED">
          <w:rPr>
            <w:noProof/>
            <w:webHidden/>
          </w:rPr>
          <w:fldChar w:fldCharType="begin"/>
        </w:r>
        <w:r w:rsidR="00D058ED">
          <w:rPr>
            <w:noProof/>
            <w:webHidden/>
          </w:rPr>
          <w:instrText xml:space="preserve"> PAGEREF _Toc123211720 \h </w:instrText>
        </w:r>
        <w:r w:rsidR="00D058ED">
          <w:rPr>
            <w:noProof/>
            <w:webHidden/>
          </w:rPr>
        </w:r>
        <w:r w:rsidR="00D058ED">
          <w:rPr>
            <w:noProof/>
            <w:webHidden/>
          </w:rPr>
          <w:fldChar w:fldCharType="separate"/>
        </w:r>
        <w:r w:rsidR="00F37B62">
          <w:rPr>
            <w:noProof/>
            <w:webHidden/>
          </w:rPr>
          <w:t>209</w:t>
        </w:r>
        <w:r w:rsidR="00D058ED">
          <w:rPr>
            <w:noProof/>
            <w:webHidden/>
          </w:rPr>
          <w:fldChar w:fldCharType="end"/>
        </w:r>
      </w:hyperlink>
    </w:p>
    <w:p w14:paraId="3A955CA6" w14:textId="33FA78D5" w:rsidR="00D058ED" w:rsidRDefault="00000000">
      <w:pPr>
        <w:pStyle w:val="Sadraj3"/>
        <w:rPr>
          <w:rFonts w:eastAsiaTheme="minorEastAsia"/>
          <w:noProof/>
          <w:lang w:eastAsia="hr-HR"/>
        </w:rPr>
      </w:pPr>
      <w:hyperlink w:anchor="_Toc123211721" w:history="1">
        <w:r w:rsidR="00D058ED" w:rsidRPr="00157FF2">
          <w:rPr>
            <w:rStyle w:val="Hiperveza"/>
            <w:rFonts w:cstheme="minorHAnsi"/>
            <w:noProof/>
          </w:rPr>
          <w:t>15.6.5. Sprječavanje nastanka otpadnog papira i kartona</w:t>
        </w:r>
        <w:r w:rsidR="00D058ED">
          <w:rPr>
            <w:noProof/>
            <w:webHidden/>
          </w:rPr>
          <w:tab/>
        </w:r>
        <w:r w:rsidR="00D058ED">
          <w:rPr>
            <w:noProof/>
            <w:webHidden/>
          </w:rPr>
          <w:fldChar w:fldCharType="begin"/>
        </w:r>
        <w:r w:rsidR="00D058ED">
          <w:rPr>
            <w:noProof/>
            <w:webHidden/>
          </w:rPr>
          <w:instrText xml:space="preserve"> PAGEREF _Toc123211721 \h </w:instrText>
        </w:r>
        <w:r w:rsidR="00D058ED">
          <w:rPr>
            <w:noProof/>
            <w:webHidden/>
          </w:rPr>
        </w:r>
        <w:r w:rsidR="00D058ED">
          <w:rPr>
            <w:noProof/>
            <w:webHidden/>
          </w:rPr>
          <w:fldChar w:fldCharType="separate"/>
        </w:r>
        <w:r w:rsidR="00F37B62">
          <w:rPr>
            <w:noProof/>
            <w:webHidden/>
          </w:rPr>
          <w:t>211</w:t>
        </w:r>
        <w:r w:rsidR="00D058ED">
          <w:rPr>
            <w:noProof/>
            <w:webHidden/>
          </w:rPr>
          <w:fldChar w:fldCharType="end"/>
        </w:r>
      </w:hyperlink>
    </w:p>
    <w:p w14:paraId="0F101F8E" w14:textId="60E869BF" w:rsidR="00D058ED" w:rsidRDefault="00000000">
      <w:pPr>
        <w:pStyle w:val="Sadraj3"/>
        <w:rPr>
          <w:rFonts w:eastAsiaTheme="minorEastAsia"/>
          <w:noProof/>
          <w:lang w:eastAsia="hr-HR"/>
        </w:rPr>
      </w:pPr>
      <w:hyperlink w:anchor="_Toc123211722" w:history="1">
        <w:r w:rsidR="00D058ED" w:rsidRPr="00157FF2">
          <w:rPr>
            <w:rStyle w:val="Hiperveza"/>
            <w:rFonts w:cstheme="minorHAnsi"/>
            <w:noProof/>
          </w:rPr>
          <w:t>15.6.6. Sprječavanje nastanka plastičnog otpada</w:t>
        </w:r>
        <w:r w:rsidR="00D058ED">
          <w:rPr>
            <w:noProof/>
            <w:webHidden/>
          </w:rPr>
          <w:tab/>
        </w:r>
        <w:r w:rsidR="00D058ED">
          <w:rPr>
            <w:noProof/>
            <w:webHidden/>
          </w:rPr>
          <w:fldChar w:fldCharType="begin"/>
        </w:r>
        <w:r w:rsidR="00D058ED">
          <w:rPr>
            <w:noProof/>
            <w:webHidden/>
          </w:rPr>
          <w:instrText xml:space="preserve"> PAGEREF _Toc123211722 \h </w:instrText>
        </w:r>
        <w:r w:rsidR="00D058ED">
          <w:rPr>
            <w:noProof/>
            <w:webHidden/>
          </w:rPr>
        </w:r>
        <w:r w:rsidR="00D058ED">
          <w:rPr>
            <w:noProof/>
            <w:webHidden/>
          </w:rPr>
          <w:fldChar w:fldCharType="separate"/>
        </w:r>
        <w:r w:rsidR="00F37B62">
          <w:rPr>
            <w:noProof/>
            <w:webHidden/>
          </w:rPr>
          <w:t>211</w:t>
        </w:r>
        <w:r w:rsidR="00D058ED">
          <w:rPr>
            <w:noProof/>
            <w:webHidden/>
          </w:rPr>
          <w:fldChar w:fldCharType="end"/>
        </w:r>
      </w:hyperlink>
    </w:p>
    <w:p w14:paraId="7897367E" w14:textId="294ECCDE" w:rsidR="00D058ED" w:rsidRDefault="00000000">
      <w:pPr>
        <w:pStyle w:val="Sadraj3"/>
        <w:rPr>
          <w:rFonts w:eastAsiaTheme="minorEastAsia"/>
          <w:noProof/>
          <w:lang w:eastAsia="hr-HR"/>
        </w:rPr>
      </w:pPr>
      <w:hyperlink w:anchor="_Toc123211723" w:history="1">
        <w:r w:rsidR="00D058ED" w:rsidRPr="00157FF2">
          <w:rPr>
            <w:rStyle w:val="Hiperveza"/>
            <w:rFonts w:cstheme="minorHAnsi"/>
            <w:noProof/>
          </w:rPr>
          <w:t>15.6.7. Sprječavanje nastanka građevnog otpada</w:t>
        </w:r>
        <w:r w:rsidR="00D058ED">
          <w:rPr>
            <w:noProof/>
            <w:webHidden/>
          </w:rPr>
          <w:tab/>
        </w:r>
        <w:r w:rsidR="00D058ED">
          <w:rPr>
            <w:noProof/>
            <w:webHidden/>
          </w:rPr>
          <w:fldChar w:fldCharType="begin"/>
        </w:r>
        <w:r w:rsidR="00D058ED">
          <w:rPr>
            <w:noProof/>
            <w:webHidden/>
          </w:rPr>
          <w:instrText xml:space="preserve"> PAGEREF _Toc123211723 \h </w:instrText>
        </w:r>
        <w:r w:rsidR="00D058ED">
          <w:rPr>
            <w:noProof/>
            <w:webHidden/>
          </w:rPr>
        </w:r>
        <w:r w:rsidR="00D058ED">
          <w:rPr>
            <w:noProof/>
            <w:webHidden/>
          </w:rPr>
          <w:fldChar w:fldCharType="separate"/>
        </w:r>
        <w:r w:rsidR="00F37B62">
          <w:rPr>
            <w:noProof/>
            <w:webHidden/>
          </w:rPr>
          <w:t>212</w:t>
        </w:r>
        <w:r w:rsidR="00D058ED">
          <w:rPr>
            <w:noProof/>
            <w:webHidden/>
          </w:rPr>
          <w:fldChar w:fldCharType="end"/>
        </w:r>
      </w:hyperlink>
    </w:p>
    <w:p w14:paraId="5C126A8B" w14:textId="1E81B09E" w:rsidR="00D058ED" w:rsidRDefault="00000000">
      <w:pPr>
        <w:pStyle w:val="Sadraj3"/>
        <w:rPr>
          <w:rFonts w:eastAsiaTheme="minorEastAsia"/>
          <w:noProof/>
          <w:lang w:eastAsia="hr-HR"/>
        </w:rPr>
      </w:pPr>
      <w:hyperlink w:anchor="_Toc123211724" w:history="1">
        <w:r w:rsidR="00D058ED" w:rsidRPr="00157FF2">
          <w:rPr>
            <w:rStyle w:val="Hiperveza"/>
            <w:rFonts w:cstheme="minorHAnsi"/>
            <w:noProof/>
          </w:rPr>
          <w:t>15.6.8. Sprječavanje nastanka otpadnog tekstila i obuće</w:t>
        </w:r>
        <w:r w:rsidR="00D058ED">
          <w:rPr>
            <w:noProof/>
            <w:webHidden/>
          </w:rPr>
          <w:tab/>
        </w:r>
        <w:r w:rsidR="00D058ED">
          <w:rPr>
            <w:noProof/>
            <w:webHidden/>
          </w:rPr>
          <w:fldChar w:fldCharType="begin"/>
        </w:r>
        <w:r w:rsidR="00D058ED">
          <w:rPr>
            <w:noProof/>
            <w:webHidden/>
          </w:rPr>
          <w:instrText xml:space="preserve"> PAGEREF _Toc123211724 \h </w:instrText>
        </w:r>
        <w:r w:rsidR="00D058ED">
          <w:rPr>
            <w:noProof/>
            <w:webHidden/>
          </w:rPr>
        </w:r>
        <w:r w:rsidR="00D058ED">
          <w:rPr>
            <w:noProof/>
            <w:webHidden/>
          </w:rPr>
          <w:fldChar w:fldCharType="separate"/>
        </w:r>
        <w:r w:rsidR="00F37B62">
          <w:rPr>
            <w:noProof/>
            <w:webHidden/>
          </w:rPr>
          <w:t>213</w:t>
        </w:r>
        <w:r w:rsidR="00D058ED">
          <w:rPr>
            <w:noProof/>
            <w:webHidden/>
          </w:rPr>
          <w:fldChar w:fldCharType="end"/>
        </w:r>
      </w:hyperlink>
    </w:p>
    <w:p w14:paraId="498E508E" w14:textId="61290A61" w:rsidR="00D058ED" w:rsidRDefault="00000000">
      <w:pPr>
        <w:pStyle w:val="Sadraj3"/>
        <w:rPr>
          <w:rFonts w:eastAsiaTheme="minorEastAsia"/>
          <w:noProof/>
          <w:lang w:eastAsia="hr-HR"/>
        </w:rPr>
      </w:pPr>
      <w:hyperlink w:anchor="_Toc123211725" w:history="1">
        <w:r w:rsidR="00D058ED" w:rsidRPr="00157FF2">
          <w:rPr>
            <w:rStyle w:val="Hiperveza"/>
            <w:rFonts w:cstheme="minorHAnsi"/>
            <w:noProof/>
          </w:rPr>
          <w:t>15.6.9. Sprječavanje nastanka morskog otpada</w:t>
        </w:r>
        <w:r w:rsidR="00D058ED">
          <w:rPr>
            <w:noProof/>
            <w:webHidden/>
          </w:rPr>
          <w:tab/>
        </w:r>
        <w:r w:rsidR="00D058ED">
          <w:rPr>
            <w:noProof/>
            <w:webHidden/>
          </w:rPr>
          <w:fldChar w:fldCharType="begin"/>
        </w:r>
        <w:r w:rsidR="00D058ED">
          <w:rPr>
            <w:noProof/>
            <w:webHidden/>
          </w:rPr>
          <w:instrText xml:space="preserve"> PAGEREF _Toc123211725 \h </w:instrText>
        </w:r>
        <w:r w:rsidR="00D058ED">
          <w:rPr>
            <w:noProof/>
            <w:webHidden/>
          </w:rPr>
        </w:r>
        <w:r w:rsidR="00D058ED">
          <w:rPr>
            <w:noProof/>
            <w:webHidden/>
          </w:rPr>
          <w:fldChar w:fldCharType="separate"/>
        </w:r>
        <w:r w:rsidR="00F37B62">
          <w:rPr>
            <w:noProof/>
            <w:webHidden/>
          </w:rPr>
          <w:t>214</w:t>
        </w:r>
        <w:r w:rsidR="00D058ED">
          <w:rPr>
            <w:noProof/>
            <w:webHidden/>
          </w:rPr>
          <w:fldChar w:fldCharType="end"/>
        </w:r>
      </w:hyperlink>
    </w:p>
    <w:p w14:paraId="73B52D4D" w14:textId="14DEAD6F" w:rsidR="00D058ED" w:rsidRDefault="00000000">
      <w:pPr>
        <w:pStyle w:val="Sadraj2"/>
        <w:rPr>
          <w:rFonts w:eastAsiaTheme="minorEastAsia"/>
          <w:noProof/>
          <w:lang w:eastAsia="hr-HR"/>
        </w:rPr>
      </w:pPr>
      <w:hyperlink w:anchor="_Toc123211726" w:history="1">
        <w:r w:rsidR="00D058ED" w:rsidRPr="00157FF2">
          <w:rPr>
            <w:rStyle w:val="Hiperveza"/>
            <w:noProof/>
          </w:rPr>
          <w:t>15.7. Mjere sprječavanja nastanka otpada</w:t>
        </w:r>
        <w:r w:rsidR="00D058ED">
          <w:rPr>
            <w:noProof/>
            <w:webHidden/>
          </w:rPr>
          <w:tab/>
        </w:r>
        <w:r w:rsidR="00D058ED">
          <w:rPr>
            <w:noProof/>
            <w:webHidden/>
          </w:rPr>
          <w:fldChar w:fldCharType="begin"/>
        </w:r>
        <w:r w:rsidR="00D058ED">
          <w:rPr>
            <w:noProof/>
            <w:webHidden/>
          </w:rPr>
          <w:instrText xml:space="preserve"> PAGEREF _Toc123211726 \h </w:instrText>
        </w:r>
        <w:r w:rsidR="00D058ED">
          <w:rPr>
            <w:noProof/>
            <w:webHidden/>
          </w:rPr>
        </w:r>
        <w:r w:rsidR="00D058ED">
          <w:rPr>
            <w:noProof/>
            <w:webHidden/>
          </w:rPr>
          <w:fldChar w:fldCharType="separate"/>
        </w:r>
        <w:r w:rsidR="00F37B62">
          <w:rPr>
            <w:noProof/>
            <w:webHidden/>
          </w:rPr>
          <w:t>214</w:t>
        </w:r>
        <w:r w:rsidR="00D058ED">
          <w:rPr>
            <w:noProof/>
            <w:webHidden/>
          </w:rPr>
          <w:fldChar w:fldCharType="end"/>
        </w:r>
      </w:hyperlink>
    </w:p>
    <w:p w14:paraId="0897DB63" w14:textId="2D282751" w:rsidR="00D058ED" w:rsidRDefault="00000000">
      <w:pPr>
        <w:pStyle w:val="Sadraj1"/>
        <w:rPr>
          <w:rFonts w:eastAsiaTheme="minorEastAsia"/>
          <w:caps w:val="0"/>
          <w:noProof/>
          <w:lang w:eastAsia="hr-HR"/>
        </w:rPr>
      </w:pPr>
      <w:hyperlink w:anchor="_Toc123211727" w:history="1">
        <w:r w:rsidR="00D058ED" w:rsidRPr="00157FF2">
          <w:rPr>
            <w:rStyle w:val="Hiperveza"/>
            <w:noProof/>
          </w:rPr>
          <w:t>16.</w:t>
        </w:r>
        <w:r w:rsidR="00D058ED">
          <w:rPr>
            <w:rFonts w:eastAsiaTheme="minorEastAsia"/>
            <w:caps w:val="0"/>
            <w:noProof/>
            <w:lang w:eastAsia="hr-HR"/>
          </w:rPr>
          <w:tab/>
        </w:r>
        <w:r w:rsidR="00D058ED" w:rsidRPr="00157FF2">
          <w:rPr>
            <w:rStyle w:val="Hiperveza"/>
            <w:noProof/>
          </w:rPr>
          <w:t>USPOREDNA TABLICA SADRŽAJA PLANA I ODREDBI DODATKA V</w:t>
        </w:r>
        <w:r w:rsidR="00967B8D">
          <w:rPr>
            <w:rStyle w:val="Hiperveza"/>
            <w:noProof/>
          </w:rPr>
          <w:t>I</w:t>
        </w:r>
        <w:r w:rsidR="00D058ED" w:rsidRPr="00157FF2">
          <w:rPr>
            <w:rStyle w:val="Hiperveza"/>
            <w:noProof/>
          </w:rPr>
          <w:t>. ZAKONA O GOSPODARENJU OTPADOM</w:t>
        </w:r>
        <w:r w:rsidR="00D058ED">
          <w:rPr>
            <w:noProof/>
            <w:webHidden/>
          </w:rPr>
          <w:tab/>
        </w:r>
        <w:r w:rsidR="00D058ED">
          <w:rPr>
            <w:noProof/>
            <w:webHidden/>
          </w:rPr>
          <w:fldChar w:fldCharType="begin"/>
        </w:r>
        <w:r w:rsidR="00D058ED">
          <w:rPr>
            <w:noProof/>
            <w:webHidden/>
          </w:rPr>
          <w:instrText xml:space="preserve"> PAGEREF _Toc123211727 \h </w:instrText>
        </w:r>
        <w:r w:rsidR="00D058ED">
          <w:rPr>
            <w:noProof/>
            <w:webHidden/>
          </w:rPr>
        </w:r>
        <w:r w:rsidR="00D058ED">
          <w:rPr>
            <w:noProof/>
            <w:webHidden/>
          </w:rPr>
          <w:fldChar w:fldCharType="separate"/>
        </w:r>
        <w:r w:rsidR="00F37B62">
          <w:rPr>
            <w:noProof/>
            <w:webHidden/>
          </w:rPr>
          <w:t>224</w:t>
        </w:r>
        <w:r w:rsidR="00D058ED">
          <w:rPr>
            <w:noProof/>
            <w:webHidden/>
          </w:rPr>
          <w:fldChar w:fldCharType="end"/>
        </w:r>
      </w:hyperlink>
    </w:p>
    <w:p w14:paraId="30992F04" w14:textId="509877EE" w:rsidR="00B30B78" w:rsidRDefault="00187A1C" w:rsidP="00747866">
      <w:pPr>
        <w:tabs>
          <w:tab w:val="right" w:leader="dot" w:pos="13892"/>
        </w:tabs>
      </w:pPr>
      <w:r>
        <w:rPr>
          <w:b/>
        </w:rPr>
        <w:fldChar w:fldCharType="end"/>
      </w:r>
      <w:r w:rsidR="00B30B78">
        <w:br w:type="page"/>
      </w:r>
    </w:p>
    <w:p w14:paraId="189B1546" w14:textId="1DEE682B" w:rsidR="00B30B78" w:rsidRPr="00B30B78" w:rsidRDefault="00B30B78" w:rsidP="00B30B78">
      <w:pPr>
        <w:rPr>
          <w:rFonts w:ascii="Cambria" w:hAnsi="Cambria"/>
          <w:b/>
          <w:bCs/>
          <w:sz w:val="24"/>
          <w:szCs w:val="24"/>
        </w:rPr>
      </w:pPr>
      <w:r w:rsidRPr="00B30B78">
        <w:rPr>
          <w:rFonts w:ascii="Cambria" w:hAnsi="Cambria"/>
          <w:b/>
          <w:bCs/>
          <w:sz w:val="24"/>
          <w:szCs w:val="24"/>
        </w:rPr>
        <w:lastRenderedPageBreak/>
        <w:t xml:space="preserve">Popis </w:t>
      </w:r>
      <w:commentRangeStart w:id="0"/>
      <w:r w:rsidRPr="00B30B78">
        <w:rPr>
          <w:rFonts w:ascii="Cambria" w:hAnsi="Cambria"/>
          <w:b/>
          <w:bCs/>
          <w:sz w:val="24"/>
          <w:szCs w:val="24"/>
        </w:rPr>
        <w:t>slika</w:t>
      </w:r>
      <w:commentRangeEnd w:id="0"/>
      <w:r w:rsidR="00A065B7">
        <w:rPr>
          <w:rStyle w:val="Referencakomentara"/>
        </w:rPr>
        <w:commentReference w:id="0"/>
      </w:r>
    </w:p>
    <w:p w14:paraId="734282B8" w14:textId="4F16F875" w:rsidR="00BB2706" w:rsidRDefault="00B30B78">
      <w:pPr>
        <w:pStyle w:val="Sadraj2"/>
        <w:rPr>
          <w:rFonts w:eastAsiaTheme="minorEastAsia"/>
          <w:noProof/>
          <w:lang w:eastAsia="hr-HR"/>
        </w:rPr>
      </w:pPr>
      <w:r>
        <w:rPr>
          <w:rFonts w:ascii="Cambria" w:hAnsi="Cambria"/>
          <w:b/>
          <w:sz w:val="30"/>
          <w:szCs w:val="30"/>
        </w:rPr>
        <w:fldChar w:fldCharType="begin"/>
      </w:r>
      <w:r>
        <w:rPr>
          <w:rFonts w:ascii="Cambria" w:hAnsi="Cambria"/>
          <w:b/>
          <w:sz w:val="30"/>
          <w:szCs w:val="30"/>
        </w:rPr>
        <w:instrText xml:space="preserve"> TOC \h \z \t "Slika;2" </w:instrText>
      </w:r>
      <w:r>
        <w:rPr>
          <w:rFonts w:ascii="Cambria" w:hAnsi="Cambria"/>
          <w:b/>
          <w:sz w:val="30"/>
          <w:szCs w:val="30"/>
        </w:rPr>
        <w:fldChar w:fldCharType="separate"/>
      </w:r>
      <w:hyperlink w:anchor="_Toc125363906" w:history="1">
        <w:r w:rsidR="00BB2706" w:rsidRPr="0047099F">
          <w:rPr>
            <w:rStyle w:val="Hiperveza"/>
            <w:noProof/>
          </w:rPr>
          <w:t xml:space="preserve">Slika 1. </w:t>
        </w:r>
        <w:r w:rsidR="00BB2706" w:rsidRPr="0047099F">
          <w:rPr>
            <w:rStyle w:val="Hiperveza"/>
            <w:bCs/>
            <w:noProof/>
          </w:rPr>
          <w:t>Ukupne količine nastalog otpada u ekonomskim djelatnostima i u kućanstvima u RH, 2016. – 2020.</w:t>
        </w:r>
        <w:r w:rsidR="00BB2706">
          <w:rPr>
            <w:noProof/>
            <w:webHidden/>
          </w:rPr>
          <w:tab/>
        </w:r>
        <w:r w:rsidR="00BB2706">
          <w:rPr>
            <w:noProof/>
            <w:webHidden/>
          </w:rPr>
          <w:fldChar w:fldCharType="begin"/>
        </w:r>
        <w:r w:rsidR="00BB2706">
          <w:rPr>
            <w:noProof/>
            <w:webHidden/>
          </w:rPr>
          <w:instrText xml:space="preserve"> PAGEREF _Toc125363906 \h </w:instrText>
        </w:r>
        <w:r w:rsidR="00BB2706">
          <w:rPr>
            <w:noProof/>
            <w:webHidden/>
          </w:rPr>
        </w:r>
        <w:r w:rsidR="00BB2706">
          <w:rPr>
            <w:noProof/>
            <w:webHidden/>
          </w:rPr>
          <w:fldChar w:fldCharType="separate"/>
        </w:r>
        <w:r w:rsidR="00F37B62">
          <w:rPr>
            <w:noProof/>
            <w:webHidden/>
          </w:rPr>
          <w:t>17</w:t>
        </w:r>
        <w:r w:rsidR="00BB2706">
          <w:rPr>
            <w:noProof/>
            <w:webHidden/>
          </w:rPr>
          <w:fldChar w:fldCharType="end"/>
        </w:r>
      </w:hyperlink>
    </w:p>
    <w:p w14:paraId="599DBDD6" w14:textId="0F57420E" w:rsidR="00BB2706" w:rsidRDefault="00000000">
      <w:pPr>
        <w:pStyle w:val="Sadraj2"/>
        <w:rPr>
          <w:rFonts w:eastAsiaTheme="minorEastAsia"/>
          <w:noProof/>
          <w:lang w:eastAsia="hr-HR"/>
        </w:rPr>
      </w:pPr>
      <w:hyperlink w:anchor="_Toc125363907" w:history="1">
        <w:r w:rsidR="00BB2706" w:rsidRPr="0047099F">
          <w:rPr>
            <w:rStyle w:val="Hiperveza"/>
            <w:noProof/>
          </w:rPr>
          <w:t xml:space="preserve">Slika 2. </w:t>
        </w:r>
        <w:r w:rsidR="00BB2706" w:rsidRPr="0047099F">
          <w:rPr>
            <w:rStyle w:val="Hiperveza"/>
            <w:bCs/>
            <w:noProof/>
          </w:rPr>
          <w:t>Količine primarnog i sekundarnog otpada u RH, 2016., 2018. i 2020. godine</w:t>
        </w:r>
        <w:r w:rsidR="00BB2706">
          <w:rPr>
            <w:noProof/>
            <w:webHidden/>
          </w:rPr>
          <w:tab/>
        </w:r>
        <w:r w:rsidR="00BB2706">
          <w:rPr>
            <w:noProof/>
            <w:webHidden/>
          </w:rPr>
          <w:fldChar w:fldCharType="begin"/>
        </w:r>
        <w:r w:rsidR="00BB2706">
          <w:rPr>
            <w:noProof/>
            <w:webHidden/>
          </w:rPr>
          <w:instrText xml:space="preserve"> PAGEREF _Toc125363907 \h </w:instrText>
        </w:r>
        <w:r w:rsidR="00BB2706">
          <w:rPr>
            <w:noProof/>
            <w:webHidden/>
          </w:rPr>
        </w:r>
        <w:r w:rsidR="00BB2706">
          <w:rPr>
            <w:noProof/>
            <w:webHidden/>
          </w:rPr>
          <w:fldChar w:fldCharType="separate"/>
        </w:r>
        <w:r w:rsidR="00F37B62">
          <w:rPr>
            <w:noProof/>
            <w:webHidden/>
          </w:rPr>
          <w:t>18</w:t>
        </w:r>
        <w:r w:rsidR="00BB2706">
          <w:rPr>
            <w:noProof/>
            <w:webHidden/>
          </w:rPr>
          <w:fldChar w:fldCharType="end"/>
        </w:r>
      </w:hyperlink>
    </w:p>
    <w:p w14:paraId="1388914A" w14:textId="5934FAE5" w:rsidR="00BB2706" w:rsidRDefault="00000000">
      <w:pPr>
        <w:pStyle w:val="Sadraj2"/>
        <w:rPr>
          <w:rFonts w:eastAsiaTheme="minorEastAsia"/>
          <w:noProof/>
          <w:lang w:eastAsia="hr-HR"/>
        </w:rPr>
      </w:pPr>
      <w:hyperlink w:anchor="_Toc125363908" w:history="1">
        <w:r w:rsidR="00BB2706" w:rsidRPr="0047099F">
          <w:rPr>
            <w:rStyle w:val="Hiperveza"/>
            <w:noProof/>
          </w:rPr>
          <w:t xml:space="preserve">Slika 3. </w:t>
        </w:r>
        <w:r w:rsidR="00BB2706" w:rsidRPr="0047099F">
          <w:rPr>
            <w:rStyle w:val="Hiperveza"/>
            <w:bCs/>
            <w:noProof/>
          </w:rPr>
          <w:t>Udjeli gospodarskih aktivnosti i kućanstva u ukupno nastalom otpadu u 2020. godini</w:t>
        </w:r>
        <w:r w:rsidR="00BB2706">
          <w:rPr>
            <w:noProof/>
            <w:webHidden/>
          </w:rPr>
          <w:tab/>
        </w:r>
        <w:r w:rsidR="00BB2706">
          <w:rPr>
            <w:noProof/>
            <w:webHidden/>
          </w:rPr>
          <w:fldChar w:fldCharType="begin"/>
        </w:r>
        <w:r w:rsidR="00BB2706">
          <w:rPr>
            <w:noProof/>
            <w:webHidden/>
          </w:rPr>
          <w:instrText xml:space="preserve"> PAGEREF _Toc125363908 \h </w:instrText>
        </w:r>
        <w:r w:rsidR="00BB2706">
          <w:rPr>
            <w:noProof/>
            <w:webHidden/>
          </w:rPr>
        </w:r>
        <w:r w:rsidR="00BB2706">
          <w:rPr>
            <w:noProof/>
            <w:webHidden/>
          </w:rPr>
          <w:fldChar w:fldCharType="separate"/>
        </w:r>
        <w:r w:rsidR="00F37B62">
          <w:rPr>
            <w:noProof/>
            <w:webHidden/>
          </w:rPr>
          <w:t>19</w:t>
        </w:r>
        <w:r w:rsidR="00BB2706">
          <w:rPr>
            <w:noProof/>
            <w:webHidden/>
          </w:rPr>
          <w:fldChar w:fldCharType="end"/>
        </w:r>
      </w:hyperlink>
    </w:p>
    <w:p w14:paraId="793A6F7D" w14:textId="299763C0" w:rsidR="00BB2706" w:rsidRDefault="00000000">
      <w:pPr>
        <w:pStyle w:val="Sadraj2"/>
        <w:rPr>
          <w:rFonts w:eastAsiaTheme="minorEastAsia"/>
          <w:noProof/>
          <w:lang w:eastAsia="hr-HR"/>
        </w:rPr>
      </w:pPr>
      <w:hyperlink w:anchor="_Toc125363909" w:history="1">
        <w:r w:rsidR="00BB2706" w:rsidRPr="0047099F">
          <w:rPr>
            <w:rStyle w:val="Hiperveza"/>
            <w:noProof/>
          </w:rPr>
          <w:t xml:space="preserve">Slika 4. </w:t>
        </w:r>
        <w:r w:rsidR="00BB2706" w:rsidRPr="0047099F">
          <w:rPr>
            <w:rStyle w:val="Hiperveza"/>
            <w:bCs/>
            <w:noProof/>
          </w:rPr>
          <w:t>Postupanje s otpadom u razdoblju od 2016. do 2020. godine prema postupcima obrade (uključene i količine Izvezene izvan EU i iznesene u drugedržave članice EU na obradu)</w:t>
        </w:r>
        <w:r w:rsidR="00BB2706">
          <w:rPr>
            <w:noProof/>
            <w:webHidden/>
          </w:rPr>
          <w:tab/>
        </w:r>
        <w:r w:rsidR="00BB2706">
          <w:rPr>
            <w:noProof/>
            <w:webHidden/>
          </w:rPr>
          <w:fldChar w:fldCharType="begin"/>
        </w:r>
        <w:r w:rsidR="00BB2706">
          <w:rPr>
            <w:noProof/>
            <w:webHidden/>
          </w:rPr>
          <w:instrText xml:space="preserve"> PAGEREF _Toc125363909 \h </w:instrText>
        </w:r>
        <w:r w:rsidR="00BB2706">
          <w:rPr>
            <w:noProof/>
            <w:webHidden/>
          </w:rPr>
        </w:r>
        <w:r w:rsidR="00BB2706">
          <w:rPr>
            <w:noProof/>
            <w:webHidden/>
          </w:rPr>
          <w:fldChar w:fldCharType="separate"/>
        </w:r>
        <w:r w:rsidR="00F37B62">
          <w:rPr>
            <w:noProof/>
            <w:webHidden/>
          </w:rPr>
          <w:t>21</w:t>
        </w:r>
        <w:r w:rsidR="00BB2706">
          <w:rPr>
            <w:noProof/>
            <w:webHidden/>
          </w:rPr>
          <w:fldChar w:fldCharType="end"/>
        </w:r>
      </w:hyperlink>
    </w:p>
    <w:p w14:paraId="51D403AC" w14:textId="6ECD3C2A" w:rsidR="00BB2706" w:rsidRDefault="00000000">
      <w:pPr>
        <w:pStyle w:val="Sadraj2"/>
        <w:rPr>
          <w:rFonts w:eastAsiaTheme="minorEastAsia"/>
          <w:noProof/>
          <w:lang w:eastAsia="hr-HR"/>
        </w:rPr>
      </w:pPr>
      <w:hyperlink w:anchor="_Toc125363910" w:history="1">
        <w:r w:rsidR="00BB2706" w:rsidRPr="0047099F">
          <w:rPr>
            <w:rStyle w:val="Hiperveza"/>
            <w:noProof/>
          </w:rPr>
          <w:t xml:space="preserve">Slika 5. </w:t>
        </w:r>
        <w:r w:rsidR="00BB2706" w:rsidRPr="0047099F">
          <w:rPr>
            <w:rStyle w:val="Hiperveza"/>
            <w:bCs/>
            <w:noProof/>
          </w:rPr>
          <w:t>Količine opasnog otpada i opasnih posebnih kategorija otpada u RH, 2012. do 2020. godine</w:t>
        </w:r>
        <w:r w:rsidR="00BB2706">
          <w:rPr>
            <w:noProof/>
            <w:webHidden/>
          </w:rPr>
          <w:tab/>
        </w:r>
        <w:r w:rsidR="00BB2706">
          <w:rPr>
            <w:noProof/>
            <w:webHidden/>
          </w:rPr>
          <w:fldChar w:fldCharType="begin"/>
        </w:r>
        <w:r w:rsidR="00BB2706">
          <w:rPr>
            <w:noProof/>
            <w:webHidden/>
          </w:rPr>
          <w:instrText xml:space="preserve"> PAGEREF _Toc125363910 \h </w:instrText>
        </w:r>
        <w:r w:rsidR="00BB2706">
          <w:rPr>
            <w:noProof/>
            <w:webHidden/>
          </w:rPr>
        </w:r>
        <w:r w:rsidR="00BB2706">
          <w:rPr>
            <w:noProof/>
            <w:webHidden/>
          </w:rPr>
          <w:fldChar w:fldCharType="separate"/>
        </w:r>
        <w:r w:rsidR="00F37B62">
          <w:rPr>
            <w:noProof/>
            <w:webHidden/>
          </w:rPr>
          <w:t>22</w:t>
        </w:r>
        <w:r w:rsidR="00BB2706">
          <w:rPr>
            <w:noProof/>
            <w:webHidden/>
          </w:rPr>
          <w:fldChar w:fldCharType="end"/>
        </w:r>
      </w:hyperlink>
    </w:p>
    <w:p w14:paraId="4D9DC1AA" w14:textId="14B8F261" w:rsidR="00BB2706" w:rsidRDefault="00000000">
      <w:pPr>
        <w:pStyle w:val="Sadraj2"/>
        <w:rPr>
          <w:rFonts w:eastAsiaTheme="minorEastAsia"/>
          <w:noProof/>
          <w:lang w:eastAsia="hr-HR"/>
        </w:rPr>
      </w:pPr>
      <w:hyperlink w:anchor="_Toc125363911" w:history="1">
        <w:r w:rsidR="00BB2706" w:rsidRPr="0047099F">
          <w:rPr>
            <w:rStyle w:val="Hiperveza"/>
            <w:noProof/>
          </w:rPr>
          <w:t xml:space="preserve">Slika 6. </w:t>
        </w:r>
        <w:r w:rsidR="00BB2706" w:rsidRPr="0047099F">
          <w:rPr>
            <w:rStyle w:val="Hiperveza"/>
            <w:bCs/>
            <w:noProof/>
          </w:rPr>
          <w:t>Udjeli gospodarskih aktivnosti i kućanstva u ukupno nastalom opasnom otpadu u RH, 2020.</w:t>
        </w:r>
        <w:r w:rsidR="00BB2706">
          <w:rPr>
            <w:noProof/>
            <w:webHidden/>
          </w:rPr>
          <w:tab/>
        </w:r>
        <w:r w:rsidR="00BB2706">
          <w:rPr>
            <w:noProof/>
            <w:webHidden/>
          </w:rPr>
          <w:fldChar w:fldCharType="begin"/>
        </w:r>
        <w:r w:rsidR="00BB2706">
          <w:rPr>
            <w:noProof/>
            <w:webHidden/>
          </w:rPr>
          <w:instrText xml:space="preserve"> PAGEREF _Toc125363911 \h </w:instrText>
        </w:r>
        <w:r w:rsidR="00BB2706">
          <w:rPr>
            <w:noProof/>
            <w:webHidden/>
          </w:rPr>
        </w:r>
        <w:r w:rsidR="00BB2706">
          <w:rPr>
            <w:noProof/>
            <w:webHidden/>
          </w:rPr>
          <w:fldChar w:fldCharType="separate"/>
        </w:r>
        <w:r w:rsidR="00F37B62">
          <w:rPr>
            <w:noProof/>
            <w:webHidden/>
          </w:rPr>
          <w:t>23</w:t>
        </w:r>
        <w:r w:rsidR="00BB2706">
          <w:rPr>
            <w:noProof/>
            <w:webHidden/>
          </w:rPr>
          <w:fldChar w:fldCharType="end"/>
        </w:r>
      </w:hyperlink>
    </w:p>
    <w:p w14:paraId="381B6AFA" w14:textId="5D45271B" w:rsidR="00BB2706" w:rsidRDefault="00000000">
      <w:pPr>
        <w:pStyle w:val="Sadraj2"/>
        <w:rPr>
          <w:rFonts w:eastAsiaTheme="minorEastAsia"/>
          <w:noProof/>
          <w:lang w:eastAsia="hr-HR"/>
        </w:rPr>
      </w:pPr>
      <w:hyperlink w:anchor="_Toc125363912" w:history="1">
        <w:r w:rsidR="00BB2706" w:rsidRPr="0047099F">
          <w:rPr>
            <w:rStyle w:val="Hiperveza"/>
            <w:noProof/>
          </w:rPr>
          <w:t xml:space="preserve">Slika 7. </w:t>
        </w:r>
        <w:r w:rsidR="00BB2706" w:rsidRPr="0047099F">
          <w:rPr>
            <w:rStyle w:val="Hiperveza"/>
            <w:bCs/>
            <w:noProof/>
          </w:rPr>
          <w:t>Udjeli pojedinih vrsta opasnog otpada u ukupnoj količini opasnog otpada u RH, 2020.</w:t>
        </w:r>
        <w:r w:rsidR="00BB2706">
          <w:rPr>
            <w:noProof/>
            <w:webHidden/>
          </w:rPr>
          <w:tab/>
        </w:r>
        <w:r w:rsidR="00BB2706">
          <w:rPr>
            <w:noProof/>
            <w:webHidden/>
          </w:rPr>
          <w:fldChar w:fldCharType="begin"/>
        </w:r>
        <w:r w:rsidR="00BB2706">
          <w:rPr>
            <w:noProof/>
            <w:webHidden/>
          </w:rPr>
          <w:instrText xml:space="preserve"> PAGEREF _Toc125363912 \h </w:instrText>
        </w:r>
        <w:r w:rsidR="00BB2706">
          <w:rPr>
            <w:noProof/>
            <w:webHidden/>
          </w:rPr>
        </w:r>
        <w:r w:rsidR="00BB2706">
          <w:rPr>
            <w:noProof/>
            <w:webHidden/>
          </w:rPr>
          <w:fldChar w:fldCharType="separate"/>
        </w:r>
        <w:r w:rsidR="00F37B62">
          <w:rPr>
            <w:noProof/>
            <w:webHidden/>
          </w:rPr>
          <w:t>24</w:t>
        </w:r>
        <w:r w:rsidR="00BB2706">
          <w:rPr>
            <w:noProof/>
            <w:webHidden/>
          </w:rPr>
          <w:fldChar w:fldCharType="end"/>
        </w:r>
      </w:hyperlink>
    </w:p>
    <w:p w14:paraId="0EE3D8F5" w14:textId="58F52D15" w:rsidR="00BB2706" w:rsidRDefault="00000000">
      <w:pPr>
        <w:pStyle w:val="Sadraj2"/>
        <w:rPr>
          <w:rFonts w:eastAsiaTheme="minorEastAsia"/>
          <w:noProof/>
          <w:lang w:eastAsia="hr-HR"/>
        </w:rPr>
      </w:pPr>
      <w:hyperlink w:anchor="_Toc125363913" w:history="1">
        <w:r w:rsidR="00BB2706" w:rsidRPr="0047099F">
          <w:rPr>
            <w:rStyle w:val="Hiperveza"/>
            <w:noProof/>
          </w:rPr>
          <w:t xml:space="preserve">Slika 8. </w:t>
        </w:r>
        <w:r w:rsidR="00BB2706" w:rsidRPr="0047099F">
          <w:rPr>
            <w:rStyle w:val="Hiperveza"/>
            <w:bCs/>
            <w:noProof/>
          </w:rPr>
          <w:t>Postupanje s opasnim otpadom u 2020. godini</w:t>
        </w:r>
        <w:r w:rsidR="00BB2706">
          <w:rPr>
            <w:noProof/>
            <w:webHidden/>
          </w:rPr>
          <w:tab/>
        </w:r>
        <w:r w:rsidR="00BB2706">
          <w:rPr>
            <w:noProof/>
            <w:webHidden/>
          </w:rPr>
          <w:fldChar w:fldCharType="begin"/>
        </w:r>
        <w:r w:rsidR="00BB2706">
          <w:rPr>
            <w:noProof/>
            <w:webHidden/>
          </w:rPr>
          <w:instrText xml:space="preserve"> PAGEREF _Toc125363913 \h </w:instrText>
        </w:r>
        <w:r w:rsidR="00BB2706">
          <w:rPr>
            <w:noProof/>
            <w:webHidden/>
          </w:rPr>
        </w:r>
        <w:r w:rsidR="00BB2706">
          <w:rPr>
            <w:noProof/>
            <w:webHidden/>
          </w:rPr>
          <w:fldChar w:fldCharType="separate"/>
        </w:r>
        <w:r w:rsidR="00F37B62">
          <w:rPr>
            <w:noProof/>
            <w:webHidden/>
          </w:rPr>
          <w:t>24</w:t>
        </w:r>
        <w:r w:rsidR="00BB2706">
          <w:rPr>
            <w:noProof/>
            <w:webHidden/>
          </w:rPr>
          <w:fldChar w:fldCharType="end"/>
        </w:r>
      </w:hyperlink>
    </w:p>
    <w:p w14:paraId="5606E434" w14:textId="3DCF61C6" w:rsidR="00BB2706" w:rsidRDefault="00000000">
      <w:pPr>
        <w:pStyle w:val="Sadraj2"/>
        <w:rPr>
          <w:rFonts w:eastAsiaTheme="minorEastAsia"/>
          <w:noProof/>
          <w:lang w:eastAsia="hr-HR"/>
        </w:rPr>
      </w:pPr>
      <w:hyperlink w:anchor="_Toc125363914" w:history="1">
        <w:r w:rsidR="00BB2706" w:rsidRPr="0047099F">
          <w:rPr>
            <w:rStyle w:val="Hiperveza"/>
            <w:noProof/>
          </w:rPr>
          <w:t xml:space="preserve">Slika 9. </w:t>
        </w:r>
        <w:r w:rsidR="00BB2706" w:rsidRPr="0047099F">
          <w:rPr>
            <w:rStyle w:val="Hiperveza"/>
            <w:bCs/>
            <w:noProof/>
          </w:rPr>
          <w:t>Godišnje količine komunalnog otpada nastale u razdoblju od 1995. do 2021. u RH</w:t>
        </w:r>
        <w:r w:rsidR="00BB2706">
          <w:rPr>
            <w:noProof/>
            <w:webHidden/>
          </w:rPr>
          <w:tab/>
        </w:r>
        <w:r w:rsidR="00BB2706">
          <w:rPr>
            <w:noProof/>
            <w:webHidden/>
          </w:rPr>
          <w:fldChar w:fldCharType="begin"/>
        </w:r>
        <w:r w:rsidR="00BB2706">
          <w:rPr>
            <w:noProof/>
            <w:webHidden/>
          </w:rPr>
          <w:instrText xml:space="preserve"> PAGEREF _Toc125363914 \h </w:instrText>
        </w:r>
        <w:r w:rsidR="00BB2706">
          <w:rPr>
            <w:noProof/>
            <w:webHidden/>
          </w:rPr>
        </w:r>
        <w:r w:rsidR="00BB2706">
          <w:rPr>
            <w:noProof/>
            <w:webHidden/>
          </w:rPr>
          <w:fldChar w:fldCharType="separate"/>
        </w:r>
        <w:r w:rsidR="00F37B62">
          <w:rPr>
            <w:noProof/>
            <w:webHidden/>
          </w:rPr>
          <w:t>26</w:t>
        </w:r>
        <w:r w:rsidR="00BB2706">
          <w:rPr>
            <w:noProof/>
            <w:webHidden/>
          </w:rPr>
          <w:fldChar w:fldCharType="end"/>
        </w:r>
      </w:hyperlink>
    </w:p>
    <w:p w14:paraId="616D7761" w14:textId="4B4C2B6B" w:rsidR="00BB2706" w:rsidRDefault="00000000">
      <w:pPr>
        <w:pStyle w:val="Sadraj2"/>
        <w:rPr>
          <w:rFonts w:eastAsiaTheme="minorEastAsia"/>
          <w:noProof/>
          <w:lang w:eastAsia="hr-HR"/>
        </w:rPr>
      </w:pPr>
      <w:hyperlink w:anchor="_Toc125363915" w:history="1">
        <w:r w:rsidR="00BB2706" w:rsidRPr="0047099F">
          <w:rPr>
            <w:rStyle w:val="Hiperveza"/>
            <w:noProof/>
          </w:rPr>
          <w:t xml:space="preserve">Slika 10. </w:t>
        </w:r>
        <w:r w:rsidR="00BB2706" w:rsidRPr="0047099F">
          <w:rPr>
            <w:rStyle w:val="Hiperveza"/>
            <w:bCs/>
            <w:noProof/>
          </w:rPr>
          <w:t>Godišnja količina nastalog komunalnog otpada po stanovniku u 2021. godini, po županijama</w:t>
        </w:r>
        <w:r w:rsidR="00BB2706">
          <w:rPr>
            <w:noProof/>
            <w:webHidden/>
          </w:rPr>
          <w:tab/>
        </w:r>
        <w:r w:rsidR="00BB2706">
          <w:rPr>
            <w:noProof/>
            <w:webHidden/>
          </w:rPr>
          <w:fldChar w:fldCharType="begin"/>
        </w:r>
        <w:r w:rsidR="00BB2706">
          <w:rPr>
            <w:noProof/>
            <w:webHidden/>
          </w:rPr>
          <w:instrText xml:space="preserve"> PAGEREF _Toc125363915 \h </w:instrText>
        </w:r>
        <w:r w:rsidR="00BB2706">
          <w:rPr>
            <w:noProof/>
            <w:webHidden/>
          </w:rPr>
        </w:r>
        <w:r w:rsidR="00BB2706">
          <w:rPr>
            <w:noProof/>
            <w:webHidden/>
          </w:rPr>
          <w:fldChar w:fldCharType="separate"/>
        </w:r>
        <w:r w:rsidR="00F37B62">
          <w:rPr>
            <w:noProof/>
            <w:webHidden/>
          </w:rPr>
          <w:t>27</w:t>
        </w:r>
        <w:r w:rsidR="00BB2706">
          <w:rPr>
            <w:noProof/>
            <w:webHidden/>
          </w:rPr>
          <w:fldChar w:fldCharType="end"/>
        </w:r>
      </w:hyperlink>
    </w:p>
    <w:p w14:paraId="3F89B1EF" w14:textId="2EA20A93" w:rsidR="00BB2706" w:rsidRDefault="00000000">
      <w:pPr>
        <w:pStyle w:val="Sadraj2"/>
        <w:rPr>
          <w:rFonts w:eastAsiaTheme="minorEastAsia"/>
          <w:noProof/>
          <w:lang w:eastAsia="hr-HR"/>
        </w:rPr>
      </w:pPr>
      <w:hyperlink w:anchor="_Toc125363916" w:history="1">
        <w:r w:rsidR="00BB2706" w:rsidRPr="0047099F">
          <w:rPr>
            <w:rStyle w:val="Hiperveza"/>
            <w:noProof/>
          </w:rPr>
          <w:t xml:space="preserve">Slika 11. </w:t>
        </w:r>
        <w:r w:rsidR="00BB2706" w:rsidRPr="0047099F">
          <w:rPr>
            <w:rStyle w:val="Hiperveza"/>
            <w:bCs/>
            <w:noProof/>
          </w:rPr>
          <w:t>Udio odvojeno sakupljenog komunalnog otpada i miješanog komunalnog otpada u razdoblju od 2010. do 2021. u RH</w:t>
        </w:r>
        <w:r w:rsidR="00BB2706">
          <w:rPr>
            <w:noProof/>
            <w:webHidden/>
          </w:rPr>
          <w:tab/>
        </w:r>
        <w:r w:rsidR="00BB2706">
          <w:rPr>
            <w:noProof/>
            <w:webHidden/>
          </w:rPr>
          <w:fldChar w:fldCharType="begin"/>
        </w:r>
        <w:r w:rsidR="00BB2706">
          <w:rPr>
            <w:noProof/>
            <w:webHidden/>
          </w:rPr>
          <w:instrText xml:space="preserve"> PAGEREF _Toc125363916 \h </w:instrText>
        </w:r>
        <w:r w:rsidR="00BB2706">
          <w:rPr>
            <w:noProof/>
            <w:webHidden/>
          </w:rPr>
        </w:r>
        <w:r w:rsidR="00BB2706">
          <w:rPr>
            <w:noProof/>
            <w:webHidden/>
          </w:rPr>
          <w:fldChar w:fldCharType="separate"/>
        </w:r>
        <w:r w:rsidR="00F37B62">
          <w:rPr>
            <w:noProof/>
            <w:webHidden/>
          </w:rPr>
          <w:t>28</w:t>
        </w:r>
        <w:r w:rsidR="00BB2706">
          <w:rPr>
            <w:noProof/>
            <w:webHidden/>
          </w:rPr>
          <w:fldChar w:fldCharType="end"/>
        </w:r>
      </w:hyperlink>
    </w:p>
    <w:p w14:paraId="207BF4AB" w14:textId="55E6B42C" w:rsidR="00BB2706" w:rsidRDefault="00000000">
      <w:pPr>
        <w:pStyle w:val="Sadraj2"/>
        <w:rPr>
          <w:rFonts w:eastAsiaTheme="minorEastAsia"/>
          <w:noProof/>
          <w:lang w:eastAsia="hr-HR"/>
        </w:rPr>
      </w:pPr>
      <w:hyperlink w:anchor="_Toc125363917" w:history="1">
        <w:r w:rsidR="00BB2706" w:rsidRPr="0047099F">
          <w:rPr>
            <w:rStyle w:val="Hiperveza"/>
            <w:noProof/>
          </w:rPr>
          <w:t xml:space="preserve">Slika 12. </w:t>
        </w:r>
        <w:r w:rsidR="00BB2706" w:rsidRPr="0047099F">
          <w:rPr>
            <w:rStyle w:val="Hiperveza"/>
            <w:bCs/>
            <w:noProof/>
          </w:rPr>
          <w:t>Odvojeno sakupljeni komunalni otpad u 2021., po vrstama</w:t>
        </w:r>
        <w:r w:rsidR="00BB2706">
          <w:rPr>
            <w:noProof/>
            <w:webHidden/>
          </w:rPr>
          <w:tab/>
        </w:r>
        <w:r w:rsidR="00BB2706">
          <w:rPr>
            <w:noProof/>
            <w:webHidden/>
          </w:rPr>
          <w:fldChar w:fldCharType="begin"/>
        </w:r>
        <w:r w:rsidR="00BB2706">
          <w:rPr>
            <w:noProof/>
            <w:webHidden/>
          </w:rPr>
          <w:instrText xml:space="preserve"> PAGEREF _Toc125363917 \h </w:instrText>
        </w:r>
        <w:r w:rsidR="00BB2706">
          <w:rPr>
            <w:noProof/>
            <w:webHidden/>
          </w:rPr>
        </w:r>
        <w:r w:rsidR="00BB2706">
          <w:rPr>
            <w:noProof/>
            <w:webHidden/>
          </w:rPr>
          <w:fldChar w:fldCharType="separate"/>
        </w:r>
        <w:r w:rsidR="00F37B62">
          <w:rPr>
            <w:noProof/>
            <w:webHidden/>
          </w:rPr>
          <w:t>29</w:t>
        </w:r>
        <w:r w:rsidR="00BB2706">
          <w:rPr>
            <w:noProof/>
            <w:webHidden/>
          </w:rPr>
          <w:fldChar w:fldCharType="end"/>
        </w:r>
      </w:hyperlink>
    </w:p>
    <w:p w14:paraId="4E660B9A" w14:textId="673A581B" w:rsidR="00BB2706" w:rsidRDefault="00000000">
      <w:pPr>
        <w:pStyle w:val="Sadraj2"/>
        <w:rPr>
          <w:rFonts w:eastAsiaTheme="minorEastAsia"/>
          <w:noProof/>
          <w:lang w:eastAsia="hr-HR"/>
        </w:rPr>
      </w:pPr>
      <w:hyperlink w:anchor="_Toc125363918" w:history="1">
        <w:r w:rsidR="00BB2706" w:rsidRPr="0047099F">
          <w:rPr>
            <w:rStyle w:val="Hiperveza"/>
            <w:noProof/>
          </w:rPr>
          <w:t xml:space="preserve">Slika 13. </w:t>
        </w:r>
        <w:r w:rsidR="00BB2706" w:rsidRPr="0047099F">
          <w:rPr>
            <w:rStyle w:val="Hiperveza"/>
            <w:bCs/>
            <w:noProof/>
          </w:rPr>
          <w:t>Količine miješanog otpada u odnosu na ukupno nastalu količinu komunalnog otpada i stopu odvojenog sakupljanja komunalnog otpada u razdoblju od 2015. do 2021. godine</w:t>
        </w:r>
        <w:r w:rsidR="00BB2706">
          <w:rPr>
            <w:noProof/>
            <w:webHidden/>
          </w:rPr>
          <w:tab/>
        </w:r>
        <w:r w:rsidR="00BB2706">
          <w:rPr>
            <w:noProof/>
            <w:webHidden/>
          </w:rPr>
          <w:fldChar w:fldCharType="begin"/>
        </w:r>
        <w:r w:rsidR="00BB2706">
          <w:rPr>
            <w:noProof/>
            <w:webHidden/>
          </w:rPr>
          <w:instrText xml:space="preserve"> PAGEREF _Toc125363918 \h </w:instrText>
        </w:r>
        <w:r w:rsidR="00BB2706">
          <w:rPr>
            <w:noProof/>
            <w:webHidden/>
          </w:rPr>
        </w:r>
        <w:r w:rsidR="00BB2706">
          <w:rPr>
            <w:noProof/>
            <w:webHidden/>
          </w:rPr>
          <w:fldChar w:fldCharType="separate"/>
        </w:r>
        <w:r w:rsidR="00F37B62">
          <w:rPr>
            <w:noProof/>
            <w:webHidden/>
          </w:rPr>
          <w:t>29</w:t>
        </w:r>
        <w:r w:rsidR="00BB2706">
          <w:rPr>
            <w:noProof/>
            <w:webHidden/>
          </w:rPr>
          <w:fldChar w:fldCharType="end"/>
        </w:r>
      </w:hyperlink>
    </w:p>
    <w:p w14:paraId="3BD7F7B9" w14:textId="3A4A5843" w:rsidR="00BB2706" w:rsidRDefault="00000000">
      <w:pPr>
        <w:pStyle w:val="Sadraj2"/>
        <w:rPr>
          <w:rFonts w:eastAsiaTheme="minorEastAsia"/>
          <w:noProof/>
          <w:lang w:eastAsia="hr-HR"/>
        </w:rPr>
      </w:pPr>
      <w:hyperlink w:anchor="_Toc125363919" w:history="1">
        <w:r w:rsidR="00BB2706" w:rsidRPr="0047099F">
          <w:rPr>
            <w:rStyle w:val="Hiperveza"/>
            <w:noProof/>
          </w:rPr>
          <w:t>Slika 14.</w:t>
        </w:r>
        <w:r w:rsidR="00BB2706" w:rsidRPr="0047099F">
          <w:rPr>
            <w:rStyle w:val="Hiperveza"/>
            <w:bCs/>
            <w:noProof/>
          </w:rPr>
          <w:t>Procijenjeni sastav miješanog komunalnog otpada u RH u 2015. godini</w:t>
        </w:r>
        <w:r w:rsidR="00BB2706">
          <w:rPr>
            <w:noProof/>
            <w:webHidden/>
          </w:rPr>
          <w:tab/>
        </w:r>
        <w:r w:rsidR="00BB2706">
          <w:rPr>
            <w:noProof/>
            <w:webHidden/>
          </w:rPr>
          <w:fldChar w:fldCharType="begin"/>
        </w:r>
        <w:r w:rsidR="00BB2706">
          <w:rPr>
            <w:noProof/>
            <w:webHidden/>
          </w:rPr>
          <w:instrText xml:space="preserve"> PAGEREF _Toc125363919 \h </w:instrText>
        </w:r>
        <w:r w:rsidR="00BB2706">
          <w:rPr>
            <w:noProof/>
            <w:webHidden/>
          </w:rPr>
        </w:r>
        <w:r w:rsidR="00BB2706">
          <w:rPr>
            <w:noProof/>
            <w:webHidden/>
          </w:rPr>
          <w:fldChar w:fldCharType="separate"/>
        </w:r>
        <w:r w:rsidR="00F37B62">
          <w:rPr>
            <w:noProof/>
            <w:webHidden/>
          </w:rPr>
          <w:t>30</w:t>
        </w:r>
        <w:r w:rsidR="00BB2706">
          <w:rPr>
            <w:noProof/>
            <w:webHidden/>
          </w:rPr>
          <w:fldChar w:fldCharType="end"/>
        </w:r>
      </w:hyperlink>
    </w:p>
    <w:p w14:paraId="674759CF" w14:textId="2609D41A" w:rsidR="00BB2706" w:rsidRDefault="00000000">
      <w:pPr>
        <w:pStyle w:val="Sadraj2"/>
        <w:rPr>
          <w:rFonts w:eastAsiaTheme="minorEastAsia"/>
          <w:noProof/>
          <w:lang w:eastAsia="hr-HR"/>
        </w:rPr>
      </w:pPr>
      <w:hyperlink w:anchor="_Toc125363920" w:history="1">
        <w:r w:rsidR="00BB2706" w:rsidRPr="0047099F">
          <w:rPr>
            <w:rStyle w:val="Hiperveza"/>
            <w:noProof/>
          </w:rPr>
          <w:t xml:space="preserve">Slika 15. </w:t>
        </w:r>
        <w:r w:rsidR="00BB2706" w:rsidRPr="0047099F">
          <w:rPr>
            <w:rStyle w:val="Hiperveza"/>
            <w:bCs/>
            <w:noProof/>
          </w:rPr>
          <w:t>Stopa recikliranja i stopa odlaganja u razdoblju od 2010. do 2021. godine u odnosu na propisane ciljeve, RH</w:t>
        </w:r>
        <w:r w:rsidR="00BB2706">
          <w:rPr>
            <w:noProof/>
            <w:webHidden/>
          </w:rPr>
          <w:tab/>
        </w:r>
        <w:r w:rsidR="00BB2706">
          <w:rPr>
            <w:noProof/>
            <w:webHidden/>
          </w:rPr>
          <w:fldChar w:fldCharType="begin"/>
        </w:r>
        <w:r w:rsidR="00BB2706">
          <w:rPr>
            <w:noProof/>
            <w:webHidden/>
          </w:rPr>
          <w:instrText xml:space="preserve"> PAGEREF _Toc125363920 \h </w:instrText>
        </w:r>
        <w:r w:rsidR="00BB2706">
          <w:rPr>
            <w:noProof/>
            <w:webHidden/>
          </w:rPr>
        </w:r>
        <w:r w:rsidR="00BB2706">
          <w:rPr>
            <w:noProof/>
            <w:webHidden/>
          </w:rPr>
          <w:fldChar w:fldCharType="separate"/>
        </w:r>
        <w:r w:rsidR="00F37B62">
          <w:rPr>
            <w:noProof/>
            <w:webHidden/>
          </w:rPr>
          <w:t>31</w:t>
        </w:r>
        <w:r w:rsidR="00BB2706">
          <w:rPr>
            <w:noProof/>
            <w:webHidden/>
          </w:rPr>
          <w:fldChar w:fldCharType="end"/>
        </w:r>
      </w:hyperlink>
    </w:p>
    <w:p w14:paraId="374D3FBA" w14:textId="36108CB8" w:rsidR="00BB2706" w:rsidRDefault="00000000">
      <w:pPr>
        <w:pStyle w:val="Sadraj2"/>
        <w:rPr>
          <w:rFonts w:eastAsiaTheme="minorEastAsia"/>
          <w:noProof/>
          <w:lang w:eastAsia="hr-HR"/>
        </w:rPr>
      </w:pPr>
      <w:hyperlink w:anchor="_Toc125363921" w:history="1">
        <w:r w:rsidR="00BB2706" w:rsidRPr="0047099F">
          <w:rPr>
            <w:rStyle w:val="Hiperveza"/>
            <w:noProof/>
          </w:rPr>
          <w:t>Slika 16</w:t>
        </w:r>
        <w:r w:rsidR="00BB2706" w:rsidRPr="0047099F">
          <w:rPr>
            <w:rStyle w:val="Hiperveza"/>
            <w:bCs/>
            <w:noProof/>
          </w:rPr>
          <w:t>. Procijenjene stope oporabe komunalnog otpada po županijama u 2021.</w:t>
        </w:r>
        <w:r w:rsidR="00BB2706">
          <w:rPr>
            <w:noProof/>
            <w:webHidden/>
          </w:rPr>
          <w:tab/>
        </w:r>
        <w:r w:rsidR="00BB2706">
          <w:rPr>
            <w:noProof/>
            <w:webHidden/>
          </w:rPr>
          <w:fldChar w:fldCharType="begin"/>
        </w:r>
        <w:r w:rsidR="00BB2706">
          <w:rPr>
            <w:noProof/>
            <w:webHidden/>
          </w:rPr>
          <w:instrText xml:space="preserve"> PAGEREF _Toc125363921 \h </w:instrText>
        </w:r>
        <w:r w:rsidR="00BB2706">
          <w:rPr>
            <w:noProof/>
            <w:webHidden/>
          </w:rPr>
        </w:r>
        <w:r w:rsidR="00BB2706">
          <w:rPr>
            <w:noProof/>
            <w:webHidden/>
          </w:rPr>
          <w:fldChar w:fldCharType="separate"/>
        </w:r>
        <w:r w:rsidR="00F37B62">
          <w:rPr>
            <w:noProof/>
            <w:webHidden/>
          </w:rPr>
          <w:t>32</w:t>
        </w:r>
        <w:r w:rsidR="00BB2706">
          <w:rPr>
            <w:noProof/>
            <w:webHidden/>
          </w:rPr>
          <w:fldChar w:fldCharType="end"/>
        </w:r>
      </w:hyperlink>
    </w:p>
    <w:p w14:paraId="2992A122" w14:textId="186BC569" w:rsidR="00BB2706" w:rsidRDefault="00000000">
      <w:pPr>
        <w:pStyle w:val="Sadraj2"/>
        <w:rPr>
          <w:rFonts w:eastAsiaTheme="minorEastAsia"/>
          <w:noProof/>
          <w:lang w:eastAsia="hr-HR"/>
        </w:rPr>
      </w:pPr>
      <w:hyperlink w:anchor="_Toc125363922" w:history="1">
        <w:r w:rsidR="00BB2706" w:rsidRPr="0047099F">
          <w:rPr>
            <w:rStyle w:val="Hiperveza"/>
            <w:noProof/>
          </w:rPr>
          <w:t xml:space="preserve">Slika 17. </w:t>
        </w:r>
        <w:r w:rsidR="00BB2706" w:rsidRPr="0047099F">
          <w:rPr>
            <w:rStyle w:val="Hiperveza"/>
            <w:bCs/>
            <w:noProof/>
          </w:rPr>
          <w:t>Gospodarenje s komunalnim otpadom u razdoblju od 2010. do 2021. godine, RH</w:t>
        </w:r>
        <w:r w:rsidR="00BB2706">
          <w:rPr>
            <w:noProof/>
            <w:webHidden/>
          </w:rPr>
          <w:tab/>
        </w:r>
        <w:r w:rsidR="00BB2706">
          <w:rPr>
            <w:noProof/>
            <w:webHidden/>
          </w:rPr>
          <w:fldChar w:fldCharType="begin"/>
        </w:r>
        <w:r w:rsidR="00BB2706">
          <w:rPr>
            <w:noProof/>
            <w:webHidden/>
          </w:rPr>
          <w:instrText xml:space="preserve"> PAGEREF _Toc125363922 \h </w:instrText>
        </w:r>
        <w:r w:rsidR="00BB2706">
          <w:rPr>
            <w:noProof/>
            <w:webHidden/>
          </w:rPr>
        </w:r>
        <w:r w:rsidR="00BB2706">
          <w:rPr>
            <w:noProof/>
            <w:webHidden/>
          </w:rPr>
          <w:fldChar w:fldCharType="separate"/>
        </w:r>
        <w:r w:rsidR="00F37B62">
          <w:rPr>
            <w:noProof/>
            <w:webHidden/>
          </w:rPr>
          <w:t>33</w:t>
        </w:r>
        <w:r w:rsidR="00BB2706">
          <w:rPr>
            <w:noProof/>
            <w:webHidden/>
          </w:rPr>
          <w:fldChar w:fldCharType="end"/>
        </w:r>
      </w:hyperlink>
    </w:p>
    <w:p w14:paraId="793C51AA" w14:textId="67D8E4B6" w:rsidR="00BB2706" w:rsidRDefault="00000000">
      <w:pPr>
        <w:pStyle w:val="Sadraj2"/>
        <w:rPr>
          <w:rFonts w:eastAsiaTheme="minorEastAsia"/>
          <w:noProof/>
          <w:lang w:eastAsia="hr-HR"/>
        </w:rPr>
      </w:pPr>
      <w:hyperlink w:anchor="_Toc125363923" w:history="1">
        <w:r w:rsidR="00BB2706" w:rsidRPr="0047099F">
          <w:rPr>
            <w:rStyle w:val="Hiperveza"/>
            <w:noProof/>
          </w:rPr>
          <w:t xml:space="preserve">Slika 18. </w:t>
        </w:r>
        <w:r w:rsidR="00BB2706" w:rsidRPr="0047099F">
          <w:rPr>
            <w:rStyle w:val="Hiperveza"/>
            <w:bCs/>
            <w:noProof/>
          </w:rPr>
          <w:t>Nastali i odloženi biorazgradivi komunalni otpad za razdoblje od 1997. do 2021. u odnosu na ciljanu količinu</w:t>
        </w:r>
        <w:r w:rsidR="00BB2706">
          <w:rPr>
            <w:noProof/>
            <w:webHidden/>
          </w:rPr>
          <w:tab/>
        </w:r>
        <w:r w:rsidR="00BB2706">
          <w:rPr>
            <w:noProof/>
            <w:webHidden/>
          </w:rPr>
          <w:fldChar w:fldCharType="begin"/>
        </w:r>
        <w:r w:rsidR="00BB2706">
          <w:rPr>
            <w:noProof/>
            <w:webHidden/>
          </w:rPr>
          <w:instrText xml:space="preserve"> PAGEREF _Toc125363923 \h </w:instrText>
        </w:r>
        <w:r w:rsidR="00BB2706">
          <w:rPr>
            <w:noProof/>
            <w:webHidden/>
          </w:rPr>
        </w:r>
        <w:r w:rsidR="00BB2706">
          <w:rPr>
            <w:noProof/>
            <w:webHidden/>
          </w:rPr>
          <w:fldChar w:fldCharType="separate"/>
        </w:r>
        <w:r w:rsidR="00F37B62">
          <w:rPr>
            <w:noProof/>
            <w:webHidden/>
          </w:rPr>
          <w:t>34</w:t>
        </w:r>
        <w:r w:rsidR="00BB2706">
          <w:rPr>
            <w:noProof/>
            <w:webHidden/>
          </w:rPr>
          <w:fldChar w:fldCharType="end"/>
        </w:r>
      </w:hyperlink>
    </w:p>
    <w:p w14:paraId="1A15EF6E" w14:textId="37A999E1" w:rsidR="00BB2706" w:rsidRDefault="00000000">
      <w:pPr>
        <w:pStyle w:val="Sadraj2"/>
        <w:rPr>
          <w:rFonts w:eastAsiaTheme="minorEastAsia"/>
          <w:noProof/>
          <w:lang w:eastAsia="hr-HR"/>
        </w:rPr>
      </w:pPr>
      <w:hyperlink w:anchor="_Toc125363924" w:history="1">
        <w:r w:rsidR="00BB2706" w:rsidRPr="0047099F">
          <w:rPr>
            <w:rStyle w:val="Hiperveza"/>
            <w:noProof/>
          </w:rPr>
          <w:t xml:space="preserve">Slika 19. </w:t>
        </w:r>
        <w:r w:rsidR="00BB2706" w:rsidRPr="0047099F">
          <w:rPr>
            <w:rStyle w:val="Hiperveza"/>
            <w:bCs/>
            <w:noProof/>
          </w:rPr>
          <w:t>Količine nastalog biootpada i udio odvojenog sakupljanja u razdoblju od 2017. do 2021. godine</w:t>
        </w:r>
        <w:r w:rsidR="00BB2706">
          <w:rPr>
            <w:noProof/>
            <w:webHidden/>
          </w:rPr>
          <w:tab/>
        </w:r>
        <w:r w:rsidR="00BB2706">
          <w:rPr>
            <w:noProof/>
            <w:webHidden/>
          </w:rPr>
          <w:fldChar w:fldCharType="begin"/>
        </w:r>
        <w:r w:rsidR="00BB2706">
          <w:rPr>
            <w:noProof/>
            <w:webHidden/>
          </w:rPr>
          <w:instrText xml:space="preserve"> PAGEREF _Toc125363924 \h </w:instrText>
        </w:r>
        <w:r w:rsidR="00BB2706">
          <w:rPr>
            <w:noProof/>
            <w:webHidden/>
          </w:rPr>
        </w:r>
        <w:r w:rsidR="00BB2706">
          <w:rPr>
            <w:noProof/>
            <w:webHidden/>
          </w:rPr>
          <w:fldChar w:fldCharType="separate"/>
        </w:r>
        <w:r w:rsidR="00F37B62">
          <w:rPr>
            <w:noProof/>
            <w:webHidden/>
          </w:rPr>
          <w:t>35</w:t>
        </w:r>
        <w:r w:rsidR="00BB2706">
          <w:rPr>
            <w:noProof/>
            <w:webHidden/>
          </w:rPr>
          <w:fldChar w:fldCharType="end"/>
        </w:r>
      </w:hyperlink>
    </w:p>
    <w:p w14:paraId="568F0E6D" w14:textId="71ACBBBC" w:rsidR="00BB2706" w:rsidRDefault="00000000">
      <w:pPr>
        <w:pStyle w:val="Sadraj2"/>
        <w:rPr>
          <w:rFonts w:eastAsiaTheme="minorEastAsia"/>
          <w:noProof/>
          <w:lang w:eastAsia="hr-HR"/>
        </w:rPr>
      </w:pPr>
      <w:hyperlink w:anchor="_Toc125363925" w:history="1">
        <w:r w:rsidR="00BB2706" w:rsidRPr="0047099F">
          <w:rPr>
            <w:rStyle w:val="Hiperveza"/>
            <w:noProof/>
          </w:rPr>
          <w:t xml:space="preserve">Slika 20. </w:t>
        </w:r>
        <w:r w:rsidR="00BB2706" w:rsidRPr="0047099F">
          <w:rPr>
            <w:rStyle w:val="Hiperveza"/>
            <w:bCs/>
            <w:noProof/>
          </w:rPr>
          <w:t>Nastali komunalni biootpad i gospodarenje s istim u razdoblju od 2012.-2021.</w:t>
        </w:r>
        <w:r w:rsidR="00BB2706">
          <w:rPr>
            <w:noProof/>
            <w:webHidden/>
          </w:rPr>
          <w:tab/>
        </w:r>
        <w:r w:rsidR="00BB2706">
          <w:rPr>
            <w:noProof/>
            <w:webHidden/>
          </w:rPr>
          <w:fldChar w:fldCharType="begin"/>
        </w:r>
        <w:r w:rsidR="00BB2706">
          <w:rPr>
            <w:noProof/>
            <w:webHidden/>
          </w:rPr>
          <w:instrText xml:space="preserve"> PAGEREF _Toc125363925 \h </w:instrText>
        </w:r>
        <w:r w:rsidR="00BB2706">
          <w:rPr>
            <w:noProof/>
            <w:webHidden/>
          </w:rPr>
        </w:r>
        <w:r w:rsidR="00BB2706">
          <w:rPr>
            <w:noProof/>
            <w:webHidden/>
          </w:rPr>
          <w:fldChar w:fldCharType="separate"/>
        </w:r>
        <w:r w:rsidR="00F37B62">
          <w:rPr>
            <w:noProof/>
            <w:webHidden/>
          </w:rPr>
          <w:t>36</w:t>
        </w:r>
        <w:r w:rsidR="00BB2706">
          <w:rPr>
            <w:noProof/>
            <w:webHidden/>
          </w:rPr>
          <w:fldChar w:fldCharType="end"/>
        </w:r>
      </w:hyperlink>
    </w:p>
    <w:p w14:paraId="49293FAB" w14:textId="5E1A7F83" w:rsidR="00BB2706" w:rsidRDefault="00000000">
      <w:pPr>
        <w:pStyle w:val="Sadraj2"/>
        <w:rPr>
          <w:rFonts w:eastAsiaTheme="minorEastAsia"/>
          <w:noProof/>
          <w:lang w:eastAsia="hr-HR"/>
        </w:rPr>
      </w:pPr>
      <w:hyperlink w:anchor="_Toc125363926" w:history="1">
        <w:r w:rsidR="00BB2706" w:rsidRPr="0047099F">
          <w:rPr>
            <w:rStyle w:val="Hiperveza"/>
            <w:noProof/>
          </w:rPr>
          <w:t xml:space="preserve">Slika 21. </w:t>
        </w:r>
        <w:r w:rsidR="00BB2706" w:rsidRPr="0047099F">
          <w:rPr>
            <w:rStyle w:val="Hiperveza"/>
            <w:bCs/>
            <w:noProof/>
          </w:rPr>
          <w:t>Nastale količine mulja iz uređaja za pročišćavanje komunalnih otpadnih voda od 2012. do 2021.</w:t>
        </w:r>
        <w:r w:rsidR="00BB2706">
          <w:rPr>
            <w:noProof/>
            <w:webHidden/>
          </w:rPr>
          <w:tab/>
        </w:r>
        <w:r w:rsidR="00BB2706">
          <w:rPr>
            <w:noProof/>
            <w:webHidden/>
          </w:rPr>
          <w:fldChar w:fldCharType="begin"/>
        </w:r>
        <w:r w:rsidR="00BB2706">
          <w:rPr>
            <w:noProof/>
            <w:webHidden/>
          </w:rPr>
          <w:instrText xml:space="preserve"> PAGEREF _Toc125363926 \h </w:instrText>
        </w:r>
        <w:r w:rsidR="00BB2706">
          <w:rPr>
            <w:noProof/>
            <w:webHidden/>
          </w:rPr>
        </w:r>
        <w:r w:rsidR="00BB2706">
          <w:rPr>
            <w:noProof/>
            <w:webHidden/>
          </w:rPr>
          <w:fldChar w:fldCharType="separate"/>
        </w:r>
        <w:r w:rsidR="00F37B62">
          <w:rPr>
            <w:noProof/>
            <w:webHidden/>
          </w:rPr>
          <w:t>37</w:t>
        </w:r>
        <w:r w:rsidR="00BB2706">
          <w:rPr>
            <w:noProof/>
            <w:webHidden/>
          </w:rPr>
          <w:fldChar w:fldCharType="end"/>
        </w:r>
      </w:hyperlink>
    </w:p>
    <w:p w14:paraId="4E7C5551" w14:textId="7F79E890" w:rsidR="00BB2706" w:rsidRDefault="00000000">
      <w:pPr>
        <w:pStyle w:val="Sadraj2"/>
        <w:rPr>
          <w:rFonts w:eastAsiaTheme="minorEastAsia"/>
          <w:noProof/>
          <w:lang w:eastAsia="hr-HR"/>
        </w:rPr>
      </w:pPr>
      <w:hyperlink w:anchor="_Toc125363927" w:history="1">
        <w:r w:rsidR="00BB2706" w:rsidRPr="0047099F">
          <w:rPr>
            <w:rStyle w:val="Hiperveza"/>
            <w:noProof/>
          </w:rPr>
          <w:t xml:space="preserve">Slika 22. </w:t>
        </w:r>
        <w:r w:rsidR="00BB2706" w:rsidRPr="0047099F">
          <w:rPr>
            <w:rStyle w:val="Hiperveza"/>
            <w:bCs/>
            <w:noProof/>
          </w:rPr>
          <w:t>Postupanje s muljem iz uređaja za pročišćavanje komunalnih otpadnih voda u 2021. godini</w:t>
        </w:r>
        <w:r w:rsidR="00BB2706">
          <w:rPr>
            <w:noProof/>
            <w:webHidden/>
          </w:rPr>
          <w:tab/>
        </w:r>
        <w:r w:rsidR="00BB2706">
          <w:rPr>
            <w:noProof/>
            <w:webHidden/>
          </w:rPr>
          <w:fldChar w:fldCharType="begin"/>
        </w:r>
        <w:r w:rsidR="00BB2706">
          <w:rPr>
            <w:noProof/>
            <w:webHidden/>
          </w:rPr>
          <w:instrText xml:space="preserve"> PAGEREF _Toc125363927 \h </w:instrText>
        </w:r>
        <w:r w:rsidR="00BB2706">
          <w:rPr>
            <w:noProof/>
            <w:webHidden/>
          </w:rPr>
        </w:r>
        <w:r w:rsidR="00BB2706">
          <w:rPr>
            <w:noProof/>
            <w:webHidden/>
          </w:rPr>
          <w:fldChar w:fldCharType="separate"/>
        </w:r>
        <w:r w:rsidR="00F37B62">
          <w:rPr>
            <w:noProof/>
            <w:webHidden/>
          </w:rPr>
          <w:t>37</w:t>
        </w:r>
        <w:r w:rsidR="00BB2706">
          <w:rPr>
            <w:noProof/>
            <w:webHidden/>
          </w:rPr>
          <w:fldChar w:fldCharType="end"/>
        </w:r>
      </w:hyperlink>
    </w:p>
    <w:p w14:paraId="12E1E83C" w14:textId="48E6976B" w:rsidR="00BB2706" w:rsidRDefault="00000000">
      <w:pPr>
        <w:pStyle w:val="Sadraj2"/>
        <w:rPr>
          <w:rFonts w:eastAsiaTheme="minorEastAsia"/>
          <w:noProof/>
          <w:lang w:eastAsia="hr-HR"/>
        </w:rPr>
      </w:pPr>
      <w:hyperlink w:anchor="_Toc125363928" w:history="1">
        <w:r w:rsidR="00BB2706" w:rsidRPr="0047099F">
          <w:rPr>
            <w:rStyle w:val="Hiperveza"/>
            <w:noProof/>
          </w:rPr>
          <w:t xml:space="preserve">Slika 23. </w:t>
        </w:r>
        <w:r w:rsidR="00BB2706" w:rsidRPr="0047099F">
          <w:rPr>
            <w:rStyle w:val="Hiperveza"/>
            <w:bCs/>
            <w:noProof/>
          </w:rPr>
          <w:t>Ukupni sastav različitih kategorija krutog otpada na površini mora prema sezoni uzorkovanja tijekom monitoringa 2020. godine</w:t>
        </w:r>
        <w:r w:rsidR="00BB2706">
          <w:rPr>
            <w:noProof/>
            <w:webHidden/>
          </w:rPr>
          <w:tab/>
        </w:r>
        <w:r w:rsidR="00BB2706">
          <w:rPr>
            <w:noProof/>
            <w:webHidden/>
          </w:rPr>
          <w:fldChar w:fldCharType="begin"/>
        </w:r>
        <w:r w:rsidR="00BB2706">
          <w:rPr>
            <w:noProof/>
            <w:webHidden/>
          </w:rPr>
          <w:instrText xml:space="preserve"> PAGEREF _Toc125363928 \h </w:instrText>
        </w:r>
        <w:r w:rsidR="00BB2706">
          <w:rPr>
            <w:noProof/>
            <w:webHidden/>
          </w:rPr>
        </w:r>
        <w:r w:rsidR="00BB2706">
          <w:rPr>
            <w:noProof/>
            <w:webHidden/>
          </w:rPr>
          <w:fldChar w:fldCharType="separate"/>
        </w:r>
        <w:r w:rsidR="00F37B62">
          <w:rPr>
            <w:noProof/>
            <w:webHidden/>
          </w:rPr>
          <w:t>39</w:t>
        </w:r>
        <w:r w:rsidR="00BB2706">
          <w:rPr>
            <w:noProof/>
            <w:webHidden/>
          </w:rPr>
          <w:fldChar w:fldCharType="end"/>
        </w:r>
      </w:hyperlink>
    </w:p>
    <w:p w14:paraId="7F96F72C" w14:textId="642F5B78" w:rsidR="00BB2706" w:rsidRDefault="00000000">
      <w:pPr>
        <w:pStyle w:val="Sadraj2"/>
        <w:rPr>
          <w:rFonts w:eastAsiaTheme="minorEastAsia"/>
          <w:noProof/>
          <w:lang w:eastAsia="hr-HR"/>
        </w:rPr>
      </w:pPr>
      <w:hyperlink w:anchor="_Toc125363929" w:history="1">
        <w:r w:rsidR="00BB2706" w:rsidRPr="0047099F">
          <w:rPr>
            <w:rStyle w:val="Hiperveza"/>
            <w:noProof/>
          </w:rPr>
          <w:t xml:space="preserve">Slika 24. </w:t>
        </w:r>
        <w:r w:rsidR="00BB2706" w:rsidRPr="0047099F">
          <w:rPr>
            <w:rStyle w:val="Hiperveza"/>
            <w:bCs/>
            <w:noProof/>
          </w:rPr>
          <w:t>Brojnost otpada (komad po km</w:t>
        </w:r>
        <w:r w:rsidR="00BB2706" w:rsidRPr="0047099F">
          <w:rPr>
            <w:rStyle w:val="Hiperveza"/>
            <w:bCs/>
            <w:noProof/>
            <w:vertAlign w:val="superscript"/>
          </w:rPr>
          <w:t>2</w:t>
        </w:r>
        <w:r w:rsidR="00BB2706" w:rsidRPr="0047099F">
          <w:rPr>
            <w:rStyle w:val="Hiperveza"/>
            <w:bCs/>
            <w:noProof/>
          </w:rPr>
          <w:t>)</w:t>
        </w:r>
        <w:r w:rsidR="00BB2706" w:rsidRPr="0047099F">
          <w:rPr>
            <w:rStyle w:val="Hiperveza"/>
            <w:noProof/>
          </w:rPr>
          <w:t xml:space="preserve"> </w:t>
        </w:r>
        <w:r w:rsidR="00BB2706" w:rsidRPr="0047099F">
          <w:rPr>
            <w:rStyle w:val="Hiperveza"/>
            <w:bCs/>
            <w:noProof/>
          </w:rPr>
          <w:t>u morskom dnu u 2020. godini prema vrstama otpada</w:t>
        </w:r>
        <w:r w:rsidR="00BB2706">
          <w:rPr>
            <w:noProof/>
            <w:webHidden/>
          </w:rPr>
          <w:tab/>
        </w:r>
        <w:r w:rsidR="00BB2706">
          <w:rPr>
            <w:noProof/>
            <w:webHidden/>
          </w:rPr>
          <w:fldChar w:fldCharType="begin"/>
        </w:r>
        <w:r w:rsidR="00BB2706">
          <w:rPr>
            <w:noProof/>
            <w:webHidden/>
          </w:rPr>
          <w:instrText xml:space="preserve"> PAGEREF _Toc125363929 \h </w:instrText>
        </w:r>
        <w:r w:rsidR="00BB2706">
          <w:rPr>
            <w:noProof/>
            <w:webHidden/>
          </w:rPr>
        </w:r>
        <w:r w:rsidR="00BB2706">
          <w:rPr>
            <w:noProof/>
            <w:webHidden/>
          </w:rPr>
          <w:fldChar w:fldCharType="separate"/>
        </w:r>
        <w:r w:rsidR="00F37B62">
          <w:rPr>
            <w:noProof/>
            <w:webHidden/>
          </w:rPr>
          <w:t>39</w:t>
        </w:r>
        <w:r w:rsidR="00BB2706">
          <w:rPr>
            <w:noProof/>
            <w:webHidden/>
          </w:rPr>
          <w:fldChar w:fldCharType="end"/>
        </w:r>
      </w:hyperlink>
    </w:p>
    <w:p w14:paraId="5D9547B9" w14:textId="0E99B8FF" w:rsidR="00BB2706" w:rsidRDefault="00000000">
      <w:pPr>
        <w:pStyle w:val="Sadraj2"/>
        <w:rPr>
          <w:rFonts w:eastAsiaTheme="minorEastAsia"/>
          <w:noProof/>
          <w:lang w:eastAsia="hr-HR"/>
        </w:rPr>
      </w:pPr>
      <w:hyperlink w:anchor="_Toc125363930" w:history="1">
        <w:r w:rsidR="00BB2706" w:rsidRPr="0047099F">
          <w:rPr>
            <w:rStyle w:val="Hiperveza"/>
            <w:noProof/>
          </w:rPr>
          <w:t xml:space="preserve">Slika 25. </w:t>
        </w:r>
        <w:r w:rsidR="00BB2706" w:rsidRPr="0047099F">
          <w:rPr>
            <w:rStyle w:val="Hiperveza"/>
            <w:bCs/>
            <w:noProof/>
          </w:rPr>
          <w:t>Nastali i odvojeno sakupljeni otpadni tekstil i obuća u razdoblju od 2010. do 2021. godine</w:t>
        </w:r>
        <w:r w:rsidR="00BB2706">
          <w:rPr>
            <w:noProof/>
            <w:webHidden/>
          </w:rPr>
          <w:tab/>
        </w:r>
        <w:r w:rsidR="00BB2706">
          <w:rPr>
            <w:noProof/>
            <w:webHidden/>
          </w:rPr>
          <w:fldChar w:fldCharType="begin"/>
        </w:r>
        <w:r w:rsidR="00BB2706">
          <w:rPr>
            <w:noProof/>
            <w:webHidden/>
          </w:rPr>
          <w:instrText xml:space="preserve"> PAGEREF _Toc125363930 \h </w:instrText>
        </w:r>
        <w:r w:rsidR="00BB2706">
          <w:rPr>
            <w:noProof/>
            <w:webHidden/>
          </w:rPr>
        </w:r>
        <w:r w:rsidR="00BB2706">
          <w:rPr>
            <w:noProof/>
            <w:webHidden/>
          </w:rPr>
          <w:fldChar w:fldCharType="separate"/>
        </w:r>
        <w:r w:rsidR="00F37B62">
          <w:rPr>
            <w:noProof/>
            <w:webHidden/>
          </w:rPr>
          <w:t>42</w:t>
        </w:r>
        <w:r w:rsidR="00BB2706">
          <w:rPr>
            <w:noProof/>
            <w:webHidden/>
          </w:rPr>
          <w:fldChar w:fldCharType="end"/>
        </w:r>
      </w:hyperlink>
    </w:p>
    <w:p w14:paraId="42ED5E0C" w14:textId="49DDC14A" w:rsidR="00BB2706" w:rsidRDefault="00000000">
      <w:pPr>
        <w:pStyle w:val="Sadraj2"/>
        <w:rPr>
          <w:rFonts w:eastAsiaTheme="minorEastAsia"/>
          <w:noProof/>
          <w:lang w:eastAsia="hr-HR"/>
        </w:rPr>
      </w:pPr>
      <w:hyperlink w:anchor="_Toc125363931" w:history="1">
        <w:r w:rsidR="00BB2706" w:rsidRPr="0047099F">
          <w:rPr>
            <w:rStyle w:val="Hiperveza"/>
            <w:bCs/>
            <w:noProof/>
          </w:rPr>
          <w:t>Slika 26</w:t>
        </w:r>
        <w:r w:rsidR="00BB2706" w:rsidRPr="0047099F">
          <w:rPr>
            <w:rStyle w:val="Hiperveza"/>
            <w:noProof/>
          </w:rPr>
          <w:t>. Postupanja s ukupnim količinama nastalog otpadnog tekstila i obuće u 2021. godini</w:t>
        </w:r>
        <w:r w:rsidR="00BB2706">
          <w:rPr>
            <w:noProof/>
            <w:webHidden/>
          </w:rPr>
          <w:tab/>
        </w:r>
        <w:r w:rsidR="00BB2706">
          <w:rPr>
            <w:noProof/>
            <w:webHidden/>
          </w:rPr>
          <w:fldChar w:fldCharType="begin"/>
        </w:r>
        <w:r w:rsidR="00BB2706">
          <w:rPr>
            <w:noProof/>
            <w:webHidden/>
          </w:rPr>
          <w:instrText xml:space="preserve"> PAGEREF _Toc125363931 \h </w:instrText>
        </w:r>
        <w:r w:rsidR="00BB2706">
          <w:rPr>
            <w:noProof/>
            <w:webHidden/>
          </w:rPr>
        </w:r>
        <w:r w:rsidR="00BB2706">
          <w:rPr>
            <w:noProof/>
            <w:webHidden/>
          </w:rPr>
          <w:fldChar w:fldCharType="separate"/>
        </w:r>
        <w:r w:rsidR="00F37B62">
          <w:rPr>
            <w:noProof/>
            <w:webHidden/>
          </w:rPr>
          <w:t>43</w:t>
        </w:r>
        <w:r w:rsidR="00BB2706">
          <w:rPr>
            <w:noProof/>
            <w:webHidden/>
          </w:rPr>
          <w:fldChar w:fldCharType="end"/>
        </w:r>
      </w:hyperlink>
    </w:p>
    <w:p w14:paraId="273DC408" w14:textId="35FD44EA" w:rsidR="00BB2706" w:rsidRDefault="00000000">
      <w:pPr>
        <w:pStyle w:val="Sadraj2"/>
        <w:rPr>
          <w:rFonts w:eastAsiaTheme="minorEastAsia"/>
          <w:noProof/>
          <w:lang w:eastAsia="hr-HR"/>
        </w:rPr>
      </w:pPr>
      <w:hyperlink w:anchor="_Toc125363932" w:history="1">
        <w:r w:rsidR="00BB2706" w:rsidRPr="0047099F">
          <w:rPr>
            <w:rStyle w:val="Hiperveza"/>
            <w:noProof/>
          </w:rPr>
          <w:t xml:space="preserve">Slika 27. </w:t>
        </w:r>
        <w:r w:rsidR="00BB2706" w:rsidRPr="0047099F">
          <w:rPr>
            <w:rStyle w:val="Hiperveza"/>
            <w:bCs/>
            <w:noProof/>
          </w:rPr>
          <w:t>Zastupljenost ambalaže stavljene na tržište u 2021. godini po materijalima</w:t>
        </w:r>
        <w:r w:rsidR="00BB2706">
          <w:rPr>
            <w:noProof/>
            <w:webHidden/>
          </w:rPr>
          <w:tab/>
        </w:r>
        <w:r w:rsidR="00BB2706">
          <w:rPr>
            <w:noProof/>
            <w:webHidden/>
          </w:rPr>
          <w:fldChar w:fldCharType="begin"/>
        </w:r>
        <w:r w:rsidR="00BB2706">
          <w:rPr>
            <w:noProof/>
            <w:webHidden/>
          </w:rPr>
          <w:instrText xml:space="preserve"> PAGEREF _Toc125363932 \h </w:instrText>
        </w:r>
        <w:r w:rsidR="00BB2706">
          <w:rPr>
            <w:noProof/>
            <w:webHidden/>
          </w:rPr>
        </w:r>
        <w:r w:rsidR="00BB2706">
          <w:rPr>
            <w:noProof/>
            <w:webHidden/>
          </w:rPr>
          <w:fldChar w:fldCharType="separate"/>
        </w:r>
        <w:r w:rsidR="00F37B62">
          <w:rPr>
            <w:noProof/>
            <w:webHidden/>
          </w:rPr>
          <w:t>44</w:t>
        </w:r>
        <w:r w:rsidR="00BB2706">
          <w:rPr>
            <w:noProof/>
            <w:webHidden/>
          </w:rPr>
          <w:fldChar w:fldCharType="end"/>
        </w:r>
      </w:hyperlink>
    </w:p>
    <w:p w14:paraId="0796404D" w14:textId="327F8698" w:rsidR="00BB2706" w:rsidRDefault="00000000">
      <w:pPr>
        <w:pStyle w:val="Sadraj2"/>
        <w:rPr>
          <w:rFonts w:eastAsiaTheme="minorEastAsia"/>
          <w:noProof/>
          <w:lang w:eastAsia="hr-HR"/>
        </w:rPr>
      </w:pPr>
      <w:hyperlink w:anchor="_Toc125363933" w:history="1">
        <w:r w:rsidR="00BB2706" w:rsidRPr="0047099F">
          <w:rPr>
            <w:rStyle w:val="Hiperveza"/>
            <w:noProof/>
          </w:rPr>
          <w:t>Slika 28</w:t>
        </w:r>
        <w:r w:rsidR="00BB2706" w:rsidRPr="0047099F">
          <w:rPr>
            <w:rStyle w:val="Hiperveza"/>
            <w:bCs/>
            <w:noProof/>
          </w:rPr>
          <w:t>. Količine ambalaže stavljene na tržište, količine sakupljene, oporabljene i reciklirane otpadne ambalaže u okviru sustava FZOEU, te stope recikliranja i oporabe u razdoblju od 2015. do 2021. godine</w:t>
        </w:r>
        <w:r w:rsidR="00BB2706">
          <w:rPr>
            <w:noProof/>
            <w:webHidden/>
          </w:rPr>
          <w:tab/>
        </w:r>
        <w:r w:rsidR="00BB2706">
          <w:rPr>
            <w:noProof/>
            <w:webHidden/>
          </w:rPr>
          <w:fldChar w:fldCharType="begin"/>
        </w:r>
        <w:r w:rsidR="00BB2706">
          <w:rPr>
            <w:noProof/>
            <w:webHidden/>
          </w:rPr>
          <w:instrText xml:space="preserve"> PAGEREF _Toc125363933 \h </w:instrText>
        </w:r>
        <w:r w:rsidR="00BB2706">
          <w:rPr>
            <w:noProof/>
            <w:webHidden/>
          </w:rPr>
        </w:r>
        <w:r w:rsidR="00BB2706">
          <w:rPr>
            <w:noProof/>
            <w:webHidden/>
          </w:rPr>
          <w:fldChar w:fldCharType="separate"/>
        </w:r>
        <w:r w:rsidR="00F37B62">
          <w:rPr>
            <w:noProof/>
            <w:webHidden/>
          </w:rPr>
          <w:t>45</w:t>
        </w:r>
        <w:r w:rsidR="00BB2706">
          <w:rPr>
            <w:noProof/>
            <w:webHidden/>
          </w:rPr>
          <w:fldChar w:fldCharType="end"/>
        </w:r>
      </w:hyperlink>
    </w:p>
    <w:p w14:paraId="2A2D71D6" w14:textId="03516E07" w:rsidR="00BB2706" w:rsidRDefault="00000000">
      <w:pPr>
        <w:pStyle w:val="Sadraj2"/>
        <w:rPr>
          <w:rFonts w:eastAsiaTheme="minorEastAsia"/>
          <w:noProof/>
          <w:lang w:eastAsia="hr-HR"/>
        </w:rPr>
      </w:pPr>
      <w:hyperlink w:anchor="_Toc125363934" w:history="1">
        <w:r w:rsidR="00BB2706" w:rsidRPr="0047099F">
          <w:rPr>
            <w:rStyle w:val="Hiperveza"/>
            <w:noProof/>
          </w:rPr>
          <w:t xml:space="preserve">Slika 29. </w:t>
        </w:r>
        <w:r w:rsidR="00BB2706" w:rsidRPr="0047099F">
          <w:rPr>
            <w:rStyle w:val="Hiperveza"/>
            <w:bCs/>
            <w:noProof/>
          </w:rPr>
          <w:t>Količine plastičnih vrećica za nošenje stavljenih na tržište RH u razdoblju od 2018. do 2021. godine po kategorijama</w:t>
        </w:r>
        <w:r w:rsidR="00BB2706">
          <w:rPr>
            <w:noProof/>
            <w:webHidden/>
          </w:rPr>
          <w:tab/>
        </w:r>
        <w:r w:rsidR="00BB2706">
          <w:rPr>
            <w:noProof/>
            <w:webHidden/>
          </w:rPr>
          <w:fldChar w:fldCharType="begin"/>
        </w:r>
        <w:r w:rsidR="00BB2706">
          <w:rPr>
            <w:noProof/>
            <w:webHidden/>
          </w:rPr>
          <w:instrText xml:space="preserve"> PAGEREF _Toc125363934 \h </w:instrText>
        </w:r>
        <w:r w:rsidR="00BB2706">
          <w:rPr>
            <w:noProof/>
            <w:webHidden/>
          </w:rPr>
        </w:r>
        <w:r w:rsidR="00BB2706">
          <w:rPr>
            <w:noProof/>
            <w:webHidden/>
          </w:rPr>
          <w:fldChar w:fldCharType="separate"/>
        </w:r>
        <w:r w:rsidR="00F37B62">
          <w:rPr>
            <w:noProof/>
            <w:webHidden/>
          </w:rPr>
          <w:t>47</w:t>
        </w:r>
        <w:r w:rsidR="00BB2706">
          <w:rPr>
            <w:noProof/>
            <w:webHidden/>
          </w:rPr>
          <w:fldChar w:fldCharType="end"/>
        </w:r>
      </w:hyperlink>
    </w:p>
    <w:p w14:paraId="2C74EA7F" w14:textId="4380FD33" w:rsidR="00BB2706" w:rsidRDefault="00000000">
      <w:pPr>
        <w:pStyle w:val="Sadraj2"/>
        <w:rPr>
          <w:rFonts w:eastAsiaTheme="minorEastAsia"/>
          <w:noProof/>
          <w:lang w:eastAsia="hr-HR"/>
        </w:rPr>
      </w:pPr>
      <w:hyperlink w:anchor="_Toc125363935" w:history="1">
        <w:r w:rsidR="00BB2706" w:rsidRPr="0047099F">
          <w:rPr>
            <w:rStyle w:val="Hiperveza"/>
            <w:noProof/>
          </w:rPr>
          <w:t xml:space="preserve">Slika 30. </w:t>
        </w:r>
        <w:r w:rsidR="00BB2706" w:rsidRPr="0047099F">
          <w:rPr>
            <w:rStyle w:val="Hiperveza"/>
            <w:bCs/>
            <w:noProof/>
          </w:rPr>
          <w:t>Količine guma stavljenih na tržište te količine sakupljenih i oporabljenih otpadnih guma putem sustava FZOEU u RH u razdoblju od 2015. do 2021. godine</w:t>
        </w:r>
        <w:r w:rsidR="00BB2706">
          <w:rPr>
            <w:noProof/>
            <w:webHidden/>
          </w:rPr>
          <w:tab/>
        </w:r>
        <w:r w:rsidR="00BB2706">
          <w:rPr>
            <w:noProof/>
            <w:webHidden/>
          </w:rPr>
          <w:fldChar w:fldCharType="begin"/>
        </w:r>
        <w:r w:rsidR="00BB2706">
          <w:rPr>
            <w:noProof/>
            <w:webHidden/>
          </w:rPr>
          <w:instrText xml:space="preserve"> PAGEREF _Toc125363935 \h </w:instrText>
        </w:r>
        <w:r w:rsidR="00BB2706">
          <w:rPr>
            <w:noProof/>
            <w:webHidden/>
          </w:rPr>
        </w:r>
        <w:r w:rsidR="00BB2706">
          <w:rPr>
            <w:noProof/>
            <w:webHidden/>
          </w:rPr>
          <w:fldChar w:fldCharType="separate"/>
        </w:r>
        <w:r w:rsidR="00F37B62">
          <w:rPr>
            <w:noProof/>
            <w:webHidden/>
          </w:rPr>
          <w:t>48</w:t>
        </w:r>
        <w:r w:rsidR="00BB2706">
          <w:rPr>
            <w:noProof/>
            <w:webHidden/>
          </w:rPr>
          <w:fldChar w:fldCharType="end"/>
        </w:r>
      </w:hyperlink>
    </w:p>
    <w:p w14:paraId="1C54D61E" w14:textId="7A2AF480" w:rsidR="00BB2706" w:rsidRDefault="00000000">
      <w:pPr>
        <w:pStyle w:val="Sadraj2"/>
        <w:rPr>
          <w:rFonts w:eastAsiaTheme="minorEastAsia"/>
          <w:noProof/>
          <w:lang w:eastAsia="hr-HR"/>
        </w:rPr>
      </w:pPr>
      <w:hyperlink w:anchor="_Toc125363936" w:history="1">
        <w:r w:rsidR="00BB2706" w:rsidRPr="0047099F">
          <w:rPr>
            <w:rStyle w:val="Hiperveza"/>
            <w:noProof/>
          </w:rPr>
          <w:t xml:space="preserve">Slika 31. </w:t>
        </w:r>
        <w:r w:rsidR="00BB2706" w:rsidRPr="0047099F">
          <w:rPr>
            <w:rStyle w:val="Hiperveza"/>
            <w:bCs/>
            <w:noProof/>
          </w:rPr>
          <w:t>Količine mazivih ulja stavljenih na tržište, procijenjene količine nastalih otpadnih mazivih ulja  te količine sakupljenih i oporabljenih otpadnih mazivih ulja u okviru sustava FZOEU u razdoblju od  2015.- 2021. godine</w:t>
        </w:r>
        <w:r w:rsidR="00BB2706">
          <w:rPr>
            <w:noProof/>
            <w:webHidden/>
          </w:rPr>
          <w:tab/>
        </w:r>
        <w:r w:rsidR="00BB2706">
          <w:rPr>
            <w:noProof/>
            <w:webHidden/>
          </w:rPr>
          <w:fldChar w:fldCharType="begin"/>
        </w:r>
        <w:r w:rsidR="00BB2706">
          <w:rPr>
            <w:noProof/>
            <w:webHidden/>
          </w:rPr>
          <w:instrText xml:space="preserve"> PAGEREF _Toc125363936 \h </w:instrText>
        </w:r>
        <w:r w:rsidR="00BB2706">
          <w:rPr>
            <w:noProof/>
            <w:webHidden/>
          </w:rPr>
        </w:r>
        <w:r w:rsidR="00BB2706">
          <w:rPr>
            <w:noProof/>
            <w:webHidden/>
          </w:rPr>
          <w:fldChar w:fldCharType="separate"/>
        </w:r>
        <w:r w:rsidR="00F37B62">
          <w:rPr>
            <w:noProof/>
            <w:webHidden/>
          </w:rPr>
          <w:t>49</w:t>
        </w:r>
        <w:r w:rsidR="00BB2706">
          <w:rPr>
            <w:noProof/>
            <w:webHidden/>
          </w:rPr>
          <w:fldChar w:fldCharType="end"/>
        </w:r>
      </w:hyperlink>
    </w:p>
    <w:p w14:paraId="7DA6F76A" w14:textId="67009DCC" w:rsidR="00BB2706" w:rsidRDefault="00000000">
      <w:pPr>
        <w:pStyle w:val="Sadraj2"/>
        <w:rPr>
          <w:rFonts w:eastAsiaTheme="minorEastAsia"/>
          <w:noProof/>
          <w:lang w:eastAsia="hr-HR"/>
        </w:rPr>
      </w:pPr>
      <w:hyperlink w:anchor="_Toc125363937" w:history="1">
        <w:r w:rsidR="00BB2706" w:rsidRPr="0047099F">
          <w:rPr>
            <w:rStyle w:val="Hiperveza"/>
            <w:noProof/>
          </w:rPr>
          <w:t xml:space="preserve">Slika 32. </w:t>
        </w:r>
        <w:r w:rsidR="00BB2706" w:rsidRPr="0047099F">
          <w:rPr>
            <w:rStyle w:val="Hiperveza"/>
            <w:bCs/>
            <w:noProof/>
          </w:rPr>
          <w:t>Količine prijenosnih baterija i akumulatora stavljenih na tržište i sakupljenih u sustavu FZOEU, od 2015.do 2021. godine</w:t>
        </w:r>
        <w:r w:rsidR="00BB2706">
          <w:rPr>
            <w:noProof/>
            <w:webHidden/>
          </w:rPr>
          <w:tab/>
        </w:r>
        <w:r w:rsidR="00BB2706">
          <w:rPr>
            <w:noProof/>
            <w:webHidden/>
          </w:rPr>
          <w:fldChar w:fldCharType="begin"/>
        </w:r>
        <w:r w:rsidR="00BB2706">
          <w:rPr>
            <w:noProof/>
            <w:webHidden/>
          </w:rPr>
          <w:instrText xml:space="preserve"> PAGEREF _Toc125363937 \h </w:instrText>
        </w:r>
        <w:r w:rsidR="00BB2706">
          <w:rPr>
            <w:noProof/>
            <w:webHidden/>
          </w:rPr>
        </w:r>
        <w:r w:rsidR="00BB2706">
          <w:rPr>
            <w:noProof/>
            <w:webHidden/>
          </w:rPr>
          <w:fldChar w:fldCharType="separate"/>
        </w:r>
        <w:r w:rsidR="00F37B62">
          <w:rPr>
            <w:noProof/>
            <w:webHidden/>
          </w:rPr>
          <w:t>50</w:t>
        </w:r>
        <w:r w:rsidR="00BB2706">
          <w:rPr>
            <w:noProof/>
            <w:webHidden/>
          </w:rPr>
          <w:fldChar w:fldCharType="end"/>
        </w:r>
      </w:hyperlink>
    </w:p>
    <w:p w14:paraId="096E9865" w14:textId="66FD493E" w:rsidR="00BB2706" w:rsidRDefault="00000000">
      <w:pPr>
        <w:pStyle w:val="Sadraj2"/>
        <w:rPr>
          <w:rFonts w:eastAsiaTheme="minorEastAsia"/>
          <w:noProof/>
          <w:lang w:eastAsia="hr-HR"/>
        </w:rPr>
      </w:pPr>
      <w:hyperlink w:anchor="_Toc125363938" w:history="1">
        <w:r w:rsidR="00BB2706" w:rsidRPr="0047099F">
          <w:rPr>
            <w:rStyle w:val="Hiperveza"/>
            <w:noProof/>
          </w:rPr>
          <w:t xml:space="preserve">Slika 33. </w:t>
        </w:r>
        <w:r w:rsidR="00BB2706" w:rsidRPr="0047099F">
          <w:rPr>
            <w:rStyle w:val="Hiperveza"/>
            <w:bCs/>
            <w:noProof/>
          </w:rPr>
          <w:t>Stopa sakupljanja otpadnih prijenosnih baterija i akumulatora u donosu na propisane ciljeve, u razdoblju 2015.-2021. godine</w:t>
        </w:r>
        <w:r w:rsidR="00BB2706">
          <w:rPr>
            <w:noProof/>
            <w:webHidden/>
          </w:rPr>
          <w:tab/>
        </w:r>
        <w:r w:rsidR="00BB2706">
          <w:rPr>
            <w:noProof/>
            <w:webHidden/>
          </w:rPr>
          <w:fldChar w:fldCharType="begin"/>
        </w:r>
        <w:r w:rsidR="00BB2706">
          <w:rPr>
            <w:noProof/>
            <w:webHidden/>
          </w:rPr>
          <w:instrText xml:space="preserve"> PAGEREF _Toc125363938 \h </w:instrText>
        </w:r>
        <w:r w:rsidR="00BB2706">
          <w:rPr>
            <w:noProof/>
            <w:webHidden/>
          </w:rPr>
        </w:r>
        <w:r w:rsidR="00BB2706">
          <w:rPr>
            <w:noProof/>
            <w:webHidden/>
          </w:rPr>
          <w:fldChar w:fldCharType="separate"/>
        </w:r>
        <w:r w:rsidR="00F37B62">
          <w:rPr>
            <w:noProof/>
            <w:webHidden/>
          </w:rPr>
          <w:t>51</w:t>
        </w:r>
        <w:r w:rsidR="00BB2706">
          <w:rPr>
            <w:noProof/>
            <w:webHidden/>
          </w:rPr>
          <w:fldChar w:fldCharType="end"/>
        </w:r>
      </w:hyperlink>
    </w:p>
    <w:p w14:paraId="72D909F8" w14:textId="1168E21F" w:rsidR="00BB2706" w:rsidRDefault="00000000">
      <w:pPr>
        <w:pStyle w:val="Sadraj2"/>
        <w:rPr>
          <w:rFonts w:eastAsiaTheme="minorEastAsia"/>
          <w:noProof/>
          <w:lang w:eastAsia="hr-HR"/>
        </w:rPr>
      </w:pPr>
      <w:hyperlink w:anchor="_Toc125363939" w:history="1">
        <w:r w:rsidR="00BB2706" w:rsidRPr="0047099F">
          <w:rPr>
            <w:rStyle w:val="Hiperveza"/>
            <w:noProof/>
          </w:rPr>
          <w:t xml:space="preserve">Slika 34. </w:t>
        </w:r>
        <w:r w:rsidR="00BB2706" w:rsidRPr="0047099F">
          <w:rPr>
            <w:rStyle w:val="Hiperveza"/>
            <w:bCs/>
            <w:noProof/>
          </w:rPr>
          <w:t>Učinkovitost recikliranja baterija i akumulatora u odnosu na propisane ciljeve u razdoblju od 2016. do 2021. godine</w:t>
        </w:r>
        <w:r w:rsidR="00BB2706">
          <w:rPr>
            <w:noProof/>
            <w:webHidden/>
          </w:rPr>
          <w:tab/>
        </w:r>
        <w:r w:rsidR="00BB2706">
          <w:rPr>
            <w:noProof/>
            <w:webHidden/>
          </w:rPr>
          <w:fldChar w:fldCharType="begin"/>
        </w:r>
        <w:r w:rsidR="00BB2706">
          <w:rPr>
            <w:noProof/>
            <w:webHidden/>
          </w:rPr>
          <w:instrText xml:space="preserve"> PAGEREF _Toc125363939 \h </w:instrText>
        </w:r>
        <w:r w:rsidR="00BB2706">
          <w:rPr>
            <w:noProof/>
            <w:webHidden/>
          </w:rPr>
        </w:r>
        <w:r w:rsidR="00BB2706">
          <w:rPr>
            <w:noProof/>
            <w:webHidden/>
          </w:rPr>
          <w:fldChar w:fldCharType="separate"/>
        </w:r>
        <w:r w:rsidR="00F37B62">
          <w:rPr>
            <w:noProof/>
            <w:webHidden/>
          </w:rPr>
          <w:t>51</w:t>
        </w:r>
        <w:r w:rsidR="00BB2706">
          <w:rPr>
            <w:noProof/>
            <w:webHidden/>
          </w:rPr>
          <w:fldChar w:fldCharType="end"/>
        </w:r>
      </w:hyperlink>
    </w:p>
    <w:p w14:paraId="0B60608A" w14:textId="3A973B65" w:rsidR="00BB2706" w:rsidRDefault="00000000">
      <w:pPr>
        <w:pStyle w:val="Sadraj2"/>
        <w:rPr>
          <w:rFonts w:eastAsiaTheme="minorEastAsia"/>
          <w:noProof/>
          <w:lang w:eastAsia="hr-HR"/>
        </w:rPr>
      </w:pPr>
      <w:hyperlink w:anchor="_Toc125363940" w:history="1">
        <w:r w:rsidR="00BB2706" w:rsidRPr="0047099F">
          <w:rPr>
            <w:rStyle w:val="Hiperveza"/>
            <w:noProof/>
          </w:rPr>
          <w:t>Slika 35</w:t>
        </w:r>
        <w:r w:rsidR="00BB2706" w:rsidRPr="0047099F">
          <w:rPr>
            <w:rStyle w:val="Hiperveza"/>
            <w:bCs/>
            <w:noProof/>
          </w:rPr>
          <w:t>. Broj sakupljenih otpadnih vozila u razdoblju od 2015. do 2021. godine</w:t>
        </w:r>
        <w:r w:rsidR="00BB2706">
          <w:rPr>
            <w:noProof/>
            <w:webHidden/>
          </w:rPr>
          <w:tab/>
        </w:r>
        <w:r w:rsidR="00BB2706">
          <w:rPr>
            <w:noProof/>
            <w:webHidden/>
          </w:rPr>
          <w:fldChar w:fldCharType="begin"/>
        </w:r>
        <w:r w:rsidR="00BB2706">
          <w:rPr>
            <w:noProof/>
            <w:webHidden/>
          </w:rPr>
          <w:instrText xml:space="preserve"> PAGEREF _Toc125363940 \h </w:instrText>
        </w:r>
        <w:r w:rsidR="00BB2706">
          <w:rPr>
            <w:noProof/>
            <w:webHidden/>
          </w:rPr>
        </w:r>
        <w:r w:rsidR="00BB2706">
          <w:rPr>
            <w:noProof/>
            <w:webHidden/>
          </w:rPr>
          <w:fldChar w:fldCharType="separate"/>
        </w:r>
        <w:r w:rsidR="00F37B62">
          <w:rPr>
            <w:noProof/>
            <w:webHidden/>
          </w:rPr>
          <w:t>52</w:t>
        </w:r>
        <w:r w:rsidR="00BB2706">
          <w:rPr>
            <w:noProof/>
            <w:webHidden/>
          </w:rPr>
          <w:fldChar w:fldCharType="end"/>
        </w:r>
      </w:hyperlink>
    </w:p>
    <w:p w14:paraId="0B6441E9" w14:textId="47145CAF" w:rsidR="00BB2706" w:rsidRDefault="00000000">
      <w:pPr>
        <w:pStyle w:val="Sadraj2"/>
        <w:rPr>
          <w:rFonts w:eastAsiaTheme="minorEastAsia"/>
          <w:noProof/>
          <w:lang w:eastAsia="hr-HR"/>
        </w:rPr>
      </w:pPr>
      <w:hyperlink w:anchor="_Toc125363941" w:history="1">
        <w:r w:rsidR="00BB2706" w:rsidRPr="0047099F">
          <w:rPr>
            <w:rStyle w:val="Hiperveza"/>
            <w:noProof/>
          </w:rPr>
          <w:t xml:space="preserve">Slika 36. </w:t>
        </w:r>
        <w:r w:rsidR="00BB2706" w:rsidRPr="0047099F">
          <w:rPr>
            <w:rStyle w:val="Hiperveza"/>
            <w:bCs/>
            <w:noProof/>
          </w:rPr>
          <w:t>Stopa ponovne uporabe i recikliranja otpadnih vozila u RH u razdoblju 2015. – 2021.</w:t>
        </w:r>
        <w:r w:rsidR="00BB2706">
          <w:rPr>
            <w:noProof/>
            <w:webHidden/>
          </w:rPr>
          <w:tab/>
        </w:r>
        <w:r w:rsidR="00BB2706">
          <w:rPr>
            <w:noProof/>
            <w:webHidden/>
          </w:rPr>
          <w:fldChar w:fldCharType="begin"/>
        </w:r>
        <w:r w:rsidR="00BB2706">
          <w:rPr>
            <w:noProof/>
            <w:webHidden/>
          </w:rPr>
          <w:instrText xml:space="preserve"> PAGEREF _Toc125363941 \h </w:instrText>
        </w:r>
        <w:r w:rsidR="00BB2706">
          <w:rPr>
            <w:noProof/>
            <w:webHidden/>
          </w:rPr>
        </w:r>
        <w:r w:rsidR="00BB2706">
          <w:rPr>
            <w:noProof/>
            <w:webHidden/>
          </w:rPr>
          <w:fldChar w:fldCharType="separate"/>
        </w:r>
        <w:r w:rsidR="00F37B62">
          <w:rPr>
            <w:noProof/>
            <w:webHidden/>
          </w:rPr>
          <w:t>53</w:t>
        </w:r>
        <w:r w:rsidR="00BB2706">
          <w:rPr>
            <w:noProof/>
            <w:webHidden/>
          </w:rPr>
          <w:fldChar w:fldCharType="end"/>
        </w:r>
      </w:hyperlink>
    </w:p>
    <w:p w14:paraId="20414ED4" w14:textId="3EDDE4A1" w:rsidR="00BB2706" w:rsidRDefault="00000000">
      <w:pPr>
        <w:pStyle w:val="Sadraj2"/>
        <w:rPr>
          <w:rFonts w:eastAsiaTheme="minorEastAsia"/>
          <w:noProof/>
          <w:lang w:eastAsia="hr-HR"/>
        </w:rPr>
      </w:pPr>
      <w:hyperlink w:anchor="_Toc125363942" w:history="1">
        <w:r w:rsidR="00BB2706" w:rsidRPr="0047099F">
          <w:rPr>
            <w:rStyle w:val="Hiperveza"/>
            <w:noProof/>
          </w:rPr>
          <w:t xml:space="preserve">Slika 37. </w:t>
        </w:r>
        <w:r w:rsidR="00BB2706" w:rsidRPr="0047099F">
          <w:rPr>
            <w:rStyle w:val="Hiperveza"/>
            <w:bCs/>
            <w:noProof/>
          </w:rPr>
          <w:t>Stopa ponovne uporabe i oporabe otpadnih vozila u RH u razdoblju 2017. – 2021.</w:t>
        </w:r>
        <w:r w:rsidR="00BB2706">
          <w:rPr>
            <w:noProof/>
            <w:webHidden/>
          </w:rPr>
          <w:tab/>
        </w:r>
        <w:r w:rsidR="00BB2706">
          <w:rPr>
            <w:noProof/>
            <w:webHidden/>
          </w:rPr>
          <w:fldChar w:fldCharType="begin"/>
        </w:r>
        <w:r w:rsidR="00BB2706">
          <w:rPr>
            <w:noProof/>
            <w:webHidden/>
          </w:rPr>
          <w:instrText xml:space="preserve"> PAGEREF _Toc125363942 \h </w:instrText>
        </w:r>
        <w:r w:rsidR="00BB2706">
          <w:rPr>
            <w:noProof/>
            <w:webHidden/>
          </w:rPr>
        </w:r>
        <w:r w:rsidR="00BB2706">
          <w:rPr>
            <w:noProof/>
            <w:webHidden/>
          </w:rPr>
          <w:fldChar w:fldCharType="separate"/>
        </w:r>
        <w:r w:rsidR="00F37B62">
          <w:rPr>
            <w:noProof/>
            <w:webHidden/>
          </w:rPr>
          <w:t>53</w:t>
        </w:r>
        <w:r w:rsidR="00BB2706">
          <w:rPr>
            <w:noProof/>
            <w:webHidden/>
          </w:rPr>
          <w:fldChar w:fldCharType="end"/>
        </w:r>
      </w:hyperlink>
    </w:p>
    <w:p w14:paraId="0479E3ED" w14:textId="3F21B353" w:rsidR="00BB2706" w:rsidRDefault="00000000">
      <w:pPr>
        <w:pStyle w:val="Sadraj2"/>
        <w:rPr>
          <w:rFonts w:eastAsiaTheme="minorEastAsia"/>
          <w:noProof/>
          <w:lang w:eastAsia="hr-HR"/>
        </w:rPr>
      </w:pPr>
      <w:hyperlink w:anchor="_Toc125363943" w:history="1">
        <w:r w:rsidR="00BB2706" w:rsidRPr="0047099F">
          <w:rPr>
            <w:rStyle w:val="Hiperveza"/>
            <w:noProof/>
          </w:rPr>
          <w:t>Slika 38. Postupanje s građevnim otpadom u razdoblju od 2015. do 2021. godine</w:t>
        </w:r>
        <w:r w:rsidR="00BB2706">
          <w:rPr>
            <w:noProof/>
            <w:webHidden/>
          </w:rPr>
          <w:tab/>
        </w:r>
        <w:r w:rsidR="00BB2706">
          <w:rPr>
            <w:noProof/>
            <w:webHidden/>
          </w:rPr>
          <w:fldChar w:fldCharType="begin"/>
        </w:r>
        <w:r w:rsidR="00BB2706">
          <w:rPr>
            <w:noProof/>
            <w:webHidden/>
          </w:rPr>
          <w:instrText xml:space="preserve"> PAGEREF _Toc125363943 \h </w:instrText>
        </w:r>
        <w:r w:rsidR="00BB2706">
          <w:rPr>
            <w:noProof/>
            <w:webHidden/>
          </w:rPr>
        </w:r>
        <w:r w:rsidR="00BB2706">
          <w:rPr>
            <w:noProof/>
            <w:webHidden/>
          </w:rPr>
          <w:fldChar w:fldCharType="separate"/>
        </w:r>
        <w:r w:rsidR="00F37B62">
          <w:rPr>
            <w:noProof/>
            <w:webHidden/>
          </w:rPr>
          <w:t>54</w:t>
        </w:r>
        <w:r w:rsidR="00BB2706">
          <w:rPr>
            <w:noProof/>
            <w:webHidden/>
          </w:rPr>
          <w:fldChar w:fldCharType="end"/>
        </w:r>
      </w:hyperlink>
    </w:p>
    <w:p w14:paraId="5329A475" w14:textId="33A13446" w:rsidR="00BB2706" w:rsidRDefault="00000000">
      <w:pPr>
        <w:pStyle w:val="Sadraj2"/>
        <w:rPr>
          <w:rFonts w:eastAsiaTheme="minorEastAsia"/>
          <w:noProof/>
          <w:lang w:eastAsia="hr-HR"/>
        </w:rPr>
      </w:pPr>
      <w:hyperlink w:anchor="_Toc125363944" w:history="1">
        <w:r w:rsidR="00BB2706" w:rsidRPr="0047099F">
          <w:rPr>
            <w:rStyle w:val="Hiperveza"/>
            <w:noProof/>
          </w:rPr>
          <w:t>Slika 39. Ostvarenje cilja za oporabu građevnog otpada u razdoblju od 2015. do 2021. godine</w:t>
        </w:r>
        <w:r w:rsidR="00BB2706">
          <w:rPr>
            <w:noProof/>
            <w:webHidden/>
          </w:rPr>
          <w:tab/>
        </w:r>
        <w:r w:rsidR="00BB2706">
          <w:rPr>
            <w:noProof/>
            <w:webHidden/>
          </w:rPr>
          <w:fldChar w:fldCharType="begin"/>
        </w:r>
        <w:r w:rsidR="00BB2706">
          <w:rPr>
            <w:noProof/>
            <w:webHidden/>
          </w:rPr>
          <w:instrText xml:space="preserve"> PAGEREF _Toc125363944 \h </w:instrText>
        </w:r>
        <w:r w:rsidR="00BB2706">
          <w:rPr>
            <w:noProof/>
            <w:webHidden/>
          </w:rPr>
        </w:r>
        <w:r w:rsidR="00BB2706">
          <w:rPr>
            <w:noProof/>
            <w:webHidden/>
          </w:rPr>
          <w:fldChar w:fldCharType="separate"/>
        </w:r>
        <w:r w:rsidR="00F37B62">
          <w:rPr>
            <w:noProof/>
            <w:webHidden/>
          </w:rPr>
          <w:t>55</w:t>
        </w:r>
        <w:r w:rsidR="00BB2706">
          <w:rPr>
            <w:noProof/>
            <w:webHidden/>
          </w:rPr>
          <w:fldChar w:fldCharType="end"/>
        </w:r>
      </w:hyperlink>
    </w:p>
    <w:p w14:paraId="7F970088" w14:textId="41FE9CE9" w:rsidR="00BB2706" w:rsidRDefault="00000000">
      <w:pPr>
        <w:pStyle w:val="Sadraj2"/>
        <w:rPr>
          <w:rFonts w:eastAsiaTheme="minorEastAsia"/>
          <w:noProof/>
          <w:lang w:eastAsia="hr-HR"/>
        </w:rPr>
      </w:pPr>
      <w:hyperlink w:anchor="_Toc125363945" w:history="1">
        <w:r w:rsidR="00BB2706" w:rsidRPr="0047099F">
          <w:rPr>
            <w:rStyle w:val="Hiperveza"/>
            <w:noProof/>
          </w:rPr>
          <w:t>Slika 40. Količine građevnog otpada koji sadrži azbest odložene u kazete u razdoblju od 2011. do 2021. godine</w:t>
        </w:r>
        <w:r w:rsidR="00BB2706">
          <w:rPr>
            <w:noProof/>
            <w:webHidden/>
          </w:rPr>
          <w:tab/>
        </w:r>
        <w:r w:rsidR="00BB2706">
          <w:rPr>
            <w:noProof/>
            <w:webHidden/>
          </w:rPr>
          <w:fldChar w:fldCharType="begin"/>
        </w:r>
        <w:r w:rsidR="00BB2706">
          <w:rPr>
            <w:noProof/>
            <w:webHidden/>
          </w:rPr>
          <w:instrText xml:space="preserve"> PAGEREF _Toc125363945 \h </w:instrText>
        </w:r>
        <w:r w:rsidR="00BB2706">
          <w:rPr>
            <w:noProof/>
            <w:webHidden/>
          </w:rPr>
        </w:r>
        <w:r w:rsidR="00BB2706">
          <w:rPr>
            <w:noProof/>
            <w:webHidden/>
          </w:rPr>
          <w:fldChar w:fldCharType="separate"/>
        </w:r>
        <w:r w:rsidR="00F37B62">
          <w:rPr>
            <w:noProof/>
            <w:webHidden/>
          </w:rPr>
          <w:t>56</w:t>
        </w:r>
        <w:r w:rsidR="00BB2706">
          <w:rPr>
            <w:noProof/>
            <w:webHidden/>
          </w:rPr>
          <w:fldChar w:fldCharType="end"/>
        </w:r>
      </w:hyperlink>
    </w:p>
    <w:p w14:paraId="5EFC4E0D" w14:textId="4249C3D6" w:rsidR="00BB2706" w:rsidRDefault="00000000">
      <w:pPr>
        <w:pStyle w:val="Sadraj2"/>
        <w:rPr>
          <w:rFonts w:eastAsiaTheme="minorEastAsia"/>
          <w:noProof/>
          <w:lang w:eastAsia="hr-HR"/>
        </w:rPr>
      </w:pPr>
      <w:hyperlink w:anchor="_Toc125363946" w:history="1">
        <w:r w:rsidR="00BB2706" w:rsidRPr="0047099F">
          <w:rPr>
            <w:rStyle w:val="Hiperveza"/>
            <w:noProof/>
          </w:rPr>
          <w:t xml:space="preserve">Slika 41. </w:t>
        </w:r>
        <w:r w:rsidR="00BB2706" w:rsidRPr="0047099F">
          <w:rPr>
            <w:rStyle w:val="Hiperveza"/>
            <w:bCs/>
            <w:noProof/>
          </w:rPr>
          <w:t>Nastali medicinski otpad u razdoblju od 2015. do 2021. godine</w:t>
        </w:r>
        <w:r w:rsidR="00BB2706">
          <w:rPr>
            <w:noProof/>
            <w:webHidden/>
          </w:rPr>
          <w:tab/>
        </w:r>
        <w:r w:rsidR="00BB2706">
          <w:rPr>
            <w:noProof/>
            <w:webHidden/>
          </w:rPr>
          <w:fldChar w:fldCharType="begin"/>
        </w:r>
        <w:r w:rsidR="00BB2706">
          <w:rPr>
            <w:noProof/>
            <w:webHidden/>
          </w:rPr>
          <w:instrText xml:space="preserve"> PAGEREF _Toc125363946 \h </w:instrText>
        </w:r>
        <w:r w:rsidR="00BB2706">
          <w:rPr>
            <w:noProof/>
            <w:webHidden/>
          </w:rPr>
        </w:r>
        <w:r w:rsidR="00BB2706">
          <w:rPr>
            <w:noProof/>
            <w:webHidden/>
          </w:rPr>
          <w:fldChar w:fldCharType="separate"/>
        </w:r>
        <w:r w:rsidR="00F37B62">
          <w:rPr>
            <w:noProof/>
            <w:webHidden/>
          </w:rPr>
          <w:t>57</w:t>
        </w:r>
        <w:r w:rsidR="00BB2706">
          <w:rPr>
            <w:noProof/>
            <w:webHidden/>
          </w:rPr>
          <w:fldChar w:fldCharType="end"/>
        </w:r>
      </w:hyperlink>
    </w:p>
    <w:p w14:paraId="104B3140" w14:textId="24F80BA1" w:rsidR="00BB2706" w:rsidRDefault="00000000">
      <w:pPr>
        <w:pStyle w:val="Sadraj2"/>
        <w:rPr>
          <w:rFonts w:eastAsiaTheme="minorEastAsia"/>
          <w:noProof/>
          <w:lang w:eastAsia="hr-HR"/>
        </w:rPr>
      </w:pPr>
      <w:hyperlink w:anchor="_Toc125363947" w:history="1">
        <w:r w:rsidR="00BB2706" w:rsidRPr="0047099F">
          <w:rPr>
            <w:rStyle w:val="Hiperveza"/>
            <w:noProof/>
          </w:rPr>
          <w:t xml:space="preserve">Slika 42. </w:t>
        </w:r>
        <w:r w:rsidR="00BB2706" w:rsidRPr="0047099F">
          <w:rPr>
            <w:rStyle w:val="Hiperveza"/>
            <w:bCs/>
            <w:noProof/>
          </w:rPr>
          <w:t>Nastale količine otpadne EE opreme (računato kao prosjek količina stavljenih na tržište u prethodne tri godine), sakupljene i oporabljene količine u razdoblju od 2015. do 2021. godine (t)</w:t>
        </w:r>
        <w:r w:rsidR="00BB2706">
          <w:rPr>
            <w:noProof/>
            <w:webHidden/>
          </w:rPr>
          <w:tab/>
        </w:r>
        <w:r w:rsidR="00BB2706">
          <w:rPr>
            <w:noProof/>
            <w:webHidden/>
          </w:rPr>
          <w:fldChar w:fldCharType="begin"/>
        </w:r>
        <w:r w:rsidR="00BB2706">
          <w:rPr>
            <w:noProof/>
            <w:webHidden/>
          </w:rPr>
          <w:instrText xml:space="preserve"> PAGEREF _Toc125363947 \h </w:instrText>
        </w:r>
        <w:r w:rsidR="00BB2706">
          <w:rPr>
            <w:noProof/>
            <w:webHidden/>
          </w:rPr>
        </w:r>
        <w:r w:rsidR="00BB2706">
          <w:rPr>
            <w:noProof/>
            <w:webHidden/>
          </w:rPr>
          <w:fldChar w:fldCharType="separate"/>
        </w:r>
        <w:r w:rsidR="00F37B62">
          <w:rPr>
            <w:noProof/>
            <w:webHidden/>
          </w:rPr>
          <w:t>57</w:t>
        </w:r>
        <w:r w:rsidR="00BB2706">
          <w:rPr>
            <w:noProof/>
            <w:webHidden/>
          </w:rPr>
          <w:fldChar w:fldCharType="end"/>
        </w:r>
      </w:hyperlink>
    </w:p>
    <w:p w14:paraId="2FAD26A3" w14:textId="4C175024" w:rsidR="00BB2706" w:rsidRDefault="00000000">
      <w:pPr>
        <w:pStyle w:val="Sadraj2"/>
        <w:rPr>
          <w:rFonts w:eastAsiaTheme="minorEastAsia"/>
          <w:noProof/>
          <w:lang w:eastAsia="hr-HR"/>
        </w:rPr>
      </w:pPr>
      <w:hyperlink w:anchor="_Toc125363948" w:history="1">
        <w:r w:rsidR="00BB2706" w:rsidRPr="0047099F">
          <w:rPr>
            <w:rStyle w:val="Hiperveza"/>
            <w:noProof/>
          </w:rPr>
          <w:t xml:space="preserve">Slika 43. </w:t>
        </w:r>
        <w:r w:rsidR="00BB2706" w:rsidRPr="0047099F">
          <w:rPr>
            <w:rStyle w:val="Hiperveza"/>
            <w:bCs/>
            <w:noProof/>
            <w:lang w:eastAsia="hr-HR"/>
          </w:rPr>
          <w:t>Ostvarene stope sakupljanja EE otpada za razdoblje od 2015. do 2020. godine uz prikaz ciljeva</w:t>
        </w:r>
        <w:r w:rsidR="00BB2706">
          <w:rPr>
            <w:noProof/>
            <w:webHidden/>
          </w:rPr>
          <w:tab/>
        </w:r>
        <w:r w:rsidR="00BB2706">
          <w:rPr>
            <w:noProof/>
            <w:webHidden/>
          </w:rPr>
          <w:fldChar w:fldCharType="begin"/>
        </w:r>
        <w:r w:rsidR="00BB2706">
          <w:rPr>
            <w:noProof/>
            <w:webHidden/>
          </w:rPr>
          <w:instrText xml:space="preserve"> PAGEREF _Toc125363948 \h </w:instrText>
        </w:r>
        <w:r w:rsidR="00BB2706">
          <w:rPr>
            <w:noProof/>
            <w:webHidden/>
          </w:rPr>
        </w:r>
        <w:r w:rsidR="00BB2706">
          <w:rPr>
            <w:noProof/>
            <w:webHidden/>
          </w:rPr>
          <w:fldChar w:fldCharType="separate"/>
        </w:r>
        <w:r w:rsidR="00F37B62">
          <w:rPr>
            <w:noProof/>
            <w:webHidden/>
          </w:rPr>
          <w:t>58</w:t>
        </w:r>
        <w:r w:rsidR="00BB2706">
          <w:rPr>
            <w:noProof/>
            <w:webHidden/>
          </w:rPr>
          <w:fldChar w:fldCharType="end"/>
        </w:r>
      </w:hyperlink>
    </w:p>
    <w:p w14:paraId="20B01282" w14:textId="4C2E4A5A" w:rsidR="00BB2706" w:rsidRDefault="00000000">
      <w:pPr>
        <w:pStyle w:val="Sadraj2"/>
        <w:rPr>
          <w:rFonts w:eastAsiaTheme="minorEastAsia"/>
          <w:noProof/>
          <w:lang w:eastAsia="hr-HR"/>
        </w:rPr>
      </w:pPr>
      <w:hyperlink w:anchor="_Toc125363949" w:history="1">
        <w:r w:rsidR="00BB2706" w:rsidRPr="0047099F">
          <w:rPr>
            <w:rStyle w:val="Hiperveza"/>
            <w:noProof/>
          </w:rPr>
          <w:t xml:space="preserve">Slika 44. </w:t>
        </w:r>
        <w:r w:rsidR="00BB2706" w:rsidRPr="0047099F">
          <w:rPr>
            <w:rStyle w:val="Hiperveza"/>
            <w:bCs/>
            <w:noProof/>
          </w:rPr>
          <w:t>Količina PCB opreme ukupno evidentirane /zbrinute /preostale za zbrinuti u razdoblju od 2008. do 2021. godine</w:t>
        </w:r>
        <w:r w:rsidR="00BB2706">
          <w:rPr>
            <w:noProof/>
            <w:webHidden/>
          </w:rPr>
          <w:tab/>
        </w:r>
        <w:r w:rsidR="00BB2706">
          <w:rPr>
            <w:noProof/>
            <w:webHidden/>
          </w:rPr>
          <w:fldChar w:fldCharType="begin"/>
        </w:r>
        <w:r w:rsidR="00BB2706">
          <w:rPr>
            <w:noProof/>
            <w:webHidden/>
          </w:rPr>
          <w:instrText xml:space="preserve"> PAGEREF _Toc125363949 \h </w:instrText>
        </w:r>
        <w:r w:rsidR="00BB2706">
          <w:rPr>
            <w:noProof/>
            <w:webHidden/>
          </w:rPr>
        </w:r>
        <w:r w:rsidR="00BB2706">
          <w:rPr>
            <w:noProof/>
            <w:webHidden/>
          </w:rPr>
          <w:fldChar w:fldCharType="separate"/>
        </w:r>
        <w:r w:rsidR="00F37B62">
          <w:rPr>
            <w:noProof/>
            <w:webHidden/>
          </w:rPr>
          <w:t>59</w:t>
        </w:r>
        <w:r w:rsidR="00BB2706">
          <w:rPr>
            <w:noProof/>
            <w:webHidden/>
          </w:rPr>
          <w:fldChar w:fldCharType="end"/>
        </w:r>
      </w:hyperlink>
    </w:p>
    <w:p w14:paraId="1DC2D028" w14:textId="0E4B7EA3" w:rsidR="00BB2706" w:rsidRDefault="00000000">
      <w:pPr>
        <w:pStyle w:val="Sadraj2"/>
        <w:rPr>
          <w:rFonts w:eastAsiaTheme="minorEastAsia"/>
          <w:noProof/>
          <w:lang w:eastAsia="hr-HR"/>
        </w:rPr>
      </w:pPr>
      <w:hyperlink w:anchor="_Toc125363950" w:history="1">
        <w:r w:rsidR="00BB2706" w:rsidRPr="0047099F">
          <w:rPr>
            <w:rStyle w:val="Hiperveza"/>
            <w:noProof/>
          </w:rPr>
          <w:t xml:space="preserve">Slika 45. </w:t>
        </w:r>
        <w:r w:rsidR="00BB2706" w:rsidRPr="0047099F">
          <w:rPr>
            <w:rStyle w:val="Hiperveza"/>
            <w:bCs/>
            <w:noProof/>
          </w:rPr>
          <w:t>Prekogranični promet otpada u RH u razdoblju od 2017. do 2021. godine</w:t>
        </w:r>
        <w:r w:rsidR="00BB2706">
          <w:rPr>
            <w:noProof/>
            <w:webHidden/>
          </w:rPr>
          <w:tab/>
        </w:r>
        <w:r w:rsidR="00BB2706">
          <w:rPr>
            <w:noProof/>
            <w:webHidden/>
          </w:rPr>
          <w:fldChar w:fldCharType="begin"/>
        </w:r>
        <w:r w:rsidR="00BB2706">
          <w:rPr>
            <w:noProof/>
            <w:webHidden/>
          </w:rPr>
          <w:instrText xml:space="preserve"> PAGEREF _Toc125363950 \h </w:instrText>
        </w:r>
        <w:r w:rsidR="00BB2706">
          <w:rPr>
            <w:noProof/>
            <w:webHidden/>
          </w:rPr>
        </w:r>
        <w:r w:rsidR="00BB2706">
          <w:rPr>
            <w:noProof/>
            <w:webHidden/>
          </w:rPr>
          <w:fldChar w:fldCharType="separate"/>
        </w:r>
        <w:r w:rsidR="00F37B62">
          <w:rPr>
            <w:noProof/>
            <w:webHidden/>
          </w:rPr>
          <w:t>61</w:t>
        </w:r>
        <w:r w:rsidR="00BB2706">
          <w:rPr>
            <w:noProof/>
            <w:webHidden/>
          </w:rPr>
          <w:fldChar w:fldCharType="end"/>
        </w:r>
      </w:hyperlink>
    </w:p>
    <w:p w14:paraId="55B85A95" w14:textId="715F6997" w:rsidR="00BB2706" w:rsidRDefault="00000000">
      <w:pPr>
        <w:pStyle w:val="Sadraj2"/>
        <w:rPr>
          <w:rFonts w:eastAsiaTheme="minorEastAsia"/>
          <w:noProof/>
          <w:lang w:eastAsia="hr-HR"/>
        </w:rPr>
      </w:pPr>
      <w:hyperlink w:anchor="_Toc125363951" w:history="1">
        <w:r w:rsidR="00BB2706" w:rsidRPr="0047099F">
          <w:rPr>
            <w:rStyle w:val="Hiperveza"/>
            <w:noProof/>
          </w:rPr>
          <w:t xml:space="preserve">Slika 46. </w:t>
        </w:r>
        <w:r w:rsidR="00BB2706" w:rsidRPr="0047099F">
          <w:rPr>
            <w:rStyle w:val="Hiperveza"/>
            <w:bCs/>
            <w:noProof/>
          </w:rPr>
          <w:t>Uvoz/unos otpada koji podliježe notifikacijskom postupku od 2014. do 2021. godine</w:t>
        </w:r>
        <w:r w:rsidR="00BB2706">
          <w:rPr>
            <w:noProof/>
            <w:webHidden/>
          </w:rPr>
          <w:tab/>
        </w:r>
        <w:r w:rsidR="00BB2706">
          <w:rPr>
            <w:noProof/>
            <w:webHidden/>
          </w:rPr>
          <w:fldChar w:fldCharType="begin"/>
        </w:r>
        <w:r w:rsidR="00BB2706">
          <w:rPr>
            <w:noProof/>
            <w:webHidden/>
          </w:rPr>
          <w:instrText xml:space="preserve"> PAGEREF _Toc125363951 \h </w:instrText>
        </w:r>
        <w:r w:rsidR="00BB2706">
          <w:rPr>
            <w:noProof/>
            <w:webHidden/>
          </w:rPr>
        </w:r>
        <w:r w:rsidR="00BB2706">
          <w:rPr>
            <w:noProof/>
            <w:webHidden/>
          </w:rPr>
          <w:fldChar w:fldCharType="separate"/>
        </w:r>
        <w:r w:rsidR="00F37B62">
          <w:rPr>
            <w:noProof/>
            <w:webHidden/>
          </w:rPr>
          <w:t>61</w:t>
        </w:r>
        <w:r w:rsidR="00BB2706">
          <w:rPr>
            <w:noProof/>
            <w:webHidden/>
          </w:rPr>
          <w:fldChar w:fldCharType="end"/>
        </w:r>
      </w:hyperlink>
    </w:p>
    <w:p w14:paraId="1C77EDFB" w14:textId="0C4F4AFF" w:rsidR="00BB2706" w:rsidRDefault="00000000">
      <w:pPr>
        <w:pStyle w:val="Sadraj2"/>
        <w:rPr>
          <w:rFonts w:eastAsiaTheme="minorEastAsia"/>
          <w:noProof/>
          <w:lang w:eastAsia="hr-HR"/>
        </w:rPr>
      </w:pPr>
      <w:hyperlink w:anchor="_Toc125363952" w:history="1">
        <w:r w:rsidR="00BB2706" w:rsidRPr="0047099F">
          <w:rPr>
            <w:rStyle w:val="Hiperveza"/>
            <w:bCs/>
            <w:noProof/>
          </w:rPr>
          <w:t>Slika 47.</w:t>
        </w:r>
        <w:r w:rsidR="00BB2706" w:rsidRPr="0047099F">
          <w:rPr>
            <w:rStyle w:val="Hiperveza"/>
            <w:noProof/>
          </w:rPr>
          <w:t xml:space="preserve"> Varijacije u količinama različitih vrsta uvezenog/unesenog otpada koji podliježe notifikacijskom postupku od 2014. do 2021. godine</w:t>
        </w:r>
        <w:r w:rsidR="00BB2706">
          <w:rPr>
            <w:noProof/>
            <w:webHidden/>
          </w:rPr>
          <w:tab/>
        </w:r>
        <w:r w:rsidR="00BB2706">
          <w:rPr>
            <w:noProof/>
            <w:webHidden/>
          </w:rPr>
          <w:fldChar w:fldCharType="begin"/>
        </w:r>
        <w:r w:rsidR="00BB2706">
          <w:rPr>
            <w:noProof/>
            <w:webHidden/>
          </w:rPr>
          <w:instrText xml:space="preserve"> PAGEREF _Toc125363952 \h </w:instrText>
        </w:r>
        <w:r w:rsidR="00BB2706">
          <w:rPr>
            <w:noProof/>
            <w:webHidden/>
          </w:rPr>
        </w:r>
        <w:r w:rsidR="00BB2706">
          <w:rPr>
            <w:noProof/>
            <w:webHidden/>
          </w:rPr>
          <w:fldChar w:fldCharType="separate"/>
        </w:r>
        <w:r w:rsidR="00F37B62">
          <w:rPr>
            <w:noProof/>
            <w:webHidden/>
          </w:rPr>
          <w:t>62</w:t>
        </w:r>
        <w:r w:rsidR="00BB2706">
          <w:rPr>
            <w:noProof/>
            <w:webHidden/>
          </w:rPr>
          <w:fldChar w:fldCharType="end"/>
        </w:r>
      </w:hyperlink>
    </w:p>
    <w:p w14:paraId="3FF18695" w14:textId="77402E68" w:rsidR="00BB2706" w:rsidRDefault="00000000">
      <w:pPr>
        <w:pStyle w:val="Sadraj2"/>
        <w:rPr>
          <w:rFonts w:eastAsiaTheme="minorEastAsia"/>
          <w:noProof/>
          <w:lang w:eastAsia="hr-HR"/>
        </w:rPr>
      </w:pPr>
      <w:hyperlink w:anchor="_Toc125363953" w:history="1">
        <w:r w:rsidR="00BB2706" w:rsidRPr="0047099F">
          <w:rPr>
            <w:rStyle w:val="Hiperveza"/>
            <w:noProof/>
          </w:rPr>
          <w:t xml:space="preserve">Slika 48. </w:t>
        </w:r>
        <w:r w:rsidR="00BB2706" w:rsidRPr="0047099F">
          <w:rPr>
            <w:rStyle w:val="Hiperveza"/>
            <w:bCs/>
            <w:noProof/>
          </w:rPr>
          <w:t>Broj reciklažnih dvorišta evidentiranih do kolovoza 2022. godine</w:t>
        </w:r>
        <w:r w:rsidR="00BB2706">
          <w:rPr>
            <w:noProof/>
            <w:webHidden/>
          </w:rPr>
          <w:tab/>
        </w:r>
        <w:r w:rsidR="00BB2706">
          <w:rPr>
            <w:noProof/>
            <w:webHidden/>
          </w:rPr>
          <w:fldChar w:fldCharType="begin"/>
        </w:r>
        <w:r w:rsidR="00BB2706">
          <w:rPr>
            <w:noProof/>
            <w:webHidden/>
          </w:rPr>
          <w:instrText xml:space="preserve"> PAGEREF _Toc125363953 \h </w:instrText>
        </w:r>
        <w:r w:rsidR="00BB2706">
          <w:rPr>
            <w:noProof/>
            <w:webHidden/>
          </w:rPr>
        </w:r>
        <w:r w:rsidR="00BB2706">
          <w:rPr>
            <w:noProof/>
            <w:webHidden/>
          </w:rPr>
          <w:fldChar w:fldCharType="separate"/>
        </w:r>
        <w:r w:rsidR="00F37B62">
          <w:rPr>
            <w:noProof/>
            <w:webHidden/>
          </w:rPr>
          <w:t>66</w:t>
        </w:r>
        <w:r w:rsidR="00BB2706">
          <w:rPr>
            <w:noProof/>
            <w:webHidden/>
          </w:rPr>
          <w:fldChar w:fldCharType="end"/>
        </w:r>
      </w:hyperlink>
    </w:p>
    <w:p w14:paraId="2FC4D826" w14:textId="0954858E" w:rsidR="00BB2706" w:rsidRDefault="00000000">
      <w:pPr>
        <w:pStyle w:val="Sadraj2"/>
        <w:rPr>
          <w:rFonts w:eastAsiaTheme="minorEastAsia"/>
          <w:noProof/>
          <w:lang w:eastAsia="hr-HR"/>
        </w:rPr>
      </w:pPr>
      <w:hyperlink w:anchor="_Toc125363954" w:history="1">
        <w:r w:rsidR="00BB2706" w:rsidRPr="0047099F">
          <w:rPr>
            <w:rStyle w:val="Hiperveza"/>
            <w:noProof/>
          </w:rPr>
          <w:t xml:space="preserve">Slika 49. </w:t>
        </w:r>
        <w:r w:rsidR="00BB2706" w:rsidRPr="0047099F">
          <w:rPr>
            <w:rStyle w:val="Hiperveza"/>
            <w:bCs/>
            <w:noProof/>
          </w:rPr>
          <w:t>Broj evidentiranih reciklažnih dvorišta i prijavljene količine komunalnog otpada sakupljene putem reciklažnih dvorišta u razdoblju od 2015. do 2021. godine</w:t>
        </w:r>
        <w:r w:rsidR="00BB2706">
          <w:rPr>
            <w:noProof/>
            <w:webHidden/>
          </w:rPr>
          <w:tab/>
        </w:r>
        <w:r w:rsidR="00BB2706">
          <w:rPr>
            <w:noProof/>
            <w:webHidden/>
          </w:rPr>
          <w:fldChar w:fldCharType="begin"/>
        </w:r>
        <w:r w:rsidR="00BB2706">
          <w:rPr>
            <w:noProof/>
            <w:webHidden/>
          </w:rPr>
          <w:instrText xml:space="preserve"> PAGEREF _Toc125363954 \h </w:instrText>
        </w:r>
        <w:r w:rsidR="00BB2706">
          <w:rPr>
            <w:noProof/>
            <w:webHidden/>
          </w:rPr>
        </w:r>
        <w:r w:rsidR="00BB2706">
          <w:rPr>
            <w:noProof/>
            <w:webHidden/>
          </w:rPr>
          <w:fldChar w:fldCharType="separate"/>
        </w:r>
        <w:r w:rsidR="00F37B62">
          <w:rPr>
            <w:noProof/>
            <w:webHidden/>
          </w:rPr>
          <w:t>66</w:t>
        </w:r>
        <w:r w:rsidR="00BB2706">
          <w:rPr>
            <w:noProof/>
            <w:webHidden/>
          </w:rPr>
          <w:fldChar w:fldCharType="end"/>
        </w:r>
      </w:hyperlink>
    </w:p>
    <w:p w14:paraId="2DA4F15D" w14:textId="75C99865" w:rsidR="00BB2706" w:rsidRDefault="00000000">
      <w:pPr>
        <w:pStyle w:val="Sadraj2"/>
        <w:rPr>
          <w:rFonts w:eastAsiaTheme="minorEastAsia"/>
          <w:noProof/>
          <w:lang w:eastAsia="hr-HR"/>
        </w:rPr>
      </w:pPr>
      <w:hyperlink w:anchor="_Toc125363955" w:history="1">
        <w:r w:rsidR="00BB2706" w:rsidRPr="0047099F">
          <w:rPr>
            <w:rStyle w:val="Hiperveza"/>
            <w:noProof/>
          </w:rPr>
          <w:t xml:space="preserve">Slika 50. </w:t>
        </w:r>
        <w:r w:rsidR="00BB2706" w:rsidRPr="0047099F">
          <w:rPr>
            <w:rStyle w:val="Hiperveza"/>
            <w:bCs/>
            <w:noProof/>
          </w:rPr>
          <w:t>Pregled kompostana u RH u 2021. godini</w:t>
        </w:r>
        <w:r w:rsidR="00BB2706">
          <w:rPr>
            <w:noProof/>
            <w:webHidden/>
          </w:rPr>
          <w:tab/>
        </w:r>
        <w:r w:rsidR="00BB2706">
          <w:rPr>
            <w:noProof/>
            <w:webHidden/>
          </w:rPr>
          <w:fldChar w:fldCharType="begin"/>
        </w:r>
        <w:r w:rsidR="00BB2706">
          <w:rPr>
            <w:noProof/>
            <w:webHidden/>
          </w:rPr>
          <w:instrText xml:space="preserve"> PAGEREF _Toc125363955 \h </w:instrText>
        </w:r>
        <w:r w:rsidR="00BB2706">
          <w:rPr>
            <w:noProof/>
            <w:webHidden/>
          </w:rPr>
        </w:r>
        <w:r w:rsidR="00BB2706">
          <w:rPr>
            <w:noProof/>
            <w:webHidden/>
          </w:rPr>
          <w:fldChar w:fldCharType="separate"/>
        </w:r>
        <w:r w:rsidR="00F37B62">
          <w:rPr>
            <w:noProof/>
            <w:webHidden/>
          </w:rPr>
          <w:t>68</w:t>
        </w:r>
        <w:r w:rsidR="00BB2706">
          <w:rPr>
            <w:noProof/>
            <w:webHidden/>
          </w:rPr>
          <w:fldChar w:fldCharType="end"/>
        </w:r>
      </w:hyperlink>
    </w:p>
    <w:p w14:paraId="2BCC422C" w14:textId="5A5B5048" w:rsidR="00BB2706" w:rsidRDefault="00000000">
      <w:pPr>
        <w:pStyle w:val="Sadraj2"/>
        <w:rPr>
          <w:rFonts w:eastAsiaTheme="minorEastAsia"/>
          <w:noProof/>
          <w:lang w:eastAsia="hr-HR"/>
        </w:rPr>
      </w:pPr>
      <w:hyperlink w:anchor="_Toc125363956" w:history="1">
        <w:r w:rsidR="00BB2706" w:rsidRPr="0047099F">
          <w:rPr>
            <w:rStyle w:val="Hiperveza"/>
            <w:noProof/>
          </w:rPr>
          <w:t xml:space="preserve">Slika 51. </w:t>
        </w:r>
        <w:r w:rsidR="00BB2706" w:rsidRPr="0047099F">
          <w:rPr>
            <w:rStyle w:val="Hiperveza"/>
            <w:bCs/>
            <w:noProof/>
          </w:rPr>
          <w:t>Pregled bioplinskih postrojenja u RH u 2021. godini</w:t>
        </w:r>
        <w:r w:rsidR="00BB2706">
          <w:rPr>
            <w:noProof/>
            <w:webHidden/>
          </w:rPr>
          <w:tab/>
        </w:r>
        <w:r w:rsidR="00BB2706">
          <w:rPr>
            <w:noProof/>
            <w:webHidden/>
          </w:rPr>
          <w:fldChar w:fldCharType="begin"/>
        </w:r>
        <w:r w:rsidR="00BB2706">
          <w:rPr>
            <w:noProof/>
            <w:webHidden/>
          </w:rPr>
          <w:instrText xml:space="preserve"> PAGEREF _Toc125363956 \h </w:instrText>
        </w:r>
        <w:r w:rsidR="00BB2706">
          <w:rPr>
            <w:noProof/>
            <w:webHidden/>
          </w:rPr>
        </w:r>
        <w:r w:rsidR="00BB2706">
          <w:rPr>
            <w:noProof/>
            <w:webHidden/>
          </w:rPr>
          <w:fldChar w:fldCharType="separate"/>
        </w:r>
        <w:r w:rsidR="00F37B62">
          <w:rPr>
            <w:noProof/>
            <w:webHidden/>
          </w:rPr>
          <w:t>69</w:t>
        </w:r>
        <w:r w:rsidR="00BB2706">
          <w:rPr>
            <w:noProof/>
            <w:webHidden/>
          </w:rPr>
          <w:fldChar w:fldCharType="end"/>
        </w:r>
      </w:hyperlink>
    </w:p>
    <w:p w14:paraId="56134D1A" w14:textId="027A9B44" w:rsidR="00BB2706" w:rsidRDefault="00000000">
      <w:pPr>
        <w:pStyle w:val="Sadraj2"/>
        <w:rPr>
          <w:rFonts w:eastAsiaTheme="minorEastAsia"/>
          <w:noProof/>
          <w:lang w:eastAsia="hr-HR"/>
        </w:rPr>
      </w:pPr>
      <w:hyperlink w:anchor="_Toc125363957" w:history="1">
        <w:r w:rsidR="00BB2706" w:rsidRPr="0047099F">
          <w:rPr>
            <w:rStyle w:val="Hiperveza"/>
            <w:noProof/>
          </w:rPr>
          <w:t xml:space="preserve">Slika 52. </w:t>
        </w:r>
        <w:r w:rsidR="00BB2706" w:rsidRPr="0047099F">
          <w:rPr>
            <w:rStyle w:val="Hiperveza"/>
            <w:bCs/>
            <w:noProof/>
          </w:rPr>
          <w:t>Prikaz postrojenja za materijalnu oporabu plastike</w:t>
        </w:r>
        <w:r w:rsidR="00BB2706">
          <w:rPr>
            <w:noProof/>
            <w:webHidden/>
          </w:rPr>
          <w:tab/>
        </w:r>
        <w:r w:rsidR="00BB2706">
          <w:rPr>
            <w:noProof/>
            <w:webHidden/>
          </w:rPr>
          <w:fldChar w:fldCharType="begin"/>
        </w:r>
        <w:r w:rsidR="00BB2706">
          <w:rPr>
            <w:noProof/>
            <w:webHidden/>
          </w:rPr>
          <w:instrText xml:space="preserve"> PAGEREF _Toc125363957 \h </w:instrText>
        </w:r>
        <w:r w:rsidR="00BB2706">
          <w:rPr>
            <w:noProof/>
            <w:webHidden/>
          </w:rPr>
        </w:r>
        <w:r w:rsidR="00BB2706">
          <w:rPr>
            <w:noProof/>
            <w:webHidden/>
          </w:rPr>
          <w:fldChar w:fldCharType="separate"/>
        </w:r>
        <w:r w:rsidR="00F37B62">
          <w:rPr>
            <w:noProof/>
            <w:webHidden/>
          </w:rPr>
          <w:t>70</w:t>
        </w:r>
        <w:r w:rsidR="00BB2706">
          <w:rPr>
            <w:noProof/>
            <w:webHidden/>
          </w:rPr>
          <w:fldChar w:fldCharType="end"/>
        </w:r>
      </w:hyperlink>
    </w:p>
    <w:p w14:paraId="3D81C459" w14:textId="75E366E1" w:rsidR="00BB2706" w:rsidRDefault="00000000">
      <w:pPr>
        <w:pStyle w:val="Sadraj2"/>
        <w:rPr>
          <w:rFonts w:eastAsiaTheme="minorEastAsia"/>
          <w:noProof/>
          <w:lang w:eastAsia="hr-HR"/>
        </w:rPr>
      </w:pPr>
      <w:hyperlink w:anchor="_Toc125363958" w:history="1">
        <w:r w:rsidR="00BB2706" w:rsidRPr="0047099F">
          <w:rPr>
            <w:rStyle w:val="Hiperveza"/>
            <w:noProof/>
          </w:rPr>
          <w:t xml:space="preserve">Slika 53. </w:t>
        </w:r>
        <w:r w:rsidR="00BB2706" w:rsidRPr="0047099F">
          <w:rPr>
            <w:rStyle w:val="Hiperveza"/>
            <w:bCs/>
            <w:noProof/>
          </w:rPr>
          <w:t>Prikaz postrojenja za recikliranje stakla</w:t>
        </w:r>
        <w:r w:rsidR="00BB2706">
          <w:rPr>
            <w:noProof/>
            <w:webHidden/>
          </w:rPr>
          <w:tab/>
        </w:r>
        <w:r w:rsidR="00BB2706">
          <w:rPr>
            <w:noProof/>
            <w:webHidden/>
          </w:rPr>
          <w:fldChar w:fldCharType="begin"/>
        </w:r>
        <w:r w:rsidR="00BB2706">
          <w:rPr>
            <w:noProof/>
            <w:webHidden/>
          </w:rPr>
          <w:instrText xml:space="preserve"> PAGEREF _Toc125363958 \h </w:instrText>
        </w:r>
        <w:r w:rsidR="00BB2706">
          <w:rPr>
            <w:noProof/>
            <w:webHidden/>
          </w:rPr>
        </w:r>
        <w:r w:rsidR="00BB2706">
          <w:rPr>
            <w:noProof/>
            <w:webHidden/>
          </w:rPr>
          <w:fldChar w:fldCharType="separate"/>
        </w:r>
        <w:r w:rsidR="00F37B62">
          <w:rPr>
            <w:noProof/>
            <w:webHidden/>
          </w:rPr>
          <w:t>71</w:t>
        </w:r>
        <w:r w:rsidR="00BB2706">
          <w:rPr>
            <w:noProof/>
            <w:webHidden/>
          </w:rPr>
          <w:fldChar w:fldCharType="end"/>
        </w:r>
      </w:hyperlink>
    </w:p>
    <w:p w14:paraId="3656655F" w14:textId="75942739" w:rsidR="00BB2706" w:rsidRDefault="00000000">
      <w:pPr>
        <w:pStyle w:val="Sadraj2"/>
        <w:rPr>
          <w:rFonts w:eastAsiaTheme="minorEastAsia"/>
          <w:noProof/>
          <w:lang w:eastAsia="hr-HR"/>
        </w:rPr>
      </w:pPr>
      <w:hyperlink w:anchor="_Toc125363959" w:history="1">
        <w:r w:rsidR="00BB2706" w:rsidRPr="0047099F">
          <w:rPr>
            <w:rStyle w:val="Hiperveza"/>
            <w:noProof/>
          </w:rPr>
          <w:t xml:space="preserve">Slika 54. </w:t>
        </w:r>
        <w:r w:rsidR="00BB2706" w:rsidRPr="0047099F">
          <w:rPr>
            <w:rStyle w:val="Hiperveza"/>
            <w:bCs/>
            <w:noProof/>
          </w:rPr>
          <w:t>Prikaz postrojenja za recikliranje  papira</w:t>
        </w:r>
        <w:r w:rsidR="00BB2706">
          <w:rPr>
            <w:noProof/>
            <w:webHidden/>
          </w:rPr>
          <w:tab/>
        </w:r>
        <w:r w:rsidR="00BB2706">
          <w:rPr>
            <w:noProof/>
            <w:webHidden/>
          </w:rPr>
          <w:fldChar w:fldCharType="begin"/>
        </w:r>
        <w:r w:rsidR="00BB2706">
          <w:rPr>
            <w:noProof/>
            <w:webHidden/>
          </w:rPr>
          <w:instrText xml:space="preserve"> PAGEREF _Toc125363959 \h </w:instrText>
        </w:r>
        <w:r w:rsidR="00BB2706">
          <w:rPr>
            <w:noProof/>
            <w:webHidden/>
          </w:rPr>
        </w:r>
        <w:r w:rsidR="00BB2706">
          <w:rPr>
            <w:noProof/>
            <w:webHidden/>
          </w:rPr>
          <w:fldChar w:fldCharType="separate"/>
        </w:r>
        <w:r w:rsidR="00F37B62">
          <w:rPr>
            <w:noProof/>
            <w:webHidden/>
          </w:rPr>
          <w:t>72</w:t>
        </w:r>
        <w:r w:rsidR="00BB2706">
          <w:rPr>
            <w:noProof/>
            <w:webHidden/>
          </w:rPr>
          <w:fldChar w:fldCharType="end"/>
        </w:r>
      </w:hyperlink>
    </w:p>
    <w:p w14:paraId="2B7BBB97" w14:textId="6FDE9A7D" w:rsidR="00BB2706" w:rsidRDefault="00000000">
      <w:pPr>
        <w:pStyle w:val="Sadraj2"/>
        <w:rPr>
          <w:rFonts w:eastAsiaTheme="minorEastAsia"/>
          <w:noProof/>
          <w:lang w:eastAsia="hr-HR"/>
        </w:rPr>
      </w:pPr>
      <w:hyperlink w:anchor="_Toc125363960" w:history="1">
        <w:r w:rsidR="00BB2706" w:rsidRPr="0047099F">
          <w:rPr>
            <w:rStyle w:val="Hiperveza"/>
            <w:noProof/>
          </w:rPr>
          <w:t xml:space="preserve">Slika 55. </w:t>
        </w:r>
        <w:r w:rsidR="00BB2706" w:rsidRPr="0047099F">
          <w:rPr>
            <w:rStyle w:val="Hiperveza"/>
            <w:bCs/>
            <w:noProof/>
          </w:rPr>
          <w:t>Prikaz postrojenja za oporabu električnog i elektroničkog otpada</w:t>
        </w:r>
        <w:r w:rsidR="00BB2706">
          <w:rPr>
            <w:noProof/>
            <w:webHidden/>
          </w:rPr>
          <w:tab/>
        </w:r>
        <w:r w:rsidR="00BB2706">
          <w:rPr>
            <w:noProof/>
            <w:webHidden/>
          </w:rPr>
          <w:fldChar w:fldCharType="begin"/>
        </w:r>
        <w:r w:rsidR="00BB2706">
          <w:rPr>
            <w:noProof/>
            <w:webHidden/>
          </w:rPr>
          <w:instrText xml:space="preserve"> PAGEREF _Toc125363960 \h </w:instrText>
        </w:r>
        <w:r w:rsidR="00BB2706">
          <w:rPr>
            <w:noProof/>
            <w:webHidden/>
          </w:rPr>
        </w:r>
        <w:r w:rsidR="00BB2706">
          <w:rPr>
            <w:noProof/>
            <w:webHidden/>
          </w:rPr>
          <w:fldChar w:fldCharType="separate"/>
        </w:r>
        <w:r w:rsidR="00F37B62">
          <w:rPr>
            <w:noProof/>
            <w:webHidden/>
          </w:rPr>
          <w:t>72</w:t>
        </w:r>
        <w:r w:rsidR="00BB2706">
          <w:rPr>
            <w:noProof/>
            <w:webHidden/>
          </w:rPr>
          <w:fldChar w:fldCharType="end"/>
        </w:r>
      </w:hyperlink>
    </w:p>
    <w:p w14:paraId="44D84DAC" w14:textId="3E36D9BF" w:rsidR="00BB2706" w:rsidRDefault="00000000">
      <w:pPr>
        <w:pStyle w:val="Sadraj2"/>
        <w:rPr>
          <w:rFonts w:eastAsiaTheme="minorEastAsia"/>
          <w:noProof/>
          <w:lang w:eastAsia="hr-HR"/>
        </w:rPr>
      </w:pPr>
      <w:hyperlink w:anchor="_Toc125363961" w:history="1">
        <w:r w:rsidR="00BB2706" w:rsidRPr="0047099F">
          <w:rPr>
            <w:rStyle w:val="Hiperveza"/>
            <w:noProof/>
          </w:rPr>
          <w:t xml:space="preserve">Slika 56. </w:t>
        </w:r>
        <w:r w:rsidR="00BB2706" w:rsidRPr="0047099F">
          <w:rPr>
            <w:rStyle w:val="Hiperveza"/>
            <w:bCs/>
            <w:noProof/>
          </w:rPr>
          <w:t>Prikaz postrojenja za oporabu otpadnih vozila</w:t>
        </w:r>
        <w:r w:rsidR="00BB2706">
          <w:rPr>
            <w:noProof/>
            <w:webHidden/>
          </w:rPr>
          <w:tab/>
        </w:r>
        <w:r w:rsidR="00BB2706">
          <w:rPr>
            <w:noProof/>
            <w:webHidden/>
          </w:rPr>
          <w:fldChar w:fldCharType="begin"/>
        </w:r>
        <w:r w:rsidR="00BB2706">
          <w:rPr>
            <w:noProof/>
            <w:webHidden/>
          </w:rPr>
          <w:instrText xml:space="preserve"> PAGEREF _Toc125363961 \h </w:instrText>
        </w:r>
        <w:r w:rsidR="00BB2706">
          <w:rPr>
            <w:noProof/>
            <w:webHidden/>
          </w:rPr>
        </w:r>
        <w:r w:rsidR="00BB2706">
          <w:rPr>
            <w:noProof/>
            <w:webHidden/>
          </w:rPr>
          <w:fldChar w:fldCharType="separate"/>
        </w:r>
        <w:r w:rsidR="00F37B62">
          <w:rPr>
            <w:noProof/>
            <w:webHidden/>
          </w:rPr>
          <w:t>73</w:t>
        </w:r>
        <w:r w:rsidR="00BB2706">
          <w:rPr>
            <w:noProof/>
            <w:webHidden/>
          </w:rPr>
          <w:fldChar w:fldCharType="end"/>
        </w:r>
      </w:hyperlink>
    </w:p>
    <w:p w14:paraId="392893B4" w14:textId="5ED4FF14" w:rsidR="00BB2706" w:rsidRDefault="00000000">
      <w:pPr>
        <w:pStyle w:val="Sadraj2"/>
        <w:rPr>
          <w:rFonts w:eastAsiaTheme="minorEastAsia"/>
          <w:noProof/>
          <w:lang w:eastAsia="hr-HR"/>
        </w:rPr>
      </w:pPr>
      <w:hyperlink w:anchor="_Toc125363962" w:history="1">
        <w:r w:rsidR="00BB2706" w:rsidRPr="0047099F">
          <w:rPr>
            <w:rStyle w:val="Hiperveza"/>
            <w:noProof/>
          </w:rPr>
          <w:t xml:space="preserve">Slika 57. </w:t>
        </w:r>
        <w:r w:rsidR="00BB2706" w:rsidRPr="0047099F">
          <w:rPr>
            <w:rStyle w:val="Hiperveza"/>
            <w:bCs/>
            <w:noProof/>
          </w:rPr>
          <w:t>Pregled lokacija postrojenja koja imaju dozvolu za gospodarenje otpadom za postupak R1 u 2022. godini</w:t>
        </w:r>
        <w:r w:rsidR="00BB2706">
          <w:rPr>
            <w:noProof/>
            <w:webHidden/>
          </w:rPr>
          <w:tab/>
        </w:r>
        <w:r w:rsidR="00BB2706">
          <w:rPr>
            <w:noProof/>
            <w:webHidden/>
          </w:rPr>
          <w:fldChar w:fldCharType="begin"/>
        </w:r>
        <w:r w:rsidR="00BB2706">
          <w:rPr>
            <w:noProof/>
            <w:webHidden/>
          </w:rPr>
          <w:instrText xml:space="preserve"> PAGEREF _Toc125363962 \h </w:instrText>
        </w:r>
        <w:r w:rsidR="00BB2706">
          <w:rPr>
            <w:noProof/>
            <w:webHidden/>
          </w:rPr>
        </w:r>
        <w:r w:rsidR="00BB2706">
          <w:rPr>
            <w:noProof/>
            <w:webHidden/>
          </w:rPr>
          <w:fldChar w:fldCharType="separate"/>
        </w:r>
        <w:r w:rsidR="00F37B62">
          <w:rPr>
            <w:noProof/>
            <w:webHidden/>
          </w:rPr>
          <w:t>74</w:t>
        </w:r>
        <w:r w:rsidR="00BB2706">
          <w:rPr>
            <w:noProof/>
            <w:webHidden/>
          </w:rPr>
          <w:fldChar w:fldCharType="end"/>
        </w:r>
      </w:hyperlink>
    </w:p>
    <w:p w14:paraId="64B74086" w14:textId="41FAB8CC" w:rsidR="00BB2706" w:rsidRDefault="00000000">
      <w:pPr>
        <w:pStyle w:val="Sadraj2"/>
        <w:rPr>
          <w:rFonts w:eastAsiaTheme="minorEastAsia"/>
          <w:noProof/>
          <w:lang w:eastAsia="hr-HR"/>
        </w:rPr>
      </w:pPr>
      <w:hyperlink w:anchor="_Toc125363963" w:history="1">
        <w:r w:rsidR="00BB2706" w:rsidRPr="0047099F">
          <w:rPr>
            <w:rStyle w:val="Hiperveza"/>
            <w:noProof/>
          </w:rPr>
          <w:t xml:space="preserve">Slika 58. </w:t>
        </w:r>
        <w:r w:rsidR="00BB2706" w:rsidRPr="0047099F">
          <w:rPr>
            <w:rStyle w:val="Hiperveza"/>
            <w:bCs/>
            <w:noProof/>
          </w:rPr>
          <w:t>Položaj i status realizacije planiranih centara za gospodarenje otpadom, listopad 2022. godine</w:t>
        </w:r>
        <w:r w:rsidR="00BB2706">
          <w:rPr>
            <w:noProof/>
            <w:webHidden/>
          </w:rPr>
          <w:tab/>
        </w:r>
        <w:r w:rsidR="00BB2706">
          <w:rPr>
            <w:noProof/>
            <w:webHidden/>
          </w:rPr>
          <w:fldChar w:fldCharType="begin"/>
        </w:r>
        <w:r w:rsidR="00BB2706">
          <w:rPr>
            <w:noProof/>
            <w:webHidden/>
          </w:rPr>
          <w:instrText xml:space="preserve"> PAGEREF _Toc125363963 \h </w:instrText>
        </w:r>
        <w:r w:rsidR="00BB2706">
          <w:rPr>
            <w:noProof/>
            <w:webHidden/>
          </w:rPr>
        </w:r>
        <w:r w:rsidR="00BB2706">
          <w:rPr>
            <w:noProof/>
            <w:webHidden/>
          </w:rPr>
          <w:fldChar w:fldCharType="separate"/>
        </w:r>
        <w:r w:rsidR="00F37B62">
          <w:rPr>
            <w:noProof/>
            <w:webHidden/>
          </w:rPr>
          <w:t>78</w:t>
        </w:r>
        <w:r w:rsidR="00BB2706">
          <w:rPr>
            <w:noProof/>
            <w:webHidden/>
          </w:rPr>
          <w:fldChar w:fldCharType="end"/>
        </w:r>
      </w:hyperlink>
    </w:p>
    <w:p w14:paraId="6533303D" w14:textId="1C4C2A49" w:rsidR="00BB2706" w:rsidRDefault="00000000">
      <w:pPr>
        <w:pStyle w:val="Sadraj2"/>
        <w:rPr>
          <w:rFonts w:eastAsiaTheme="minorEastAsia"/>
          <w:noProof/>
          <w:lang w:eastAsia="hr-HR"/>
        </w:rPr>
      </w:pPr>
      <w:hyperlink w:anchor="_Toc125363964" w:history="1">
        <w:r w:rsidR="00BB2706" w:rsidRPr="0047099F">
          <w:rPr>
            <w:rStyle w:val="Hiperveza"/>
            <w:noProof/>
          </w:rPr>
          <w:t xml:space="preserve">Slika 59. </w:t>
        </w:r>
        <w:r w:rsidR="00BB2706" w:rsidRPr="0047099F">
          <w:rPr>
            <w:rStyle w:val="Hiperveza"/>
            <w:bCs/>
            <w:noProof/>
          </w:rPr>
          <w:t>Lokacije odlagališta u RH u 2021. godini</w:t>
        </w:r>
        <w:r w:rsidR="00BB2706">
          <w:rPr>
            <w:noProof/>
            <w:webHidden/>
          </w:rPr>
          <w:tab/>
        </w:r>
        <w:r w:rsidR="00BB2706">
          <w:rPr>
            <w:noProof/>
            <w:webHidden/>
          </w:rPr>
          <w:fldChar w:fldCharType="begin"/>
        </w:r>
        <w:r w:rsidR="00BB2706">
          <w:rPr>
            <w:noProof/>
            <w:webHidden/>
          </w:rPr>
          <w:instrText xml:space="preserve"> PAGEREF _Toc125363964 \h </w:instrText>
        </w:r>
        <w:r w:rsidR="00BB2706">
          <w:rPr>
            <w:noProof/>
            <w:webHidden/>
          </w:rPr>
        </w:r>
        <w:r w:rsidR="00BB2706">
          <w:rPr>
            <w:noProof/>
            <w:webHidden/>
          </w:rPr>
          <w:fldChar w:fldCharType="separate"/>
        </w:r>
        <w:r w:rsidR="00F37B62">
          <w:rPr>
            <w:noProof/>
            <w:webHidden/>
          </w:rPr>
          <w:t>80</w:t>
        </w:r>
        <w:r w:rsidR="00BB2706">
          <w:rPr>
            <w:noProof/>
            <w:webHidden/>
          </w:rPr>
          <w:fldChar w:fldCharType="end"/>
        </w:r>
      </w:hyperlink>
    </w:p>
    <w:p w14:paraId="77CE9303" w14:textId="425664EF" w:rsidR="00BB2706" w:rsidRDefault="00000000">
      <w:pPr>
        <w:pStyle w:val="Sadraj2"/>
        <w:rPr>
          <w:rFonts w:eastAsiaTheme="minorEastAsia"/>
          <w:noProof/>
          <w:lang w:eastAsia="hr-HR"/>
        </w:rPr>
      </w:pPr>
      <w:hyperlink w:anchor="_Toc125363965" w:history="1">
        <w:r w:rsidR="00BB2706" w:rsidRPr="0047099F">
          <w:rPr>
            <w:rStyle w:val="Hiperveza"/>
            <w:noProof/>
          </w:rPr>
          <w:t xml:space="preserve">Slika 60. </w:t>
        </w:r>
        <w:r w:rsidR="00BB2706" w:rsidRPr="0047099F">
          <w:rPr>
            <w:rStyle w:val="Hiperveza"/>
            <w:bCs/>
            <w:noProof/>
          </w:rPr>
          <w:t>Raspored kazeta i status odlaganja građevnog otpada koji sadrži azbest u 2021.godini</w:t>
        </w:r>
        <w:r w:rsidR="00BB2706">
          <w:rPr>
            <w:noProof/>
            <w:webHidden/>
          </w:rPr>
          <w:tab/>
        </w:r>
        <w:r w:rsidR="00BB2706">
          <w:rPr>
            <w:noProof/>
            <w:webHidden/>
          </w:rPr>
          <w:fldChar w:fldCharType="begin"/>
        </w:r>
        <w:r w:rsidR="00BB2706">
          <w:rPr>
            <w:noProof/>
            <w:webHidden/>
          </w:rPr>
          <w:instrText xml:space="preserve"> PAGEREF _Toc125363965 \h </w:instrText>
        </w:r>
        <w:r w:rsidR="00BB2706">
          <w:rPr>
            <w:noProof/>
            <w:webHidden/>
          </w:rPr>
        </w:r>
        <w:r w:rsidR="00BB2706">
          <w:rPr>
            <w:noProof/>
            <w:webHidden/>
          </w:rPr>
          <w:fldChar w:fldCharType="separate"/>
        </w:r>
        <w:r w:rsidR="00F37B62">
          <w:rPr>
            <w:noProof/>
            <w:webHidden/>
          </w:rPr>
          <w:t>83</w:t>
        </w:r>
        <w:r w:rsidR="00BB2706">
          <w:rPr>
            <w:noProof/>
            <w:webHidden/>
          </w:rPr>
          <w:fldChar w:fldCharType="end"/>
        </w:r>
      </w:hyperlink>
    </w:p>
    <w:p w14:paraId="4AEAC7C9" w14:textId="2BBED3B4" w:rsidR="00BB2706" w:rsidRDefault="00000000">
      <w:pPr>
        <w:pStyle w:val="Sadraj2"/>
        <w:rPr>
          <w:rFonts w:eastAsiaTheme="minorEastAsia"/>
          <w:noProof/>
          <w:lang w:eastAsia="hr-HR"/>
        </w:rPr>
      </w:pPr>
      <w:hyperlink w:anchor="_Toc125363966" w:history="1">
        <w:r w:rsidR="00BB2706" w:rsidRPr="0047099F">
          <w:rPr>
            <w:rStyle w:val="Hiperveza"/>
            <w:noProof/>
          </w:rPr>
          <w:t xml:space="preserve">Slika 61. </w:t>
        </w:r>
        <w:r w:rsidR="00BB2706" w:rsidRPr="0047099F">
          <w:rPr>
            <w:rStyle w:val="Hiperveza"/>
            <w:bCs/>
            <w:noProof/>
          </w:rPr>
          <w:t>Broj tvrtki koje posjeduju dozvolu za gospodarenje otpadom u razdoblju od 2015. do 2020. godine</w:t>
        </w:r>
        <w:r w:rsidR="00BB2706">
          <w:rPr>
            <w:noProof/>
            <w:webHidden/>
          </w:rPr>
          <w:tab/>
        </w:r>
        <w:r w:rsidR="00BB2706">
          <w:rPr>
            <w:noProof/>
            <w:webHidden/>
          </w:rPr>
          <w:fldChar w:fldCharType="begin"/>
        </w:r>
        <w:r w:rsidR="00BB2706">
          <w:rPr>
            <w:noProof/>
            <w:webHidden/>
          </w:rPr>
          <w:instrText xml:space="preserve"> PAGEREF _Toc125363966 \h </w:instrText>
        </w:r>
        <w:r w:rsidR="00BB2706">
          <w:rPr>
            <w:noProof/>
            <w:webHidden/>
          </w:rPr>
        </w:r>
        <w:r w:rsidR="00BB2706">
          <w:rPr>
            <w:noProof/>
            <w:webHidden/>
          </w:rPr>
          <w:fldChar w:fldCharType="separate"/>
        </w:r>
        <w:r w:rsidR="00F37B62">
          <w:rPr>
            <w:noProof/>
            <w:webHidden/>
          </w:rPr>
          <w:t>84</w:t>
        </w:r>
        <w:r w:rsidR="00BB2706">
          <w:rPr>
            <w:noProof/>
            <w:webHidden/>
          </w:rPr>
          <w:fldChar w:fldCharType="end"/>
        </w:r>
      </w:hyperlink>
    </w:p>
    <w:p w14:paraId="2BFF40DD" w14:textId="0657FF31" w:rsidR="00BB2706" w:rsidRDefault="00000000">
      <w:pPr>
        <w:pStyle w:val="Sadraj2"/>
        <w:rPr>
          <w:rFonts w:eastAsiaTheme="minorEastAsia"/>
          <w:noProof/>
          <w:lang w:eastAsia="hr-HR"/>
        </w:rPr>
      </w:pPr>
      <w:hyperlink w:anchor="_Toc125363967" w:history="1">
        <w:r w:rsidR="00BB2706" w:rsidRPr="0047099F">
          <w:rPr>
            <w:rStyle w:val="Hiperveza"/>
            <w:noProof/>
          </w:rPr>
          <w:t xml:space="preserve">Slika 62. </w:t>
        </w:r>
        <w:r w:rsidR="00BB2706" w:rsidRPr="0047099F">
          <w:rPr>
            <w:rStyle w:val="Hiperveza"/>
            <w:bCs/>
            <w:noProof/>
          </w:rPr>
          <w:t>Projekcija godišnjih količina nastalog komunalnog otpada za razdoblje od 2023. godine do 2035. godine</w:t>
        </w:r>
        <w:r w:rsidR="00BB2706">
          <w:rPr>
            <w:noProof/>
            <w:webHidden/>
          </w:rPr>
          <w:tab/>
        </w:r>
        <w:r w:rsidR="00BB2706">
          <w:rPr>
            <w:noProof/>
            <w:webHidden/>
          </w:rPr>
          <w:fldChar w:fldCharType="begin"/>
        </w:r>
        <w:r w:rsidR="00BB2706">
          <w:rPr>
            <w:noProof/>
            <w:webHidden/>
          </w:rPr>
          <w:instrText xml:space="preserve"> PAGEREF _Toc125363967 \h </w:instrText>
        </w:r>
        <w:r w:rsidR="00BB2706">
          <w:rPr>
            <w:noProof/>
            <w:webHidden/>
          </w:rPr>
        </w:r>
        <w:r w:rsidR="00BB2706">
          <w:rPr>
            <w:noProof/>
            <w:webHidden/>
          </w:rPr>
          <w:fldChar w:fldCharType="separate"/>
        </w:r>
        <w:r w:rsidR="00F37B62">
          <w:rPr>
            <w:noProof/>
            <w:webHidden/>
          </w:rPr>
          <w:t>96</w:t>
        </w:r>
        <w:r w:rsidR="00BB2706">
          <w:rPr>
            <w:noProof/>
            <w:webHidden/>
          </w:rPr>
          <w:fldChar w:fldCharType="end"/>
        </w:r>
      </w:hyperlink>
    </w:p>
    <w:p w14:paraId="7A6825C3" w14:textId="1E1F4E2F" w:rsidR="00BB2706" w:rsidRDefault="00000000">
      <w:pPr>
        <w:pStyle w:val="Sadraj2"/>
        <w:rPr>
          <w:rFonts w:eastAsiaTheme="minorEastAsia"/>
          <w:noProof/>
          <w:lang w:eastAsia="hr-HR"/>
        </w:rPr>
      </w:pPr>
      <w:hyperlink w:anchor="_Toc125363968" w:history="1">
        <w:r w:rsidR="00BB2706" w:rsidRPr="0047099F">
          <w:rPr>
            <w:rStyle w:val="Hiperveza"/>
            <w:noProof/>
          </w:rPr>
          <w:t xml:space="preserve">Slika 63. </w:t>
        </w:r>
        <w:r w:rsidR="00BB2706" w:rsidRPr="0047099F">
          <w:rPr>
            <w:rStyle w:val="Hiperveza"/>
            <w:bCs/>
            <w:noProof/>
          </w:rPr>
          <w:t>Projekcija godišnjih količina ukupno sakupljenog ambalažnog otpada i ambalažnog otpada sakupljenog putem sustava FZOEU za razdoblje od 2023. godine do 2035. godine</w:t>
        </w:r>
        <w:r w:rsidR="00BB2706">
          <w:rPr>
            <w:noProof/>
            <w:webHidden/>
          </w:rPr>
          <w:tab/>
        </w:r>
        <w:r w:rsidR="00BB2706">
          <w:rPr>
            <w:noProof/>
            <w:webHidden/>
          </w:rPr>
          <w:fldChar w:fldCharType="begin"/>
        </w:r>
        <w:r w:rsidR="00BB2706">
          <w:rPr>
            <w:noProof/>
            <w:webHidden/>
          </w:rPr>
          <w:instrText xml:space="preserve"> PAGEREF _Toc125363968 \h </w:instrText>
        </w:r>
        <w:r w:rsidR="00BB2706">
          <w:rPr>
            <w:noProof/>
            <w:webHidden/>
          </w:rPr>
        </w:r>
        <w:r w:rsidR="00BB2706">
          <w:rPr>
            <w:noProof/>
            <w:webHidden/>
          </w:rPr>
          <w:fldChar w:fldCharType="separate"/>
        </w:r>
        <w:r w:rsidR="00F37B62">
          <w:rPr>
            <w:noProof/>
            <w:webHidden/>
          </w:rPr>
          <w:t>97</w:t>
        </w:r>
        <w:r w:rsidR="00BB2706">
          <w:rPr>
            <w:noProof/>
            <w:webHidden/>
          </w:rPr>
          <w:fldChar w:fldCharType="end"/>
        </w:r>
      </w:hyperlink>
    </w:p>
    <w:p w14:paraId="087DB4FC" w14:textId="56166699" w:rsidR="00BB2706" w:rsidRDefault="00000000">
      <w:pPr>
        <w:pStyle w:val="Sadraj2"/>
        <w:rPr>
          <w:rFonts w:eastAsiaTheme="minorEastAsia"/>
          <w:noProof/>
          <w:lang w:eastAsia="hr-HR"/>
        </w:rPr>
      </w:pPr>
      <w:hyperlink w:anchor="_Toc125363969" w:history="1">
        <w:r w:rsidR="00BB2706" w:rsidRPr="0047099F">
          <w:rPr>
            <w:rStyle w:val="Hiperveza"/>
            <w:noProof/>
          </w:rPr>
          <w:t xml:space="preserve">Slika 64. </w:t>
        </w:r>
        <w:r w:rsidR="00BB2706" w:rsidRPr="0047099F">
          <w:rPr>
            <w:rStyle w:val="Hiperveza"/>
            <w:bCs/>
            <w:noProof/>
          </w:rPr>
          <w:t>Projekcija godišnjih količina ukupno sakupljenog ambalažnog otpada po materijalima za razdoblje od 2023. godine do 2035. godine</w:t>
        </w:r>
        <w:r w:rsidR="00BB2706">
          <w:rPr>
            <w:noProof/>
            <w:webHidden/>
          </w:rPr>
          <w:tab/>
        </w:r>
        <w:r w:rsidR="00BB2706">
          <w:rPr>
            <w:noProof/>
            <w:webHidden/>
          </w:rPr>
          <w:fldChar w:fldCharType="begin"/>
        </w:r>
        <w:r w:rsidR="00BB2706">
          <w:rPr>
            <w:noProof/>
            <w:webHidden/>
          </w:rPr>
          <w:instrText xml:space="preserve"> PAGEREF _Toc125363969 \h </w:instrText>
        </w:r>
        <w:r w:rsidR="00BB2706">
          <w:rPr>
            <w:noProof/>
            <w:webHidden/>
          </w:rPr>
        </w:r>
        <w:r w:rsidR="00BB2706">
          <w:rPr>
            <w:noProof/>
            <w:webHidden/>
          </w:rPr>
          <w:fldChar w:fldCharType="separate"/>
        </w:r>
        <w:r w:rsidR="00F37B62">
          <w:rPr>
            <w:noProof/>
            <w:webHidden/>
          </w:rPr>
          <w:t>97</w:t>
        </w:r>
        <w:r w:rsidR="00BB2706">
          <w:rPr>
            <w:noProof/>
            <w:webHidden/>
          </w:rPr>
          <w:fldChar w:fldCharType="end"/>
        </w:r>
      </w:hyperlink>
    </w:p>
    <w:p w14:paraId="5994E6DC" w14:textId="042543E8" w:rsidR="00BB2706" w:rsidRDefault="00000000">
      <w:pPr>
        <w:pStyle w:val="Sadraj2"/>
        <w:rPr>
          <w:rFonts w:eastAsiaTheme="minorEastAsia"/>
          <w:noProof/>
          <w:lang w:eastAsia="hr-HR"/>
        </w:rPr>
      </w:pPr>
      <w:hyperlink w:anchor="_Toc125363970" w:history="1">
        <w:r w:rsidR="00BB2706" w:rsidRPr="0047099F">
          <w:rPr>
            <w:rStyle w:val="Hiperveza"/>
            <w:noProof/>
          </w:rPr>
          <w:t xml:space="preserve">Slika 65. </w:t>
        </w:r>
        <w:r w:rsidR="00BB2706" w:rsidRPr="0047099F">
          <w:rPr>
            <w:rStyle w:val="Hiperveza"/>
            <w:bCs/>
            <w:noProof/>
          </w:rPr>
          <w:t>Procjena količina proizvedenog otpadnog mulja iz uređaja za pročišćavanje komunalnih otpadnih voda za razdoblje od 2018. do 2051. godine</w:t>
        </w:r>
        <w:r w:rsidR="00BB2706">
          <w:rPr>
            <w:noProof/>
            <w:webHidden/>
          </w:rPr>
          <w:tab/>
        </w:r>
        <w:r w:rsidR="00BB2706">
          <w:rPr>
            <w:noProof/>
            <w:webHidden/>
          </w:rPr>
          <w:fldChar w:fldCharType="begin"/>
        </w:r>
        <w:r w:rsidR="00BB2706">
          <w:rPr>
            <w:noProof/>
            <w:webHidden/>
          </w:rPr>
          <w:instrText xml:space="preserve"> PAGEREF _Toc125363970 \h </w:instrText>
        </w:r>
        <w:r w:rsidR="00BB2706">
          <w:rPr>
            <w:noProof/>
            <w:webHidden/>
          </w:rPr>
        </w:r>
        <w:r w:rsidR="00BB2706">
          <w:rPr>
            <w:noProof/>
            <w:webHidden/>
          </w:rPr>
          <w:fldChar w:fldCharType="separate"/>
        </w:r>
        <w:r w:rsidR="00F37B62">
          <w:rPr>
            <w:noProof/>
            <w:webHidden/>
          </w:rPr>
          <w:t>98</w:t>
        </w:r>
        <w:r w:rsidR="00BB2706">
          <w:rPr>
            <w:noProof/>
            <w:webHidden/>
          </w:rPr>
          <w:fldChar w:fldCharType="end"/>
        </w:r>
      </w:hyperlink>
    </w:p>
    <w:p w14:paraId="4069726B" w14:textId="482C75C0" w:rsidR="00BB2706" w:rsidRDefault="00000000">
      <w:pPr>
        <w:pStyle w:val="Sadraj2"/>
        <w:rPr>
          <w:rFonts w:eastAsiaTheme="minorEastAsia"/>
          <w:noProof/>
          <w:lang w:eastAsia="hr-HR"/>
        </w:rPr>
      </w:pPr>
      <w:hyperlink w:anchor="_Toc125363971" w:history="1">
        <w:r w:rsidR="00BB2706" w:rsidRPr="0047099F">
          <w:rPr>
            <w:rStyle w:val="Hiperveza"/>
            <w:noProof/>
          </w:rPr>
          <w:t xml:space="preserve">Slika 66. </w:t>
        </w:r>
        <w:r w:rsidR="00BB2706" w:rsidRPr="0047099F">
          <w:rPr>
            <w:rStyle w:val="Hiperveza"/>
            <w:bCs/>
            <w:noProof/>
          </w:rPr>
          <w:t>Ukupni potrebni kapaciteti sortirnica u 2028. godini – SCENARIJ 1</w:t>
        </w:r>
        <w:r w:rsidR="00BB2706">
          <w:rPr>
            <w:noProof/>
            <w:webHidden/>
          </w:rPr>
          <w:tab/>
        </w:r>
        <w:r w:rsidR="00BB2706">
          <w:rPr>
            <w:noProof/>
            <w:webHidden/>
          </w:rPr>
          <w:fldChar w:fldCharType="begin"/>
        </w:r>
        <w:r w:rsidR="00BB2706">
          <w:rPr>
            <w:noProof/>
            <w:webHidden/>
          </w:rPr>
          <w:instrText xml:space="preserve"> PAGEREF _Toc125363971 \h </w:instrText>
        </w:r>
        <w:r w:rsidR="00BB2706">
          <w:rPr>
            <w:noProof/>
            <w:webHidden/>
          </w:rPr>
        </w:r>
        <w:r w:rsidR="00BB2706">
          <w:rPr>
            <w:noProof/>
            <w:webHidden/>
          </w:rPr>
          <w:fldChar w:fldCharType="separate"/>
        </w:r>
        <w:r w:rsidR="00F37B62">
          <w:rPr>
            <w:noProof/>
            <w:webHidden/>
          </w:rPr>
          <w:t>117</w:t>
        </w:r>
        <w:r w:rsidR="00BB2706">
          <w:rPr>
            <w:noProof/>
            <w:webHidden/>
          </w:rPr>
          <w:fldChar w:fldCharType="end"/>
        </w:r>
      </w:hyperlink>
    </w:p>
    <w:p w14:paraId="28574D50" w14:textId="71137C48" w:rsidR="00BB2706" w:rsidRDefault="00000000">
      <w:pPr>
        <w:pStyle w:val="Sadraj2"/>
        <w:rPr>
          <w:rFonts w:eastAsiaTheme="minorEastAsia"/>
          <w:noProof/>
          <w:lang w:eastAsia="hr-HR"/>
        </w:rPr>
      </w:pPr>
      <w:hyperlink w:anchor="_Toc125363972" w:history="1">
        <w:r w:rsidR="00BB2706" w:rsidRPr="0047099F">
          <w:rPr>
            <w:rStyle w:val="Hiperveza"/>
            <w:noProof/>
          </w:rPr>
          <w:t xml:space="preserve">Slika 67. </w:t>
        </w:r>
        <w:r w:rsidR="00BB2706" w:rsidRPr="0047099F">
          <w:rPr>
            <w:rStyle w:val="Hiperveza"/>
            <w:bCs/>
            <w:noProof/>
          </w:rPr>
          <w:t>Ukupni potrebni kapaciteti sortirnica u 2028. godini – SCENARIJ 2</w:t>
        </w:r>
        <w:r w:rsidR="00BB2706">
          <w:rPr>
            <w:noProof/>
            <w:webHidden/>
          </w:rPr>
          <w:tab/>
        </w:r>
        <w:r w:rsidR="00BB2706">
          <w:rPr>
            <w:noProof/>
            <w:webHidden/>
          </w:rPr>
          <w:fldChar w:fldCharType="begin"/>
        </w:r>
        <w:r w:rsidR="00BB2706">
          <w:rPr>
            <w:noProof/>
            <w:webHidden/>
          </w:rPr>
          <w:instrText xml:space="preserve"> PAGEREF _Toc125363972 \h </w:instrText>
        </w:r>
        <w:r w:rsidR="00BB2706">
          <w:rPr>
            <w:noProof/>
            <w:webHidden/>
          </w:rPr>
        </w:r>
        <w:r w:rsidR="00BB2706">
          <w:rPr>
            <w:noProof/>
            <w:webHidden/>
          </w:rPr>
          <w:fldChar w:fldCharType="separate"/>
        </w:r>
        <w:r w:rsidR="00F37B62">
          <w:rPr>
            <w:noProof/>
            <w:webHidden/>
          </w:rPr>
          <w:t>118</w:t>
        </w:r>
        <w:r w:rsidR="00BB2706">
          <w:rPr>
            <w:noProof/>
            <w:webHidden/>
          </w:rPr>
          <w:fldChar w:fldCharType="end"/>
        </w:r>
      </w:hyperlink>
    </w:p>
    <w:p w14:paraId="383DB2C1" w14:textId="26CA793E" w:rsidR="00BB2706" w:rsidRDefault="00000000">
      <w:pPr>
        <w:pStyle w:val="Sadraj2"/>
        <w:rPr>
          <w:rFonts w:eastAsiaTheme="minorEastAsia"/>
          <w:noProof/>
          <w:lang w:eastAsia="hr-HR"/>
        </w:rPr>
      </w:pPr>
      <w:hyperlink w:anchor="_Toc125363973" w:history="1">
        <w:r w:rsidR="00BB2706" w:rsidRPr="0047099F">
          <w:rPr>
            <w:rStyle w:val="Hiperveza"/>
            <w:noProof/>
          </w:rPr>
          <w:t xml:space="preserve">Slika 68. </w:t>
        </w:r>
        <w:r w:rsidR="00BB2706" w:rsidRPr="0047099F">
          <w:rPr>
            <w:rStyle w:val="Hiperveza"/>
            <w:bCs/>
            <w:noProof/>
          </w:rPr>
          <w:t>Ukupni potrebni kapaciteti kompostana i bioplinskih postrojenja u 2028. godini – SCENARIJ 1</w:t>
        </w:r>
        <w:r w:rsidR="00BB2706">
          <w:rPr>
            <w:noProof/>
            <w:webHidden/>
          </w:rPr>
          <w:tab/>
        </w:r>
        <w:r w:rsidR="00BB2706">
          <w:rPr>
            <w:noProof/>
            <w:webHidden/>
          </w:rPr>
          <w:fldChar w:fldCharType="begin"/>
        </w:r>
        <w:r w:rsidR="00BB2706">
          <w:rPr>
            <w:noProof/>
            <w:webHidden/>
          </w:rPr>
          <w:instrText xml:space="preserve"> PAGEREF _Toc125363973 \h </w:instrText>
        </w:r>
        <w:r w:rsidR="00BB2706">
          <w:rPr>
            <w:noProof/>
            <w:webHidden/>
          </w:rPr>
        </w:r>
        <w:r w:rsidR="00BB2706">
          <w:rPr>
            <w:noProof/>
            <w:webHidden/>
          </w:rPr>
          <w:fldChar w:fldCharType="separate"/>
        </w:r>
        <w:r w:rsidR="00F37B62">
          <w:rPr>
            <w:noProof/>
            <w:webHidden/>
          </w:rPr>
          <w:t>121</w:t>
        </w:r>
        <w:r w:rsidR="00BB2706">
          <w:rPr>
            <w:noProof/>
            <w:webHidden/>
          </w:rPr>
          <w:fldChar w:fldCharType="end"/>
        </w:r>
      </w:hyperlink>
    </w:p>
    <w:p w14:paraId="31FF74E6" w14:textId="71B50300" w:rsidR="00BB2706" w:rsidRDefault="00000000">
      <w:pPr>
        <w:pStyle w:val="Sadraj2"/>
        <w:rPr>
          <w:rFonts w:eastAsiaTheme="minorEastAsia"/>
          <w:noProof/>
          <w:lang w:eastAsia="hr-HR"/>
        </w:rPr>
      </w:pPr>
      <w:hyperlink w:anchor="_Toc125363974" w:history="1">
        <w:r w:rsidR="00BB2706" w:rsidRPr="0047099F">
          <w:rPr>
            <w:rStyle w:val="Hiperveza"/>
            <w:noProof/>
          </w:rPr>
          <w:t xml:space="preserve">Slika 69. </w:t>
        </w:r>
        <w:r w:rsidR="00BB2706" w:rsidRPr="0047099F">
          <w:rPr>
            <w:rStyle w:val="Hiperveza"/>
            <w:bCs/>
            <w:noProof/>
          </w:rPr>
          <w:t>Ukupni potrebni kapaciteti kompostana i bioplinskih postrojenja u 2028. godini – SCENARIJ 2</w:t>
        </w:r>
        <w:r w:rsidR="00BB2706">
          <w:rPr>
            <w:noProof/>
            <w:webHidden/>
          </w:rPr>
          <w:tab/>
        </w:r>
        <w:r w:rsidR="00BB2706">
          <w:rPr>
            <w:noProof/>
            <w:webHidden/>
          </w:rPr>
          <w:fldChar w:fldCharType="begin"/>
        </w:r>
        <w:r w:rsidR="00BB2706">
          <w:rPr>
            <w:noProof/>
            <w:webHidden/>
          </w:rPr>
          <w:instrText xml:space="preserve"> PAGEREF _Toc125363974 \h </w:instrText>
        </w:r>
        <w:r w:rsidR="00BB2706">
          <w:rPr>
            <w:noProof/>
            <w:webHidden/>
          </w:rPr>
        </w:r>
        <w:r w:rsidR="00BB2706">
          <w:rPr>
            <w:noProof/>
            <w:webHidden/>
          </w:rPr>
          <w:fldChar w:fldCharType="separate"/>
        </w:r>
        <w:r w:rsidR="00F37B62">
          <w:rPr>
            <w:noProof/>
            <w:webHidden/>
          </w:rPr>
          <w:t>123</w:t>
        </w:r>
        <w:r w:rsidR="00BB2706">
          <w:rPr>
            <w:noProof/>
            <w:webHidden/>
          </w:rPr>
          <w:fldChar w:fldCharType="end"/>
        </w:r>
      </w:hyperlink>
    </w:p>
    <w:p w14:paraId="30346CC7" w14:textId="00BCFEC1" w:rsidR="00BB2706" w:rsidRDefault="00000000">
      <w:pPr>
        <w:pStyle w:val="Sadraj2"/>
        <w:rPr>
          <w:rFonts w:eastAsiaTheme="minorEastAsia"/>
          <w:noProof/>
          <w:lang w:eastAsia="hr-HR"/>
        </w:rPr>
      </w:pPr>
      <w:hyperlink w:anchor="_Toc125363975" w:history="1">
        <w:r w:rsidR="00BB2706" w:rsidRPr="0047099F">
          <w:rPr>
            <w:rStyle w:val="Hiperveza"/>
            <w:noProof/>
          </w:rPr>
          <w:t xml:space="preserve">Slika 70. </w:t>
        </w:r>
        <w:r w:rsidR="00BB2706" w:rsidRPr="0047099F">
          <w:rPr>
            <w:rStyle w:val="Hiperveza"/>
            <w:bCs/>
            <w:noProof/>
          </w:rPr>
          <w:t>Organizacijski aspekti gospodarenja otpadom i raspodjela odgovornosti</w:t>
        </w:r>
        <w:r w:rsidR="00BB2706">
          <w:rPr>
            <w:noProof/>
            <w:webHidden/>
          </w:rPr>
          <w:tab/>
        </w:r>
        <w:r w:rsidR="00BB2706">
          <w:rPr>
            <w:noProof/>
            <w:webHidden/>
          </w:rPr>
          <w:fldChar w:fldCharType="begin"/>
        </w:r>
        <w:r w:rsidR="00BB2706">
          <w:rPr>
            <w:noProof/>
            <w:webHidden/>
          </w:rPr>
          <w:instrText xml:space="preserve"> PAGEREF _Toc125363975 \h </w:instrText>
        </w:r>
        <w:r w:rsidR="00BB2706">
          <w:rPr>
            <w:noProof/>
            <w:webHidden/>
          </w:rPr>
        </w:r>
        <w:r w:rsidR="00BB2706">
          <w:rPr>
            <w:noProof/>
            <w:webHidden/>
          </w:rPr>
          <w:fldChar w:fldCharType="separate"/>
        </w:r>
        <w:r w:rsidR="00F37B62">
          <w:rPr>
            <w:noProof/>
            <w:webHidden/>
          </w:rPr>
          <w:t>148</w:t>
        </w:r>
        <w:r w:rsidR="00BB2706">
          <w:rPr>
            <w:noProof/>
            <w:webHidden/>
          </w:rPr>
          <w:fldChar w:fldCharType="end"/>
        </w:r>
      </w:hyperlink>
    </w:p>
    <w:p w14:paraId="663DE43C" w14:textId="421C622E" w:rsidR="00BB2706" w:rsidRDefault="00000000">
      <w:pPr>
        <w:pStyle w:val="Sadraj2"/>
        <w:rPr>
          <w:rFonts w:eastAsiaTheme="minorEastAsia"/>
          <w:noProof/>
          <w:lang w:eastAsia="hr-HR"/>
        </w:rPr>
      </w:pPr>
      <w:hyperlink w:anchor="_Toc125363976" w:history="1">
        <w:r w:rsidR="00BB2706" w:rsidRPr="0047099F">
          <w:rPr>
            <w:rStyle w:val="Hiperveza"/>
            <w:noProof/>
          </w:rPr>
          <w:t xml:space="preserve">Slika 71. </w:t>
        </w:r>
        <w:r w:rsidR="00BB2706" w:rsidRPr="0047099F">
          <w:rPr>
            <w:rStyle w:val="Hiperveza"/>
            <w:bCs/>
            <w:noProof/>
          </w:rPr>
          <w:t>Europski zeleni plan</w:t>
        </w:r>
        <w:r w:rsidR="00BB2706">
          <w:rPr>
            <w:noProof/>
            <w:webHidden/>
          </w:rPr>
          <w:tab/>
        </w:r>
        <w:r w:rsidR="00BB2706">
          <w:rPr>
            <w:noProof/>
            <w:webHidden/>
          </w:rPr>
          <w:fldChar w:fldCharType="begin"/>
        </w:r>
        <w:r w:rsidR="00BB2706">
          <w:rPr>
            <w:noProof/>
            <w:webHidden/>
          </w:rPr>
          <w:instrText xml:space="preserve"> PAGEREF _Toc125363976 \h </w:instrText>
        </w:r>
        <w:r w:rsidR="00BB2706">
          <w:rPr>
            <w:noProof/>
            <w:webHidden/>
          </w:rPr>
        </w:r>
        <w:r w:rsidR="00BB2706">
          <w:rPr>
            <w:noProof/>
            <w:webHidden/>
          </w:rPr>
          <w:fldChar w:fldCharType="separate"/>
        </w:r>
        <w:r w:rsidR="00F37B62">
          <w:rPr>
            <w:noProof/>
            <w:webHidden/>
          </w:rPr>
          <w:t>194</w:t>
        </w:r>
        <w:r w:rsidR="00BB2706">
          <w:rPr>
            <w:noProof/>
            <w:webHidden/>
          </w:rPr>
          <w:fldChar w:fldCharType="end"/>
        </w:r>
      </w:hyperlink>
    </w:p>
    <w:p w14:paraId="6F69B8BF" w14:textId="58B4FB72" w:rsidR="00BB2706" w:rsidRDefault="00000000">
      <w:pPr>
        <w:pStyle w:val="Sadraj2"/>
        <w:rPr>
          <w:rFonts w:eastAsiaTheme="minorEastAsia"/>
          <w:noProof/>
          <w:lang w:eastAsia="hr-HR"/>
        </w:rPr>
      </w:pPr>
      <w:hyperlink w:anchor="_Toc125363977" w:history="1">
        <w:r w:rsidR="00BB2706" w:rsidRPr="0047099F">
          <w:rPr>
            <w:rStyle w:val="Hiperveza"/>
            <w:noProof/>
          </w:rPr>
          <w:t xml:space="preserve">Slika 72. </w:t>
        </w:r>
        <w:r w:rsidR="00BB2706" w:rsidRPr="0047099F">
          <w:rPr>
            <w:rStyle w:val="Hiperveza"/>
            <w:bCs/>
            <w:noProof/>
          </w:rPr>
          <w:t>Razdvajanje veze između stvaranja komunalnog otpada i gospodarskog razvoja</w:t>
        </w:r>
        <w:r w:rsidR="00BB2706">
          <w:rPr>
            <w:noProof/>
            <w:webHidden/>
          </w:rPr>
          <w:tab/>
        </w:r>
        <w:r w:rsidR="00BB2706">
          <w:rPr>
            <w:noProof/>
            <w:webHidden/>
          </w:rPr>
          <w:fldChar w:fldCharType="begin"/>
        </w:r>
        <w:r w:rsidR="00BB2706">
          <w:rPr>
            <w:noProof/>
            <w:webHidden/>
          </w:rPr>
          <w:instrText xml:space="preserve"> PAGEREF _Toc125363977 \h </w:instrText>
        </w:r>
        <w:r w:rsidR="00BB2706">
          <w:rPr>
            <w:noProof/>
            <w:webHidden/>
          </w:rPr>
        </w:r>
        <w:r w:rsidR="00BB2706">
          <w:rPr>
            <w:noProof/>
            <w:webHidden/>
          </w:rPr>
          <w:fldChar w:fldCharType="separate"/>
        </w:r>
        <w:r w:rsidR="00F37B62">
          <w:rPr>
            <w:noProof/>
            <w:webHidden/>
          </w:rPr>
          <w:t>197</w:t>
        </w:r>
        <w:r w:rsidR="00BB2706">
          <w:rPr>
            <w:noProof/>
            <w:webHidden/>
          </w:rPr>
          <w:fldChar w:fldCharType="end"/>
        </w:r>
      </w:hyperlink>
    </w:p>
    <w:p w14:paraId="45E16741" w14:textId="73170466" w:rsidR="00BB2706" w:rsidRDefault="00000000">
      <w:pPr>
        <w:pStyle w:val="Sadraj2"/>
        <w:rPr>
          <w:rFonts w:eastAsiaTheme="minorEastAsia"/>
          <w:noProof/>
          <w:lang w:eastAsia="hr-HR"/>
        </w:rPr>
      </w:pPr>
      <w:hyperlink w:anchor="_Toc125363978" w:history="1">
        <w:r w:rsidR="00BB2706" w:rsidRPr="0047099F">
          <w:rPr>
            <w:rStyle w:val="Hiperveza"/>
            <w:noProof/>
          </w:rPr>
          <w:t xml:space="preserve">Slika 73. </w:t>
        </w:r>
        <w:r w:rsidR="00BB2706" w:rsidRPr="0047099F">
          <w:rPr>
            <w:rStyle w:val="Hiperveza"/>
            <w:bCs/>
            <w:noProof/>
            <w:lang w:eastAsia="hr-HR"/>
          </w:rPr>
          <w:t>Pregled prijavljenih količina nusproizvoda u razdoblju od 2015. do 2021. godine</w:t>
        </w:r>
        <w:r w:rsidR="00BB2706">
          <w:rPr>
            <w:noProof/>
            <w:webHidden/>
          </w:rPr>
          <w:tab/>
        </w:r>
        <w:r w:rsidR="00BB2706">
          <w:rPr>
            <w:noProof/>
            <w:webHidden/>
          </w:rPr>
          <w:fldChar w:fldCharType="begin"/>
        </w:r>
        <w:r w:rsidR="00BB2706">
          <w:rPr>
            <w:noProof/>
            <w:webHidden/>
          </w:rPr>
          <w:instrText xml:space="preserve"> PAGEREF _Toc125363978 \h </w:instrText>
        </w:r>
        <w:r w:rsidR="00BB2706">
          <w:rPr>
            <w:noProof/>
            <w:webHidden/>
          </w:rPr>
        </w:r>
        <w:r w:rsidR="00BB2706">
          <w:rPr>
            <w:noProof/>
            <w:webHidden/>
          </w:rPr>
          <w:fldChar w:fldCharType="separate"/>
        </w:r>
        <w:r w:rsidR="00F37B62">
          <w:rPr>
            <w:noProof/>
            <w:webHidden/>
          </w:rPr>
          <w:t>199</w:t>
        </w:r>
        <w:r w:rsidR="00BB2706">
          <w:rPr>
            <w:noProof/>
            <w:webHidden/>
          </w:rPr>
          <w:fldChar w:fldCharType="end"/>
        </w:r>
      </w:hyperlink>
    </w:p>
    <w:p w14:paraId="734309CB" w14:textId="7AAD0796" w:rsidR="00BB2706" w:rsidRDefault="00000000">
      <w:pPr>
        <w:pStyle w:val="Sadraj2"/>
        <w:rPr>
          <w:rFonts w:eastAsiaTheme="minorEastAsia"/>
          <w:noProof/>
          <w:lang w:eastAsia="hr-HR"/>
        </w:rPr>
      </w:pPr>
      <w:hyperlink w:anchor="_Toc125363979" w:history="1">
        <w:r w:rsidR="00BB2706" w:rsidRPr="0047099F">
          <w:rPr>
            <w:rStyle w:val="Hiperveza"/>
            <w:noProof/>
          </w:rPr>
          <w:t xml:space="preserve">Slika 74. </w:t>
        </w:r>
        <w:r w:rsidR="00BB2706" w:rsidRPr="0047099F">
          <w:rPr>
            <w:rStyle w:val="Hiperveza"/>
            <w:bCs/>
            <w:noProof/>
          </w:rPr>
          <w:t>Udjeli pojedinih vrsta nusproizvoda u ukupno nastaloj količini u 2021. godini</w:t>
        </w:r>
        <w:r w:rsidR="00BB2706">
          <w:rPr>
            <w:noProof/>
            <w:webHidden/>
          </w:rPr>
          <w:tab/>
        </w:r>
        <w:r w:rsidR="00BB2706">
          <w:rPr>
            <w:noProof/>
            <w:webHidden/>
          </w:rPr>
          <w:fldChar w:fldCharType="begin"/>
        </w:r>
        <w:r w:rsidR="00BB2706">
          <w:rPr>
            <w:noProof/>
            <w:webHidden/>
          </w:rPr>
          <w:instrText xml:space="preserve"> PAGEREF _Toc125363979 \h </w:instrText>
        </w:r>
        <w:r w:rsidR="00BB2706">
          <w:rPr>
            <w:noProof/>
            <w:webHidden/>
          </w:rPr>
        </w:r>
        <w:r w:rsidR="00BB2706">
          <w:rPr>
            <w:noProof/>
            <w:webHidden/>
          </w:rPr>
          <w:fldChar w:fldCharType="separate"/>
        </w:r>
        <w:r w:rsidR="00F37B62">
          <w:rPr>
            <w:noProof/>
            <w:webHidden/>
          </w:rPr>
          <w:t>200</w:t>
        </w:r>
        <w:r w:rsidR="00BB2706">
          <w:rPr>
            <w:noProof/>
            <w:webHidden/>
          </w:rPr>
          <w:fldChar w:fldCharType="end"/>
        </w:r>
      </w:hyperlink>
    </w:p>
    <w:p w14:paraId="6DDBA123" w14:textId="04D5E7DC" w:rsidR="00BB2706" w:rsidRDefault="00000000">
      <w:pPr>
        <w:pStyle w:val="Sadraj2"/>
        <w:rPr>
          <w:rFonts w:eastAsiaTheme="minorEastAsia"/>
          <w:noProof/>
          <w:lang w:eastAsia="hr-HR"/>
        </w:rPr>
      </w:pPr>
      <w:hyperlink w:anchor="_Toc125363980" w:history="1">
        <w:r w:rsidR="00BB2706" w:rsidRPr="0047099F">
          <w:rPr>
            <w:rStyle w:val="Hiperveza"/>
            <w:noProof/>
          </w:rPr>
          <w:t xml:space="preserve">Slika 75. </w:t>
        </w:r>
        <w:r w:rsidR="00BB2706" w:rsidRPr="0047099F">
          <w:rPr>
            <w:rStyle w:val="Hiperveza"/>
            <w:bCs/>
            <w:noProof/>
          </w:rPr>
          <w:t>Broj prijavljenih provedenih aktivnosti/projekata sprječavanja nastanka otpada po godinama</w:t>
        </w:r>
        <w:r w:rsidR="00BB2706">
          <w:rPr>
            <w:noProof/>
            <w:webHidden/>
          </w:rPr>
          <w:tab/>
        </w:r>
        <w:r w:rsidR="00BB2706">
          <w:rPr>
            <w:noProof/>
            <w:webHidden/>
          </w:rPr>
          <w:fldChar w:fldCharType="begin"/>
        </w:r>
        <w:r w:rsidR="00BB2706">
          <w:rPr>
            <w:noProof/>
            <w:webHidden/>
          </w:rPr>
          <w:instrText xml:space="preserve"> PAGEREF _Toc125363980 \h </w:instrText>
        </w:r>
        <w:r w:rsidR="00BB2706">
          <w:rPr>
            <w:noProof/>
            <w:webHidden/>
          </w:rPr>
        </w:r>
        <w:r w:rsidR="00BB2706">
          <w:rPr>
            <w:noProof/>
            <w:webHidden/>
          </w:rPr>
          <w:fldChar w:fldCharType="separate"/>
        </w:r>
        <w:r w:rsidR="00F37B62">
          <w:rPr>
            <w:noProof/>
            <w:webHidden/>
          </w:rPr>
          <w:t>205</w:t>
        </w:r>
        <w:r w:rsidR="00BB2706">
          <w:rPr>
            <w:noProof/>
            <w:webHidden/>
          </w:rPr>
          <w:fldChar w:fldCharType="end"/>
        </w:r>
      </w:hyperlink>
    </w:p>
    <w:p w14:paraId="2F4D5A8C" w14:textId="55C7AFE5" w:rsidR="00B30B78" w:rsidRPr="00B30B78" w:rsidRDefault="00B30B78" w:rsidP="00B30B78">
      <w:pPr>
        <w:rPr>
          <w:rFonts w:ascii="Cambria" w:hAnsi="Cambria"/>
          <w:b/>
          <w:bCs/>
          <w:sz w:val="24"/>
          <w:szCs w:val="24"/>
        </w:rPr>
      </w:pPr>
      <w:r>
        <w:rPr>
          <w:rFonts w:ascii="Cambria" w:hAnsi="Cambria"/>
          <w:b/>
          <w:bCs/>
          <w:sz w:val="30"/>
          <w:szCs w:val="30"/>
        </w:rPr>
        <w:lastRenderedPageBreak/>
        <w:fldChar w:fldCharType="end"/>
      </w:r>
      <w:r w:rsidRPr="00B30B78">
        <w:rPr>
          <w:rFonts w:ascii="Cambria" w:hAnsi="Cambria"/>
          <w:b/>
          <w:bCs/>
          <w:sz w:val="24"/>
          <w:szCs w:val="24"/>
        </w:rPr>
        <w:t>Popis tablica</w:t>
      </w:r>
    </w:p>
    <w:p w14:paraId="31EBF8EE" w14:textId="52A6B7D2" w:rsidR="00BB2706" w:rsidRDefault="00B30B78">
      <w:pPr>
        <w:pStyle w:val="Sadraj2"/>
        <w:rPr>
          <w:rFonts w:eastAsiaTheme="minorEastAsia"/>
          <w:noProof/>
          <w:lang w:eastAsia="hr-HR"/>
        </w:rPr>
      </w:pPr>
      <w:r>
        <w:rPr>
          <w:rFonts w:ascii="Cambria" w:hAnsi="Cambria"/>
          <w:b/>
          <w:sz w:val="30"/>
          <w:szCs w:val="30"/>
        </w:rPr>
        <w:fldChar w:fldCharType="begin"/>
      </w:r>
      <w:r>
        <w:rPr>
          <w:rFonts w:ascii="Cambria" w:hAnsi="Cambria"/>
          <w:b/>
          <w:sz w:val="30"/>
          <w:szCs w:val="30"/>
        </w:rPr>
        <w:instrText xml:space="preserve"> TOC \h \z \t "Tablica;2" </w:instrText>
      </w:r>
      <w:r>
        <w:rPr>
          <w:rFonts w:ascii="Cambria" w:hAnsi="Cambria"/>
          <w:b/>
          <w:sz w:val="30"/>
          <w:szCs w:val="30"/>
        </w:rPr>
        <w:fldChar w:fldCharType="separate"/>
      </w:r>
      <w:hyperlink w:anchor="_Toc125364390" w:history="1">
        <w:r w:rsidR="00BB2706" w:rsidRPr="0013783F">
          <w:rPr>
            <w:rStyle w:val="Hiperveza"/>
            <w:noProof/>
          </w:rPr>
          <w:t xml:space="preserve">Tablica 1. </w:t>
        </w:r>
        <w:r w:rsidR="00BB2706" w:rsidRPr="0013783F">
          <w:rPr>
            <w:rStyle w:val="Hiperveza"/>
            <w:bCs/>
            <w:noProof/>
          </w:rPr>
          <w:t>Količine otpada po gospodarskim aktivnostima i kućanstvu u 2020. godini</w:t>
        </w:r>
        <w:r w:rsidR="00BB2706">
          <w:rPr>
            <w:noProof/>
            <w:webHidden/>
          </w:rPr>
          <w:tab/>
        </w:r>
        <w:r w:rsidR="00BB2706">
          <w:rPr>
            <w:noProof/>
            <w:webHidden/>
          </w:rPr>
          <w:fldChar w:fldCharType="begin"/>
        </w:r>
        <w:r w:rsidR="00BB2706">
          <w:rPr>
            <w:noProof/>
            <w:webHidden/>
          </w:rPr>
          <w:instrText xml:space="preserve"> PAGEREF _Toc125364390 \h </w:instrText>
        </w:r>
        <w:r w:rsidR="00BB2706">
          <w:rPr>
            <w:noProof/>
            <w:webHidden/>
          </w:rPr>
        </w:r>
        <w:r w:rsidR="00BB2706">
          <w:rPr>
            <w:noProof/>
            <w:webHidden/>
          </w:rPr>
          <w:fldChar w:fldCharType="separate"/>
        </w:r>
        <w:r w:rsidR="00F37B62">
          <w:rPr>
            <w:noProof/>
            <w:webHidden/>
          </w:rPr>
          <w:t>19</w:t>
        </w:r>
        <w:r w:rsidR="00BB2706">
          <w:rPr>
            <w:noProof/>
            <w:webHidden/>
          </w:rPr>
          <w:fldChar w:fldCharType="end"/>
        </w:r>
      </w:hyperlink>
    </w:p>
    <w:p w14:paraId="44B99196" w14:textId="12B40D04" w:rsidR="00BB2706" w:rsidRDefault="00000000">
      <w:pPr>
        <w:pStyle w:val="Sadraj2"/>
        <w:rPr>
          <w:rFonts w:eastAsiaTheme="minorEastAsia"/>
          <w:noProof/>
          <w:lang w:eastAsia="hr-HR"/>
        </w:rPr>
      </w:pPr>
      <w:hyperlink w:anchor="_Toc125364391" w:history="1">
        <w:r w:rsidR="00BB2706" w:rsidRPr="0013783F">
          <w:rPr>
            <w:rStyle w:val="Hiperveza"/>
            <w:noProof/>
          </w:rPr>
          <w:t>Tablica 2. Količine i udio otpada u ukupnoj količini prema vrsti otpada (statističkoj kategoriji otpada) za 2020. godinu</w:t>
        </w:r>
        <w:r w:rsidR="00BB2706">
          <w:rPr>
            <w:noProof/>
            <w:webHidden/>
          </w:rPr>
          <w:tab/>
        </w:r>
        <w:r w:rsidR="00BB2706">
          <w:rPr>
            <w:noProof/>
            <w:webHidden/>
          </w:rPr>
          <w:fldChar w:fldCharType="begin"/>
        </w:r>
        <w:r w:rsidR="00BB2706">
          <w:rPr>
            <w:noProof/>
            <w:webHidden/>
          </w:rPr>
          <w:instrText xml:space="preserve"> PAGEREF _Toc125364391 \h </w:instrText>
        </w:r>
        <w:r w:rsidR="00BB2706">
          <w:rPr>
            <w:noProof/>
            <w:webHidden/>
          </w:rPr>
        </w:r>
        <w:r w:rsidR="00BB2706">
          <w:rPr>
            <w:noProof/>
            <w:webHidden/>
          </w:rPr>
          <w:fldChar w:fldCharType="separate"/>
        </w:r>
        <w:r w:rsidR="00F37B62">
          <w:rPr>
            <w:noProof/>
            <w:webHidden/>
          </w:rPr>
          <w:t>19</w:t>
        </w:r>
        <w:r w:rsidR="00BB2706">
          <w:rPr>
            <w:noProof/>
            <w:webHidden/>
          </w:rPr>
          <w:fldChar w:fldCharType="end"/>
        </w:r>
      </w:hyperlink>
    </w:p>
    <w:p w14:paraId="1E12FA24" w14:textId="3835EDC8" w:rsidR="00BB2706" w:rsidRDefault="00000000">
      <w:pPr>
        <w:pStyle w:val="Sadraj2"/>
        <w:rPr>
          <w:rFonts w:eastAsiaTheme="minorEastAsia"/>
          <w:noProof/>
          <w:lang w:eastAsia="hr-HR"/>
        </w:rPr>
      </w:pPr>
      <w:hyperlink w:anchor="_Toc125364392" w:history="1">
        <w:r w:rsidR="00BB2706" w:rsidRPr="0013783F">
          <w:rPr>
            <w:rStyle w:val="Hiperveza"/>
            <w:noProof/>
          </w:rPr>
          <w:t xml:space="preserve">Tablica 3. </w:t>
        </w:r>
        <w:r w:rsidR="00BB2706" w:rsidRPr="0013783F">
          <w:rPr>
            <w:rStyle w:val="Hiperveza"/>
            <w:bCs/>
            <w:noProof/>
          </w:rPr>
          <w:t>Postupanje s ukupnim količinama nastalog otpada  u razdoblju od 2016. do 2020. godine prema postupcima obrade (uključene i količine izvezene/iznesene na obradu izvan granica RH)</w:t>
        </w:r>
        <w:r w:rsidR="00BB2706">
          <w:rPr>
            <w:noProof/>
            <w:webHidden/>
          </w:rPr>
          <w:tab/>
        </w:r>
        <w:r w:rsidR="00BB2706">
          <w:rPr>
            <w:noProof/>
            <w:webHidden/>
          </w:rPr>
          <w:fldChar w:fldCharType="begin"/>
        </w:r>
        <w:r w:rsidR="00BB2706">
          <w:rPr>
            <w:noProof/>
            <w:webHidden/>
          </w:rPr>
          <w:instrText xml:space="preserve"> PAGEREF _Toc125364392 \h </w:instrText>
        </w:r>
        <w:r w:rsidR="00BB2706">
          <w:rPr>
            <w:noProof/>
            <w:webHidden/>
          </w:rPr>
        </w:r>
        <w:r w:rsidR="00BB2706">
          <w:rPr>
            <w:noProof/>
            <w:webHidden/>
          </w:rPr>
          <w:fldChar w:fldCharType="separate"/>
        </w:r>
        <w:r w:rsidR="00F37B62">
          <w:rPr>
            <w:noProof/>
            <w:webHidden/>
          </w:rPr>
          <w:t>20</w:t>
        </w:r>
        <w:r w:rsidR="00BB2706">
          <w:rPr>
            <w:noProof/>
            <w:webHidden/>
          </w:rPr>
          <w:fldChar w:fldCharType="end"/>
        </w:r>
      </w:hyperlink>
    </w:p>
    <w:p w14:paraId="5912F7F7" w14:textId="176FB83D" w:rsidR="00BB2706" w:rsidRDefault="00000000">
      <w:pPr>
        <w:pStyle w:val="Sadraj2"/>
        <w:rPr>
          <w:rFonts w:eastAsiaTheme="minorEastAsia"/>
          <w:noProof/>
          <w:lang w:eastAsia="hr-HR"/>
        </w:rPr>
      </w:pPr>
      <w:hyperlink w:anchor="_Toc125364393" w:history="1">
        <w:r w:rsidR="00BB2706" w:rsidRPr="0013783F">
          <w:rPr>
            <w:rStyle w:val="Hiperveza"/>
            <w:noProof/>
          </w:rPr>
          <w:t xml:space="preserve">Tablica 4. </w:t>
        </w:r>
        <w:r w:rsidR="00BB2706" w:rsidRPr="0013783F">
          <w:rPr>
            <w:rStyle w:val="Hiperveza"/>
            <w:bCs/>
            <w:noProof/>
          </w:rPr>
          <w:t>Količine i udio otpada u ukupnoj količini opasnog otpada prema vrsti otpada (statističkoj kategoriji otpada) za 2020. godinu</w:t>
        </w:r>
        <w:r w:rsidR="00BB2706">
          <w:rPr>
            <w:noProof/>
            <w:webHidden/>
          </w:rPr>
          <w:tab/>
        </w:r>
        <w:r w:rsidR="00BB2706">
          <w:rPr>
            <w:noProof/>
            <w:webHidden/>
          </w:rPr>
          <w:fldChar w:fldCharType="begin"/>
        </w:r>
        <w:r w:rsidR="00BB2706">
          <w:rPr>
            <w:noProof/>
            <w:webHidden/>
          </w:rPr>
          <w:instrText xml:space="preserve"> PAGEREF _Toc125364393 \h </w:instrText>
        </w:r>
        <w:r w:rsidR="00BB2706">
          <w:rPr>
            <w:noProof/>
            <w:webHidden/>
          </w:rPr>
        </w:r>
        <w:r w:rsidR="00BB2706">
          <w:rPr>
            <w:noProof/>
            <w:webHidden/>
          </w:rPr>
          <w:fldChar w:fldCharType="separate"/>
        </w:r>
        <w:r w:rsidR="00F37B62">
          <w:rPr>
            <w:noProof/>
            <w:webHidden/>
          </w:rPr>
          <w:t>23</w:t>
        </w:r>
        <w:r w:rsidR="00BB2706">
          <w:rPr>
            <w:noProof/>
            <w:webHidden/>
          </w:rPr>
          <w:fldChar w:fldCharType="end"/>
        </w:r>
      </w:hyperlink>
    </w:p>
    <w:p w14:paraId="47BFA41C" w14:textId="5A14EBCF" w:rsidR="00BB2706" w:rsidRDefault="00000000">
      <w:pPr>
        <w:pStyle w:val="Sadraj2"/>
        <w:rPr>
          <w:rFonts w:eastAsiaTheme="minorEastAsia"/>
          <w:noProof/>
          <w:lang w:eastAsia="hr-HR"/>
        </w:rPr>
      </w:pPr>
      <w:hyperlink w:anchor="_Toc125364394" w:history="1">
        <w:r w:rsidR="00BB2706" w:rsidRPr="0013783F">
          <w:rPr>
            <w:rStyle w:val="Hiperveza"/>
            <w:noProof/>
          </w:rPr>
          <w:t xml:space="preserve">Tablica 5. </w:t>
        </w:r>
        <w:r w:rsidR="00BB2706" w:rsidRPr="0013783F">
          <w:rPr>
            <w:rStyle w:val="Hiperveza"/>
            <w:bCs/>
            <w:noProof/>
          </w:rPr>
          <w:t>Količine opasnog otpada obrađene konačnim postupcima u RH u 2020. godini, po vrsti otpada</w:t>
        </w:r>
        <w:r w:rsidR="00BB2706">
          <w:rPr>
            <w:noProof/>
            <w:webHidden/>
          </w:rPr>
          <w:tab/>
        </w:r>
        <w:r w:rsidR="00BB2706">
          <w:rPr>
            <w:noProof/>
            <w:webHidden/>
          </w:rPr>
          <w:fldChar w:fldCharType="begin"/>
        </w:r>
        <w:r w:rsidR="00BB2706">
          <w:rPr>
            <w:noProof/>
            <w:webHidden/>
          </w:rPr>
          <w:instrText xml:space="preserve"> PAGEREF _Toc125364394 \h </w:instrText>
        </w:r>
        <w:r w:rsidR="00BB2706">
          <w:rPr>
            <w:noProof/>
            <w:webHidden/>
          </w:rPr>
        </w:r>
        <w:r w:rsidR="00BB2706">
          <w:rPr>
            <w:noProof/>
            <w:webHidden/>
          </w:rPr>
          <w:fldChar w:fldCharType="separate"/>
        </w:r>
        <w:r w:rsidR="00F37B62">
          <w:rPr>
            <w:noProof/>
            <w:webHidden/>
          </w:rPr>
          <w:t>25</w:t>
        </w:r>
        <w:r w:rsidR="00BB2706">
          <w:rPr>
            <w:noProof/>
            <w:webHidden/>
          </w:rPr>
          <w:fldChar w:fldCharType="end"/>
        </w:r>
      </w:hyperlink>
    </w:p>
    <w:p w14:paraId="1E0796CC" w14:textId="7DAABB4F" w:rsidR="00BB2706" w:rsidRDefault="00000000">
      <w:pPr>
        <w:pStyle w:val="Sadraj2"/>
        <w:rPr>
          <w:rFonts w:eastAsiaTheme="minorEastAsia"/>
          <w:noProof/>
          <w:lang w:eastAsia="hr-HR"/>
        </w:rPr>
      </w:pPr>
      <w:hyperlink w:anchor="_Toc125364395" w:history="1">
        <w:r w:rsidR="00BB2706" w:rsidRPr="0013783F">
          <w:rPr>
            <w:rStyle w:val="Hiperveza"/>
            <w:noProof/>
          </w:rPr>
          <w:t xml:space="preserve">Tablica 6. </w:t>
        </w:r>
        <w:r w:rsidR="00BB2706" w:rsidRPr="0013783F">
          <w:rPr>
            <w:rStyle w:val="Hiperveza"/>
            <w:bCs/>
            <w:noProof/>
          </w:rPr>
          <w:t>Količina komunalnog otpada iz turizma, 2015.-2021.</w:t>
        </w:r>
        <w:r w:rsidR="00BB2706">
          <w:rPr>
            <w:noProof/>
            <w:webHidden/>
          </w:rPr>
          <w:tab/>
        </w:r>
        <w:r w:rsidR="00BB2706">
          <w:rPr>
            <w:noProof/>
            <w:webHidden/>
          </w:rPr>
          <w:fldChar w:fldCharType="begin"/>
        </w:r>
        <w:r w:rsidR="00BB2706">
          <w:rPr>
            <w:noProof/>
            <w:webHidden/>
          </w:rPr>
          <w:instrText xml:space="preserve"> PAGEREF _Toc125364395 \h </w:instrText>
        </w:r>
        <w:r w:rsidR="00BB2706">
          <w:rPr>
            <w:noProof/>
            <w:webHidden/>
          </w:rPr>
        </w:r>
        <w:r w:rsidR="00BB2706">
          <w:rPr>
            <w:noProof/>
            <w:webHidden/>
          </w:rPr>
          <w:fldChar w:fldCharType="separate"/>
        </w:r>
        <w:r w:rsidR="00F37B62">
          <w:rPr>
            <w:noProof/>
            <w:webHidden/>
          </w:rPr>
          <w:t>27</w:t>
        </w:r>
        <w:r w:rsidR="00BB2706">
          <w:rPr>
            <w:noProof/>
            <w:webHidden/>
          </w:rPr>
          <w:fldChar w:fldCharType="end"/>
        </w:r>
      </w:hyperlink>
    </w:p>
    <w:p w14:paraId="2430D4AC" w14:textId="60EC6B74" w:rsidR="00BB2706" w:rsidRDefault="00000000">
      <w:pPr>
        <w:pStyle w:val="Sadraj2"/>
        <w:rPr>
          <w:rFonts w:eastAsiaTheme="minorEastAsia"/>
          <w:noProof/>
          <w:lang w:eastAsia="hr-HR"/>
        </w:rPr>
      </w:pPr>
      <w:hyperlink w:anchor="_Toc125364396" w:history="1">
        <w:r w:rsidR="00BB2706" w:rsidRPr="0013783F">
          <w:rPr>
            <w:rStyle w:val="Hiperveza"/>
            <w:noProof/>
          </w:rPr>
          <w:t xml:space="preserve">Tablica 7. </w:t>
        </w:r>
        <w:r w:rsidR="00BB2706" w:rsidRPr="0013783F">
          <w:rPr>
            <w:rStyle w:val="Hiperveza"/>
            <w:bCs/>
            <w:noProof/>
          </w:rPr>
          <w:t>Količine nastalog i odloženog biorazgradivog komunalnog otpada u razdoblju od 1997. do 2021. godine</w:t>
        </w:r>
        <w:r w:rsidR="00BB2706">
          <w:rPr>
            <w:noProof/>
            <w:webHidden/>
          </w:rPr>
          <w:tab/>
        </w:r>
        <w:r w:rsidR="00BB2706">
          <w:rPr>
            <w:noProof/>
            <w:webHidden/>
          </w:rPr>
          <w:fldChar w:fldCharType="begin"/>
        </w:r>
        <w:r w:rsidR="00BB2706">
          <w:rPr>
            <w:noProof/>
            <w:webHidden/>
          </w:rPr>
          <w:instrText xml:space="preserve"> PAGEREF _Toc125364396 \h </w:instrText>
        </w:r>
        <w:r w:rsidR="00BB2706">
          <w:rPr>
            <w:noProof/>
            <w:webHidden/>
          </w:rPr>
        </w:r>
        <w:r w:rsidR="00BB2706">
          <w:rPr>
            <w:noProof/>
            <w:webHidden/>
          </w:rPr>
          <w:fldChar w:fldCharType="separate"/>
        </w:r>
        <w:r w:rsidR="00F37B62">
          <w:rPr>
            <w:noProof/>
            <w:webHidden/>
          </w:rPr>
          <w:t>34</w:t>
        </w:r>
        <w:r w:rsidR="00BB2706">
          <w:rPr>
            <w:noProof/>
            <w:webHidden/>
          </w:rPr>
          <w:fldChar w:fldCharType="end"/>
        </w:r>
      </w:hyperlink>
    </w:p>
    <w:p w14:paraId="005B85AF" w14:textId="6EBC5C41" w:rsidR="00BB2706" w:rsidRDefault="00000000">
      <w:pPr>
        <w:pStyle w:val="Sadraj2"/>
        <w:rPr>
          <w:rFonts w:eastAsiaTheme="minorEastAsia"/>
          <w:noProof/>
          <w:lang w:eastAsia="hr-HR"/>
        </w:rPr>
      </w:pPr>
      <w:hyperlink w:anchor="_Toc125364397" w:history="1">
        <w:r w:rsidR="00BB2706" w:rsidRPr="0013783F">
          <w:rPr>
            <w:rStyle w:val="Hiperveza"/>
            <w:noProof/>
          </w:rPr>
          <w:t xml:space="preserve">Tablica 8. </w:t>
        </w:r>
        <w:r w:rsidR="00BB2706" w:rsidRPr="0013783F">
          <w:rPr>
            <w:rStyle w:val="Hiperveza"/>
            <w:bCs/>
            <w:noProof/>
          </w:rPr>
          <w:t>Količine posebnih kategorija otpada sakupljenih u razdoblju od 2015. do 2021. godine</w:t>
        </w:r>
        <w:r w:rsidR="00BB2706">
          <w:rPr>
            <w:noProof/>
            <w:webHidden/>
          </w:rPr>
          <w:tab/>
        </w:r>
        <w:r w:rsidR="00BB2706">
          <w:rPr>
            <w:noProof/>
            <w:webHidden/>
          </w:rPr>
          <w:fldChar w:fldCharType="begin"/>
        </w:r>
        <w:r w:rsidR="00BB2706">
          <w:rPr>
            <w:noProof/>
            <w:webHidden/>
          </w:rPr>
          <w:instrText xml:space="preserve"> PAGEREF _Toc125364397 \h </w:instrText>
        </w:r>
        <w:r w:rsidR="00BB2706">
          <w:rPr>
            <w:noProof/>
            <w:webHidden/>
          </w:rPr>
        </w:r>
        <w:r w:rsidR="00BB2706">
          <w:rPr>
            <w:noProof/>
            <w:webHidden/>
          </w:rPr>
          <w:fldChar w:fldCharType="separate"/>
        </w:r>
        <w:r w:rsidR="00F37B62">
          <w:rPr>
            <w:noProof/>
            <w:webHidden/>
          </w:rPr>
          <w:t>41</w:t>
        </w:r>
        <w:r w:rsidR="00BB2706">
          <w:rPr>
            <w:noProof/>
            <w:webHidden/>
          </w:rPr>
          <w:fldChar w:fldCharType="end"/>
        </w:r>
      </w:hyperlink>
    </w:p>
    <w:p w14:paraId="52242AB8" w14:textId="75EE83E2" w:rsidR="00BB2706" w:rsidRDefault="00000000">
      <w:pPr>
        <w:pStyle w:val="Sadraj2"/>
        <w:rPr>
          <w:rFonts w:eastAsiaTheme="minorEastAsia"/>
          <w:noProof/>
          <w:lang w:eastAsia="hr-HR"/>
        </w:rPr>
      </w:pPr>
      <w:hyperlink w:anchor="_Toc125364398" w:history="1">
        <w:r w:rsidR="00BB2706" w:rsidRPr="0013783F">
          <w:rPr>
            <w:rStyle w:val="Hiperveza"/>
            <w:noProof/>
          </w:rPr>
          <w:t>Tablica 9. Procijenjena ukupna količina nastalog otpadnog tekstila i otpadne obuće za 2021. godinu</w:t>
        </w:r>
        <w:r w:rsidR="00BB2706">
          <w:rPr>
            <w:noProof/>
            <w:webHidden/>
          </w:rPr>
          <w:tab/>
        </w:r>
        <w:r w:rsidR="00BB2706">
          <w:rPr>
            <w:noProof/>
            <w:webHidden/>
          </w:rPr>
          <w:fldChar w:fldCharType="begin"/>
        </w:r>
        <w:r w:rsidR="00BB2706">
          <w:rPr>
            <w:noProof/>
            <w:webHidden/>
          </w:rPr>
          <w:instrText xml:space="preserve"> PAGEREF _Toc125364398 \h </w:instrText>
        </w:r>
        <w:r w:rsidR="00BB2706">
          <w:rPr>
            <w:noProof/>
            <w:webHidden/>
          </w:rPr>
        </w:r>
        <w:r w:rsidR="00BB2706">
          <w:rPr>
            <w:noProof/>
            <w:webHidden/>
          </w:rPr>
          <w:fldChar w:fldCharType="separate"/>
        </w:r>
        <w:r w:rsidR="00F37B62">
          <w:rPr>
            <w:noProof/>
            <w:webHidden/>
          </w:rPr>
          <w:t>43</w:t>
        </w:r>
        <w:r w:rsidR="00BB2706">
          <w:rPr>
            <w:noProof/>
            <w:webHidden/>
          </w:rPr>
          <w:fldChar w:fldCharType="end"/>
        </w:r>
      </w:hyperlink>
    </w:p>
    <w:p w14:paraId="5087ABC3" w14:textId="5A123A0C" w:rsidR="00BB2706" w:rsidRDefault="00000000">
      <w:pPr>
        <w:pStyle w:val="Sadraj2"/>
        <w:rPr>
          <w:rFonts w:eastAsiaTheme="minorEastAsia"/>
          <w:noProof/>
          <w:lang w:eastAsia="hr-HR"/>
        </w:rPr>
      </w:pPr>
      <w:hyperlink w:anchor="_Toc125364399" w:history="1">
        <w:r w:rsidR="00BB2706" w:rsidRPr="0013783F">
          <w:rPr>
            <w:rStyle w:val="Hiperveza"/>
            <w:noProof/>
          </w:rPr>
          <w:t xml:space="preserve">Tablica 10. </w:t>
        </w:r>
        <w:r w:rsidR="00BB2706" w:rsidRPr="0013783F">
          <w:rPr>
            <w:rStyle w:val="Hiperveza"/>
            <w:bCs/>
            <w:noProof/>
            <w:lang w:eastAsia="hr-HR"/>
          </w:rPr>
          <w:t>Ostvarene stope recikliranja po ambalažnim materijalima za razdoblje od 2015. do 2021. godine uz prikaz zadanih ciljeva</w:t>
        </w:r>
        <w:r w:rsidR="00BB2706">
          <w:rPr>
            <w:noProof/>
            <w:webHidden/>
          </w:rPr>
          <w:tab/>
        </w:r>
        <w:r w:rsidR="00BB2706">
          <w:rPr>
            <w:noProof/>
            <w:webHidden/>
          </w:rPr>
          <w:fldChar w:fldCharType="begin"/>
        </w:r>
        <w:r w:rsidR="00BB2706">
          <w:rPr>
            <w:noProof/>
            <w:webHidden/>
          </w:rPr>
          <w:instrText xml:space="preserve"> PAGEREF _Toc125364399 \h </w:instrText>
        </w:r>
        <w:r w:rsidR="00BB2706">
          <w:rPr>
            <w:noProof/>
            <w:webHidden/>
          </w:rPr>
        </w:r>
        <w:r w:rsidR="00BB2706">
          <w:rPr>
            <w:noProof/>
            <w:webHidden/>
          </w:rPr>
          <w:fldChar w:fldCharType="separate"/>
        </w:r>
        <w:r w:rsidR="00F37B62">
          <w:rPr>
            <w:noProof/>
            <w:webHidden/>
          </w:rPr>
          <w:t>45</w:t>
        </w:r>
        <w:r w:rsidR="00BB2706">
          <w:rPr>
            <w:noProof/>
            <w:webHidden/>
          </w:rPr>
          <w:fldChar w:fldCharType="end"/>
        </w:r>
      </w:hyperlink>
    </w:p>
    <w:p w14:paraId="7FD534AC" w14:textId="1145D605" w:rsidR="00BB2706" w:rsidRDefault="00000000">
      <w:pPr>
        <w:pStyle w:val="Sadraj2"/>
        <w:rPr>
          <w:rFonts w:eastAsiaTheme="minorEastAsia"/>
          <w:noProof/>
          <w:lang w:eastAsia="hr-HR"/>
        </w:rPr>
      </w:pPr>
      <w:hyperlink w:anchor="_Toc125364400" w:history="1">
        <w:r w:rsidR="00BB2706" w:rsidRPr="0013783F">
          <w:rPr>
            <w:rStyle w:val="Hiperveza"/>
            <w:noProof/>
          </w:rPr>
          <w:t xml:space="preserve">Tablica 11. </w:t>
        </w:r>
        <w:r w:rsidR="00BB2706" w:rsidRPr="0013783F">
          <w:rPr>
            <w:rStyle w:val="Hiperveza"/>
            <w:bCs/>
            <w:noProof/>
          </w:rPr>
          <w:t>Udio višekratne ambalaže stavljene na tržište od 2017.-2021.</w:t>
        </w:r>
        <w:r w:rsidR="00BB2706">
          <w:rPr>
            <w:noProof/>
            <w:webHidden/>
          </w:rPr>
          <w:tab/>
        </w:r>
        <w:r w:rsidR="00BB2706">
          <w:rPr>
            <w:noProof/>
            <w:webHidden/>
          </w:rPr>
          <w:fldChar w:fldCharType="begin"/>
        </w:r>
        <w:r w:rsidR="00BB2706">
          <w:rPr>
            <w:noProof/>
            <w:webHidden/>
          </w:rPr>
          <w:instrText xml:space="preserve"> PAGEREF _Toc125364400 \h </w:instrText>
        </w:r>
        <w:r w:rsidR="00BB2706">
          <w:rPr>
            <w:noProof/>
            <w:webHidden/>
          </w:rPr>
        </w:r>
        <w:r w:rsidR="00BB2706">
          <w:rPr>
            <w:noProof/>
            <w:webHidden/>
          </w:rPr>
          <w:fldChar w:fldCharType="separate"/>
        </w:r>
        <w:r w:rsidR="00F37B62">
          <w:rPr>
            <w:noProof/>
            <w:webHidden/>
          </w:rPr>
          <w:t>46</w:t>
        </w:r>
        <w:r w:rsidR="00BB2706">
          <w:rPr>
            <w:noProof/>
            <w:webHidden/>
          </w:rPr>
          <w:fldChar w:fldCharType="end"/>
        </w:r>
      </w:hyperlink>
    </w:p>
    <w:p w14:paraId="3152ACB6" w14:textId="364D4284" w:rsidR="00BB2706" w:rsidRDefault="00000000">
      <w:pPr>
        <w:pStyle w:val="Sadraj2"/>
        <w:rPr>
          <w:rFonts w:eastAsiaTheme="minorEastAsia"/>
          <w:noProof/>
          <w:lang w:eastAsia="hr-HR"/>
        </w:rPr>
      </w:pPr>
      <w:hyperlink w:anchor="_Toc125364401" w:history="1">
        <w:r w:rsidR="00BB2706" w:rsidRPr="0013783F">
          <w:rPr>
            <w:rStyle w:val="Hiperveza"/>
            <w:noProof/>
          </w:rPr>
          <w:t xml:space="preserve">Tablica 12. </w:t>
        </w:r>
        <w:r w:rsidR="00BB2706" w:rsidRPr="0013783F">
          <w:rPr>
            <w:rStyle w:val="Hiperveza"/>
            <w:bCs/>
            <w:noProof/>
            <w:lang w:eastAsia="hr-HR"/>
          </w:rPr>
          <w:t>Količine plastičnih vrećica za nošenje stavljenih na tržište RH u razdoblju od 2018. do 2021. godine po kategorijama</w:t>
        </w:r>
        <w:r w:rsidR="00BB2706">
          <w:rPr>
            <w:noProof/>
            <w:webHidden/>
          </w:rPr>
          <w:tab/>
        </w:r>
        <w:r w:rsidR="00BB2706">
          <w:rPr>
            <w:noProof/>
            <w:webHidden/>
          </w:rPr>
          <w:fldChar w:fldCharType="begin"/>
        </w:r>
        <w:r w:rsidR="00BB2706">
          <w:rPr>
            <w:noProof/>
            <w:webHidden/>
          </w:rPr>
          <w:instrText xml:space="preserve"> PAGEREF _Toc125364401 \h </w:instrText>
        </w:r>
        <w:r w:rsidR="00BB2706">
          <w:rPr>
            <w:noProof/>
            <w:webHidden/>
          </w:rPr>
        </w:r>
        <w:r w:rsidR="00BB2706">
          <w:rPr>
            <w:noProof/>
            <w:webHidden/>
          </w:rPr>
          <w:fldChar w:fldCharType="separate"/>
        </w:r>
        <w:r w:rsidR="00F37B62">
          <w:rPr>
            <w:noProof/>
            <w:webHidden/>
          </w:rPr>
          <w:t>46</w:t>
        </w:r>
        <w:r w:rsidR="00BB2706">
          <w:rPr>
            <w:noProof/>
            <w:webHidden/>
          </w:rPr>
          <w:fldChar w:fldCharType="end"/>
        </w:r>
      </w:hyperlink>
    </w:p>
    <w:p w14:paraId="4BB89044" w14:textId="353DCFBA" w:rsidR="00BB2706" w:rsidRDefault="00000000">
      <w:pPr>
        <w:pStyle w:val="Sadraj2"/>
        <w:rPr>
          <w:rFonts w:eastAsiaTheme="minorEastAsia"/>
          <w:noProof/>
          <w:lang w:eastAsia="hr-HR"/>
        </w:rPr>
      </w:pPr>
      <w:hyperlink w:anchor="_Toc125364402" w:history="1">
        <w:r w:rsidR="00BB2706" w:rsidRPr="0013783F">
          <w:rPr>
            <w:rStyle w:val="Hiperveza"/>
            <w:noProof/>
          </w:rPr>
          <w:t xml:space="preserve">Tablica 13. </w:t>
        </w:r>
        <w:r w:rsidR="00BB2706" w:rsidRPr="0013783F">
          <w:rPr>
            <w:rStyle w:val="Hiperveza"/>
            <w:bCs/>
            <w:noProof/>
          </w:rPr>
          <w:t>Stope oporabe i recikliranja za 2021. po kategorijama EE uređaja i opreme u odnosu na zadane ciljeve</w:t>
        </w:r>
        <w:r w:rsidR="00BB2706">
          <w:rPr>
            <w:noProof/>
            <w:webHidden/>
          </w:rPr>
          <w:tab/>
        </w:r>
        <w:r w:rsidR="00BB2706">
          <w:rPr>
            <w:noProof/>
            <w:webHidden/>
          </w:rPr>
          <w:fldChar w:fldCharType="begin"/>
        </w:r>
        <w:r w:rsidR="00BB2706">
          <w:rPr>
            <w:noProof/>
            <w:webHidden/>
          </w:rPr>
          <w:instrText xml:space="preserve"> PAGEREF _Toc125364402 \h </w:instrText>
        </w:r>
        <w:r w:rsidR="00BB2706">
          <w:rPr>
            <w:noProof/>
            <w:webHidden/>
          </w:rPr>
        </w:r>
        <w:r w:rsidR="00BB2706">
          <w:rPr>
            <w:noProof/>
            <w:webHidden/>
          </w:rPr>
          <w:fldChar w:fldCharType="separate"/>
        </w:r>
        <w:r w:rsidR="00F37B62">
          <w:rPr>
            <w:noProof/>
            <w:webHidden/>
          </w:rPr>
          <w:t>58</w:t>
        </w:r>
        <w:r w:rsidR="00BB2706">
          <w:rPr>
            <w:noProof/>
            <w:webHidden/>
          </w:rPr>
          <w:fldChar w:fldCharType="end"/>
        </w:r>
      </w:hyperlink>
    </w:p>
    <w:p w14:paraId="02836BDB" w14:textId="60C75735" w:rsidR="00BB2706" w:rsidRDefault="00000000">
      <w:pPr>
        <w:pStyle w:val="Sadraj2"/>
        <w:rPr>
          <w:rFonts w:eastAsiaTheme="minorEastAsia"/>
          <w:noProof/>
          <w:lang w:eastAsia="hr-HR"/>
        </w:rPr>
      </w:pPr>
      <w:hyperlink w:anchor="_Toc125364403" w:history="1">
        <w:r w:rsidR="00BB2706" w:rsidRPr="0013783F">
          <w:rPr>
            <w:rStyle w:val="Hiperveza"/>
            <w:noProof/>
          </w:rPr>
          <w:t>Tablica 14. Usporedni prikaz količina otpada koji podliježe notifikacijskom postupku, a koji se najviše uvozio/unosio i izvozio/iznosio tijekom 2020. i 2021. godine</w:t>
        </w:r>
        <w:r w:rsidR="00BB2706">
          <w:rPr>
            <w:noProof/>
            <w:webHidden/>
          </w:rPr>
          <w:tab/>
        </w:r>
        <w:r w:rsidR="00BB2706">
          <w:rPr>
            <w:noProof/>
            <w:webHidden/>
          </w:rPr>
          <w:fldChar w:fldCharType="begin"/>
        </w:r>
        <w:r w:rsidR="00BB2706">
          <w:rPr>
            <w:noProof/>
            <w:webHidden/>
          </w:rPr>
          <w:instrText xml:space="preserve"> PAGEREF _Toc125364403 \h </w:instrText>
        </w:r>
        <w:r w:rsidR="00BB2706">
          <w:rPr>
            <w:noProof/>
            <w:webHidden/>
          </w:rPr>
        </w:r>
        <w:r w:rsidR="00BB2706">
          <w:rPr>
            <w:noProof/>
            <w:webHidden/>
          </w:rPr>
          <w:fldChar w:fldCharType="separate"/>
        </w:r>
        <w:r w:rsidR="00F37B62">
          <w:rPr>
            <w:noProof/>
            <w:webHidden/>
          </w:rPr>
          <w:t>63</w:t>
        </w:r>
        <w:r w:rsidR="00BB2706">
          <w:rPr>
            <w:noProof/>
            <w:webHidden/>
          </w:rPr>
          <w:fldChar w:fldCharType="end"/>
        </w:r>
      </w:hyperlink>
    </w:p>
    <w:p w14:paraId="06CD5A4C" w14:textId="1C7AEA7B" w:rsidR="00BB2706" w:rsidRDefault="00000000">
      <w:pPr>
        <w:pStyle w:val="Sadraj2"/>
        <w:rPr>
          <w:rFonts w:eastAsiaTheme="minorEastAsia"/>
          <w:noProof/>
          <w:lang w:eastAsia="hr-HR"/>
        </w:rPr>
      </w:pPr>
      <w:hyperlink w:anchor="_Toc125364404" w:history="1">
        <w:r w:rsidR="00BB2706" w:rsidRPr="0013783F">
          <w:rPr>
            <w:rStyle w:val="Hiperveza"/>
            <w:bCs/>
            <w:noProof/>
          </w:rPr>
          <w:t>Tablica 15.</w:t>
        </w:r>
        <w:r w:rsidR="00BB2706" w:rsidRPr="0013783F">
          <w:rPr>
            <w:rStyle w:val="Hiperveza"/>
            <w:noProof/>
          </w:rPr>
          <w:t xml:space="preserve"> Usporedni prikaz količina otpada koji ne podliježe notifikacijskom postupku, a koji se najviše uvozio/unosio i izvozio/iznosio u razdoblju od 2017. do 2021. godine</w:t>
        </w:r>
        <w:r w:rsidR="00BB2706">
          <w:rPr>
            <w:noProof/>
            <w:webHidden/>
          </w:rPr>
          <w:tab/>
        </w:r>
        <w:r w:rsidR="00BB2706">
          <w:rPr>
            <w:noProof/>
            <w:webHidden/>
          </w:rPr>
          <w:fldChar w:fldCharType="begin"/>
        </w:r>
        <w:r w:rsidR="00BB2706">
          <w:rPr>
            <w:noProof/>
            <w:webHidden/>
          </w:rPr>
          <w:instrText xml:space="preserve"> PAGEREF _Toc125364404 \h </w:instrText>
        </w:r>
        <w:r w:rsidR="00BB2706">
          <w:rPr>
            <w:noProof/>
            <w:webHidden/>
          </w:rPr>
        </w:r>
        <w:r w:rsidR="00BB2706">
          <w:rPr>
            <w:noProof/>
            <w:webHidden/>
          </w:rPr>
          <w:fldChar w:fldCharType="separate"/>
        </w:r>
        <w:r w:rsidR="00F37B62">
          <w:rPr>
            <w:noProof/>
            <w:webHidden/>
          </w:rPr>
          <w:t>64</w:t>
        </w:r>
        <w:r w:rsidR="00BB2706">
          <w:rPr>
            <w:noProof/>
            <w:webHidden/>
          </w:rPr>
          <w:fldChar w:fldCharType="end"/>
        </w:r>
      </w:hyperlink>
    </w:p>
    <w:p w14:paraId="0F0DCFC2" w14:textId="4A9A320D" w:rsidR="00BB2706" w:rsidRDefault="00000000">
      <w:pPr>
        <w:pStyle w:val="Sadraj2"/>
        <w:rPr>
          <w:rFonts w:eastAsiaTheme="minorEastAsia"/>
          <w:noProof/>
          <w:lang w:eastAsia="hr-HR"/>
        </w:rPr>
      </w:pPr>
      <w:hyperlink w:anchor="_Toc125364405" w:history="1">
        <w:r w:rsidR="00BB2706" w:rsidRPr="0013783F">
          <w:rPr>
            <w:rStyle w:val="Hiperveza"/>
            <w:noProof/>
          </w:rPr>
          <w:t xml:space="preserve">Tablica 16. </w:t>
        </w:r>
        <w:r w:rsidR="00BB2706" w:rsidRPr="0013783F">
          <w:rPr>
            <w:rStyle w:val="Hiperveza"/>
            <w:bCs/>
            <w:noProof/>
          </w:rPr>
          <w:t>Popis kompostana s pripadajućim raspoloživim kapacitetima u 2021. godini</w:t>
        </w:r>
        <w:r w:rsidR="00BB2706">
          <w:rPr>
            <w:noProof/>
            <w:webHidden/>
          </w:rPr>
          <w:tab/>
        </w:r>
        <w:r w:rsidR="00BB2706">
          <w:rPr>
            <w:noProof/>
            <w:webHidden/>
          </w:rPr>
          <w:fldChar w:fldCharType="begin"/>
        </w:r>
        <w:r w:rsidR="00BB2706">
          <w:rPr>
            <w:noProof/>
            <w:webHidden/>
          </w:rPr>
          <w:instrText xml:space="preserve"> PAGEREF _Toc125364405 \h </w:instrText>
        </w:r>
        <w:r w:rsidR="00BB2706">
          <w:rPr>
            <w:noProof/>
            <w:webHidden/>
          </w:rPr>
        </w:r>
        <w:r w:rsidR="00BB2706">
          <w:rPr>
            <w:noProof/>
            <w:webHidden/>
          </w:rPr>
          <w:fldChar w:fldCharType="separate"/>
        </w:r>
        <w:r w:rsidR="00F37B62">
          <w:rPr>
            <w:noProof/>
            <w:webHidden/>
          </w:rPr>
          <w:t>67</w:t>
        </w:r>
        <w:r w:rsidR="00BB2706">
          <w:rPr>
            <w:noProof/>
            <w:webHidden/>
          </w:rPr>
          <w:fldChar w:fldCharType="end"/>
        </w:r>
      </w:hyperlink>
    </w:p>
    <w:p w14:paraId="1FE80E26" w14:textId="5A07E102" w:rsidR="00BB2706" w:rsidRDefault="00000000">
      <w:pPr>
        <w:pStyle w:val="Sadraj2"/>
        <w:rPr>
          <w:rFonts w:eastAsiaTheme="minorEastAsia"/>
          <w:noProof/>
          <w:lang w:eastAsia="hr-HR"/>
        </w:rPr>
      </w:pPr>
      <w:hyperlink w:anchor="_Toc125364406" w:history="1">
        <w:r w:rsidR="00BB2706" w:rsidRPr="0013783F">
          <w:rPr>
            <w:rStyle w:val="Hiperveza"/>
            <w:noProof/>
          </w:rPr>
          <w:t xml:space="preserve">Tablica 17. </w:t>
        </w:r>
        <w:r w:rsidR="00BB2706" w:rsidRPr="0013783F">
          <w:rPr>
            <w:rStyle w:val="Hiperveza"/>
            <w:bCs/>
            <w:noProof/>
          </w:rPr>
          <w:t>Projekti izgradnje novih kompostana koji su u provedbi</w:t>
        </w:r>
        <w:r w:rsidR="00BB2706">
          <w:rPr>
            <w:noProof/>
            <w:webHidden/>
          </w:rPr>
          <w:tab/>
        </w:r>
        <w:r w:rsidR="00BB2706">
          <w:rPr>
            <w:noProof/>
            <w:webHidden/>
          </w:rPr>
          <w:fldChar w:fldCharType="begin"/>
        </w:r>
        <w:r w:rsidR="00BB2706">
          <w:rPr>
            <w:noProof/>
            <w:webHidden/>
          </w:rPr>
          <w:instrText xml:space="preserve"> PAGEREF _Toc125364406 \h </w:instrText>
        </w:r>
        <w:r w:rsidR="00BB2706">
          <w:rPr>
            <w:noProof/>
            <w:webHidden/>
          </w:rPr>
        </w:r>
        <w:r w:rsidR="00BB2706">
          <w:rPr>
            <w:noProof/>
            <w:webHidden/>
          </w:rPr>
          <w:fldChar w:fldCharType="separate"/>
        </w:r>
        <w:r w:rsidR="00F37B62">
          <w:rPr>
            <w:noProof/>
            <w:webHidden/>
          </w:rPr>
          <w:t>67</w:t>
        </w:r>
        <w:r w:rsidR="00BB2706">
          <w:rPr>
            <w:noProof/>
            <w:webHidden/>
          </w:rPr>
          <w:fldChar w:fldCharType="end"/>
        </w:r>
      </w:hyperlink>
    </w:p>
    <w:p w14:paraId="247399BE" w14:textId="45D3C114" w:rsidR="00BB2706" w:rsidRDefault="00000000">
      <w:pPr>
        <w:pStyle w:val="Sadraj2"/>
        <w:rPr>
          <w:rFonts w:eastAsiaTheme="minorEastAsia"/>
          <w:noProof/>
          <w:lang w:eastAsia="hr-HR"/>
        </w:rPr>
      </w:pPr>
      <w:hyperlink w:anchor="_Toc125364407" w:history="1">
        <w:r w:rsidR="00BB2706" w:rsidRPr="0013783F">
          <w:rPr>
            <w:rStyle w:val="Hiperveza"/>
            <w:noProof/>
          </w:rPr>
          <w:t xml:space="preserve">Tablica 18. </w:t>
        </w:r>
        <w:r w:rsidR="00BB2706" w:rsidRPr="0013783F">
          <w:rPr>
            <w:rStyle w:val="Hiperveza"/>
            <w:bCs/>
            <w:noProof/>
          </w:rPr>
          <w:t>Status realizacije planiranih centara za gospodarenje otpadom, listopad 2022. godine</w:t>
        </w:r>
        <w:r w:rsidR="00BB2706">
          <w:rPr>
            <w:noProof/>
            <w:webHidden/>
          </w:rPr>
          <w:tab/>
        </w:r>
        <w:r w:rsidR="00BB2706">
          <w:rPr>
            <w:noProof/>
            <w:webHidden/>
          </w:rPr>
          <w:fldChar w:fldCharType="begin"/>
        </w:r>
        <w:r w:rsidR="00BB2706">
          <w:rPr>
            <w:noProof/>
            <w:webHidden/>
          </w:rPr>
          <w:instrText xml:space="preserve"> PAGEREF _Toc125364407 \h </w:instrText>
        </w:r>
        <w:r w:rsidR="00BB2706">
          <w:rPr>
            <w:noProof/>
            <w:webHidden/>
          </w:rPr>
        </w:r>
        <w:r w:rsidR="00BB2706">
          <w:rPr>
            <w:noProof/>
            <w:webHidden/>
          </w:rPr>
          <w:fldChar w:fldCharType="separate"/>
        </w:r>
        <w:r w:rsidR="00F37B62">
          <w:rPr>
            <w:noProof/>
            <w:webHidden/>
          </w:rPr>
          <w:t>75</w:t>
        </w:r>
        <w:r w:rsidR="00BB2706">
          <w:rPr>
            <w:noProof/>
            <w:webHidden/>
          </w:rPr>
          <w:fldChar w:fldCharType="end"/>
        </w:r>
      </w:hyperlink>
    </w:p>
    <w:p w14:paraId="01DDC643" w14:textId="6F0ADB09" w:rsidR="00BB2706" w:rsidRDefault="00000000">
      <w:pPr>
        <w:pStyle w:val="Sadraj2"/>
        <w:rPr>
          <w:rFonts w:eastAsiaTheme="minorEastAsia"/>
          <w:noProof/>
          <w:lang w:eastAsia="hr-HR"/>
        </w:rPr>
      </w:pPr>
      <w:hyperlink w:anchor="_Toc125364408" w:history="1">
        <w:r w:rsidR="00BB2706" w:rsidRPr="0013783F">
          <w:rPr>
            <w:rStyle w:val="Hiperveza"/>
            <w:noProof/>
          </w:rPr>
          <w:t>Tablica 19. Popis CGO s pripadajućim JLS</w:t>
        </w:r>
        <w:r w:rsidR="00BB2706">
          <w:rPr>
            <w:noProof/>
            <w:webHidden/>
          </w:rPr>
          <w:tab/>
        </w:r>
        <w:r w:rsidR="00BB2706">
          <w:rPr>
            <w:noProof/>
            <w:webHidden/>
          </w:rPr>
          <w:fldChar w:fldCharType="begin"/>
        </w:r>
        <w:r w:rsidR="00BB2706">
          <w:rPr>
            <w:noProof/>
            <w:webHidden/>
          </w:rPr>
          <w:instrText xml:space="preserve"> PAGEREF _Toc125364408 \h </w:instrText>
        </w:r>
        <w:r w:rsidR="00BB2706">
          <w:rPr>
            <w:noProof/>
            <w:webHidden/>
          </w:rPr>
        </w:r>
        <w:r w:rsidR="00BB2706">
          <w:rPr>
            <w:noProof/>
            <w:webHidden/>
          </w:rPr>
          <w:fldChar w:fldCharType="separate"/>
        </w:r>
        <w:r w:rsidR="00F37B62">
          <w:rPr>
            <w:noProof/>
            <w:webHidden/>
          </w:rPr>
          <w:t>75</w:t>
        </w:r>
        <w:r w:rsidR="00BB2706">
          <w:rPr>
            <w:noProof/>
            <w:webHidden/>
          </w:rPr>
          <w:fldChar w:fldCharType="end"/>
        </w:r>
      </w:hyperlink>
    </w:p>
    <w:p w14:paraId="340BA4F6" w14:textId="2425B0BB" w:rsidR="00BB2706" w:rsidRDefault="00000000">
      <w:pPr>
        <w:pStyle w:val="Sadraj2"/>
        <w:rPr>
          <w:rFonts w:eastAsiaTheme="minorEastAsia"/>
          <w:noProof/>
          <w:lang w:eastAsia="hr-HR"/>
        </w:rPr>
      </w:pPr>
      <w:hyperlink w:anchor="_Toc125364409" w:history="1">
        <w:r w:rsidR="00BB2706" w:rsidRPr="0013783F">
          <w:rPr>
            <w:rStyle w:val="Hiperveza"/>
            <w:noProof/>
          </w:rPr>
          <w:t xml:space="preserve">Tablica 20. </w:t>
        </w:r>
        <w:r w:rsidR="00BB2706" w:rsidRPr="0013783F">
          <w:rPr>
            <w:rStyle w:val="Hiperveza"/>
            <w:bCs/>
            <w:noProof/>
          </w:rPr>
          <w:t>Pregled i status realizacije planiranih pretovarnih stanica  (status kolovoz, 2022.)</w:t>
        </w:r>
        <w:r w:rsidR="00BB2706">
          <w:rPr>
            <w:noProof/>
            <w:webHidden/>
          </w:rPr>
          <w:tab/>
        </w:r>
        <w:r w:rsidR="00BB2706">
          <w:rPr>
            <w:noProof/>
            <w:webHidden/>
          </w:rPr>
          <w:fldChar w:fldCharType="begin"/>
        </w:r>
        <w:r w:rsidR="00BB2706">
          <w:rPr>
            <w:noProof/>
            <w:webHidden/>
          </w:rPr>
          <w:instrText xml:space="preserve"> PAGEREF _Toc125364409 \h </w:instrText>
        </w:r>
        <w:r w:rsidR="00BB2706">
          <w:rPr>
            <w:noProof/>
            <w:webHidden/>
          </w:rPr>
        </w:r>
        <w:r w:rsidR="00BB2706">
          <w:rPr>
            <w:noProof/>
            <w:webHidden/>
          </w:rPr>
          <w:fldChar w:fldCharType="separate"/>
        </w:r>
        <w:r w:rsidR="00F37B62">
          <w:rPr>
            <w:noProof/>
            <w:webHidden/>
          </w:rPr>
          <w:t>78</w:t>
        </w:r>
        <w:r w:rsidR="00BB2706">
          <w:rPr>
            <w:noProof/>
            <w:webHidden/>
          </w:rPr>
          <w:fldChar w:fldCharType="end"/>
        </w:r>
      </w:hyperlink>
    </w:p>
    <w:p w14:paraId="3DC43E6F" w14:textId="0A1E44B9" w:rsidR="00BB2706" w:rsidRDefault="00000000">
      <w:pPr>
        <w:pStyle w:val="Sadraj2"/>
        <w:rPr>
          <w:rFonts w:eastAsiaTheme="minorEastAsia"/>
          <w:noProof/>
          <w:lang w:eastAsia="hr-HR"/>
        </w:rPr>
      </w:pPr>
      <w:hyperlink w:anchor="_Toc125364410" w:history="1">
        <w:r w:rsidR="00BB2706" w:rsidRPr="0013783F">
          <w:rPr>
            <w:rStyle w:val="Hiperveza"/>
            <w:noProof/>
          </w:rPr>
          <w:t xml:space="preserve">Tablica 21. </w:t>
        </w:r>
        <w:r w:rsidR="00BB2706" w:rsidRPr="0013783F">
          <w:rPr>
            <w:rStyle w:val="Hiperveza"/>
            <w:bCs/>
            <w:noProof/>
          </w:rPr>
          <w:t>Pregled statusa i kapaciteta aktivnih odlagališta po županijama u 2021.</w:t>
        </w:r>
        <w:r w:rsidR="00BB2706">
          <w:rPr>
            <w:noProof/>
            <w:webHidden/>
          </w:rPr>
          <w:tab/>
        </w:r>
        <w:r w:rsidR="00BB2706">
          <w:rPr>
            <w:noProof/>
            <w:webHidden/>
          </w:rPr>
          <w:fldChar w:fldCharType="begin"/>
        </w:r>
        <w:r w:rsidR="00BB2706">
          <w:rPr>
            <w:noProof/>
            <w:webHidden/>
          </w:rPr>
          <w:instrText xml:space="preserve"> PAGEREF _Toc125364410 \h </w:instrText>
        </w:r>
        <w:r w:rsidR="00BB2706">
          <w:rPr>
            <w:noProof/>
            <w:webHidden/>
          </w:rPr>
        </w:r>
        <w:r w:rsidR="00BB2706">
          <w:rPr>
            <w:noProof/>
            <w:webHidden/>
          </w:rPr>
          <w:fldChar w:fldCharType="separate"/>
        </w:r>
        <w:r w:rsidR="00F37B62">
          <w:rPr>
            <w:noProof/>
            <w:webHidden/>
          </w:rPr>
          <w:t>80</w:t>
        </w:r>
        <w:r w:rsidR="00BB2706">
          <w:rPr>
            <w:noProof/>
            <w:webHidden/>
          </w:rPr>
          <w:fldChar w:fldCharType="end"/>
        </w:r>
      </w:hyperlink>
    </w:p>
    <w:p w14:paraId="2C9BFEFB" w14:textId="0070B8C2" w:rsidR="00BB2706" w:rsidRDefault="00000000">
      <w:pPr>
        <w:pStyle w:val="Sadraj2"/>
        <w:rPr>
          <w:rFonts w:eastAsiaTheme="minorEastAsia"/>
          <w:noProof/>
          <w:lang w:eastAsia="hr-HR"/>
        </w:rPr>
      </w:pPr>
      <w:hyperlink w:anchor="_Toc125364411" w:history="1">
        <w:r w:rsidR="00BB2706" w:rsidRPr="0013783F">
          <w:rPr>
            <w:rStyle w:val="Hiperveza"/>
            <w:noProof/>
          </w:rPr>
          <w:t xml:space="preserve">Tablica 22. </w:t>
        </w:r>
        <w:r w:rsidR="00BB2706" w:rsidRPr="0013783F">
          <w:rPr>
            <w:rStyle w:val="Hiperveza"/>
            <w:bCs/>
            <w:noProof/>
          </w:rPr>
          <w:t>Broj tvrtki koje posjeduju potvrdu o upisu u Registar djelatnosti gospodarenja otpadom (očevidnike i evidencije), kolovoz 2022.</w:t>
        </w:r>
        <w:r w:rsidR="00BB2706">
          <w:rPr>
            <w:noProof/>
            <w:webHidden/>
          </w:rPr>
          <w:tab/>
        </w:r>
        <w:r w:rsidR="00BB2706">
          <w:rPr>
            <w:noProof/>
            <w:webHidden/>
          </w:rPr>
          <w:fldChar w:fldCharType="begin"/>
        </w:r>
        <w:r w:rsidR="00BB2706">
          <w:rPr>
            <w:noProof/>
            <w:webHidden/>
          </w:rPr>
          <w:instrText xml:space="preserve"> PAGEREF _Toc125364411 \h </w:instrText>
        </w:r>
        <w:r w:rsidR="00BB2706">
          <w:rPr>
            <w:noProof/>
            <w:webHidden/>
          </w:rPr>
        </w:r>
        <w:r w:rsidR="00BB2706">
          <w:rPr>
            <w:noProof/>
            <w:webHidden/>
          </w:rPr>
          <w:fldChar w:fldCharType="separate"/>
        </w:r>
        <w:r w:rsidR="00F37B62">
          <w:rPr>
            <w:noProof/>
            <w:webHidden/>
          </w:rPr>
          <w:t>85</w:t>
        </w:r>
        <w:r w:rsidR="00BB2706">
          <w:rPr>
            <w:noProof/>
            <w:webHidden/>
          </w:rPr>
          <w:fldChar w:fldCharType="end"/>
        </w:r>
      </w:hyperlink>
    </w:p>
    <w:p w14:paraId="7791AC76" w14:textId="02CF6405" w:rsidR="00BB2706" w:rsidRDefault="00000000">
      <w:pPr>
        <w:pStyle w:val="Sadraj2"/>
        <w:rPr>
          <w:rFonts w:eastAsiaTheme="minorEastAsia"/>
          <w:noProof/>
          <w:lang w:eastAsia="hr-HR"/>
        </w:rPr>
      </w:pPr>
      <w:hyperlink w:anchor="_Toc125364412" w:history="1">
        <w:r w:rsidR="00BB2706" w:rsidRPr="0013783F">
          <w:rPr>
            <w:rStyle w:val="Hiperveza"/>
            <w:noProof/>
          </w:rPr>
          <w:t xml:space="preserve">Tablica 23. </w:t>
        </w:r>
        <w:r w:rsidR="00BB2706" w:rsidRPr="0013783F">
          <w:rPr>
            <w:rStyle w:val="Hiperveza"/>
            <w:bCs/>
            <w:noProof/>
          </w:rPr>
          <w:t>Popis i status sanacije „crnih točaka“ u 2022. godini</w:t>
        </w:r>
        <w:r w:rsidR="00BB2706">
          <w:rPr>
            <w:noProof/>
            <w:webHidden/>
          </w:rPr>
          <w:tab/>
        </w:r>
        <w:r w:rsidR="00BB2706">
          <w:rPr>
            <w:noProof/>
            <w:webHidden/>
          </w:rPr>
          <w:fldChar w:fldCharType="begin"/>
        </w:r>
        <w:r w:rsidR="00BB2706">
          <w:rPr>
            <w:noProof/>
            <w:webHidden/>
          </w:rPr>
          <w:instrText xml:space="preserve"> PAGEREF _Toc125364412 \h </w:instrText>
        </w:r>
        <w:r w:rsidR="00BB2706">
          <w:rPr>
            <w:noProof/>
            <w:webHidden/>
          </w:rPr>
        </w:r>
        <w:r w:rsidR="00BB2706">
          <w:rPr>
            <w:noProof/>
            <w:webHidden/>
          </w:rPr>
          <w:fldChar w:fldCharType="separate"/>
        </w:r>
        <w:r w:rsidR="00F37B62">
          <w:rPr>
            <w:noProof/>
            <w:webHidden/>
          </w:rPr>
          <w:t>86</w:t>
        </w:r>
        <w:r w:rsidR="00BB2706">
          <w:rPr>
            <w:noProof/>
            <w:webHidden/>
          </w:rPr>
          <w:fldChar w:fldCharType="end"/>
        </w:r>
      </w:hyperlink>
    </w:p>
    <w:p w14:paraId="2A921D6F" w14:textId="5A9CA698" w:rsidR="00BB2706" w:rsidRDefault="00000000">
      <w:pPr>
        <w:pStyle w:val="Sadraj2"/>
        <w:rPr>
          <w:rFonts w:eastAsiaTheme="minorEastAsia"/>
          <w:noProof/>
          <w:lang w:eastAsia="hr-HR"/>
        </w:rPr>
      </w:pPr>
      <w:hyperlink w:anchor="_Toc125364413" w:history="1">
        <w:r w:rsidR="00BB2706" w:rsidRPr="0013783F">
          <w:rPr>
            <w:rStyle w:val="Hiperveza"/>
            <w:bCs/>
            <w:noProof/>
          </w:rPr>
          <w:t>Tablica 24.</w:t>
        </w:r>
        <w:r w:rsidR="00BB2706" w:rsidRPr="0013783F">
          <w:rPr>
            <w:rStyle w:val="Hiperveza"/>
            <w:noProof/>
          </w:rPr>
          <w:t xml:space="preserve"> Status realizacije ciljeva propisanih EU aktima</w:t>
        </w:r>
        <w:r w:rsidR="00BB2706">
          <w:rPr>
            <w:noProof/>
            <w:webHidden/>
          </w:rPr>
          <w:tab/>
        </w:r>
        <w:r w:rsidR="00BB2706">
          <w:rPr>
            <w:noProof/>
            <w:webHidden/>
          </w:rPr>
          <w:fldChar w:fldCharType="begin"/>
        </w:r>
        <w:r w:rsidR="00BB2706">
          <w:rPr>
            <w:noProof/>
            <w:webHidden/>
          </w:rPr>
          <w:instrText xml:space="preserve"> PAGEREF _Toc125364413 \h </w:instrText>
        </w:r>
        <w:r w:rsidR="00BB2706">
          <w:rPr>
            <w:noProof/>
            <w:webHidden/>
          </w:rPr>
        </w:r>
        <w:r w:rsidR="00BB2706">
          <w:rPr>
            <w:noProof/>
            <w:webHidden/>
          </w:rPr>
          <w:fldChar w:fldCharType="separate"/>
        </w:r>
        <w:r w:rsidR="00F37B62">
          <w:rPr>
            <w:noProof/>
            <w:webHidden/>
          </w:rPr>
          <w:t>90</w:t>
        </w:r>
        <w:r w:rsidR="00BB2706">
          <w:rPr>
            <w:noProof/>
            <w:webHidden/>
          </w:rPr>
          <w:fldChar w:fldCharType="end"/>
        </w:r>
      </w:hyperlink>
    </w:p>
    <w:p w14:paraId="427FFAD3" w14:textId="671C7C7D" w:rsidR="00BB2706" w:rsidRDefault="00000000">
      <w:pPr>
        <w:pStyle w:val="Sadraj2"/>
        <w:rPr>
          <w:rFonts w:eastAsiaTheme="minorEastAsia"/>
          <w:noProof/>
          <w:lang w:eastAsia="hr-HR"/>
        </w:rPr>
      </w:pPr>
      <w:hyperlink w:anchor="_Toc125364414" w:history="1">
        <w:r w:rsidR="00BB2706" w:rsidRPr="0013783F">
          <w:rPr>
            <w:rStyle w:val="Hiperveza"/>
            <w:noProof/>
          </w:rPr>
          <w:t xml:space="preserve">Tablica 25. </w:t>
        </w:r>
        <w:r w:rsidR="00BB2706" w:rsidRPr="0013783F">
          <w:rPr>
            <w:rStyle w:val="Hiperveza"/>
            <w:bCs/>
            <w:noProof/>
          </w:rPr>
          <w:t>Ciljevi Plana gospodarenja otpadom Republike Hrvatske za razdoblje 2023.-2028.</w:t>
        </w:r>
        <w:r w:rsidR="00BB2706">
          <w:rPr>
            <w:noProof/>
            <w:webHidden/>
          </w:rPr>
          <w:tab/>
        </w:r>
        <w:r w:rsidR="00BB2706">
          <w:rPr>
            <w:noProof/>
            <w:webHidden/>
          </w:rPr>
          <w:fldChar w:fldCharType="begin"/>
        </w:r>
        <w:r w:rsidR="00BB2706">
          <w:rPr>
            <w:noProof/>
            <w:webHidden/>
          </w:rPr>
          <w:instrText xml:space="preserve"> PAGEREF _Toc125364414 \h </w:instrText>
        </w:r>
        <w:r w:rsidR="00BB2706">
          <w:rPr>
            <w:noProof/>
            <w:webHidden/>
          </w:rPr>
        </w:r>
        <w:r w:rsidR="00BB2706">
          <w:rPr>
            <w:noProof/>
            <w:webHidden/>
          </w:rPr>
          <w:fldChar w:fldCharType="separate"/>
        </w:r>
        <w:r w:rsidR="00F37B62">
          <w:rPr>
            <w:noProof/>
            <w:webHidden/>
          </w:rPr>
          <w:t>92</w:t>
        </w:r>
        <w:r w:rsidR="00BB2706">
          <w:rPr>
            <w:noProof/>
            <w:webHidden/>
          </w:rPr>
          <w:fldChar w:fldCharType="end"/>
        </w:r>
      </w:hyperlink>
    </w:p>
    <w:p w14:paraId="42C63FC7" w14:textId="2A541ADC" w:rsidR="00BB2706" w:rsidRDefault="00000000">
      <w:pPr>
        <w:pStyle w:val="Sadraj2"/>
        <w:rPr>
          <w:rFonts w:eastAsiaTheme="minorEastAsia"/>
          <w:noProof/>
          <w:lang w:eastAsia="hr-HR"/>
        </w:rPr>
      </w:pPr>
      <w:hyperlink w:anchor="_Toc125364415" w:history="1">
        <w:r w:rsidR="00BB2706" w:rsidRPr="0013783F">
          <w:rPr>
            <w:rStyle w:val="Hiperveza"/>
            <w:noProof/>
          </w:rPr>
          <w:t xml:space="preserve">Tablica 26. </w:t>
        </w:r>
        <w:r w:rsidR="00BB2706" w:rsidRPr="0013783F">
          <w:rPr>
            <w:rStyle w:val="Hiperveza"/>
            <w:bCs/>
            <w:noProof/>
          </w:rPr>
          <w:t>Količine odvojeno sakupljenog KO i stopa promjene 2017. – 2021. godina</w:t>
        </w:r>
        <w:r w:rsidR="00BB2706">
          <w:rPr>
            <w:noProof/>
            <w:webHidden/>
          </w:rPr>
          <w:tab/>
        </w:r>
        <w:r w:rsidR="00BB2706">
          <w:rPr>
            <w:noProof/>
            <w:webHidden/>
          </w:rPr>
          <w:fldChar w:fldCharType="begin"/>
        </w:r>
        <w:r w:rsidR="00BB2706">
          <w:rPr>
            <w:noProof/>
            <w:webHidden/>
          </w:rPr>
          <w:instrText xml:space="preserve"> PAGEREF _Toc125364415 \h </w:instrText>
        </w:r>
        <w:r w:rsidR="00BB2706">
          <w:rPr>
            <w:noProof/>
            <w:webHidden/>
          </w:rPr>
        </w:r>
        <w:r w:rsidR="00BB2706">
          <w:rPr>
            <w:noProof/>
            <w:webHidden/>
          </w:rPr>
          <w:fldChar w:fldCharType="separate"/>
        </w:r>
        <w:r w:rsidR="00F37B62">
          <w:rPr>
            <w:noProof/>
            <w:webHidden/>
          </w:rPr>
          <w:t>101</w:t>
        </w:r>
        <w:r w:rsidR="00BB2706">
          <w:rPr>
            <w:noProof/>
            <w:webHidden/>
          </w:rPr>
          <w:fldChar w:fldCharType="end"/>
        </w:r>
      </w:hyperlink>
    </w:p>
    <w:p w14:paraId="4A8987F0" w14:textId="7C8EB55E" w:rsidR="00BB2706" w:rsidRDefault="00000000">
      <w:pPr>
        <w:pStyle w:val="Sadraj2"/>
        <w:rPr>
          <w:rFonts w:eastAsiaTheme="minorEastAsia"/>
          <w:noProof/>
          <w:lang w:eastAsia="hr-HR"/>
        </w:rPr>
      </w:pPr>
      <w:hyperlink w:anchor="_Toc125364416" w:history="1">
        <w:r w:rsidR="00BB2706" w:rsidRPr="0013783F">
          <w:rPr>
            <w:rStyle w:val="Hiperveza"/>
            <w:noProof/>
          </w:rPr>
          <w:t xml:space="preserve">Tablica 27. </w:t>
        </w:r>
        <w:r w:rsidR="00BB2706" w:rsidRPr="0013783F">
          <w:rPr>
            <w:rStyle w:val="Hiperveza"/>
            <w:bCs/>
            <w:noProof/>
          </w:rPr>
          <w:t>Projekcija količina KO koji se mora pripremiti za ponovnu uporabu ili reciklirati u periodu od 2022. – 2035. godine</w:t>
        </w:r>
        <w:r w:rsidR="00BB2706">
          <w:rPr>
            <w:noProof/>
            <w:webHidden/>
          </w:rPr>
          <w:tab/>
        </w:r>
        <w:r w:rsidR="00BB2706">
          <w:rPr>
            <w:noProof/>
            <w:webHidden/>
          </w:rPr>
          <w:fldChar w:fldCharType="begin"/>
        </w:r>
        <w:r w:rsidR="00BB2706">
          <w:rPr>
            <w:noProof/>
            <w:webHidden/>
          </w:rPr>
          <w:instrText xml:space="preserve"> PAGEREF _Toc125364416 \h </w:instrText>
        </w:r>
        <w:r w:rsidR="00BB2706">
          <w:rPr>
            <w:noProof/>
            <w:webHidden/>
          </w:rPr>
        </w:r>
        <w:r w:rsidR="00BB2706">
          <w:rPr>
            <w:noProof/>
            <w:webHidden/>
          </w:rPr>
          <w:fldChar w:fldCharType="separate"/>
        </w:r>
        <w:r w:rsidR="00F37B62">
          <w:rPr>
            <w:noProof/>
            <w:webHidden/>
          </w:rPr>
          <w:t>102</w:t>
        </w:r>
        <w:r w:rsidR="00BB2706">
          <w:rPr>
            <w:noProof/>
            <w:webHidden/>
          </w:rPr>
          <w:fldChar w:fldCharType="end"/>
        </w:r>
      </w:hyperlink>
    </w:p>
    <w:p w14:paraId="1930E971" w14:textId="2C44250C" w:rsidR="00BB2706" w:rsidRDefault="00000000">
      <w:pPr>
        <w:pStyle w:val="Sadraj2"/>
        <w:rPr>
          <w:rFonts w:eastAsiaTheme="minorEastAsia"/>
          <w:noProof/>
          <w:lang w:eastAsia="hr-HR"/>
        </w:rPr>
      </w:pPr>
      <w:hyperlink w:anchor="_Toc125364417" w:history="1">
        <w:r w:rsidR="00BB2706" w:rsidRPr="0013783F">
          <w:rPr>
            <w:rStyle w:val="Hiperveza"/>
            <w:noProof/>
          </w:rPr>
          <w:t xml:space="preserve">Tablica 28. </w:t>
        </w:r>
        <w:r w:rsidR="00BB2706" w:rsidRPr="0013783F">
          <w:rPr>
            <w:rStyle w:val="Hiperveza"/>
            <w:bCs/>
            <w:noProof/>
          </w:rPr>
          <w:t>Projekcija količina KO koji se mora odvojeno prikupiti u periodu od 2022. – 2028. godine i potrebna stopa promjene (uz pretpostavku 13% nečistoća)</w:t>
        </w:r>
        <w:r w:rsidR="00BB2706">
          <w:rPr>
            <w:noProof/>
            <w:webHidden/>
          </w:rPr>
          <w:tab/>
        </w:r>
        <w:r w:rsidR="00BB2706">
          <w:rPr>
            <w:noProof/>
            <w:webHidden/>
          </w:rPr>
          <w:fldChar w:fldCharType="begin"/>
        </w:r>
        <w:r w:rsidR="00BB2706">
          <w:rPr>
            <w:noProof/>
            <w:webHidden/>
          </w:rPr>
          <w:instrText xml:space="preserve"> PAGEREF _Toc125364417 \h </w:instrText>
        </w:r>
        <w:r w:rsidR="00BB2706">
          <w:rPr>
            <w:noProof/>
            <w:webHidden/>
          </w:rPr>
        </w:r>
        <w:r w:rsidR="00BB2706">
          <w:rPr>
            <w:noProof/>
            <w:webHidden/>
          </w:rPr>
          <w:fldChar w:fldCharType="separate"/>
        </w:r>
        <w:r w:rsidR="00F37B62">
          <w:rPr>
            <w:noProof/>
            <w:webHidden/>
          </w:rPr>
          <w:t>102</w:t>
        </w:r>
        <w:r w:rsidR="00BB2706">
          <w:rPr>
            <w:noProof/>
            <w:webHidden/>
          </w:rPr>
          <w:fldChar w:fldCharType="end"/>
        </w:r>
      </w:hyperlink>
    </w:p>
    <w:p w14:paraId="04785312" w14:textId="4516D125" w:rsidR="00BB2706" w:rsidRDefault="00000000">
      <w:pPr>
        <w:pStyle w:val="Sadraj2"/>
        <w:rPr>
          <w:rFonts w:eastAsiaTheme="minorEastAsia"/>
          <w:noProof/>
          <w:lang w:eastAsia="hr-HR"/>
        </w:rPr>
      </w:pPr>
      <w:hyperlink w:anchor="_Toc125364418" w:history="1">
        <w:r w:rsidR="00BB2706" w:rsidRPr="0013783F">
          <w:rPr>
            <w:rStyle w:val="Hiperveza"/>
            <w:noProof/>
          </w:rPr>
          <w:t>Tablica 29</w:t>
        </w:r>
        <w:r w:rsidR="00BB2706" w:rsidRPr="0013783F">
          <w:rPr>
            <w:rStyle w:val="Hiperveza"/>
            <w:bCs/>
            <w:noProof/>
          </w:rPr>
          <w:t>. Projekcija količina KO koji se mora odvojeno prikupiti u periodu od 2022. – 2035. godine i potrebna stopa promjene (uz pretpostavku 13% nečistoća) i pretpostavku ispunjenja krajnjeg cilja 2035. godine od 65%</w:t>
        </w:r>
        <w:r w:rsidR="00BB2706">
          <w:rPr>
            <w:noProof/>
            <w:webHidden/>
          </w:rPr>
          <w:tab/>
        </w:r>
        <w:r w:rsidR="00BB2706">
          <w:rPr>
            <w:noProof/>
            <w:webHidden/>
          </w:rPr>
          <w:fldChar w:fldCharType="begin"/>
        </w:r>
        <w:r w:rsidR="00BB2706">
          <w:rPr>
            <w:noProof/>
            <w:webHidden/>
          </w:rPr>
          <w:instrText xml:space="preserve"> PAGEREF _Toc125364418 \h </w:instrText>
        </w:r>
        <w:r w:rsidR="00BB2706">
          <w:rPr>
            <w:noProof/>
            <w:webHidden/>
          </w:rPr>
        </w:r>
        <w:r w:rsidR="00BB2706">
          <w:rPr>
            <w:noProof/>
            <w:webHidden/>
          </w:rPr>
          <w:fldChar w:fldCharType="separate"/>
        </w:r>
        <w:r w:rsidR="00F37B62">
          <w:rPr>
            <w:noProof/>
            <w:webHidden/>
          </w:rPr>
          <w:t>104</w:t>
        </w:r>
        <w:r w:rsidR="00BB2706">
          <w:rPr>
            <w:noProof/>
            <w:webHidden/>
          </w:rPr>
          <w:fldChar w:fldCharType="end"/>
        </w:r>
      </w:hyperlink>
    </w:p>
    <w:p w14:paraId="171783CD" w14:textId="2F3B2584" w:rsidR="00BB2706" w:rsidRDefault="00000000">
      <w:pPr>
        <w:pStyle w:val="Sadraj2"/>
        <w:rPr>
          <w:rFonts w:eastAsiaTheme="minorEastAsia"/>
          <w:noProof/>
          <w:lang w:eastAsia="hr-HR"/>
        </w:rPr>
      </w:pPr>
      <w:hyperlink w:anchor="_Toc125364419" w:history="1">
        <w:r w:rsidR="00BB2706" w:rsidRPr="0013783F">
          <w:rPr>
            <w:rStyle w:val="Hiperveza"/>
            <w:noProof/>
          </w:rPr>
          <w:t xml:space="preserve">Tablica 30. </w:t>
        </w:r>
        <w:r w:rsidR="00BB2706" w:rsidRPr="0013783F">
          <w:rPr>
            <w:rStyle w:val="Hiperveza"/>
            <w:bCs/>
            <w:noProof/>
          </w:rPr>
          <w:t>Popis i nazivni kapaciteti centara za gospodarenje otpadom</w:t>
        </w:r>
        <w:r w:rsidR="00BB2706">
          <w:rPr>
            <w:noProof/>
            <w:webHidden/>
          </w:rPr>
          <w:tab/>
        </w:r>
        <w:r w:rsidR="00BB2706">
          <w:rPr>
            <w:noProof/>
            <w:webHidden/>
          </w:rPr>
          <w:fldChar w:fldCharType="begin"/>
        </w:r>
        <w:r w:rsidR="00BB2706">
          <w:rPr>
            <w:noProof/>
            <w:webHidden/>
          </w:rPr>
          <w:instrText xml:space="preserve"> PAGEREF _Toc125364419 \h </w:instrText>
        </w:r>
        <w:r w:rsidR="00BB2706">
          <w:rPr>
            <w:noProof/>
            <w:webHidden/>
          </w:rPr>
        </w:r>
        <w:r w:rsidR="00BB2706">
          <w:rPr>
            <w:noProof/>
            <w:webHidden/>
          </w:rPr>
          <w:fldChar w:fldCharType="separate"/>
        </w:r>
        <w:r w:rsidR="00F37B62">
          <w:rPr>
            <w:noProof/>
            <w:webHidden/>
          </w:rPr>
          <w:t>107</w:t>
        </w:r>
        <w:r w:rsidR="00BB2706">
          <w:rPr>
            <w:noProof/>
            <w:webHidden/>
          </w:rPr>
          <w:fldChar w:fldCharType="end"/>
        </w:r>
      </w:hyperlink>
    </w:p>
    <w:p w14:paraId="7C281407" w14:textId="24B05555" w:rsidR="00BB2706" w:rsidRDefault="00000000">
      <w:pPr>
        <w:pStyle w:val="Sadraj2"/>
        <w:rPr>
          <w:rFonts w:eastAsiaTheme="minorEastAsia"/>
          <w:noProof/>
          <w:lang w:eastAsia="hr-HR"/>
        </w:rPr>
      </w:pPr>
      <w:hyperlink w:anchor="_Toc125364420" w:history="1">
        <w:r w:rsidR="00BB2706" w:rsidRPr="0013783F">
          <w:rPr>
            <w:rStyle w:val="Hiperveza"/>
            <w:noProof/>
          </w:rPr>
          <w:t xml:space="preserve">Tablica 31. </w:t>
        </w:r>
        <w:r w:rsidR="00BB2706" w:rsidRPr="0013783F">
          <w:rPr>
            <w:rStyle w:val="Hiperveza"/>
            <w:bCs/>
            <w:noProof/>
          </w:rPr>
          <w:t>Zakonska regulativa kojom su propisani minimalni zahtjevi za projektiranje, izgradnju, vođenje objekata te praćenje emisija</w:t>
        </w:r>
        <w:r w:rsidR="00BB2706">
          <w:rPr>
            <w:noProof/>
            <w:webHidden/>
          </w:rPr>
          <w:tab/>
        </w:r>
        <w:r w:rsidR="00BB2706">
          <w:rPr>
            <w:noProof/>
            <w:webHidden/>
          </w:rPr>
          <w:fldChar w:fldCharType="begin"/>
        </w:r>
        <w:r w:rsidR="00BB2706">
          <w:rPr>
            <w:noProof/>
            <w:webHidden/>
          </w:rPr>
          <w:instrText xml:space="preserve"> PAGEREF _Toc125364420 \h </w:instrText>
        </w:r>
        <w:r w:rsidR="00BB2706">
          <w:rPr>
            <w:noProof/>
            <w:webHidden/>
          </w:rPr>
        </w:r>
        <w:r w:rsidR="00BB2706">
          <w:rPr>
            <w:noProof/>
            <w:webHidden/>
          </w:rPr>
          <w:fldChar w:fldCharType="separate"/>
        </w:r>
        <w:r w:rsidR="00F37B62">
          <w:rPr>
            <w:noProof/>
            <w:webHidden/>
          </w:rPr>
          <w:t>115</w:t>
        </w:r>
        <w:r w:rsidR="00BB2706">
          <w:rPr>
            <w:noProof/>
            <w:webHidden/>
          </w:rPr>
          <w:fldChar w:fldCharType="end"/>
        </w:r>
      </w:hyperlink>
    </w:p>
    <w:p w14:paraId="28955877" w14:textId="22E0F996" w:rsidR="00BB2706" w:rsidRDefault="00000000">
      <w:pPr>
        <w:pStyle w:val="Sadraj2"/>
        <w:rPr>
          <w:rFonts w:eastAsiaTheme="minorEastAsia"/>
          <w:noProof/>
          <w:lang w:eastAsia="hr-HR"/>
        </w:rPr>
      </w:pPr>
      <w:hyperlink w:anchor="_Toc125364421" w:history="1">
        <w:r w:rsidR="00BB2706" w:rsidRPr="0013783F">
          <w:rPr>
            <w:rStyle w:val="Hiperveza"/>
            <w:noProof/>
          </w:rPr>
          <w:t xml:space="preserve">Tablica 32. </w:t>
        </w:r>
        <w:r w:rsidR="00BB2706" w:rsidRPr="0013783F">
          <w:rPr>
            <w:rStyle w:val="Hiperveza"/>
            <w:bCs/>
            <w:noProof/>
          </w:rPr>
          <w:t>Ukupni potrebni kapaciteti sortirnica u 2028. godini – SCENARIJ 1</w:t>
        </w:r>
        <w:r w:rsidR="00BB2706">
          <w:rPr>
            <w:noProof/>
            <w:webHidden/>
          </w:rPr>
          <w:tab/>
        </w:r>
        <w:r w:rsidR="00BB2706">
          <w:rPr>
            <w:noProof/>
            <w:webHidden/>
          </w:rPr>
          <w:fldChar w:fldCharType="begin"/>
        </w:r>
        <w:r w:rsidR="00BB2706">
          <w:rPr>
            <w:noProof/>
            <w:webHidden/>
          </w:rPr>
          <w:instrText xml:space="preserve"> PAGEREF _Toc125364421 \h </w:instrText>
        </w:r>
        <w:r w:rsidR="00BB2706">
          <w:rPr>
            <w:noProof/>
            <w:webHidden/>
          </w:rPr>
        </w:r>
        <w:r w:rsidR="00BB2706">
          <w:rPr>
            <w:noProof/>
            <w:webHidden/>
          </w:rPr>
          <w:fldChar w:fldCharType="separate"/>
        </w:r>
        <w:r w:rsidR="00F37B62">
          <w:rPr>
            <w:noProof/>
            <w:webHidden/>
          </w:rPr>
          <w:t>116</w:t>
        </w:r>
        <w:r w:rsidR="00BB2706">
          <w:rPr>
            <w:noProof/>
            <w:webHidden/>
          </w:rPr>
          <w:fldChar w:fldCharType="end"/>
        </w:r>
      </w:hyperlink>
    </w:p>
    <w:p w14:paraId="046F93E4" w14:textId="7264A726" w:rsidR="00BB2706" w:rsidRDefault="00000000">
      <w:pPr>
        <w:pStyle w:val="Sadraj2"/>
        <w:rPr>
          <w:rFonts w:eastAsiaTheme="minorEastAsia"/>
          <w:noProof/>
          <w:lang w:eastAsia="hr-HR"/>
        </w:rPr>
      </w:pPr>
      <w:hyperlink w:anchor="_Toc125364422" w:history="1">
        <w:r w:rsidR="00BB2706" w:rsidRPr="0013783F">
          <w:rPr>
            <w:rStyle w:val="Hiperveza"/>
            <w:noProof/>
          </w:rPr>
          <w:t xml:space="preserve">Tablica 33. </w:t>
        </w:r>
        <w:r w:rsidR="00BB2706" w:rsidRPr="0013783F">
          <w:rPr>
            <w:rStyle w:val="Hiperveza"/>
            <w:bCs/>
            <w:noProof/>
          </w:rPr>
          <w:t>Ukupni potrebni kapaciteti sortirnica u 2028. godini – SCENARIJ 2</w:t>
        </w:r>
        <w:r w:rsidR="00BB2706">
          <w:rPr>
            <w:noProof/>
            <w:webHidden/>
          </w:rPr>
          <w:tab/>
        </w:r>
        <w:r w:rsidR="00BB2706">
          <w:rPr>
            <w:noProof/>
            <w:webHidden/>
          </w:rPr>
          <w:fldChar w:fldCharType="begin"/>
        </w:r>
        <w:r w:rsidR="00BB2706">
          <w:rPr>
            <w:noProof/>
            <w:webHidden/>
          </w:rPr>
          <w:instrText xml:space="preserve"> PAGEREF _Toc125364422 \h </w:instrText>
        </w:r>
        <w:r w:rsidR="00BB2706">
          <w:rPr>
            <w:noProof/>
            <w:webHidden/>
          </w:rPr>
        </w:r>
        <w:r w:rsidR="00BB2706">
          <w:rPr>
            <w:noProof/>
            <w:webHidden/>
          </w:rPr>
          <w:fldChar w:fldCharType="separate"/>
        </w:r>
        <w:r w:rsidR="00F37B62">
          <w:rPr>
            <w:noProof/>
            <w:webHidden/>
          </w:rPr>
          <w:t>117</w:t>
        </w:r>
        <w:r w:rsidR="00BB2706">
          <w:rPr>
            <w:noProof/>
            <w:webHidden/>
          </w:rPr>
          <w:fldChar w:fldCharType="end"/>
        </w:r>
      </w:hyperlink>
    </w:p>
    <w:p w14:paraId="47895051" w14:textId="6FB89181" w:rsidR="00BB2706" w:rsidRDefault="00000000">
      <w:pPr>
        <w:pStyle w:val="Sadraj2"/>
        <w:rPr>
          <w:rFonts w:eastAsiaTheme="minorEastAsia"/>
          <w:noProof/>
          <w:lang w:eastAsia="hr-HR"/>
        </w:rPr>
      </w:pPr>
      <w:hyperlink w:anchor="_Toc125364423" w:history="1">
        <w:r w:rsidR="00BB2706" w:rsidRPr="0013783F">
          <w:rPr>
            <w:rStyle w:val="Hiperveza"/>
            <w:noProof/>
          </w:rPr>
          <w:t>Tablica 34. Ukupni potrebni kapaciteti kompostana i bioplinskih postrojenja u 2028. godini – SCENARIJ 1</w:t>
        </w:r>
        <w:r w:rsidR="00BB2706">
          <w:rPr>
            <w:noProof/>
            <w:webHidden/>
          </w:rPr>
          <w:tab/>
        </w:r>
        <w:r w:rsidR="00BB2706">
          <w:rPr>
            <w:noProof/>
            <w:webHidden/>
          </w:rPr>
          <w:fldChar w:fldCharType="begin"/>
        </w:r>
        <w:r w:rsidR="00BB2706">
          <w:rPr>
            <w:noProof/>
            <w:webHidden/>
          </w:rPr>
          <w:instrText xml:space="preserve"> PAGEREF _Toc125364423 \h </w:instrText>
        </w:r>
        <w:r w:rsidR="00BB2706">
          <w:rPr>
            <w:noProof/>
            <w:webHidden/>
          </w:rPr>
        </w:r>
        <w:r w:rsidR="00BB2706">
          <w:rPr>
            <w:noProof/>
            <w:webHidden/>
          </w:rPr>
          <w:fldChar w:fldCharType="separate"/>
        </w:r>
        <w:r w:rsidR="00F37B62">
          <w:rPr>
            <w:noProof/>
            <w:webHidden/>
          </w:rPr>
          <w:t>120</w:t>
        </w:r>
        <w:r w:rsidR="00BB2706">
          <w:rPr>
            <w:noProof/>
            <w:webHidden/>
          </w:rPr>
          <w:fldChar w:fldCharType="end"/>
        </w:r>
      </w:hyperlink>
    </w:p>
    <w:p w14:paraId="79DB1FFE" w14:textId="6A3850F5" w:rsidR="00BB2706" w:rsidRDefault="00000000">
      <w:pPr>
        <w:pStyle w:val="Sadraj2"/>
        <w:rPr>
          <w:rFonts w:eastAsiaTheme="minorEastAsia"/>
          <w:noProof/>
          <w:lang w:eastAsia="hr-HR"/>
        </w:rPr>
      </w:pPr>
      <w:hyperlink w:anchor="_Toc125364424" w:history="1">
        <w:r w:rsidR="00BB2706" w:rsidRPr="0013783F">
          <w:rPr>
            <w:rStyle w:val="Hiperveza"/>
            <w:noProof/>
          </w:rPr>
          <w:t>Tablica 35. Ukupni potrebni kapaciteti kompostana i bioplinskih postrojenja u 2028. godini – SCENARIJ 2</w:t>
        </w:r>
        <w:r w:rsidR="00BB2706">
          <w:rPr>
            <w:noProof/>
            <w:webHidden/>
          </w:rPr>
          <w:tab/>
        </w:r>
        <w:r w:rsidR="00BB2706">
          <w:rPr>
            <w:noProof/>
            <w:webHidden/>
          </w:rPr>
          <w:fldChar w:fldCharType="begin"/>
        </w:r>
        <w:r w:rsidR="00BB2706">
          <w:rPr>
            <w:noProof/>
            <w:webHidden/>
          </w:rPr>
          <w:instrText xml:space="preserve"> PAGEREF _Toc125364424 \h </w:instrText>
        </w:r>
        <w:r w:rsidR="00BB2706">
          <w:rPr>
            <w:noProof/>
            <w:webHidden/>
          </w:rPr>
        </w:r>
        <w:r w:rsidR="00BB2706">
          <w:rPr>
            <w:noProof/>
            <w:webHidden/>
          </w:rPr>
          <w:fldChar w:fldCharType="separate"/>
        </w:r>
        <w:r w:rsidR="00F37B62">
          <w:rPr>
            <w:noProof/>
            <w:webHidden/>
          </w:rPr>
          <w:t>122</w:t>
        </w:r>
        <w:r w:rsidR="00BB2706">
          <w:rPr>
            <w:noProof/>
            <w:webHidden/>
          </w:rPr>
          <w:fldChar w:fldCharType="end"/>
        </w:r>
      </w:hyperlink>
    </w:p>
    <w:p w14:paraId="66675B0B" w14:textId="0150EA95" w:rsidR="00BB2706" w:rsidRDefault="00000000">
      <w:pPr>
        <w:pStyle w:val="Sadraj2"/>
        <w:rPr>
          <w:rFonts w:eastAsiaTheme="minorEastAsia"/>
          <w:noProof/>
          <w:lang w:eastAsia="hr-HR"/>
        </w:rPr>
      </w:pPr>
      <w:hyperlink w:anchor="_Toc125364425" w:history="1">
        <w:r w:rsidR="00BB2706" w:rsidRPr="0013783F">
          <w:rPr>
            <w:rStyle w:val="Hiperveza"/>
            <w:noProof/>
          </w:rPr>
          <w:t xml:space="preserve">Tablica 36. </w:t>
        </w:r>
        <w:r w:rsidR="00BB2706" w:rsidRPr="0013783F">
          <w:rPr>
            <w:rStyle w:val="Hiperveza"/>
            <w:bCs/>
            <w:noProof/>
          </w:rPr>
          <w:t>Projekcija kretanja količine i sastava mKO koji je potrebno oporabiti i zbrinuti u ključnim godinama – SCENARIJ 1</w:t>
        </w:r>
        <w:r w:rsidR="00BB2706">
          <w:rPr>
            <w:noProof/>
            <w:webHidden/>
          </w:rPr>
          <w:tab/>
        </w:r>
        <w:r w:rsidR="00BB2706">
          <w:rPr>
            <w:noProof/>
            <w:webHidden/>
          </w:rPr>
          <w:fldChar w:fldCharType="begin"/>
        </w:r>
        <w:r w:rsidR="00BB2706">
          <w:rPr>
            <w:noProof/>
            <w:webHidden/>
          </w:rPr>
          <w:instrText xml:space="preserve"> PAGEREF _Toc125364425 \h </w:instrText>
        </w:r>
        <w:r w:rsidR="00BB2706">
          <w:rPr>
            <w:noProof/>
            <w:webHidden/>
          </w:rPr>
        </w:r>
        <w:r w:rsidR="00BB2706">
          <w:rPr>
            <w:noProof/>
            <w:webHidden/>
          </w:rPr>
          <w:fldChar w:fldCharType="separate"/>
        </w:r>
        <w:r w:rsidR="00F37B62">
          <w:rPr>
            <w:noProof/>
            <w:webHidden/>
          </w:rPr>
          <w:t>124</w:t>
        </w:r>
        <w:r w:rsidR="00BB2706">
          <w:rPr>
            <w:noProof/>
            <w:webHidden/>
          </w:rPr>
          <w:fldChar w:fldCharType="end"/>
        </w:r>
      </w:hyperlink>
    </w:p>
    <w:p w14:paraId="261C93EF" w14:textId="0750988B" w:rsidR="00BB2706" w:rsidRDefault="00000000">
      <w:pPr>
        <w:pStyle w:val="Sadraj2"/>
        <w:rPr>
          <w:rFonts w:eastAsiaTheme="minorEastAsia"/>
          <w:noProof/>
          <w:lang w:eastAsia="hr-HR"/>
        </w:rPr>
      </w:pPr>
      <w:hyperlink w:anchor="_Toc125364426" w:history="1">
        <w:r w:rsidR="00BB2706" w:rsidRPr="0013783F">
          <w:rPr>
            <w:rStyle w:val="Hiperveza"/>
            <w:noProof/>
          </w:rPr>
          <w:t xml:space="preserve">Tablica 37. </w:t>
        </w:r>
        <w:r w:rsidR="00BB2706" w:rsidRPr="0013783F">
          <w:rPr>
            <w:rStyle w:val="Hiperveza"/>
            <w:bCs/>
            <w:noProof/>
          </w:rPr>
          <w:t>Pretpostavljena efikasnost postrojenja za obradu mKO i očekivani izlazi iz CGO-a 2025.– SCENARIJ 1</w:t>
        </w:r>
        <w:r w:rsidR="00BB2706">
          <w:rPr>
            <w:noProof/>
            <w:webHidden/>
          </w:rPr>
          <w:tab/>
        </w:r>
        <w:r w:rsidR="00BB2706">
          <w:rPr>
            <w:noProof/>
            <w:webHidden/>
          </w:rPr>
          <w:fldChar w:fldCharType="begin"/>
        </w:r>
        <w:r w:rsidR="00BB2706">
          <w:rPr>
            <w:noProof/>
            <w:webHidden/>
          </w:rPr>
          <w:instrText xml:space="preserve"> PAGEREF _Toc125364426 \h </w:instrText>
        </w:r>
        <w:r w:rsidR="00BB2706">
          <w:rPr>
            <w:noProof/>
            <w:webHidden/>
          </w:rPr>
        </w:r>
        <w:r w:rsidR="00BB2706">
          <w:rPr>
            <w:noProof/>
            <w:webHidden/>
          </w:rPr>
          <w:fldChar w:fldCharType="separate"/>
        </w:r>
        <w:r w:rsidR="00F37B62">
          <w:rPr>
            <w:noProof/>
            <w:webHidden/>
          </w:rPr>
          <w:t>124</w:t>
        </w:r>
        <w:r w:rsidR="00BB2706">
          <w:rPr>
            <w:noProof/>
            <w:webHidden/>
          </w:rPr>
          <w:fldChar w:fldCharType="end"/>
        </w:r>
      </w:hyperlink>
    </w:p>
    <w:p w14:paraId="3163F09F" w14:textId="16D3F61A" w:rsidR="00BB2706" w:rsidRDefault="00000000">
      <w:pPr>
        <w:pStyle w:val="Sadraj2"/>
        <w:rPr>
          <w:rFonts w:eastAsiaTheme="minorEastAsia"/>
          <w:noProof/>
          <w:lang w:eastAsia="hr-HR"/>
        </w:rPr>
      </w:pPr>
      <w:hyperlink w:anchor="_Toc125364427" w:history="1">
        <w:r w:rsidR="00BB2706" w:rsidRPr="0013783F">
          <w:rPr>
            <w:rStyle w:val="Hiperveza"/>
            <w:noProof/>
          </w:rPr>
          <w:t xml:space="preserve">Tablica 38. </w:t>
        </w:r>
        <w:r w:rsidR="00BB2706" w:rsidRPr="0013783F">
          <w:rPr>
            <w:rStyle w:val="Hiperveza"/>
            <w:bCs/>
            <w:noProof/>
          </w:rPr>
          <w:t>Pretpostavljena efikasnost postrojenja za obradu mKO i očekivani izlazi iz CGO-a 2028.– SCENARIJ 1</w:t>
        </w:r>
        <w:r w:rsidR="00BB2706">
          <w:rPr>
            <w:noProof/>
            <w:webHidden/>
          </w:rPr>
          <w:tab/>
        </w:r>
        <w:r w:rsidR="00BB2706">
          <w:rPr>
            <w:noProof/>
            <w:webHidden/>
          </w:rPr>
          <w:fldChar w:fldCharType="begin"/>
        </w:r>
        <w:r w:rsidR="00BB2706">
          <w:rPr>
            <w:noProof/>
            <w:webHidden/>
          </w:rPr>
          <w:instrText xml:space="preserve"> PAGEREF _Toc125364427 \h </w:instrText>
        </w:r>
        <w:r w:rsidR="00BB2706">
          <w:rPr>
            <w:noProof/>
            <w:webHidden/>
          </w:rPr>
        </w:r>
        <w:r w:rsidR="00BB2706">
          <w:rPr>
            <w:noProof/>
            <w:webHidden/>
          </w:rPr>
          <w:fldChar w:fldCharType="separate"/>
        </w:r>
        <w:r w:rsidR="00F37B62">
          <w:rPr>
            <w:noProof/>
            <w:webHidden/>
          </w:rPr>
          <w:t>125</w:t>
        </w:r>
        <w:r w:rsidR="00BB2706">
          <w:rPr>
            <w:noProof/>
            <w:webHidden/>
          </w:rPr>
          <w:fldChar w:fldCharType="end"/>
        </w:r>
      </w:hyperlink>
    </w:p>
    <w:p w14:paraId="6212D176" w14:textId="5B8399E0" w:rsidR="00BB2706" w:rsidRDefault="00000000">
      <w:pPr>
        <w:pStyle w:val="Sadraj2"/>
        <w:rPr>
          <w:rFonts w:eastAsiaTheme="minorEastAsia"/>
          <w:noProof/>
          <w:lang w:eastAsia="hr-HR"/>
        </w:rPr>
      </w:pPr>
      <w:hyperlink w:anchor="_Toc125364428" w:history="1">
        <w:r w:rsidR="00BB2706" w:rsidRPr="0013783F">
          <w:rPr>
            <w:rStyle w:val="Hiperveza"/>
            <w:noProof/>
          </w:rPr>
          <w:t xml:space="preserve">Tablica 39. </w:t>
        </w:r>
        <w:r w:rsidR="00BB2706" w:rsidRPr="0013783F">
          <w:rPr>
            <w:rStyle w:val="Hiperveza"/>
            <w:bCs/>
            <w:noProof/>
          </w:rPr>
          <w:t>Pretpostavljena efikasnost postrojenja za obradu mKO i očekivani izlazi iz CGO-a 2030.– SCENARIJ 1</w:t>
        </w:r>
        <w:r w:rsidR="00BB2706">
          <w:rPr>
            <w:noProof/>
            <w:webHidden/>
          </w:rPr>
          <w:tab/>
        </w:r>
        <w:r w:rsidR="00BB2706">
          <w:rPr>
            <w:noProof/>
            <w:webHidden/>
          </w:rPr>
          <w:fldChar w:fldCharType="begin"/>
        </w:r>
        <w:r w:rsidR="00BB2706">
          <w:rPr>
            <w:noProof/>
            <w:webHidden/>
          </w:rPr>
          <w:instrText xml:space="preserve"> PAGEREF _Toc125364428 \h </w:instrText>
        </w:r>
        <w:r w:rsidR="00BB2706">
          <w:rPr>
            <w:noProof/>
            <w:webHidden/>
          </w:rPr>
        </w:r>
        <w:r w:rsidR="00BB2706">
          <w:rPr>
            <w:noProof/>
            <w:webHidden/>
          </w:rPr>
          <w:fldChar w:fldCharType="separate"/>
        </w:r>
        <w:r w:rsidR="00F37B62">
          <w:rPr>
            <w:noProof/>
            <w:webHidden/>
          </w:rPr>
          <w:t>125</w:t>
        </w:r>
        <w:r w:rsidR="00BB2706">
          <w:rPr>
            <w:noProof/>
            <w:webHidden/>
          </w:rPr>
          <w:fldChar w:fldCharType="end"/>
        </w:r>
      </w:hyperlink>
    </w:p>
    <w:p w14:paraId="06FA8392" w14:textId="0C85BCD5" w:rsidR="00BB2706" w:rsidRDefault="00000000">
      <w:pPr>
        <w:pStyle w:val="Sadraj2"/>
        <w:rPr>
          <w:rFonts w:eastAsiaTheme="minorEastAsia"/>
          <w:noProof/>
          <w:lang w:eastAsia="hr-HR"/>
        </w:rPr>
      </w:pPr>
      <w:hyperlink w:anchor="_Toc125364429" w:history="1">
        <w:r w:rsidR="00BB2706" w:rsidRPr="0013783F">
          <w:rPr>
            <w:rStyle w:val="Hiperveza"/>
            <w:noProof/>
          </w:rPr>
          <w:t xml:space="preserve">Tablica 40. </w:t>
        </w:r>
        <w:r w:rsidR="00BB2706" w:rsidRPr="0013783F">
          <w:rPr>
            <w:rStyle w:val="Hiperveza"/>
            <w:bCs/>
            <w:noProof/>
          </w:rPr>
          <w:t>Pretpostavljena efikasnost postrojenja za obradu mKO i očekivani izlazi iz CGO-a 2035.– SCENARIJ 1</w:t>
        </w:r>
        <w:r w:rsidR="00BB2706">
          <w:rPr>
            <w:noProof/>
            <w:webHidden/>
          </w:rPr>
          <w:tab/>
        </w:r>
        <w:r w:rsidR="00BB2706">
          <w:rPr>
            <w:noProof/>
            <w:webHidden/>
          </w:rPr>
          <w:fldChar w:fldCharType="begin"/>
        </w:r>
        <w:r w:rsidR="00BB2706">
          <w:rPr>
            <w:noProof/>
            <w:webHidden/>
          </w:rPr>
          <w:instrText xml:space="preserve"> PAGEREF _Toc125364429 \h </w:instrText>
        </w:r>
        <w:r w:rsidR="00BB2706">
          <w:rPr>
            <w:noProof/>
            <w:webHidden/>
          </w:rPr>
        </w:r>
        <w:r w:rsidR="00BB2706">
          <w:rPr>
            <w:noProof/>
            <w:webHidden/>
          </w:rPr>
          <w:fldChar w:fldCharType="separate"/>
        </w:r>
        <w:r w:rsidR="00F37B62">
          <w:rPr>
            <w:noProof/>
            <w:webHidden/>
          </w:rPr>
          <w:t>125</w:t>
        </w:r>
        <w:r w:rsidR="00BB2706">
          <w:rPr>
            <w:noProof/>
            <w:webHidden/>
          </w:rPr>
          <w:fldChar w:fldCharType="end"/>
        </w:r>
      </w:hyperlink>
    </w:p>
    <w:p w14:paraId="53963A80" w14:textId="6D53545C" w:rsidR="00BB2706" w:rsidRDefault="00000000">
      <w:pPr>
        <w:pStyle w:val="Sadraj2"/>
        <w:rPr>
          <w:rFonts w:eastAsiaTheme="minorEastAsia"/>
          <w:noProof/>
          <w:lang w:eastAsia="hr-HR"/>
        </w:rPr>
      </w:pPr>
      <w:hyperlink w:anchor="_Toc125364430" w:history="1">
        <w:r w:rsidR="00BB2706" w:rsidRPr="0013783F">
          <w:rPr>
            <w:rStyle w:val="Hiperveza"/>
            <w:noProof/>
          </w:rPr>
          <w:t xml:space="preserve">Tablica 41. </w:t>
        </w:r>
        <w:r w:rsidR="00BB2706" w:rsidRPr="0013783F">
          <w:rPr>
            <w:rStyle w:val="Hiperveza"/>
            <w:bCs/>
            <w:noProof/>
          </w:rPr>
          <w:t>Projekcija kretanja količine i sastava mKO koji je potrebno oporabiti i zbrinuti u ključnim godinama – SCENARIJ 2</w:t>
        </w:r>
        <w:r w:rsidR="00BB2706">
          <w:rPr>
            <w:noProof/>
            <w:webHidden/>
          </w:rPr>
          <w:tab/>
        </w:r>
        <w:r w:rsidR="00BB2706">
          <w:rPr>
            <w:noProof/>
            <w:webHidden/>
          </w:rPr>
          <w:fldChar w:fldCharType="begin"/>
        </w:r>
        <w:r w:rsidR="00BB2706">
          <w:rPr>
            <w:noProof/>
            <w:webHidden/>
          </w:rPr>
          <w:instrText xml:space="preserve"> PAGEREF _Toc125364430 \h </w:instrText>
        </w:r>
        <w:r w:rsidR="00BB2706">
          <w:rPr>
            <w:noProof/>
            <w:webHidden/>
          </w:rPr>
        </w:r>
        <w:r w:rsidR="00BB2706">
          <w:rPr>
            <w:noProof/>
            <w:webHidden/>
          </w:rPr>
          <w:fldChar w:fldCharType="separate"/>
        </w:r>
        <w:r w:rsidR="00F37B62">
          <w:rPr>
            <w:noProof/>
            <w:webHidden/>
          </w:rPr>
          <w:t>126</w:t>
        </w:r>
        <w:r w:rsidR="00BB2706">
          <w:rPr>
            <w:noProof/>
            <w:webHidden/>
          </w:rPr>
          <w:fldChar w:fldCharType="end"/>
        </w:r>
      </w:hyperlink>
    </w:p>
    <w:p w14:paraId="454F1EC3" w14:textId="729A4DB1" w:rsidR="00BB2706" w:rsidRDefault="00000000">
      <w:pPr>
        <w:pStyle w:val="Sadraj2"/>
        <w:rPr>
          <w:rFonts w:eastAsiaTheme="minorEastAsia"/>
          <w:noProof/>
          <w:lang w:eastAsia="hr-HR"/>
        </w:rPr>
      </w:pPr>
      <w:hyperlink w:anchor="_Toc125364431" w:history="1">
        <w:r w:rsidR="00BB2706" w:rsidRPr="0013783F">
          <w:rPr>
            <w:rStyle w:val="Hiperveza"/>
            <w:noProof/>
          </w:rPr>
          <w:t xml:space="preserve">Tablica 42. </w:t>
        </w:r>
        <w:r w:rsidR="00BB2706" w:rsidRPr="0013783F">
          <w:rPr>
            <w:rStyle w:val="Hiperveza"/>
            <w:bCs/>
            <w:noProof/>
          </w:rPr>
          <w:t>Pretpostavljena efikasnost postrojenja za obradu mKO i očekivani izlazi iz CGO-a 2025.– SCENARIJ 2</w:t>
        </w:r>
        <w:r w:rsidR="00BB2706">
          <w:rPr>
            <w:noProof/>
            <w:webHidden/>
          </w:rPr>
          <w:tab/>
        </w:r>
        <w:r w:rsidR="00BB2706">
          <w:rPr>
            <w:noProof/>
            <w:webHidden/>
          </w:rPr>
          <w:fldChar w:fldCharType="begin"/>
        </w:r>
        <w:r w:rsidR="00BB2706">
          <w:rPr>
            <w:noProof/>
            <w:webHidden/>
          </w:rPr>
          <w:instrText xml:space="preserve"> PAGEREF _Toc125364431 \h </w:instrText>
        </w:r>
        <w:r w:rsidR="00BB2706">
          <w:rPr>
            <w:noProof/>
            <w:webHidden/>
          </w:rPr>
        </w:r>
        <w:r w:rsidR="00BB2706">
          <w:rPr>
            <w:noProof/>
            <w:webHidden/>
          </w:rPr>
          <w:fldChar w:fldCharType="separate"/>
        </w:r>
        <w:r w:rsidR="00F37B62">
          <w:rPr>
            <w:noProof/>
            <w:webHidden/>
          </w:rPr>
          <w:t>126</w:t>
        </w:r>
        <w:r w:rsidR="00BB2706">
          <w:rPr>
            <w:noProof/>
            <w:webHidden/>
          </w:rPr>
          <w:fldChar w:fldCharType="end"/>
        </w:r>
      </w:hyperlink>
    </w:p>
    <w:p w14:paraId="075BE5A7" w14:textId="2B9C54DC" w:rsidR="00BB2706" w:rsidRDefault="00000000">
      <w:pPr>
        <w:pStyle w:val="Sadraj2"/>
        <w:rPr>
          <w:rFonts w:eastAsiaTheme="minorEastAsia"/>
          <w:noProof/>
          <w:lang w:eastAsia="hr-HR"/>
        </w:rPr>
      </w:pPr>
      <w:hyperlink w:anchor="_Toc125364432" w:history="1">
        <w:r w:rsidR="00BB2706" w:rsidRPr="0013783F">
          <w:rPr>
            <w:rStyle w:val="Hiperveza"/>
            <w:noProof/>
          </w:rPr>
          <w:t xml:space="preserve">Tablica 43. </w:t>
        </w:r>
        <w:r w:rsidR="00BB2706" w:rsidRPr="0013783F">
          <w:rPr>
            <w:rStyle w:val="Hiperveza"/>
            <w:bCs/>
            <w:noProof/>
          </w:rPr>
          <w:t>Pretpostavljena efikasnost postrojenja za obradu mKO i očekivani izlazi iz CGO-a 2028.– SCENARIJ 2</w:t>
        </w:r>
        <w:r w:rsidR="00BB2706">
          <w:rPr>
            <w:noProof/>
            <w:webHidden/>
          </w:rPr>
          <w:tab/>
        </w:r>
        <w:r w:rsidR="00BB2706">
          <w:rPr>
            <w:noProof/>
            <w:webHidden/>
          </w:rPr>
          <w:fldChar w:fldCharType="begin"/>
        </w:r>
        <w:r w:rsidR="00BB2706">
          <w:rPr>
            <w:noProof/>
            <w:webHidden/>
          </w:rPr>
          <w:instrText xml:space="preserve"> PAGEREF _Toc125364432 \h </w:instrText>
        </w:r>
        <w:r w:rsidR="00BB2706">
          <w:rPr>
            <w:noProof/>
            <w:webHidden/>
          </w:rPr>
        </w:r>
        <w:r w:rsidR="00BB2706">
          <w:rPr>
            <w:noProof/>
            <w:webHidden/>
          </w:rPr>
          <w:fldChar w:fldCharType="separate"/>
        </w:r>
        <w:r w:rsidR="00F37B62">
          <w:rPr>
            <w:noProof/>
            <w:webHidden/>
          </w:rPr>
          <w:t>127</w:t>
        </w:r>
        <w:r w:rsidR="00BB2706">
          <w:rPr>
            <w:noProof/>
            <w:webHidden/>
          </w:rPr>
          <w:fldChar w:fldCharType="end"/>
        </w:r>
      </w:hyperlink>
    </w:p>
    <w:p w14:paraId="6B85DDBB" w14:textId="1B718D32" w:rsidR="00BB2706" w:rsidRDefault="00000000">
      <w:pPr>
        <w:pStyle w:val="Sadraj2"/>
        <w:rPr>
          <w:rFonts w:eastAsiaTheme="minorEastAsia"/>
          <w:noProof/>
          <w:lang w:eastAsia="hr-HR"/>
        </w:rPr>
      </w:pPr>
      <w:hyperlink w:anchor="_Toc125364433" w:history="1">
        <w:r w:rsidR="00BB2706" w:rsidRPr="0013783F">
          <w:rPr>
            <w:rStyle w:val="Hiperveza"/>
            <w:noProof/>
          </w:rPr>
          <w:t xml:space="preserve">Tablica 44. </w:t>
        </w:r>
        <w:r w:rsidR="00BB2706" w:rsidRPr="0013783F">
          <w:rPr>
            <w:rStyle w:val="Hiperveza"/>
            <w:bCs/>
            <w:noProof/>
          </w:rPr>
          <w:t>Pretpostavljena efikasnost postrojenja za obradu mKO i očekivani izlazi iz CGO-a 2030.– SCENARIJ 2</w:t>
        </w:r>
        <w:r w:rsidR="00BB2706">
          <w:rPr>
            <w:noProof/>
            <w:webHidden/>
          </w:rPr>
          <w:tab/>
        </w:r>
        <w:r w:rsidR="00BB2706">
          <w:rPr>
            <w:noProof/>
            <w:webHidden/>
          </w:rPr>
          <w:fldChar w:fldCharType="begin"/>
        </w:r>
        <w:r w:rsidR="00BB2706">
          <w:rPr>
            <w:noProof/>
            <w:webHidden/>
          </w:rPr>
          <w:instrText xml:space="preserve"> PAGEREF _Toc125364433 \h </w:instrText>
        </w:r>
        <w:r w:rsidR="00BB2706">
          <w:rPr>
            <w:noProof/>
            <w:webHidden/>
          </w:rPr>
        </w:r>
        <w:r w:rsidR="00BB2706">
          <w:rPr>
            <w:noProof/>
            <w:webHidden/>
          </w:rPr>
          <w:fldChar w:fldCharType="separate"/>
        </w:r>
        <w:r w:rsidR="00F37B62">
          <w:rPr>
            <w:noProof/>
            <w:webHidden/>
          </w:rPr>
          <w:t>127</w:t>
        </w:r>
        <w:r w:rsidR="00BB2706">
          <w:rPr>
            <w:noProof/>
            <w:webHidden/>
          </w:rPr>
          <w:fldChar w:fldCharType="end"/>
        </w:r>
      </w:hyperlink>
    </w:p>
    <w:p w14:paraId="09983344" w14:textId="07382DC7" w:rsidR="00BB2706" w:rsidRDefault="00000000">
      <w:pPr>
        <w:pStyle w:val="Sadraj2"/>
        <w:rPr>
          <w:rFonts w:eastAsiaTheme="minorEastAsia"/>
          <w:noProof/>
          <w:lang w:eastAsia="hr-HR"/>
        </w:rPr>
      </w:pPr>
      <w:hyperlink w:anchor="_Toc125364434" w:history="1">
        <w:r w:rsidR="00BB2706" w:rsidRPr="0013783F">
          <w:rPr>
            <w:rStyle w:val="Hiperveza"/>
            <w:noProof/>
          </w:rPr>
          <w:t xml:space="preserve">Tablica 45. </w:t>
        </w:r>
        <w:r w:rsidR="00BB2706" w:rsidRPr="0013783F">
          <w:rPr>
            <w:rStyle w:val="Hiperveza"/>
            <w:bCs/>
            <w:noProof/>
          </w:rPr>
          <w:t>Pretpostavljena efikasnost postrojenja za obradu mKO i očekivani izlazi iz CGO-a 2035.– SCENARIJ 2</w:t>
        </w:r>
        <w:r w:rsidR="00BB2706">
          <w:rPr>
            <w:noProof/>
            <w:webHidden/>
          </w:rPr>
          <w:tab/>
        </w:r>
        <w:r w:rsidR="00BB2706">
          <w:rPr>
            <w:noProof/>
            <w:webHidden/>
          </w:rPr>
          <w:fldChar w:fldCharType="begin"/>
        </w:r>
        <w:r w:rsidR="00BB2706">
          <w:rPr>
            <w:noProof/>
            <w:webHidden/>
          </w:rPr>
          <w:instrText xml:space="preserve"> PAGEREF _Toc125364434 \h </w:instrText>
        </w:r>
        <w:r w:rsidR="00BB2706">
          <w:rPr>
            <w:noProof/>
            <w:webHidden/>
          </w:rPr>
        </w:r>
        <w:r w:rsidR="00BB2706">
          <w:rPr>
            <w:noProof/>
            <w:webHidden/>
          </w:rPr>
          <w:fldChar w:fldCharType="separate"/>
        </w:r>
        <w:r w:rsidR="00F37B62">
          <w:rPr>
            <w:noProof/>
            <w:webHidden/>
          </w:rPr>
          <w:t>127</w:t>
        </w:r>
        <w:r w:rsidR="00BB2706">
          <w:rPr>
            <w:noProof/>
            <w:webHidden/>
          </w:rPr>
          <w:fldChar w:fldCharType="end"/>
        </w:r>
      </w:hyperlink>
    </w:p>
    <w:p w14:paraId="2EF37392" w14:textId="7FB2089E" w:rsidR="00BB2706" w:rsidRDefault="00000000">
      <w:pPr>
        <w:pStyle w:val="Sadraj2"/>
        <w:rPr>
          <w:rFonts w:eastAsiaTheme="minorEastAsia"/>
          <w:noProof/>
          <w:lang w:eastAsia="hr-HR"/>
        </w:rPr>
      </w:pPr>
      <w:hyperlink w:anchor="_Toc125364435" w:history="1">
        <w:r w:rsidR="00BB2706" w:rsidRPr="0013783F">
          <w:rPr>
            <w:rStyle w:val="Hiperveza"/>
            <w:noProof/>
          </w:rPr>
          <w:t xml:space="preserve">Tablica 46. </w:t>
        </w:r>
        <w:r w:rsidR="00BB2706" w:rsidRPr="0013783F">
          <w:rPr>
            <w:rStyle w:val="Hiperveza"/>
            <w:bCs/>
            <w:noProof/>
          </w:rPr>
          <w:t>Ključne količine komunalnog otpada u razdoblju od 2025.-2035. – SCENARIJ 1</w:t>
        </w:r>
        <w:r w:rsidR="00BB2706">
          <w:rPr>
            <w:noProof/>
            <w:webHidden/>
          </w:rPr>
          <w:tab/>
        </w:r>
        <w:r w:rsidR="00BB2706">
          <w:rPr>
            <w:noProof/>
            <w:webHidden/>
          </w:rPr>
          <w:fldChar w:fldCharType="begin"/>
        </w:r>
        <w:r w:rsidR="00BB2706">
          <w:rPr>
            <w:noProof/>
            <w:webHidden/>
          </w:rPr>
          <w:instrText xml:space="preserve"> PAGEREF _Toc125364435 \h </w:instrText>
        </w:r>
        <w:r w:rsidR="00BB2706">
          <w:rPr>
            <w:noProof/>
            <w:webHidden/>
          </w:rPr>
        </w:r>
        <w:r w:rsidR="00BB2706">
          <w:rPr>
            <w:noProof/>
            <w:webHidden/>
          </w:rPr>
          <w:fldChar w:fldCharType="separate"/>
        </w:r>
        <w:r w:rsidR="00F37B62">
          <w:rPr>
            <w:noProof/>
            <w:webHidden/>
          </w:rPr>
          <w:t>128</w:t>
        </w:r>
        <w:r w:rsidR="00BB2706">
          <w:rPr>
            <w:noProof/>
            <w:webHidden/>
          </w:rPr>
          <w:fldChar w:fldCharType="end"/>
        </w:r>
      </w:hyperlink>
    </w:p>
    <w:p w14:paraId="4CA586E6" w14:textId="109EEBAF" w:rsidR="00BB2706" w:rsidRDefault="00000000">
      <w:pPr>
        <w:pStyle w:val="Sadraj2"/>
        <w:rPr>
          <w:rFonts w:eastAsiaTheme="minorEastAsia"/>
          <w:noProof/>
          <w:lang w:eastAsia="hr-HR"/>
        </w:rPr>
      </w:pPr>
      <w:hyperlink w:anchor="_Toc125364436" w:history="1">
        <w:r w:rsidR="00BB2706" w:rsidRPr="0013783F">
          <w:rPr>
            <w:rStyle w:val="Hiperveza"/>
            <w:noProof/>
          </w:rPr>
          <w:t xml:space="preserve">Tablica 47. </w:t>
        </w:r>
        <w:r w:rsidR="00BB2706" w:rsidRPr="0013783F">
          <w:rPr>
            <w:rStyle w:val="Hiperveza"/>
            <w:bCs/>
            <w:noProof/>
          </w:rPr>
          <w:t>Ključne količine komunalnog otpada u razdoblju od 2025.-2035. – SCENARIJ 2</w:t>
        </w:r>
        <w:r w:rsidR="00BB2706">
          <w:rPr>
            <w:noProof/>
            <w:webHidden/>
          </w:rPr>
          <w:tab/>
        </w:r>
        <w:r w:rsidR="00BB2706">
          <w:rPr>
            <w:noProof/>
            <w:webHidden/>
          </w:rPr>
          <w:fldChar w:fldCharType="begin"/>
        </w:r>
        <w:r w:rsidR="00BB2706">
          <w:rPr>
            <w:noProof/>
            <w:webHidden/>
          </w:rPr>
          <w:instrText xml:space="preserve"> PAGEREF _Toc125364436 \h </w:instrText>
        </w:r>
        <w:r w:rsidR="00BB2706">
          <w:rPr>
            <w:noProof/>
            <w:webHidden/>
          </w:rPr>
        </w:r>
        <w:r w:rsidR="00BB2706">
          <w:rPr>
            <w:noProof/>
            <w:webHidden/>
          </w:rPr>
          <w:fldChar w:fldCharType="separate"/>
        </w:r>
        <w:r w:rsidR="00F37B62">
          <w:rPr>
            <w:noProof/>
            <w:webHidden/>
          </w:rPr>
          <w:t>129</w:t>
        </w:r>
        <w:r w:rsidR="00BB2706">
          <w:rPr>
            <w:noProof/>
            <w:webHidden/>
          </w:rPr>
          <w:fldChar w:fldCharType="end"/>
        </w:r>
      </w:hyperlink>
    </w:p>
    <w:p w14:paraId="0534FDC0" w14:textId="740B2760" w:rsidR="00BB2706" w:rsidRDefault="00000000">
      <w:pPr>
        <w:pStyle w:val="Sadraj2"/>
        <w:rPr>
          <w:rFonts w:eastAsiaTheme="minorEastAsia"/>
          <w:noProof/>
          <w:lang w:eastAsia="hr-HR"/>
        </w:rPr>
      </w:pPr>
      <w:hyperlink w:anchor="_Toc125364437" w:history="1">
        <w:r w:rsidR="00BB2706" w:rsidRPr="0013783F">
          <w:rPr>
            <w:rStyle w:val="Hiperveza"/>
            <w:noProof/>
          </w:rPr>
          <w:t xml:space="preserve">Tablica 48. </w:t>
        </w:r>
        <w:r w:rsidR="00BB2706" w:rsidRPr="0013783F">
          <w:rPr>
            <w:rStyle w:val="Hiperveza"/>
            <w:bCs/>
            <w:noProof/>
          </w:rPr>
          <w:t>Potrebni kapaciteti CGO – SCENARIJ 1</w:t>
        </w:r>
        <w:r w:rsidR="00BB2706">
          <w:rPr>
            <w:noProof/>
            <w:webHidden/>
          </w:rPr>
          <w:tab/>
        </w:r>
        <w:r w:rsidR="00BB2706">
          <w:rPr>
            <w:noProof/>
            <w:webHidden/>
          </w:rPr>
          <w:fldChar w:fldCharType="begin"/>
        </w:r>
        <w:r w:rsidR="00BB2706">
          <w:rPr>
            <w:noProof/>
            <w:webHidden/>
          </w:rPr>
          <w:instrText xml:space="preserve"> PAGEREF _Toc125364437 \h </w:instrText>
        </w:r>
        <w:r w:rsidR="00BB2706">
          <w:rPr>
            <w:noProof/>
            <w:webHidden/>
          </w:rPr>
        </w:r>
        <w:r w:rsidR="00BB2706">
          <w:rPr>
            <w:noProof/>
            <w:webHidden/>
          </w:rPr>
          <w:fldChar w:fldCharType="separate"/>
        </w:r>
        <w:r w:rsidR="00F37B62">
          <w:rPr>
            <w:noProof/>
            <w:webHidden/>
          </w:rPr>
          <w:t>132</w:t>
        </w:r>
        <w:r w:rsidR="00BB2706">
          <w:rPr>
            <w:noProof/>
            <w:webHidden/>
          </w:rPr>
          <w:fldChar w:fldCharType="end"/>
        </w:r>
      </w:hyperlink>
    </w:p>
    <w:p w14:paraId="5CF75A35" w14:textId="750AF4FA" w:rsidR="00BB2706" w:rsidRDefault="00000000">
      <w:pPr>
        <w:pStyle w:val="Sadraj2"/>
        <w:rPr>
          <w:rFonts w:eastAsiaTheme="minorEastAsia"/>
          <w:noProof/>
          <w:lang w:eastAsia="hr-HR"/>
        </w:rPr>
      </w:pPr>
      <w:hyperlink w:anchor="_Toc125364438" w:history="1">
        <w:r w:rsidR="00BB2706" w:rsidRPr="0013783F">
          <w:rPr>
            <w:rStyle w:val="Hiperveza"/>
            <w:noProof/>
          </w:rPr>
          <w:t xml:space="preserve">Tablica 49. </w:t>
        </w:r>
        <w:r w:rsidR="00BB2706" w:rsidRPr="0013783F">
          <w:rPr>
            <w:rStyle w:val="Hiperveza"/>
            <w:bCs/>
            <w:noProof/>
          </w:rPr>
          <w:t>Potrebni kapaciteti CGO – SCENARIJ 2</w:t>
        </w:r>
        <w:r w:rsidR="00BB2706">
          <w:rPr>
            <w:noProof/>
            <w:webHidden/>
          </w:rPr>
          <w:tab/>
        </w:r>
        <w:r w:rsidR="00BB2706">
          <w:rPr>
            <w:noProof/>
            <w:webHidden/>
          </w:rPr>
          <w:fldChar w:fldCharType="begin"/>
        </w:r>
        <w:r w:rsidR="00BB2706">
          <w:rPr>
            <w:noProof/>
            <w:webHidden/>
          </w:rPr>
          <w:instrText xml:space="preserve"> PAGEREF _Toc125364438 \h </w:instrText>
        </w:r>
        <w:r w:rsidR="00BB2706">
          <w:rPr>
            <w:noProof/>
            <w:webHidden/>
          </w:rPr>
        </w:r>
        <w:r w:rsidR="00BB2706">
          <w:rPr>
            <w:noProof/>
            <w:webHidden/>
          </w:rPr>
          <w:fldChar w:fldCharType="separate"/>
        </w:r>
        <w:r w:rsidR="00F37B62">
          <w:rPr>
            <w:noProof/>
            <w:webHidden/>
          </w:rPr>
          <w:t>132</w:t>
        </w:r>
        <w:r w:rsidR="00BB2706">
          <w:rPr>
            <w:noProof/>
            <w:webHidden/>
          </w:rPr>
          <w:fldChar w:fldCharType="end"/>
        </w:r>
      </w:hyperlink>
    </w:p>
    <w:p w14:paraId="184C8A95" w14:textId="007D15EF" w:rsidR="00BB2706" w:rsidRDefault="00000000">
      <w:pPr>
        <w:pStyle w:val="Sadraj2"/>
        <w:rPr>
          <w:rFonts w:eastAsiaTheme="minorEastAsia"/>
          <w:noProof/>
          <w:lang w:eastAsia="hr-HR"/>
        </w:rPr>
      </w:pPr>
      <w:hyperlink w:anchor="_Toc125364439" w:history="1">
        <w:r w:rsidR="00BB2706" w:rsidRPr="0013783F">
          <w:rPr>
            <w:rStyle w:val="Hiperveza"/>
            <w:noProof/>
          </w:rPr>
          <w:t xml:space="preserve">Tablica 50. </w:t>
        </w:r>
        <w:r w:rsidR="00BB2706" w:rsidRPr="0013783F">
          <w:rPr>
            <w:rStyle w:val="Hiperveza"/>
            <w:bCs/>
            <w:noProof/>
          </w:rPr>
          <w:t>Potrebni kapaciteti mobilnih drobilica i stacionarnih postrojenja za obradu građevnog otpada</w:t>
        </w:r>
        <w:r w:rsidR="00BB2706">
          <w:rPr>
            <w:noProof/>
            <w:webHidden/>
          </w:rPr>
          <w:tab/>
        </w:r>
        <w:r w:rsidR="00BB2706">
          <w:rPr>
            <w:noProof/>
            <w:webHidden/>
          </w:rPr>
          <w:fldChar w:fldCharType="begin"/>
        </w:r>
        <w:r w:rsidR="00BB2706">
          <w:rPr>
            <w:noProof/>
            <w:webHidden/>
          </w:rPr>
          <w:instrText xml:space="preserve"> PAGEREF _Toc125364439 \h </w:instrText>
        </w:r>
        <w:r w:rsidR="00BB2706">
          <w:rPr>
            <w:noProof/>
            <w:webHidden/>
          </w:rPr>
        </w:r>
        <w:r w:rsidR="00BB2706">
          <w:rPr>
            <w:noProof/>
            <w:webHidden/>
          </w:rPr>
          <w:fldChar w:fldCharType="separate"/>
        </w:r>
        <w:r w:rsidR="00F37B62">
          <w:rPr>
            <w:noProof/>
            <w:webHidden/>
          </w:rPr>
          <w:t>133</w:t>
        </w:r>
        <w:r w:rsidR="00BB2706">
          <w:rPr>
            <w:noProof/>
            <w:webHidden/>
          </w:rPr>
          <w:fldChar w:fldCharType="end"/>
        </w:r>
      </w:hyperlink>
    </w:p>
    <w:p w14:paraId="4B6D3C1D" w14:textId="12E78517" w:rsidR="00BB2706" w:rsidRDefault="00000000">
      <w:pPr>
        <w:pStyle w:val="Sadraj2"/>
        <w:rPr>
          <w:rFonts w:eastAsiaTheme="minorEastAsia"/>
          <w:noProof/>
          <w:lang w:eastAsia="hr-HR"/>
        </w:rPr>
      </w:pPr>
      <w:hyperlink w:anchor="_Toc125364440" w:history="1">
        <w:r w:rsidR="00BB2706" w:rsidRPr="0013783F">
          <w:rPr>
            <w:rStyle w:val="Hiperveza"/>
            <w:noProof/>
          </w:rPr>
          <w:t xml:space="preserve">Tablica 51. </w:t>
        </w:r>
        <w:r w:rsidR="00BB2706" w:rsidRPr="0013783F">
          <w:rPr>
            <w:rStyle w:val="Hiperveza"/>
            <w:bCs/>
            <w:noProof/>
          </w:rPr>
          <w:t>Potrebni kapaciteti postrojenja za recikliranje plastike -  SCENARIJ 1</w:t>
        </w:r>
        <w:r w:rsidR="00BB2706">
          <w:rPr>
            <w:noProof/>
            <w:webHidden/>
          </w:rPr>
          <w:tab/>
        </w:r>
        <w:r w:rsidR="00BB2706">
          <w:rPr>
            <w:noProof/>
            <w:webHidden/>
          </w:rPr>
          <w:fldChar w:fldCharType="begin"/>
        </w:r>
        <w:r w:rsidR="00BB2706">
          <w:rPr>
            <w:noProof/>
            <w:webHidden/>
          </w:rPr>
          <w:instrText xml:space="preserve"> PAGEREF _Toc125364440 \h </w:instrText>
        </w:r>
        <w:r w:rsidR="00BB2706">
          <w:rPr>
            <w:noProof/>
            <w:webHidden/>
          </w:rPr>
        </w:r>
        <w:r w:rsidR="00BB2706">
          <w:rPr>
            <w:noProof/>
            <w:webHidden/>
          </w:rPr>
          <w:fldChar w:fldCharType="separate"/>
        </w:r>
        <w:r w:rsidR="00F37B62">
          <w:rPr>
            <w:noProof/>
            <w:webHidden/>
          </w:rPr>
          <w:t>133</w:t>
        </w:r>
        <w:r w:rsidR="00BB2706">
          <w:rPr>
            <w:noProof/>
            <w:webHidden/>
          </w:rPr>
          <w:fldChar w:fldCharType="end"/>
        </w:r>
      </w:hyperlink>
    </w:p>
    <w:p w14:paraId="38A7F10A" w14:textId="58E4B3FE" w:rsidR="00BB2706" w:rsidRDefault="00000000">
      <w:pPr>
        <w:pStyle w:val="Sadraj2"/>
        <w:rPr>
          <w:rFonts w:eastAsiaTheme="minorEastAsia"/>
          <w:noProof/>
          <w:lang w:eastAsia="hr-HR"/>
        </w:rPr>
      </w:pPr>
      <w:hyperlink w:anchor="_Toc125364441" w:history="1">
        <w:r w:rsidR="00BB2706" w:rsidRPr="0013783F">
          <w:rPr>
            <w:rStyle w:val="Hiperveza"/>
            <w:noProof/>
          </w:rPr>
          <w:t xml:space="preserve">Tablica 52. </w:t>
        </w:r>
        <w:r w:rsidR="00BB2706" w:rsidRPr="0013783F">
          <w:rPr>
            <w:rStyle w:val="Hiperveza"/>
            <w:bCs/>
            <w:noProof/>
          </w:rPr>
          <w:t>Potrebni kapaciteti postrojenja za recikliranje plastike  - SCENARIJ 2</w:t>
        </w:r>
        <w:r w:rsidR="00BB2706">
          <w:rPr>
            <w:noProof/>
            <w:webHidden/>
          </w:rPr>
          <w:tab/>
        </w:r>
        <w:r w:rsidR="00BB2706">
          <w:rPr>
            <w:noProof/>
            <w:webHidden/>
          </w:rPr>
          <w:fldChar w:fldCharType="begin"/>
        </w:r>
        <w:r w:rsidR="00BB2706">
          <w:rPr>
            <w:noProof/>
            <w:webHidden/>
          </w:rPr>
          <w:instrText xml:space="preserve"> PAGEREF _Toc125364441 \h </w:instrText>
        </w:r>
        <w:r w:rsidR="00BB2706">
          <w:rPr>
            <w:noProof/>
            <w:webHidden/>
          </w:rPr>
        </w:r>
        <w:r w:rsidR="00BB2706">
          <w:rPr>
            <w:noProof/>
            <w:webHidden/>
          </w:rPr>
          <w:fldChar w:fldCharType="separate"/>
        </w:r>
        <w:r w:rsidR="00F37B62">
          <w:rPr>
            <w:noProof/>
            <w:webHidden/>
          </w:rPr>
          <w:t>134</w:t>
        </w:r>
        <w:r w:rsidR="00BB2706">
          <w:rPr>
            <w:noProof/>
            <w:webHidden/>
          </w:rPr>
          <w:fldChar w:fldCharType="end"/>
        </w:r>
      </w:hyperlink>
    </w:p>
    <w:p w14:paraId="1DD6D192" w14:textId="3F2892FF" w:rsidR="00BB2706" w:rsidRDefault="00000000">
      <w:pPr>
        <w:pStyle w:val="Sadraj2"/>
        <w:rPr>
          <w:rFonts w:eastAsiaTheme="minorEastAsia"/>
          <w:noProof/>
          <w:lang w:eastAsia="hr-HR"/>
        </w:rPr>
      </w:pPr>
      <w:hyperlink w:anchor="_Toc125364442" w:history="1">
        <w:r w:rsidR="00BB2706" w:rsidRPr="0013783F">
          <w:rPr>
            <w:rStyle w:val="Hiperveza"/>
            <w:noProof/>
          </w:rPr>
          <w:t xml:space="preserve">Tablica 53. </w:t>
        </w:r>
        <w:r w:rsidR="00BB2706" w:rsidRPr="0013783F">
          <w:rPr>
            <w:rStyle w:val="Hiperveza"/>
            <w:bCs/>
            <w:noProof/>
          </w:rPr>
          <w:t>Potrebni kapaciteti postrojenja za recikliranje stakla - SCENARIJ 1</w:t>
        </w:r>
        <w:r w:rsidR="00BB2706">
          <w:rPr>
            <w:noProof/>
            <w:webHidden/>
          </w:rPr>
          <w:tab/>
        </w:r>
        <w:r w:rsidR="00BB2706">
          <w:rPr>
            <w:noProof/>
            <w:webHidden/>
          </w:rPr>
          <w:fldChar w:fldCharType="begin"/>
        </w:r>
        <w:r w:rsidR="00BB2706">
          <w:rPr>
            <w:noProof/>
            <w:webHidden/>
          </w:rPr>
          <w:instrText xml:space="preserve"> PAGEREF _Toc125364442 \h </w:instrText>
        </w:r>
        <w:r w:rsidR="00BB2706">
          <w:rPr>
            <w:noProof/>
            <w:webHidden/>
          </w:rPr>
        </w:r>
        <w:r w:rsidR="00BB2706">
          <w:rPr>
            <w:noProof/>
            <w:webHidden/>
          </w:rPr>
          <w:fldChar w:fldCharType="separate"/>
        </w:r>
        <w:r w:rsidR="00F37B62">
          <w:rPr>
            <w:noProof/>
            <w:webHidden/>
          </w:rPr>
          <w:t>135</w:t>
        </w:r>
        <w:r w:rsidR="00BB2706">
          <w:rPr>
            <w:noProof/>
            <w:webHidden/>
          </w:rPr>
          <w:fldChar w:fldCharType="end"/>
        </w:r>
      </w:hyperlink>
    </w:p>
    <w:p w14:paraId="553285B6" w14:textId="092C51F2" w:rsidR="00BB2706" w:rsidRDefault="00000000">
      <w:pPr>
        <w:pStyle w:val="Sadraj2"/>
        <w:rPr>
          <w:rFonts w:eastAsiaTheme="minorEastAsia"/>
          <w:noProof/>
          <w:lang w:eastAsia="hr-HR"/>
        </w:rPr>
      </w:pPr>
      <w:hyperlink w:anchor="_Toc125364443" w:history="1">
        <w:r w:rsidR="00BB2706" w:rsidRPr="0013783F">
          <w:rPr>
            <w:rStyle w:val="Hiperveza"/>
            <w:noProof/>
          </w:rPr>
          <w:t xml:space="preserve">Tablica 54. </w:t>
        </w:r>
        <w:r w:rsidR="00BB2706" w:rsidRPr="0013783F">
          <w:rPr>
            <w:rStyle w:val="Hiperveza"/>
            <w:bCs/>
            <w:noProof/>
          </w:rPr>
          <w:t>Potrebni kapaciteti postrojenja za recikliranje stakla - SCENARIJ 2</w:t>
        </w:r>
        <w:r w:rsidR="00BB2706">
          <w:rPr>
            <w:noProof/>
            <w:webHidden/>
          </w:rPr>
          <w:tab/>
        </w:r>
        <w:r w:rsidR="00BB2706">
          <w:rPr>
            <w:noProof/>
            <w:webHidden/>
          </w:rPr>
          <w:fldChar w:fldCharType="begin"/>
        </w:r>
        <w:r w:rsidR="00BB2706">
          <w:rPr>
            <w:noProof/>
            <w:webHidden/>
          </w:rPr>
          <w:instrText xml:space="preserve"> PAGEREF _Toc125364443 \h </w:instrText>
        </w:r>
        <w:r w:rsidR="00BB2706">
          <w:rPr>
            <w:noProof/>
            <w:webHidden/>
          </w:rPr>
        </w:r>
        <w:r w:rsidR="00BB2706">
          <w:rPr>
            <w:noProof/>
            <w:webHidden/>
          </w:rPr>
          <w:fldChar w:fldCharType="separate"/>
        </w:r>
        <w:r w:rsidR="00F37B62">
          <w:rPr>
            <w:noProof/>
            <w:webHidden/>
          </w:rPr>
          <w:t>135</w:t>
        </w:r>
        <w:r w:rsidR="00BB2706">
          <w:rPr>
            <w:noProof/>
            <w:webHidden/>
          </w:rPr>
          <w:fldChar w:fldCharType="end"/>
        </w:r>
      </w:hyperlink>
    </w:p>
    <w:p w14:paraId="0E406F63" w14:textId="1AC0A6A9" w:rsidR="00BB2706" w:rsidRDefault="00000000">
      <w:pPr>
        <w:pStyle w:val="Sadraj2"/>
        <w:rPr>
          <w:rFonts w:eastAsiaTheme="minorEastAsia"/>
          <w:noProof/>
          <w:lang w:eastAsia="hr-HR"/>
        </w:rPr>
      </w:pPr>
      <w:hyperlink w:anchor="_Toc125364444" w:history="1">
        <w:r w:rsidR="00BB2706" w:rsidRPr="0013783F">
          <w:rPr>
            <w:rStyle w:val="Hiperveza"/>
            <w:noProof/>
          </w:rPr>
          <w:t xml:space="preserve">Tablica 55. </w:t>
        </w:r>
        <w:r w:rsidR="00BB2706" w:rsidRPr="0013783F">
          <w:rPr>
            <w:rStyle w:val="Hiperveza"/>
            <w:bCs/>
            <w:noProof/>
          </w:rPr>
          <w:t>Potrebni kapaciteti postrojenja za recikliranje papira - SCENARIJ 1</w:t>
        </w:r>
        <w:r w:rsidR="00BB2706">
          <w:rPr>
            <w:noProof/>
            <w:webHidden/>
          </w:rPr>
          <w:tab/>
        </w:r>
        <w:r w:rsidR="00BB2706">
          <w:rPr>
            <w:noProof/>
            <w:webHidden/>
          </w:rPr>
          <w:fldChar w:fldCharType="begin"/>
        </w:r>
        <w:r w:rsidR="00BB2706">
          <w:rPr>
            <w:noProof/>
            <w:webHidden/>
          </w:rPr>
          <w:instrText xml:space="preserve"> PAGEREF _Toc125364444 \h </w:instrText>
        </w:r>
        <w:r w:rsidR="00BB2706">
          <w:rPr>
            <w:noProof/>
            <w:webHidden/>
          </w:rPr>
        </w:r>
        <w:r w:rsidR="00BB2706">
          <w:rPr>
            <w:noProof/>
            <w:webHidden/>
          </w:rPr>
          <w:fldChar w:fldCharType="separate"/>
        </w:r>
        <w:r w:rsidR="00F37B62">
          <w:rPr>
            <w:noProof/>
            <w:webHidden/>
          </w:rPr>
          <w:t>136</w:t>
        </w:r>
        <w:r w:rsidR="00BB2706">
          <w:rPr>
            <w:noProof/>
            <w:webHidden/>
          </w:rPr>
          <w:fldChar w:fldCharType="end"/>
        </w:r>
      </w:hyperlink>
    </w:p>
    <w:p w14:paraId="58FDDB64" w14:textId="31DE0A41" w:rsidR="00BB2706" w:rsidRDefault="00000000">
      <w:pPr>
        <w:pStyle w:val="Sadraj2"/>
        <w:rPr>
          <w:rFonts w:eastAsiaTheme="minorEastAsia"/>
          <w:noProof/>
          <w:lang w:eastAsia="hr-HR"/>
        </w:rPr>
      </w:pPr>
      <w:hyperlink w:anchor="_Toc125364445" w:history="1">
        <w:r w:rsidR="00BB2706" w:rsidRPr="0013783F">
          <w:rPr>
            <w:rStyle w:val="Hiperveza"/>
            <w:noProof/>
          </w:rPr>
          <w:t xml:space="preserve">Tablica 56. </w:t>
        </w:r>
        <w:r w:rsidR="00BB2706" w:rsidRPr="0013783F">
          <w:rPr>
            <w:rStyle w:val="Hiperveza"/>
            <w:bCs/>
            <w:noProof/>
          </w:rPr>
          <w:t>Potrebni kapaciteti postrojenja za recikliranje papira -  SCENARIJ 2</w:t>
        </w:r>
        <w:r w:rsidR="00BB2706">
          <w:rPr>
            <w:noProof/>
            <w:webHidden/>
          </w:rPr>
          <w:tab/>
        </w:r>
        <w:r w:rsidR="00BB2706">
          <w:rPr>
            <w:noProof/>
            <w:webHidden/>
          </w:rPr>
          <w:fldChar w:fldCharType="begin"/>
        </w:r>
        <w:r w:rsidR="00BB2706">
          <w:rPr>
            <w:noProof/>
            <w:webHidden/>
          </w:rPr>
          <w:instrText xml:space="preserve"> PAGEREF _Toc125364445 \h </w:instrText>
        </w:r>
        <w:r w:rsidR="00BB2706">
          <w:rPr>
            <w:noProof/>
            <w:webHidden/>
          </w:rPr>
        </w:r>
        <w:r w:rsidR="00BB2706">
          <w:rPr>
            <w:noProof/>
            <w:webHidden/>
          </w:rPr>
          <w:fldChar w:fldCharType="separate"/>
        </w:r>
        <w:r w:rsidR="00F37B62">
          <w:rPr>
            <w:noProof/>
            <w:webHidden/>
          </w:rPr>
          <w:t>136</w:t>
        </w:r>
        <w:r w:rsidR="00BB2706">
          <w:rPr>
            <w:noProof/>
            <w:webHidden/>
          </w:rPr>
          <w:fldChar w:fldCharType="end"/>
        </w:r>
      </w:hyperlink>
    </w:p>
    <w:p w14:paraId="1DD66E89" w14:textId="5718ECF3" w:rsidR="00BB2706" w:rsidRDefault="00000000">
      <w:pPr>
        <w:pStyle w:val="Sadraj2"/>
        <w:rPr>
          <w:rFonts w:eastAsiaTheme="minorEastAsia"/>
          <w:noProof/>
          <w:lang w:eastAsia="hr-HR"/>
        </w:rPr>
      </w:pPr>
      <w:hyperlink w:anchor="_Toc125364446" w:history="1">
        <w:r w:rsidR="00BB2706" w:rsidRPr="0013783F">
          <w:rPr>
            <w:rStyle w:val="Hiperveza"/>
            <w:noProof/>
          </w:rPr>
          <w:t xml:space="preserve">Tablica 57. </w:t>
        </w:r>
        <w:r w:rsidR="00BB2706" w:rsidRPr="0013783F">
          <w:rPr>
            <w:rStyle w:val="Hiperveza"/>
            <w:bCs/>
            <w:noProof/>
          </w:rPr>
          <w:t>Procjena potrebnih ulaganja u izgradnju sortirnica – SCENARIJ 1 i 2</w:t>
        </w:r>
        <w:r w:rsidR="00BB2706">
          <w:rPr>
            <w:noProof/>
            <w:webHidden/>
          </w:rPr>
          <w:tab/>
        </w:r>
        <w:r w:rsidR="00BB2706">
          <w:rPr>
            <w:noProof/>
            <w:webHidden/>
          </w:rPr>
          <w:fldChar w:fldCharType="begin"/>
        </w:r>
        <w:r w:rsidR="00BB2706">
          <w:rPr>
            <w:noProof/>
            <w:webHidden/>
          </w:rPr>
          <w:instrText xml:space="preserve"> PAGEREF _Toc125364446 \h </w:instrText>
        </w:r>
        <w:r w:rsidR="00BB2706">
          <w:rPr>
            <w:noProof/>
            <w:webHidden/>
          </w:rPr>
        </w:r>
        <w:r w:rsidR="00BB2706">
          <w:rPr>
            <w:noProof/>
            <w:webHidden/>
          </w:rPr>
          <w:fldChar w:fldCharType="separate"/>
        </w:r>
        <w:r w:rsidR="00F37B62">
          <w:rPr>
            <w:noProof/>
            <w:webHidden/>
          </w:rPr>
          <w:t>138</w:t>
        </w:r>
        <w:r w:rsidR="00BB2706">
          <w:rPr>
            <w:noProof/>
            <w:webHidden/>
          </w:rPr>
          <w:fldChar w:fldCharType="end"/>
        </w:r>
      </w:hyperlink>
    </w:p>
    <w:p w14:paraId="465B4421" w14:textId="2B4EF461" w:rsidR="00BB2706" w:rsidRDefault="00000000">
      <w:pPr>
        <w:pStyle w:val="Sadraj2"/>
        <w:rPr>
          <w:rFonts w:eastAsiaTheme="minorEastAsia"/>
          <w:noProof/>
          <w:lang w:eastAsia="hr-HR"/>
        </w:rPr>
      </w:pPr>
      <w:hyperlink w:anchor="_Toc125364447" w:history="1">
        <w:r w:rsidR="00BB2706" w:rsidRPr="0013783F">
          <w:rPr>
            <w:rStyle w:val="Hiperveza"/>
            <w:noProof/>
          </w:rPr>
          <w:t>Tablica 58. Procjena potrebnih ulaganja u izgradnju i/ili nadogradnju kompostana i bioplinskih postrojenja – SCENARIJ 1</w:t>
        </w:r>
        <w:r w:rsidR="00BB2706">
          <w:rPr>
            <w:noProof/>
            <w:webHidden/>
          </w:rPr>
          <w:tab/>
        </w:r>
        <w:r w:rsidR="00BB2706">
          <w:rPr>
            <w:noProof/>
            <w:webHidden/>
          </w:rPr>
          <w:fldChar w:fldCharType="begin"/>
        </w:r>
        <w:r w:rsidR="00BB2706">
          <w:rPr>
            <w:noProof/>
            <w:webHidden/>
          </w:rPr>
          <w:instrText xml:space="preserve"> PAGEREF _Toc125364447 \h </w:instrText>
        </w:r>
        <w:r w:rsidR="00BB2706">
          <w:rPr>
            <w:noProof/>
            <w:webHidden/>
          </w:rPr>
        </w:r>
        <w:r w:rsidR="00BB2706">
          <w:rPr>
            <w:noProof/>
            <w:webHidden/>
          </w:rPr>
          <w:fldChar w:fldCharType="separate"/>
        </w:r>
        <w:r w:rsidR="00F37B62">
          <w:rPr>
            <w:noProof/>
            <w:webHidden/>
          </w:rPr>
          <w:t>139</w:t>
        </w:r>
        <w:r w:rsidR="00BB2706">
          <w:rPr>
            <w:noProof/>
            <w:webHidden/>
          </w:rPr>
          <w:fldChar w:fldCharType="end"/>
        </w:r>
      </w:hyperlink>
    </w:p>
    <w:p w14:paraId="36516EF8" w14:textId="595DF863" w:rsidR="00BB2706" w:rsidRDefault="00000000">
      <w:pPr>
        <w:pStyle w:val="Sadraj2"/>
        <w:rPr>
          <w:rFonts w:eastAsiaTheme="minorEastAsia"/>
          <w:noProof/>
          <w:lang w:eastAsia="hr-HR"/>
        </w:rPr>
      </w:pPr>
      <w:hyperlink w:anchor="_Toc125364448" w:history="1">
        <w:r w:rsidR="00BB2706" w:rsidRPr="0013783F">
          <w:rPr>
            <w:rStyle w:val="Hiperveza"/>
            <w:noProof/>
          </w:rPr>
          <w:t xml:space="preserve">Tablica 59. </w:t>
        </w:r>
        <w:r w:rsidR="00BB2706" w:rsidRPr="0013783F">
          <w:rPr>
            <w:rStyle w:val="Hiperveza"/>
            <w:bCs/>
            <w:noProof/>
          </w:rPr>
          <w:t>Procjena potrebnih ulaganja u izgradnju i/ili nadogradnju sortirnica kompostana i bioplinskih postrojenja – SCENARIJ 2</w:t>
        </w:r>
        <w:r w:rsidR="00BB2706">
          <w:rPr>
            <w:noProof/>
            <w:webHidden/>
          </w:rPr>
          <w:tab/>
        </w:r>
        <w:r w:rsidR="00BB2706">
          <w:rPr>
            <w:noProof/>
            <w:webHidden/>
          </w:rPr>
          <w:fldChar w:fldCharType="begin"/>
        </w:r>
        <w:r w:rsidR="00BB2706">
          <w:rPr>
            <w:noProof/>
            <w:webHidden/>
          </w:rPr>
          <w:instrText xml:space="preserve"> PAGEREF _Toc125364448 \h </w:instrText>
        </w:r>
        <w:r w:rsidR="00BB2706">
          <w:rPr>
            <w:noProof/>
            <w:webHidden/>
          </w:rPr>
        </w:r>
        <w:r w:rsidR="00BB2706">
          <w:rPr>
            <w:noProof/>
            <w:webHidden/>
          </w:rPr>
          <w:fldChar w:fldCharType="separate"/>
        </w:r>
        <w:r w:rsidR="00F37B62">
          <w:rPr>
            <w:noProof/>
            <w:webHidden/>
          </w:rPr>
          <w:t>140</w:t>
        </w:r>
        <w:r w:rsidR="00BB2706">
          <w:rPr>
            <w:noProof/>
            <w:webHidden/>
          </w:rPr>
          <w:fldChar w:fldCharType="end"/>
        </w:r>
      </w:hyperlink>
    </w:p>
    <w:p w14:paraId="6D1AF6C9" w14:textId="26A61262" w:rsidR="00BB2706" w:rsidRDefault="00000000">
      <w:pPr>
        <w:pStyle w:val="Sadraj2"/>
        <w:rPr>
          <w:rFonts w:eastAsiaTheme="minorEastAsia"/>
          <w:noProof/>
          <w:lang w:eastAsia="hr-HR"/>
        </w:rPr>
      </w:pPr>
      <w:hyperlink w:anchor="_Toc125364449" w:history="1">
        <w:r w:rsidR="00BB2706" w:rsidRPr="0013783F">
          <w:rPr>
            <w:rStyle w:val="Hiperveza"/>
            <w:noProof/>
          </w:rPr>
          <w:t xml:space="preserve">Tablica 60. </w:t>
        </w:r>
        <w:r w:rsidR="00BB2706" w:rsidRPr="0013783F">
          <w:rPr>
            <w:rStyle w:val="Hiperveza"/>
            <w:bCs/>
            <w:noProof/>
          </w:rPr>
          <w:t>Procjena potrebnih ulaganja u izgradnju postrojenja za obradu građevnog otpada</w:t>
        </w:r>
        <w:r w:rsidR="00BB2706">
          <w:rPr>
            <w:noProof/>
            <w:webHidden/>
          </w:rPr>
          <w:tab/>
        </w:r>
        <w:r w:rsidR="00BB2706">
          <w:rPr>
            <w:noProof/>
            <w:webHidden/>
          </w:rPr>
          <w:fldChar w:fldCharType="begin"/>
        </w:r>
        <w:r w:rsidR="00BB2706">
          <w:rPr>
            <w:noProof/>
            <w:webHidden/>
          </w:rPr>
          <w:instrText xml:space="preserve"> PAGEREF _Toc125364449 \h </w:instrText>
        </w:r>
        <w:r w:rsidR="00BB2706">
          <w:rPr>
            <w:noProof/>
            <w:webHidden/>
          </w:rPr>
        </w:r>
        <w:r w:rsidR="00BB2706">
          <w:rPr>
            <w:noProof/>
            <w:webHidden/>
          </w:rPr>
          <w:fldChar w:fldCharType="separate"/>
        </w:r>
        <w:r w:rsidR="00F37B62">
          <w:rPr>
            <w:noProof/>
            <w:webHidden/>
          </w:rPr>
          <w:t>141</w:t>
        </w:r>
        <w:r w:rsidR="00BB2706">
          <w:rPr>
            <w:noProof/>
            <w:webHidden/>
          </w:rPr>
          <w:fldChar w:fldCharType="end"/>
        </w:r>
      </w:hyperlink>
    </w:p>
    <w:p w14:paraId="3E7A5CEE" w14:textId="6B25B31A" w:rsidR="00BB2706" w:rsidRDefault="00000000">
      <w:pPr>
        <w:pStyle w:val="Sadraj2"/>
        <w:rPr>
          <w:rFonts w:eastAsiaTheme="minorEastAsia"/>
          <w:noProof/>
          <w:lang w:eastAsia="hr-HR"/>
        </w:rPr>
      </w:pPr>
      <w:hyperlink w:anchor="_Toc125364450" w:history="1">
        <w:r w:rsidR="00BB2706" w:rsidRPr="0013783F">
          <w:rPr>
            <w:rStyle w:val="Hiperveza"/>
            <w:noProof/>
          </w:rPr>
          <w:t xml:space="preserve">Tablica 61. </w:t>
        </w:r>
        <w:r w:rsidR="00BB2706" w:rsidRPr="0013783F">
          <w:rPr>
            <w:rStyle w:val="Hiperveza"/>
            <w:bCs/>
            <w:noProof/>
          </w:rPr>
          <w:t>Procjena potrebnih ulaganja u izgradnju postrojenja za recikliranje plastike -  SCENARIJ 1</w:t>
        </w:r>
        <w:r w:rsidR="00BB2706">
          <w:rPr>
            <w:noProof/>
            <w:webHidden/>
          </w:rPr>
          <w:tab/>
        </w:r>
        <w:r w:rsidR="00BB2706">
          <w:rPr>
            <w:noProof/>
            <w:webHidden/>
          </w:rPr>
          <w:fldChar w:fldCharType="begin"/>
        </w:r>
        <w:r w:rsidR="00BB2706">
          <w:rPr>
            <w:noProof/>
            <w:webHidden/>
          </w:rPr>
          <w:instrText xml:space="preserve"> PAGEREF _Toc125364450 \h </w:instrText>
        </w:r>
        <w:r w:rsidR="00BB2706">
          <w:rPr>
            <w:noProof/>
            <w:webHidden/>
          </w:rPr>
        </w:r>
        <w:r w:rsidR="00BB2706">
          <w:rPr>
            <w:noProof/>
            <w:webHidden/>
          </w:rPr>
          <w:fldChar w:fldCharType="separate"/>
        </w:r>
        <w:r w:rsidR="00F37B62">
          <w:rPr>
            <w:noProof/>
            <w:webHidden/>
          </w:rPr>
          <w:t>142</w:t>
        </w:r>
        <w:r w:rsidR="00BB2706">
          <w:rPr>
            <w:noProof/>
            <w:webHidden/>
          </w:rPr>
          <w:fldChar w:fldCharType="end"/>
        </w:r>
      </w:hyperlink>
    </w:p>
    <w:p w14:paraId="774BDD1E" w14:textId="71D15309" w:rsidR="00BB2706" w:rsidRDefault="00000000">
      <w:pPr>
        <w:pStyle w:val="Sadraj2"/>
        <w:rPr>
          <w:rFonts w:eastAsiaTheme="minorEastAsia"/>
          <w:noProof/>
          <w:lang w:eastAsia="hr-HR"/>
        </w:rPr>
      </w:pPr>
      <w:hyperlink w:anchor="_Toc125364451" w:history="1">
        <w:r w:rsidR="00BB2706" w:rsidRPr="0013783F">
          <w:rPr>
            <w:rStyle w:val="Hiperveza"/>
            <w:noProof/>
          </w:rPr>
          <w:t xml:space="preserve">Tablica 62. </w:t>
        </w:r>
        <w:r w:rsidR="00BB2706" w:rsidRPr="0013783F">
          <w:rPr>
            <w:rStyle w:val="Hiperveza"/>
            <w:bCs/>
            <w:noProof/>
          </w:rPr>
          <w:t>Procjena potrebnih ulaganja u izgradnju postrojenja za recikliranje plastike -  SCENARIJ 2</w:t>
        </w:r>
        <w:r w:rsidR="00BB2706">
          <w:rPr>
            <w:noProof/>
            <w:webHidden/>
          </w:rPr>
          <w:tab/>
        </w:r>
        <w:r w:rsidR="00BB2706">
          <w:rPr>
            <w:noProof/>
            <w:webHidden/>
          </w:rPr>
          <w:fldChar w:fldCharType="begin"/>
        </w:r>
        <w:r w:rsidR="00BB2706">
          <w:rPr>
            <w:noProof/>
            <w:webHidden/>
          </w:rPr>
          <w:instrText xml:space="preserve"> PAGEREF _Toc125364451 \h </w:instrText>
        </w:r>
        <w:r w:rsidR="00BB2706">
          <w:rPr>
            <w:noProof/>
            <w:webHidden/>
          </w:rPr>
        </w:r>
        <w:r w:rsidR="00BB2706">
          <w:rPr>
            <w:noProof/>
            <w:webHidden/>
          </w:rPr>
          <w:fldChar w:fldCharType="separate"/>
        </w:r>
        <w:r w:rsidR="00F37B62">
          <w:rPr>
            <w:noProof/>
            <w:webHidden/>
          </w:rPr>
          <w:t>142</w:t>
        </w:r>
        <w:r w:rsidR="00BB2706">
          <w:rPr>
            <w:noProof/>
            <w:webHidden/>
          </w:rPr>
          <w:fldChar w:fldCharType="end"/>
        </w:r>
      </w:hyperlink>
    </w:p>
    <w:p w14:paraId="346EACC1" w14:textId="648E5ABD" w:rsidR="00BB2706" w:rsidRDefault="00000000">
      <w:pPr>
        <w:pStyle w:val="Sadraj2"/>
        <w:rPr>
          <w:rFonts w:eastAsiaTheme="minorEastAsia"/>
          <w:noProof/>
          <w:lang w:eastAsia="hr-HR"/>
        </w:rPr>
      </w:pPr>
      <w:hyperlink w:anchor="_Toc125364452" w:history="1">
        <w:r w:rsidR="00BB2706" w:rsidRPr="0013783F">
          <w:rPr>
            <w:rStyle w:val="Hiperveza"/>
            <w:noProof/>
          </w:rPr>
          <w:t xml:space="preserve">Tablica 63. </w:t>
        </w:r>
        <w:r w:rsidR="00BB2706" w:rsidRPr="0013783F">
          <w:rPr>
            <w:rStyle w:val="Hiperveza"/>
            <w:bCs/>
            <w:noProof/>
          </w:rPr>
          <w:t>Procjena troškova zatvaranja svih aktivnih odlagališta neopasnog otpada</w:t>
        </w:r>
        <w:r w:rsidR="00BB2706">
          <w:rPr>
            <w:noProof/>
            <w:webHidden/>
          </w:rPr>
          <w:tab/>
        </w:r>
        <w:r w:rsidR="00BB2706">
          <w:rPr>
            <w:noProof/>
            <w:webHidden/>
          </w:rPr>
          <w:fldChar w:fldCharType="begin"/>
        </w:r>
        <w:r w:rsidR="00BB2706">
          <w:rPr>
            <w:noProof/>
            <w:webHidden/>
          </w:rPr>
          <w:instrText xml:space="preserve"> PAGEREF _Toc125364452 \h </w:instrText>
        </w:r>
        <w:r w:rsidR="00BB2706">
          <w:rPr>
            <w:noProof/>
            <w:webHidden/>
          </w:rPr>
        </w:r>
        <w:r w:rsidR="00BB2706">
          <w:rPr>
            <w:noProof/>
            <w:webHidden/>
          </w:rPr>
          <w:fldChar w:fldCharType="separate"/>
        </w:r>
        <w:r w:rsidR="00F37B62">
          <w:rPr>
            <w:noProof/>
            <w:webHidden/>
          </w:rPr>
          <w:t>143</w:t>
        </w:r>
        <w:r w:rsidR="00BB2706">
          <w:rPr>
            <w:noProof/>
            <w:webHidden/>
          </w:rPr>
          <w:fldChar w:fldCharType="end"/>
        </w:r>
      </w:hyperlink>
    </w:p>
    <w:p w14:paraId="14E62E79" w14:textId="4CFB0AD0" w:rsidR="00BB2706" w:rsidRDefault="00000000">
      <w:pPr>
        <w:pStyle w:val="Sadraj2"/>
        <w:rPr>
          <w:rFonts w:eastAsiaTheme="minorEastAsia"/>
          <w:noProof/>
          <w:lang w:eastAsia="hr-HR"/>
        </w:rPr>
      </w:pPr>
      <w:hyperlink w:anchor="_Toc125364453" w:history="1">
        <w:r w:rsidR="00BB2706" w:rsidRPr="0013783F">
          <w:rPr>
            <w:rStyle w:val="Hiperveza"/>
            <w:noProof/>
          </w:rPr>
          <w:t xml:space="preserve">Tablica 64. </w:t>
        </w:r>
        <w:r w:rsidR="00BB2706" w:rsidRPr="0013783F">
          <w:rPr>
            <w:rStyle w:val="Hiperveza"/>
            <w:bCs/>
            <w:noProof/>
          </w:rPr>
          <w:t>Procjena troškova izgradnje centara za gospodarenje otpadom – SCENARIJ 1</w:t>
        </w:r>
        <w:r w:rsidR="00BB2706">
          <w:rPr>
            <w:noProof/>
            <w:webHidden/>
          </w:rPr>
          <w:tab/>
        </w:r>
        <w:r w:rsidR="00BB2706">
          <w:rPr>
            <w:noProof/>
            <w:webHidden/>
          </w:rPr>
          <w:fldChar w:fldCharType="begin"/>
        </w:r>
        <w:r w:rsidR="00BB2706">
          <w:rPr>
            <w:noProof/>
            <w:webHidden/>
          </w:rPr>
          <w:instrText xml:space="preserve"> PAGEREF _Toc125364453 \h </w:instrText>
        </w:r>
        <w:r w:rsidR="00BB2706">
          <w:rPr>
            <w:noProof/>
            <w:webHidden/>
          </w:rPr>
        </w:r>
        <w:r w:rsidR="00BB2706">
          <w:rPr>
            <w:noProof/>
            <w:webHidden/>
          </w:rPr>
          <w:fldChar w:fldCharType="separate"/>
        </w:r>
        <w:r w:rsidR="00F37B62">
          <w:rPr>
            <w:noProof/>
            <w:webHidden/>
          </w:rPr>
          <w:t>144</w:t>
        </w:r>
        <w:r w:rsidR="00BB2706">
          <w:rPr>
            <w:noProof/>
            <w:webHidden/>
          </w:rPr>
          <w:fldChar w:fldCharType="end"/>
        </w:r>
      </w:hyperlink>
    </w:p>
    <w:p w14:paraId="5D91A0F0" w14:textId="3E80612C" w:rsidR="00BB2706" w:rsidRDefault="00000000">
      <w:pPr>
        <w:pStyle w:val="Sadraj2"/>
        <w:rPr>
          <w:rFonts w:eastAsiaTheme="minorEastAsia"/>
          <w:noProof/>
          <w:lang w:eastAsia="hr-HR"/>
        </w:rPr>
      </w:pPr>
      <w:hyperlink w:anchor="_Toc125364454" w:history="1">
        <w:r w:rsidR="00BB2706" w:rsidRPr="0013783F">
          <w:rPr>
            <w:rStyle w:val="Hiperveza"/>
            <w:noProof/>
          </w:rPr>
          <w:t xml:space="preserve">Tablica 65. </w:t>
        </w:r>
        <w:r w:rsidR="00BB2706" w:rsidRPr="0013783F">
          <w:rPr>
            <w:rStyle w:val="Hiperveza"/>
            <w:bCs/>
            <w:noProof/>
          </w:rPr>
          <w:t>Procjena troškova izgradnje centara za gospodarenje otpadom – SCENARIJ 2</w:t>
        </w:r>
        <w:r w:rsidR="00BB2706">
          <w:rPr>
            <w:noProof/>
            <w:webHidden/>
          </w:rPr>
          <w:tab/>
        </w:r>
        <w:r w:rsidR="00BB2706">
          <w:rPr>
            <w:noProof/>
            <w:webHidden/>
          </w:rPr>
          <w:fldChar w:fldCharType="begin"/>
        </w:r>
        <w:r w:rsidR="00BB2706">
          <w:rPr>
            <w:noProof/>
            <w:webHidden/>
          </w:rPr>
          <w:instrText xml:space="preserve"> PAGEREF _Toc125364454 \h </w:instrText>
        </w:r>
        <w:r w:rsidR="00BB2706">
          <w:rPr>
            <w:noProof/>
            <w:webHidden/>
          </w:rPr>
        </w:r>
        <w:r w:rsidR="00BB2706">
          <w:rPr>
            <w:noProof/>
            <w:webHidden/>
          </w:rPr>
          <w:fldChar w:fldCharType="separate"/>
        </w:r>
        <w:r w:rsidR="00F37B62">
          <w:rPr>
            <w:noProof/>
            <w:webHidden/>
          </w:rPr>
          <w:t>144</w:t>
        </w:r>
        <w:r w:rsidR="00BB2706">
          <w:rPr>
            <w:noProof/>
            <w:webHidden/>
          </w:rPr>
          <w:fldChar w:fldCharType="end"/>
        </w:r>
      </w:hyperlink>
    </w:p>
    <w:p w14:paraId="36D7EDE1" w14:textId="0A88E791" w:rsidR="00BB2706" w:rsidRDefault="00000000">
      <w:pPr>
        <w:pStyle w:val="Sadraj2"/>
        <w:rPr>
          <w:rFonts w:eastAsiaTheme="minorEastAsia"/>
          <w:noProof/>
          <w:lang w:eastAsia="hr-HR"/>
        </w:rPr>
      </w:pPr>
      <w:hyperlink w:anchor="_Toc125364455" w:history="1">
        <w:r w:rsidR="00BB2706" w:rsidRPr="0013783F">
          <w:rPr>
            <w:rStyle w:val="Hiperveza"/>
            <w:noProof/>
          </w:rPr>
          <w:t xml:space="preserve">Tablica 66. </w:t>
        </w:r>
        <w:r w:rsidR="00BB2706" w:rsidRPr="0013783F">
          <w:rPr>
            <w:rStyle w:val="Hiperveza"/>
            <w:bCs/>
            <w:noProof/>
          </w:rPr>
          <w:t>Odnos ciljeva i mjera za postizanje ciljeva EU-a definiranih u PGO 2023 – 2028</w:t>
        </w:r>
        <w:r w:rsidR="00BB2706">
          <w:rPr>
            <w:noProof/>
            <w:webHidden/>
          </w:rPr>
          <w:tab/>
        </w:r>
        <w:r w:rsidR="00BB2706">
          <w:rPr>
            <w:noProof/>
            <w:webHidden/>
          </w:rPr>
          <w:fldChar w:fldCharType="begin"/>
        </w:r>
        <w:r w:rsidR="00BB2706">
          <w:rPr>
            <w:noProof/>
            <w:webHidden/>
          </w:rPr>
          <w:instrText xml:space="preserve"> PAGEREF _Toc125364455 \h </w:instrText>
        </w:r>
        <w:r w:rsidR="00BB2706">
          <w:rPr>
            <w:noProof/>
            <w:webHidden/>
          </w:rPr>
        </w:r>
        <w:r w:rsidR="00BB2706">
          <w:rPr>
            <w:noProof/>
            <w:webHidden/>
          </w:rPr>
          <w:fldChar w:fldCharType="separate"/>
        </w:r>
        <w:r w:rsidR="00F37B62">
          <w:rPr>
            <w:noProof/>
            <w:webHidden/>
          </w:rPr>
          <w:t>153</w:t>
        </w:r>
        <w:r w:rsidR="00BB2706">
          <w:rPr>
            <w:noProof/>
            <w:webHidden/>
          </w:rPr>
          <w:fldChar w:fldCharType="end"/>
        </w:r>
      </w:hyperlink>
    </w:p>
    <w:p w14:paraId="14CDB0A6" w14:textId="419DF99C" w:rsidR="00BB2706" w:rsidRDefault="00000000">
      <w:pPr>
        <w:pStyle w:val="Sadraj2"/>
        <w:rPr>
          <w:rFonts w:eastAsiaTheme="minorEastAsia"/>
          <w:noProof/>
          <w:lang w:eastAsia="hr-HR"/>
        </w:rPr>
      </w:pPr>
      <w:hyperlink w:anchor="_Toc125364456" w:history="1">
        <w:r w:rsidR="00BB2706" w:rsidRPr="0013783F">
          <w:rPr>
            <w:rStyle w:val="Hiperveza"/>
            <w:noProof/>
          </w:rPr>
          <w:t>Tablica 67. Mogući izvori financiranja mjera</w:t>
        </w:r>
        <w:r w:rsidR="00BB2706">
          <w:rPr>
            <w:noProof/>
            <w:webHidden/>
          </w:rPr>
          <w:tab/>
        </w:r>
        <w:r w:rsidR="00BB2706">
          <w:rPr>
            <w:noProof/>
            <w:webHidden/>
          </w:rPr>
          <w:fldChar w:fldCharType="begin"/>
        </w:r>
        <w:r w:rsidR="00BB2706">
          <w:rPr>
            <w:noProof/>
            <w:webHidden/>
          </w:rPr>
          <w:instrText xml:space="preserve"> PAGEREF _Toc125364456 \h </w:instrText>
        </w:r>
        <w:r w:rsidR="00BB2706">
          <w:rPr>
            <w:noProof/>
            <w:webHidden/>
          </w:rPr>
        </w:r>
        <w:r w:rsidR="00BB2706">
          <w:rPr>
            <w:noProof/>
            <w:webHidden/>
          </w:rPr>
          <w:fldChar w:fldCharType="separate"/>
        </w:r>
        <w:r w:rsidR="00F37B62">
          <w:rPr>
            <w:noProof/>
            <w:webHidden/>
          </w:rPr>
          <w:t>184</w:t>
        </w:r>
        <w:r w:rsidR="00BB2706">
          <w:rPr>
            <w:noProof/>
            <w:webHidden/>
          </w:rPr>
          <w:fldChar w:fldCharType="end"/>
        </w:r>
      </w:hyperlink>
    </w:p>
    <w:p w14:paraId="31FE96F7" w14:textId="460D9764" w:rsidR="00BB2706" w:rsidRDefault="00000000">
      <w:pPr>
        <w:pStyle w:val="Sadraj2"/>
        <w:rPr>
          <w:rFonts w:eastAsiaTheme="minorEastAsia"/>
          <w:noProof/>
          <w:lang w:eastAsia="hr-HR"/>
        </w:rPr>
      </w:pPr>
      <w:hyperlink w:anchor="_Toc125364457" w:history="1">
        <w:r w:rsidR="00BB2706" w:rsidRPr="0013783F">
          <w:rPr>
            <w:rStyle w:val="Hiperveza"/>
            <w:noProof/>
          </w:rPr>
          <w:t>Tablica 68. Indikativni omjeri financiranja po izvorima i godinama</w:t>
        </w:r>
        <w:r w:rsidR="00BB2706">
          <w:rPr>
            <w:noProof/>
            <w:webHidden/>
          </w:rPr>
          <w:tab/>
        </w:r>
        <w:r w:rsidR="00BB2706">
          <w:rPr>
            <w:noProof/>
            <w:webHidden/>
          </w:rPr>
          <w:fldChar w:fldCharType="begin"/>
        </w:r>
        <w:r w:rsidR="00BB2706">
          <w:rPr>
            <w:noProof/>
            <w:webHidden/>
          </w:rPr>
          <w:instrText xml:space="preserve"> PAGEREF _Toc125364457 \h </w:instrText>
        </w:r>
        <w:r w:rsidR="00BB2706">
          <w:rPr>
            <w:noProof/>
            <w:webHidden/>
          </w:rPr>
        </w:r>
        <w:r w:rsidR="00BB2706">
          <w:rPr>
            <w:noProof/>
            <w:webHidden/>
          </w:rPr>
          <w:fldChar w:fldCharType="separate"/>
        </w:r>
        <w:r w:rsidR="00F37B62">
          <w:rPr>
            <w:noProof/>
            <w:webHidden/>
          </w:rPr>
          <w:t>186</w:t>
        </w:r>
        <w:r w:rsidR="00BB2706">
          <w:rPr>
            <w:noProof/>
            <w:webHidden/>
          </w:rPr>
          <w:fldChar w:fldCharType="end"/>
        </w:r>
      </w:hyperlink>
    </w:p>
    <w:p w14:paraId="0EF24039" w14:textId="4601087A" w:rsidR="00BB2706" w:rsidRDefault="00000000">
      <w:pPr>
        <w:pStyle w:val="Sadraj2"/>
        <w:rPr>
          <w:rFonts w:eastAsiaTheme="minorEastAsia"/>
          <w:noProof/>
          <w:lang w:eastAsia="hr-HR"/>
        </w:rPr>
      </w:pPr>
      <w:hyperlink w:anchor="_Toc125364458" w:history="1">
        <w:r w:rsidR="00BB2706" w:rsidRPr="0013783F">
          <w:rPr>
            <w:rStyle w:val="Hiperveza"/>
            <w:noProof/>
          </w:rPr>
          <w:t>Tablica 69. Procjena financijskih sredstava potrebnih za provedbu mjera Plana</w:t>
        </w:r>
        <w:r w:rsidR="00BB2706">
          <w:rPr>
            <w:noProof/>
            <w:webHidden/>
          </w:rPr>
          <w:tab/>
        </w:r>
        <w:r w:rsidR="00BB2706">
          <w:rPr>
            <w:noProof/>
            <w:webHidden/>
          </w:rPr>
          <w:fldChar w:fldCharType="begin"/>
        </w:r>
        <w:r w:rsidR="00BB2706">
          <w:rPr>
            <w:noProof/>
            <w:webHidden/>
          </w:rPr>
          <w:instrText xml:space="preserve"> PAGEREF _Toc125364458 \h </w:instrText>
        </w:r>
        <w:r w:rsidR="00BB2706">
          <w:rPr>
            <w:noProof/>
            <w:webHidden/>
          </w:rPr>
        </w:r>
        <w:r w:rsidR="00BB2706">
          <w:rPr>
            <w:noProof/>
            <w:webHidden/>
          </w:rPr>
          <w:fldChar w:fldCharType="separate"/>
        </w:r>
        <w:r w:rsidR="00F37B62">
          <w:rPr>
            <w:noProof/>
            <w:webHidden/>
          </w:rPr>
          <w:t>186</w:t>
        </w:r>
        <w:r w:rsidR="00BB2706">
          <w:rPr>
            <w:noProof/>
            <w:webHidden/>
          </w:rPr>
          <w:fldChar w:fldCharType="end"/>
        </w:r>
      </w:hyperlink>
    </w:p>
    <w:p w14:paraId="7E9690E9" w14:textId="4695B386" w:rsidR="00BB2706" w:rsidRDefault="00000000">
      <w:pPr>
        <w:pStyle w:val="Sadraj2"/>
        <w:rPr>
          <w:rFonts w:eastAsiaTheme="minorEastAsia"/>
          <w:noProof/>
          <w:lang w:eastAsia="hr-HR"/>
        </w:rPr>
      </w:pPr>
      <w:hyperlink w:anchor="_Toc125364459" w:history="1">
        <w:r w:rsidR="00BB2706" w:rsidRPr="0013783F">
          <w:rPr>
            <w:rStyle w:val="Hiperveza"/>
            <w:noProof/>
          </w:rPr>
          <w:t>Tablica 70. Terminski plan provedbe plana gospodarenjem otpadom Republike Hrvatske</w:t>
        </w:r>
        <w:r w:rsidR="00BB2706">
          <w:rPr>
            <w:noProof/>
            <w:webHidden/>
          </w:rPr>
          <w:tab/>
        </w:r>
        <w:r w:rsidR="00BB2706">
          <w:rPr>
            <w:noProof/>
            <w:webHidden/>
          </w:rPr>
          <w:fldChar w:fldCharType="begin"/>
        </w:r>
        <w:r w:rsidR="00BB2706">
          <w:rPr>
            <w:noProof/>
            <w:webHidden/>
          </w:rPr>
          <w:instrText xml:space="preserve"> PAGEREF _Toc125364459 \h </w:instrText>
        </w:r>
        <w:r w:rsidR="00BB2706">
          <w:rPr>
            <w:noProof/>
            <w:webHidden/>
          </w:rPr>
        </w:r>
        <w:r w:rsidR="00BB2706">
          <w:rPr>
            <w:noProof/>
            <w:webHidden/>
          </w:rPr>
          <w:fldChar w:fldCharType="separate"/>
        </w:r>
        <w:r w:rsidR="00F37B62">
          <w:rPr>
            <w:noProof/>
            <w:webHidden/>
          </w:rPr>
          <w:t>189</w:t>
        </w:r>
        <w:r w:rsidR="00BB2706">
          <w:rPr>
            <w:noProof/>
            <w:webHidden/>
          </w:rPr>
          <w:fldChar w:fldCharType="end"/>
        </w:r>
      </w:hyperlink>
    </w:p>
    <w:p w14:paraId="71424269" w14:textId="55F3AE4F" w:rsidR="00BB2706" w:rsidRDefault="00000000">
      <w:pPr>
        <w:pStyle w:val="Sadraj2"/>
        <w:rPr>
          <w:rFonts w:eastAsiaTheme="minorEastAsia"/>
          <w:noProof/>
          <w:lang w:eastAsia="hr-HR"/>
        </w:rPr>
      </w:pPr>
      <w:hyperlink w:anchor="_Toc125364460" w:history="1">
        <w:r w:rsidR="00BB2706" w:rsidRPr="0013783F">
          <w:rPr>
            <w:rStyle w:val="Hiperveza"/>
            <w:noProof/>
          </w:rPr>
          <w:t>Tablica 71. Potrošnja plastičnih vrećica u RH</w:t>
        </w:r>
        <w:r w:rsidR="00BB2706">
          <w:rPr>
            <w:noProof/>
            <w:webHidden/>
          </w:rPr>
          <w:tab/>
        </w:r>
        <w:r w:rsidR="00BB2706">
          <w:rPr>
            <w:noProof/>
            <w:webHidden/>
          </w:rPr>
          <w:fldChar w:fldCharType="begin"/>
        </w:r>
        <w:r w:rsidR="00BB2706">
          <w:rPr>
            <w:noProof/>
            <w:webHidden/>
          </w:rPr>
          <w:instrText xml:space="preserve"> PAGEREF _Toc125364460 \h </w:instrText>
        </w:r>
        <w:r w:rsidR="00BB2706">
          <w:rPr>
            <w:noProof/>
            <w:webHidden/>
          </w:rPr>
        </w:r>
        <w:r w:rsidR="00BB2706">
          <w:rPr>
            <w:noProof/>
            <w:webHidden/>
          </w:rPr>
          <w:fldChar w:fldCharType="separate"/>
        </w:r>
        <w:r w:rsidR="00F37B62">
          <w:rPr>
            <w:noProof/>
            <w:webHidden/>
          </w:rPr>
          <w:t>198</w:t>
        </w:r>
        <w:r w:rsidR="00BB2706">
          <w:rPr>
            <w:noProof/>
            <w:webHidden/>
          </w:rPr>
          <w:fldChar w:fldCharType="end"/>
        </w:r>
      </w:hyperlink>
    </w:p>
    <w:p w14:paraId="15FABB72" w14:textId="53538A2F" w:rsidR="00BB2706" w:rsidRDefault="00000000">
      <w:pPr>
        <w:pStyle w:val="Sadraj2"/>
        <w:rPr>
          <w:rFonts w:eastAsiaTheme="minorEastAsia"/>
          <w:noProof/>
          <w:lang w:eastAsia="hr-HR"/>
        </w:rPr>
      </w:pPr>
      <w:hyperlink w:anchor="_Toc125364461" w:history="1">
        <w:r w:rsidR="00BB2706" w:rsidRPr="0013783F">
          <w:rPr>
            <w:rStyle w:val="Hiperveza"/>
            <w:noProof/>
          </w:rPr>
          <w:t xml:space="preserve">Tablica 72. </w:t>
        </w:r>
        <w:r w:rsidR="00BB2706" w:rsidRPr="0013783F">
          <w:rPr>
            <w:rStyle w:val="Hiperveza"/>
            <w:bCs/>
            <w:noProof/>
          </w:rPr>
          <w:t>Količine nastalog otpada od hrane u 2020. godini prema porijeklu</w:t>
        </w:r>
        <w:r w:rsidR="00BB2706">
          <w:rPr>
            <w:noProof/>
            <w:webHidden/>
          </w:rPr>
          <w:tab/>
        </w:r>
        <w:r w:rsidR="00BB2706">
          <w:rPr>
            <w:noProof/>
            <w:webHidden/>
          </w:rPr>
          <w:fldChar w:fldCharType="begin"/>
        </w:r>
        <w:r w:rsidR="00BB2706">
          <w:rPr>
            <w:noProof/>
            <w:webHidden/>
          </w:rPr>
          <w:instrText xml:space="preserve"> PAGEREF _Toc125364461 \h </w:instrText>
        </w:r>
        <w:r w:rsidR="00BB2706">
          <w:rPr>
            <w:noProof/>
            <w:webHidden/>
          </w:rPr>
        </w:r>
        <w:r w:rsidR="00BB2706">
          <w:rPr>
            <w:noProof/>
            <w:webHidden/>
          </w:rPr>
          <w:fldChar w:fldCharType="separate"/>
        </w:r>
        <w:r w:rsidR="00F37B62">
          <w:rPr>
            <w:noProof/>
            <w:webHidden/>
          </w:rPr>
          <w:t>200</w:t>
        </w:r>
        <w:r w:rsidR="00BB2706">
          <w:rPr>
            <w:noProof/>
            <w:webHidden/>
          </w:rPr>
          <w:fldChar w:fldCharType="end"/>
        </w:r>
      </w:hyperlink>
    </w:p>
    <w:p w14:paraId="4EF5BD49" w14:textId="749E5D6F" w:rsidR="00BB2706" w:rsidRDefault="00000000">
      <w:pPr>
        <w:pStyle w:val="Sadraj2"/>
        <w:rPr>
          <w:rFonts w:eastAsiaTheme="minorEastAsia"/>
          <w:noProof/>
          <w:lang w:eastAsia="hr-HR"/>
        </w:rPr>
      </w:pPr>
      <w:hyperlink w:anchor="_Toc125364462" w:history="1">
        <w:r w:rsidR="00BB2706" w:rsidRPr="0013783F">
          <w:rPr>
            <w:rStyle w:val="Hiperveza"/>
            <w:noProof/>
          </w:rPr>
          <w:t xml:space="preserve">Tablica 73. </w:t>
        </w:r>
        <w:r w:rsidR="00BB2706" w:rsidRPr="0013783F">
          <w:rPr>
            <w:rStyle w:val="Hiperveza"/>
            <w:bCs/>
            <w:noProof/>
          </w:rPr>
          <w:t>Broj dodijeljenih potvrda EU Ecolabel u RH u razdoblju od 2017. – 2022. godine</w:t>
        </w:r>
        <w:r w:rsidR="00BB2706">
          <w:rPr>
            <w:noProof/>
            <w:webHidden/>
          </w:rPr>
          <w:tab/>
        </w:r>
        <w:r w:rsidR="00BB2706">
          <w:rPr>
            <w:noProof/>
            <w:webHidden/>
          </w:rPr>
          <w:fldChar w:fldCharType="begin"/>
        </w:r>
        <w:r w:rsidR="00BB2706">
          <w:rPr>
            <w:noProof/>
            <w:webHidden/>
          </w:rPr>
          <w:instrText xml:space="preserve"> PAGEREF _Toc125364462 \h </w:instrText>
        </w:r>
        <w:r w:rsidR="00BB2706">
          <w:rPr>
            <w:noProof/>
            <w:webHidden/>
          </w:rPr>
        </w:r>
        <w:r w:rsidR="00BB2706">
          <w:rPr>
            <w:noProof/>
            <w:webHidden/>
          </w:rPr>
          <w:fldChar w:fldCharType="separate"/>
        </w:r>
        <w:r w:rsidR="00F37B62">
          <w:rPr>
            <w:noProof/>
            <w:webHidden/>
          </w:rPr>
          <w:t>202</w:t>
        </w:r>
        <w:r w:rsidR="00BB2706">
          <w:rPr>
            <w:noProof/>
            <w:webHidden/>
          </w:rPr>
          <w:fldChar w:fldCharType="end"/>
        </w:r>
      </w:hyperlink>
    </w:p>
    <w:p w14:paraId="446B6E30" w14:textId="3819556A" w:rsidR="00BB2706" w:rsidRDefault="00000000">
      <w:pPr>
        <w:pStyle w:val="Sadraj2"/>
        <w:rPr>
          <w:rFonts w:eastAsiaTheme="minorEastAsia"/>
          <w:noProof/>
          <w:lang w:eastAsia="hr-HR"/>
        </w:rPr>
      </w:pPr>
      <w:hyperlink w:anchor="_Toc125364463" w:history="1">
        <w:r w:rsidR="00BB2706" w:rsidRPr="0013783F">
          <w:rPr>
            <w:rStyle w:val="Hiperveza"/>
            <w:noProof/>
          </w:rPr>
          <w:t xml:space="preserve">Tablica 74. </w:t>
        </w:r>
        <w:r w:rsidR="00BB2706" w:rsidRPr="0013783F">
          <w:rPr>
            <w:rStyle w:val="Hiperveza"/>
            <w:bCs/>
            <w:noProof/>
          </w:rPr>
          <w:t>Pregled kampanja i projekata na temu sprječavanja nastanka otpada organiziranih od strane FZOEU</w:t>
        </w:r>
        <w:r w:rsidR="00BB2706">
          <w:rPr>
            <w:noProof/>
            <w:webHidden/>
          </w:rPr>
          <w:tab/>
        </w:r>
        <w:r w:rsidR="00BB2706">
          <w:rPr>
            <w:noProof/>
            <w:webHidden/>
          </w:rPr>
          <w:fldChar w:fldCharType="begin"/>
        </w:r>
        <w:r w:rsidR="00BB2706">
          <w:rPr>
            <w:noProof/>
            <w:webHidden/>
          </w:rPr>
          <w:instrText xml:space="preserve"> PAGEREF _Toc125364463 \h </w:instrText>
        </w:r>
        <w:r w:rsidR="00BB2706">
          <w:rPr>
            <w:noProof/>
            <w:webHidden/>
          </w:rPr>
        </w:r>
        <w:r w:rsidR="00BB2706">
          <w:rPr>
            <w:noProof/>
            <w:webHidden/>
          </w:rPr>
          <w:fldChar w:fldCharType="separate"/>
        </w:r>
        <w:r w:rsidR="00F37B62">
          <w:rPr>
            <w:noProof/>
            <w:webHidden/>
          </w:rPr>
          <w:t>204</w:t>
        </w:r>
        <w:r w:rsidR="00BB2706">
          <w:rPr>
            <w:noProof/>
            <w:webHidden/>
          </w:rPr>
          <w:fldChar w:fldCharType="end"/>
        </w:r>
      </w:hyperlink>
    </w:p>
    <w:p w14:paraId="686F0B04" w14:textId="635C2DE6" w:rsidR="00BB2706" w:rsidRDefault="00000000">
      <w:pPr>
        <w:pStyle w:val="Sadraj2"/>
        <w:rPr>
          <w:rFonts w:eastAsiaTheme="minorEastAsia"/>
          <w:noProof/>
          <w:lang w:eastAsia="hr-HR"/>
        </w:rPr>
      </w:pPr>
      <w:hyperlink w:anchor="_Toc125364464" w:history="1">
        <w:r w:rsidR="00BB2706" w:rsidRPr="0013783F">
          <w:rPr>
            <w:rStyle w:val="Hiperveza"/>
            <w:noProof/>
          </w:rPr>
          <w:t xml:space="preserve">Tablica 75. </w:t>
        </w:r>
        <w:r w:rsidR="00BB2706" w:rsidRPr="0013783F">
          <w:rPr>
            <w:rStyle w:val="Hiperveza"/>
            <w:bCs/>
            <w:noProof/>
          </w:rPr>
          <w:t>Pregled mjera sprječavanja nastanka otpada i poveznica s specifičnim ciljevima</w:t>
        </w:r>
        <w:r w:rsidR="00BB2706">
          <w:rPr>
            <w:noProof/>
            <w:webHidden/>
          </w:rPr>
          <w:tab/>
        </w:r>
        <w:r w:rsidR="00BB2706">
          <w:rPr>
            <w:noProof/>
            <w:webHidden/>
          </w:rPr>
          <w:fldChar w:fldCharType="begin"/>
        </w:r>
        <w:r w:rsidR="00BB2706">
          <w:rPr>
            <w:noProof/>
            <w:webHidden/>
          </w:rPr>
          <w:instrText xml:space="preserve"> PAGEREF _Toc125364464 \h </w:instrText>
        </w:r>
        <w:r w:rsidR="00BB2706">
          <w:rPr>
            <w:noProof/>
            <w:webHidden/>
          </w:rPr>
        </w:r>
        <w:r w:rsidR="00BB2706">
          <w:rPr>
            <w:noProof/>
            <w:webHidden/>
          </w:rPr>
          <w:fldChar w:fldCharType="separate"/>
        </w:r>
        <w:r w:rsidR="00F37B62">
          <w:rPr>
            <w:noProof/>
            <w:webHidden/>
          </w:rPr>
          <w:t>214</w:t>
        </w:r>
        <w:r w:rsidR="00BB2706">
          <w:rPr>
            <w:noProof/>
            <w:webHidden/>
          </w:rPr>
          <w:fldChar w:fldCharType="end"/>
        </w:r>
      </w:hyperlink>
    </w:p>
    <w:p w14:paraId="070681A8" w14:textId="27465B35" w:rsidR="00BB2706" w:rsidRDefault="00000000">
      <w:pPr>
        <w:pStyle w:val="Sadraj2"/>
        <w:rPr>
          <w:rFonts w:eastAsiaTheme="minorEastAsia"/>
          <w:noProof/>
          <w:lang w:eastAsia="hr-HR"/>
        </w:rPr>
      </w:pPr>
      <w:hyperlink w:anchor="_Toc125364465" w:history="1">
        <w:r w:rsidR="00BB2706" w:rsidRPr="0013783F">
          <w:rPr>
            <w:rStyle w:val="Hiperveza"/>
            <w:noProof/>
          </w:rPr>
          <w:t xml:space="preserve">Tablica 76. </w:t>
        </w:r>
        <w:r w:rsidR="00BB2706" w:rsidRPr="0013783F">
          <w:rPr>
            <w:rStyle w:val="Hiperveza"/>
            <w:bCs/>
            <w:noProof/>
          </w:rPr>
          <w:t>Pregled mjera i aktivnosti za provedbu Programa sprječavanja nastanka otpada za razdoblje 2023.-2028. godine</w:t>
        </w:r>
        <w:r w:rsidR="00BB2706">
          <w:rPr>
            <w:noProof/>
            <w:webHidden/>
          </w:rPr>
          <w:tab/>
        </w:r>
        <w:r w:rsidR="00BB2706">
          <w:rPr>
            <w:noProof/>
            <w:webHidden/>
          </w:rPr>
          <w:fldChar w:fldCharType="begin"/>
        </w:r>
        <w:r w:rsidR="00BB2706">
          <w:rPr>
            <w:noProof/>
            <w:webHidden/>
          </w:rPr>
          <w:instrText xml:space="preserve"> PAGEREF _Toc125364465 \h </w:instrText>
        </w:r>
        <w:r w:rsidR="00BB2706">
          <w:rPr>
            <w:noProof/>
            <w:webHidden/>
          </w:rPr>
        </w:r>
        <w:r w:rsidR="00BB2706">
          <w:rPr>
            <w:noProof/>
            <w:webHidden/>
          </w:rPr>
          <w:fldChar w:fldCharType="separate"/>
        </w:r>
        <w:r w:rsidR="00F37B62">
          <w:rPr>
            <w:noProof/>
            <w:webHidden/>
          </w:rPr>
          <w:t>222</w:t>
        </w:r>
        <w:r w:rsidR="00BB2706">
          <w:rPr>
            <w:noProof/>
            <w:webHidden/>
          </w:rPr>
          <w:fldChar w:fldCharType="end"/>
        </w:r>
      </w:hyperlink>
    </w:p>
    <w:p w14:paraId="1FA8BE69" w14:textId="30E54228" w:rsidR="00BB2706" w:rsidRDefault="00000000">
      <w:pPr>
        <w:pStyle w:val="Sadraj2"/>
        <w:rPr>
          <w:rFonts w:eastAsiaTheme="minorEastAsia"/>
          <w:noProof/>
          <w:lang w:eastAsia="hr-HR"/>
        </w:rPr>
      </w:pPr>
      <w:hyperlink w:anchor="_Toc125364466" w:history="1">
        <w:r w:rsidR="00BB2706" w:rsidRPr="0013783F">
          <w:rPr>
            <w:rStyle w:val="Hiperveza"/>
            <w:noProof/>
          </w:rPr>
          <w:t>Tablica 77. Usporedna tablica sadržaja Plana i odredbi Dodatka VI. Zakona o gospodarenju otpadom</w:t>
        </w:r>
        <w:r w:rsidR="00BB2706">
          <w:rPr>
            <w:noProof/>
            <w:webHidden/>
          </w:rPr>
          <w:tab/>
        </w:r>
        <w:r w:rsidR="00BB2706">
          <w:rPr>
            <w:noProof/>
            <w:webHidden/>
          </w:rPr>
          <w:fldChar w:fldCharType="begin"/>
        </w:r>
        <w:r w:rsidR="00BB2706">
          <w:rPr>
            <w:noProof/>
            <w:webHidden/>
          </w:rPr>
          <w:instrText xml:space="preserve"> PAGEREF _Toc125364466 \h </w:instrText>
        </w:r>
        <w:r w:rsidR="00BB2706">
          <w:rPr>
            <w:noProof/>
            <w:webHidden/>
          </w:rPr>
        </w:r>
        <w:r w:rsidR="00BB2706">
          <w:rPr>
            <w:noProof/>
            <w:webHidden/>
          </w:rPr>
          <w:fldChar w:fldCharType="separate"/>
        </w:r>
        <w:r w:rsidR="00F37B62">
          <w:rPr>
            <w:noProof/>
            <w:webHidden/>
          </w:rPr>
          <w:t>225</w:t>
        </w:r>
        <w:r w:rsidR="00BB2706">
          <w:rPr>
            <w:noProof/>
            <w:webHidden/>
          </w:rPr>
          <w:fldChar w:fldCharType="end"/>
        </w:r>
      </w:hyperlink>
    </w:p>
    <w:p w14:paraId="103DDB3A" w14:textId="7E8B040A" w:rsidR="00B30B78" w:rsidRDefault="00B30B78" w:rsidP="00086FBB">
      <w:pPr>
        <w:rPr>
          <w:rFonts w:ascii="Cambria" w:hAnsi="Cambria"/>
          <w:b/>
          <w:bCs/>
          <w:sz w:val="30"/>
          <w:szCs w:val="30"/>
        </w:rPr>
      </w:pPr>
      <w:r>
        <w:rPr>
          <w:rFonts w:ascii="Cambria" w:hAnsi="Cambria"/>
          <w:b/>
          <w:bCs/>
          <w:sz w:val="30"/>
          <w:szCs w:val="30"/>
        </w:rPr>
        <w:fldChar w:fldCharType="end"/>
      </w:r>
      <w:r>
        <w:rPr>
          <w:rFonts w:ascii="Cambria" w:hAnsi="Cambria"/>
          <w:b/>
          <w:bCs/>
          <w:sz w:val="30"/>
          <w:szCs w:val="30"/>
        </w:rPr>
        <w:br w:type="page"/>
      </w:r>
    </w:p>
    <w:p w14:paraId="7FF8376E" w14:textId="78FF782B" w:rsidR="009725D3" w:rsidRPr="00B30B78" w:rsidRDefault="00B30B78" w:rsidP="00B30B78">
      <w:pPr>
        <w:rPr>
          <w:rFonts w:ascii="Cambria" w:hAnsi="Cambria"/>
          <w:b/>
          <w:bCs/>
          <w:sz w:val="30"/>
          <w:szCs w:val="30"/>
        </w:rPr>
      </w:pPr>
      <w:r w:rsidRPr="00B30B78">
        <w:rPr>
          <w:rFonts w:ascii="Cambria" w:hAnsi="Cambria"/>
          <w:b/>
          <w:bCs/>
          <w:sz w:val="30"/>
          <w:szCs w:val="30"/>
        </w:rPr>
        <w:lastRenderedPageBreak/>
        <w:t>KRATICE</w:t>
      </w:r>
    </w:p>
    <w:p w14:paraId="434117E1" w14:textId="0A9C8868" w:rsidR="000444C4" w:rsidRDefault="001C38FA" w:rsidP="000444C4">
      <w:r>
        <w:t>U ovom dokumentu se koriste sljedeće kratice:</w:t>
      </w:r>
    </w:p>
    <w:tbl>
      <w:tblPr>
        <w:tblStyle w:val="Reetkatablice"/>
        <w:tblW w:w="9067" w:type="dxa"/>
        <w:tblLook w:val="04A0" w:firstRow="1" w:lastRow="0" w:firstColumn="1" w:lastColumn="0" w:noHBand="0" w:noVBand="1"/>
      </w:tblPr>
      <w:tblGrid>
        <w:gridCol w:w="1555"/>
        <w:gridCol w:w="7512"/>
      </w:tblGrid>
      <w:tr w:rsidR="001C38FA" w14:paraId="434D98A3" w14:textId="77777777" w:rsidTr="00B30B78">
        <w:trPr>
          <w:trHeight w:val="397"/>
        </w:trPr>
        <w:tc>
          <w:tcPr>
            <w:tcW w:w="1555" w:type="dxa"/>
            <w:vAlign w:val="center"/>
          </w:tcPr>
          <w:p w14:paraId="1B5C8313" w14:textId="2513D30B" w:rsidR="001C38FA" w:rsidRDefault="000E0C3C" w:rsidP="000444C4">
            <w:r>
              <w:t>BBŽ</w:t>
            </w:r>
          </w:p>
        </w:tc>
        <w:tc>
          <w:tcPr>
            <w:tcW w:w="7512" w:type="dxa"/>
            <w:vAlign w:val="center"/>
          </w:tcPr>
          <w:p w14:paraId="471D1F7B" w14:textId="3083F024" w:rsidR="001C38FA" w:rsidRDefault="000E0C3C" w:rsidP="000444C4">
            <w:r>
              <w:t>Bjelovarsko-bilogorska županija</w:t>
            </w:r>
          </w:p>
        </w:tc>
      </w:tr>
      <w:tr w:rsidR="000E0C3C" w14:paraId="48EF4943" w14:textId="77777777" w:rsidTr="00B30B78">
        <w:trPr>
          <w:trHeight w:val="397"/>
        </w:trPr>
        <w:tc>
          <w:tcPr>
            <w:tcW w:w="1555" w:type="dxa"/>
            <w:vAlign w:val="center"/>
          </w:tcPr>
          <w:p w14:paraId="3D1511A7" w14:textId="513F4717" w:rsidR="000E0C3C" w:rsidRDefault="000E0C3C" w:rsidP="000E0C3C">
            <w:r>
              <w:t>BDP</w:t>
            </w:r>
          </w:p>
        </w:tc>
        <w:tc>
          <w:tcPr>
            <w:tcW w:w="7512" w:type="dxa"/>
            <w:vAlign w:val="center"/>
          </w:tcPr>
          <w:p w14:paraId="6C530B8E" w14:textId="03971E64" w:rsidR="000E0C3C" w:rsidRDefault="000E0C3C" w:rsidP="000E0C3C">
            <w:r>
              <w:t>Bruto domaći proizvod</w:t>
            </w:r>
          </w:p>
        </w:tc>
      </w:tr>
      <w:tr w:rsidR="000E0C3C" w14:paraId="7B4E4A2F" w14:textId="77777777" w:rsidTr="00B30B78">
        <w:trPr>
          <w:trHeight w:val="397"/>
        </w:trPr>
        <w:tc>
          <w:tcPr>
            <w:tcW w:w="1555" w:type="dxa"/>
            <w:vAlign w:val="center"/>
          </w:tcPr>
          <w:p w14:paraId="72698D61" w14:textId="19708346" w:rsidR="000E0C3C" w:rsidRDefault="000E0C3C" w:rsidP="000E0C3C">
            <w:r>
              <w:t>BPŽ</w:t>
            </w:r>
          </w:p>
        </w:tc>
        <w:tc>
          <w:tcPr>
            <w:tcW w:w="7512" w:type="dxa"/>
            <w:vAlign w:val="center"/>
          </w:tcPr>
          <w:p w14:paraId="5661A6F1" w14:textId="464F09EE" w:rsidR="000E0C3C" w:rsidRDefault="000E0C3C" w:rsidP="000E0C3C">
            <w:r>
              <w:t>Brodsko-posavska županija</w:t>
            </w:r>
          </w:p>
        </w:tc>
      </w:tr>
      <w:tr w:rsidR="000E0C3C" w14:paraId="444E78B4" w14:textId="77777777" w:rsidTr="00B30B78">
        <w:trPr>
          <w:trHeight w:val="397"/>
        </w:trPr>
        <w:tc>
          <w:tcPr>
            <w:tcW w:w="1555" w:type="dxa"/>
            <w:vAlign w:val="center"/>
          </w:tcPr>
          <w:p w14:paraId="12E56EB9" w14:textId="38B72C01" w:rsidR="000E0C3C" w:rsidRDefault="000E0C3C" w:rsidP="000E0C3C">
            <w:r>
              <w:t>CGO</w:t>
            </w:r>
          </w:p>
        </w:tc>
        <w:tc>
          <w:tcPr>
            <w:tcW w:w="7512" w:type="dxa"/>
            <w:vAlign w:val="center"/>
          </w:tcPr>
          <w:p w14:paraId="06D569F4" w14:textId="0897E578" w:rsidR="000E0C3C" w:rsidRDefault="000E0C3C" w:rsidP="000E0C3C">
            <w:r>
              <w:t>Centar za gospodarenje otpadom</w:t>
            </w:r>
          </w:p>
        </w:tc>
      </w:tr>
      <w:tr w:rsidR="006405AF" w14:paraId="79DEFEB0" w14:textId="77777777" w:rsidTr="00B30B78">
        <w:trPr>
          <w:trHeight w:val="397"/>
        </w:trPr>
        <w:tc>
          <w:tcPr>
            <w:tcW w:w="1555" w:type="dxa"/>
            <w:vAlign w:val="center"/>
          </w:tcPr>
          <w:p w14:paraId="3624B47A" w14:textId="6490C39F" w:rsidR="006405AF" w:rsidRDefault="006405AF" w:rsidP="000E0C3C">
            <w:r>
              <w:t>DIRH</w:t>
            </w:r>
          </w:p>
        </w:tc>
        <w:tc>
          <w:tcPr>
            <w:tcW w:w="7512" w:type="dxa"/>
            <w:vAlign w:val="center"/>
          </w:tcPr>
          <w:p w14:paraId="392C7706" w14:textId="78129545" w:rsidR="006405AF" w:rsidRDefault="006405AF" w:rsidP="000E0C3C">
            <w:r w:rsidRPr="006405AF">
              <w:t>Državni inspektorat Republike Hrvatske</w:t>
            </w:r>
          </w:p>
        </w:tc>
      </w:tr>
      <w:tr w:rsidR="000E0C3C" w14:paraId="7B91ABF8" w14:textId="77777777" w:rsidTr="00B30B78">
        <w:trPr>
          <w:trHeight w:val="397"/>
        </w:trPr>
        <w:tc>
          <w:tcPr>
            <w:tcW w:w="1555" w:type="dxa"/>
            <w:vAlign w:val="center"/>
          </w:tcPr>
          <w:p w14:paraId="17A64996" w14:textId="4CF3B153" w:rsidR="000E0C3C" w:rsidRDefault="000E0C3C" w:rsidP="000E0C3C">
            <w:r>
              <w:t>DNŽ</w:t>
            </w:r>
          </w:p>
        </w:tc>
        <w:tc>
          <w:tcPr>
            <w:tcW w:w="7512" w:type="dxa"/>
            <w:vAlign w:val="center"/>
          </w:tcPr>
          <w:p w14:paraId="6161AF5F" w14:textId="5B17A6E6" w:rsidR="000E0C3C" w:rsidRDefault="000E0C3C" w:rsidP="000E0C3C">
            <w:r>
              <w:t>Dubrovačko-neretvanska županija</w:t>
            </w:r>
          </w:p>
        </w:tc>
      </w:tr>
      <w:tr w:rsidR="000E0C3C" w14:paraId="278FE35D" w14:textId="77777777" w:rsidTr="00B30B78">
        <w:trPr>
          <w:trHeight w:val="397"/>
        </w:trPr>
        <w:tc>
          <w:tcPr>
            <w:tcW w:w="1555" w:type="dxa"/>
            <w:vAlign w:val="center"/>
          </w:tcPr>
          <w:p w14:paraId="11795AAC" w14:textId="630EE4E2" w:rsidR="000E0C3C" w:rsidRDefault="000E0C3C" w:rsidP="000E0C3C">
            <w:r>
              <w:t>EE</w:t>
            </w:r>
          </w:p>
        </w:tc>
        <w:tc>
          <w:tcPr>
            <w:tcW w:w="7512" w:type="dxa"/>
            <w:vAlign w:val="center"/>
          </w:tcPr>
          <w:p w14:paraId="779844AF" w14:textId="31B174B8" w:rsidR="000E0C3C" w:rsidRDefault="000E0C3C" w:rsidP="000E0C3C">
            <w:r w:rsidRPr="00AC59EC">
              <w:t>Električni i elektronički uređaji i oprema</w:t>
            </w:r>
          </w:p>
        </w:tc>
      </w:tr>
      <w:tr w:rsidR="000E0C3C" w14:paraId="2BBDE9A7" w14:textId="77777777" w:rsidTr="00B30B78">
        <w:trPr>
          <w:trHeight w:val="397"/>
        </w:trPr>
        <w:tc>
          <w:tcPr>
            <w:tcW w:w="1555" w:type="dxa"/>
            <w:vAlign w:val="center"/>
          </w:tcPr>
          <w:p w14:paraId="6DE04F6F" w14:textId="79B9CF9D" w:rsidR="000E0C3C" w:rsidRDefault="000E0C3C" w:rsidP="000E0C3C">
            <w:r>
              <w:t>EK</w:t>
            </w:r>
          </w:p>
        </w:tc>
        <w:tc>
          <w:tcPr>
            <w:tcW w:w="7512" w:type="dxa"/>
            <w:vAlign w:val="center"/>
          </w:tcPr>
          <w:p w14:paraId="515457EC" w14:textId="754B83D9" w:rsidR="000E0C3C" w:rsidRPr="00AC59EC" w:rsidRDefault="000E0C3C" w:rsidP="000E0C3C">
            <w:r>
              <w:t>Europska komisija</w:t>
            </w:r>
          </w:p>
        </w:tc>
      </w:tr>
      <w:tr w:rsidR="000E0C3C" w14:paraId="1255CC4E" w14:textId="77777777" w:rsidTr="00B30B78">
        <w:trPr>
          <w:trHeight w:val="397"/>
        </w:trPr>
        <w:tc>
          <w:tcPr>
            <w:tcW w:w="1555" w:type="dxa"/>
            <w:vAlign w:val="center"/>
          </w:tcPr>
          <w:p w14:paraId="56122EF1" w14:textId="0ADF31E0" w:rsidR="000E0C3C" w:rsidRDefault="000E0C3C" w:rsidP="000E0C3C">
            <w:r>
              <w:t>EU</w:t>
            </w:r>
          </w:p>
        </w:tc>
        <w:tc>
          <w:tcPr>
            <w:tcW w:w="7512" w:type="dxa"/>
            <w:vAlign w:val="center"/>
          </w:tcPr>
          <w:p w14:paraId="129FAA52" w14:textId="3F90FCEE" w:rsidR="000E0C3C" w:rsidRDefault="000E0C3C" w:rsidP="000E0C3C">
            <w:r>
              <w:t>Europska unija</w:t>
            </w:r>
          </w:p>
        </w:tc>
      </w:tr>
      <w:tr w:rsidR="000E0C3C" w14:paraId="7532A2E6" w14:textId="77777777" w:rsidTr="00B30B78">
        <w:trPr>
          <w:trHeight w:val="397"/>
        </w:trPr>
        <w:tc>
          <w:tcPr>
            <w:tcW w:w="1555" w:type="dxa"/>
            <w:vAlign w:val="center"/>
          </w:tcPr>
          <w:p w14:paraId="3DA77802" w14:textId="49EC228D" w:rsidR="000E0C3C" w:rsidRDefault="000E0C3C" w:rsidP="000E0C3C">
            <w:r>
              <w:t>EZ</w:t>
            </w:r>
          </w:p>
        </w:tc>
        <w:tc>
          <w:tcPr>
            <w:tcW w:w="7512" w:type="dxa"/>
            <w:vAlign w:val="center"/>
          </w:tcPr>
          <w:p w14:paraId="5CB3B4F9" w14:textId="4193087F" w:rsidR="000E0C3C" w:rsidRDefault="000E0C3C" w:rsidP="000E0C3C">
            <w:r>
              <w:t>Europska zajednica</w:t>
            </w:r>
          </w:p>
        </w:tc>
      </w:tr>
      <w:tr w:rsidR="000E0C3C" w14:paraId="42319B36" w14:textId="77777777" w:rsidTr="00B30B78">
        <w:trPr>
          <w:trHeight w:val="397"/>
        </w:trPr>
        <w:tc>
          <w:tcPr>
            <w:tcW w:w="1555" w:type="dxa"/>
            <w:vAlign w:val="center"/>
          </w:tcPr>
          <w:p w14:paraId="008B8EE0" w14:textId="3D63F841" w:rsidR="000E0C3C" w:rsidRDefault="000E0C3C" w:rsidP="000E0C3C">
            <w:r>
              <w:t>FZOEU</w:t>
            </w:r>
          </w:p>
        </w:tc>
        <w:tc>
          <w:tcPr>
            <w:tcW w:w="7512" w:type="dxa"/>
            <w:vAlign w:val="center"/>
          </w:tcPr>
          <w:p w14:paraId="04F4E63E" w14:textId="4B8154AF" w:rsidR="000E0C3C" w:rsidRDefault="000E0C3C" w:rsidP="000E0C3C">
            <w:r w:rsidRPr="00AC59EC">
              <w:t>Fond za zaštitu okoliša i energetsku učinkovitost</w:t>
            </w:r>
          </w:p>
        </w:tc>
      </w:tr>
      <w:tr w:rsidR="000E0C3C" w14:paraId="705D8E51" w14:textId="77777777" w:rsidTr="00B30B78">
        <w:trPr>
          <w:trHeight w:val="397"/>
        </w:trPr>
        <w:tc>
          <w:tcPr>
            <w:tcW w:w="1555" w:type="dxa"/>
            <w:vAlign w:val="center"/>
          </w:tcPr>
          <w:p w14:paraId="041C3EEB" w14:textId="36225E7F" w:rsidR="000E0C3C" w:rsidRDefault="000E0C3C" w:rsidP="000E0C3C">
            <w:r>
              <w:t>HV</w:t>
            </w:r>
          </w:p>
        </w:tc>
        <w:tc>
          <w:tcPr>
            <w:tcW w:w="7512" w:type="dxa"/>
            <w:vAlign w:val="center"/>
          </w:tcPr>
          <w:p w14:paraId="4AA67EDC" w14:textId="794ADBE4" w:rsidR="000E0C3C" w:rsidRDefault="000E0C3C" w:rsidP="000E0C3C">
            <w:r>
              <w:t>Hrvatske vode</w:t>
            </w:r>
          </w:p>
        </w:tc>
      </w:tr>
      <w:tr w:rsidR="000E0C3C" w14:paraId="124FB47F" w14:textId="77777777" w:rsidTr="00B30B78">
        <w:trPr>
          <w:trHeight w:val="397"/>
        </w:trPr>
        <w:tc>
          <w:tcPr>
            <w:tcW w:w="1555" w:type="dxa"/>
            <w:vAlign w:val="center"/>
          </w:tcPr>
          <w:p w14:paraId="05B820F3" w14:textId="290EF18F" w:rsidR="000E0C3C" w:rsidRDefault="000E0C3C" w:rsidP="000E0C3C">
            <w:r>
              <w:t>JLS</w:t>
            </w:r>
          </w:p>
        </w:tc>
        <w:tc>
          <w:tcPr>
            <w:tcW w:w="7512" w:type="dxa"/>
            <w:vAlign w:val="center"/>
          </w:tcPr>
          <w:p w14:paraId="03D4B5D1" w14:textId="2D06F631" w:rsidR="000E0C3C" w:rsidRDefault="000E0C3C" w:rsidP="000E0C3C">
            <w:r w:rsidRPr="00AC59EC">
              <w:t>Jedinic</w:t>
            </w:r>
            <w:r>
              <w:t>a</w:t>
            </w:r>
            <w:r w:rsidRPr="00AC59EC">
              <w:t xml:space="preserve"> lokalne samouprave</w:t>
            </w:r>
          </w:p>
        </w:tc>
      </w:tr>
      <w:tr w:rsidR="000E0C3C" w14:paraId="1D816F1B" w14:textId="77777777" w:rsidTr="00B30B78">
        <w:trPr>
          <w:trHeight w:val="397"/>
        </w:trPr>
        <w:tc>
          <w:tcPr>
            <w:tcW w:w="1555" w:type="dxa"/>
            <w:vAlign w:val="center"/>
          </w:tcPr>
          <w:p w14:paraId="40FCEFBB" w14:textId="357996B9" w:rsidR="000E0C3C" w:rsidRDefault="000E0C3C" w:rsidP="000E0C3C">
            <w:r>
              <w:t>JP(R)S</w:t>
            </w:r>
          </w:p>
        </w:tc>
        <w:tc>
          <w:tcPr>
            <w:tcW w:w="7512" w:type="dxa"/>
            <w:vAlign w:val="center"/>
          </w:tcPr>
          <w:p w14:paraId="4285AE6D" w14:textId="066A239C" w:rsidR="000E0C3C" w:rsidRDefault="000E0C3C" w:rsidP="000E0C3C">
            <w:r w:rsidRPr="00AC59EC">
              <w:t>Jedinic</w:t>
            </w:r>
            <w:r>
              <w:t>a</w:t>
            </w:r>
            <w:r w:rsidRPr="00AC59EC">
              <w:t xml:space="preserve"> područne (regionalne) samouprave</w:t>
            </w:r>
          </w:p>
        </w:tc>
      </w:tr>
      <w:tr w:rsidR="000E0C3C" w14:paraId="50F0F11B" w14:textId="77777777" w:rsidTr="00B30B78">
        <w:trPr>
          <w:trHeight w:val="397"/>
        </w:trPr>
        <w:tc>
          <w:tcPr>
            <w:tcW w:w="1555" w:type="dxa"/>
            <w:vAlign w:val="center"/>
          </w:tcPr>
          <w:p w14:paraId="38B2B3F4" w14:textId="6D0F0B6A" w:rsidR="000E0C3C" w:rsidRDefault="000E0C3C" w:rsidP="000E0C3C">
            <w:r>
              <w:t>KKŽ</w:t>
            </w:r>
          </w:p>
        </w:tc>
        <w:tc>
          <w:tcPr>
            <w:tcW w:w="7512" w:type="dxa"/>
            <w:vAlign w:val="center"/>
          </w:tcPr>
          <w:p w14:paraId="3AAE6F4F" w14:textId="6C77D108" w:rsidR="000E0C3C" w:rsidRPr="00AC59EC" w:rsidRDefault="000E0C3C" w:rsidP="000E0C3C">
            <w:r>
              <w:t>Koprivničko-križevačka županija</w:t>
            </w:r>
          </w:p>
        </w:tc>
      </w:tr>
      <w:tr w:rsidR="000E0C3C" w14:paraId="76A3ADBC" w14:textId="77777777" w:rsidTr="00B30B78">
        <w:trPr>
          <w:trHeight w:val="397"/>
        </w:trPr>
        <w:tc>
          <w:tcPr>
            <w:tcW w:w="1555" w:type="dxa"/>
            <w:vAlign w:val="center"/>
          </w:tcPr>
          <w:p w14:paraId="147A0991" w14:textId="72CF5343" w:rsidR="000E0C3C" w:rsidRDefault="000E0C3C" w:rsidP="000E0C3C">
            <w:r>
              <w:t>KZŽ</w:t>
            </w:r>
          </w:p>
        </w:tc>
        <w:tc>
          <w:tcPr>
            <w:tcW w:w="7512" w:type="dxa"/>
            <w:vAlign w:val="center"/>
          </w:tcPr>
          <w:p w14:paraId="28CDB4F4" w14:textId="4FD8C1D8" w:rsidR="000E0C3C" w:rsidRDefault="000E0C3C" w:rsidP="000E0C3C">
            <w:r>
              <w:t>Krapinsko-zagorska županija</w:t>
            </w:r>
          </w:p>
        </w:tc>
      </w:tr>
      <w:tr w:rsidR="000E0C3C" w14:paraId="7CD71041" w14:textId="77777777" w:rsidTr="00B30B78">
        <w:trPr>
          <w:trHeight w:val="397"/>
        </w:trPr>
        <w:tc>
          <w:tcPr>
            <w:tcW w:w="1555" w:type="dxa"/>
            <w:vAlign w:val="center"/>
          </w:tcPr>
          <w:p w14:paraId="16FB267F" w14:textId="0D1A28D5" w:rsidR="000E0C3C" w:rsidRDefault="000E0C3C" w:rsidP="000E0C3C">
            <w:r>
              <w:t>KŽ</w:t>
            </w:r>
          </w:p>
        </w:tc>
        <w:tc>
          <w:tcPr>
            <w:tcW w:w="7512" w:type="dxa"/>
            <w:vAlign w:val="center"/>
          </w:tcPr>
          <w:p w14:paraId="3C009168" w14:textId="158E3192" w:rsidR="000E0C3C" w:rsidRDefault="000E0C3C" w:rsidP="000E0C3C">
            <w:r>
              <w:t>Karlovačka županija</w:t>
            </w:r>
          </w:p>
        </w:tc>
      </w:tr>
      <w:tr w:rsidR="000E0C3C" w14:paraId="2B7E235A" w14:textId="77777777" w:rsidTr="00B30B78">
        <w:trPr>
          <w:trHeight w:val="397"/>
        </w:trPr>
        <w:tc>
          <w:tcPr>
            <w:tcW w:w="1555" w:type="dxa"/>
            <w:vAlign w:val="center"/>
          </w:tcPr>
          <w:p w14:paraId="52A8929E" w14:textId="2C740F06" w:rsidR="000E0C3C" w:rsidRDefault="000E0C3C" w:rsidP="000E0C3C">
            <w:r>
              <w:t>LSŽ</w:t>
            </w:r>
          </w:p>
        </w:tc>
        <w:tc>
          <w:tcPr>
            <w:tcW w:w="7512" w:type="dxa"/>
            <w:vAlign w:val="center"/>
          </w:tcPr>
          <w:p w14:paraId="280D90F1" w14:textId="3B9959CF" w:rsidR="000E0C3C" w:rsidRDefault="000E0C3C" w:rsidP="000E0C3C">
            <w:r>
              <w:t>Ličko-senjska županija</w:t>
            </w:r>
          </w:p>
        </w:tc>
      </w:tr>
      <w:tr w:rsidR="000E0C3C" w14:paraId="76604475" w14:textId="77777777" w:rsidTr="00B30B78">
        <w:trPr>
          <w:trHeight w:val="397"/>
        </w:trPr>
        <w:tc>
          <w:tcPr>
            <w:tcW w:w="1555" w:type="dxa"/>
            <w:vAlign w:val="center"/>
          </w:tcPr>
          <w:p w14:paraId="56CAEB3B" w14:textId="085479F3" w:rsidR="000E0C3C" w:rsidRDefault="000E0C3C" w:rsidP="000E0C3C">
            <w:r>
              <w:t>MBO</w:t>
            </w:r>
          </w:p>
        </w:tc>
        <w:tc>
          <w:tcPr>
            <w:tcW w:w="7512" w:type="dxa"/>
            <w:vAlign w:val="center"/>
          </w:tcPr>
          <w:p w14:paraId="41AF1FB5" w14:textId="3FE23453" w:rsidR="000E0C3C" w:rsidRDefault="000E0C3C" w:rsidP="000E0C3C">
            <w:r>
              <w:t>Mehaničko-biološka obrada</w:t>
            </w:r>
          </w:p>
        </w:tc>
      </w:tr>
      <w:tr w:rsidR="006405AF" w14:paraId="7AC4A93B" w14:textId="77777777" w:rsidTr="00B30B78">
        <w:trPr>
          <w:trHeight w:val="397"/>
        </w:trPr>
        <w:tc>
          <w:tcPr>
            <w:tcW w:w="1555" w:type="dxa"/>
            <w:vAlign w:val="center"/>
          </w:tcPr>
          <w:p w14:paraId="5BCEB41D" w14:textId="4CCD9D1D" w:rsidR="006405AF" w:rsidRDefault="006405AF" w:rsidP="000E0C3C">
            <w:r>
              <w:t>MGPUDI</w:t>
            </w:r>
          </w:p>
        </w:tc>
        <w:tc>
          <w:tcPr>
            <w:tcW w:w="7512" w:type="dxa"/>
            <w:vAlign w:val="center"/>
          </w:tcPr>
          <w:p w14:paraId="23E09BC5" w14:textId="7C678E0E" w:rsidR="006405AF" w:rsidRDefault="006405AF" w:rsidP="000E0C3C">
            <w:r w:rsidRPr="006405AF">
              <w:t xml:space="preserve">Ministarstvo prostornoga uređenja, graditeljstva i državne </w:t>
            </w:r>
            <w:r>
              <w:t>imovine</w:t>
            </w:r>
          </w:p>
        </w:tc>
      </w:tr>
      <w:tr w:rsidR="000E0C3C" w14:paraId="7D1C845E" w14:textId="77777777" w:rsidTr="00B30B78">
        <w:trPr>
          <w:trHeight w:val="397"/>
        </w:trPr>
        <w:tc>
          <w:tcPr>
            <w:tcW w:w="1555" w:type="dxa"/>
            <w:vAlign w:val="center"/>
          </w:tcPr>
          <w:p w14:paraId="25F6DA14" w14:textId="15C773F7" w:rsidR="000E0C3C" w:rsidRDefault="000E0C3C" w:rsidP="000E0C3C">
            <w:r>
              <w:t>MINGOR</w:t>
            </w:r>
          </w:p>
        </w:tc>
        <w:tc>
          <w:tcPr>
            <w:tcW w:w="7512" w:type="dxa"/>
            <w:vAlign w:val="center"/>
          </w:tcPr>
          <w:p w14:paraId="0A19068A" w14:textId="11C91319" w:rsidR="000E0C3C" w:rsidRDefault="000E0C3C" w:rsidP="000E0C3C">
            <w:r>
              <w:t>Ministarstvo gospodarstva i održivog razvoja</w:t>
            </w:r>
          </w:p>
        </w:tc>
      </w:tr>
      <w:tr w:rsidR="006405AF" w14:paraId="6DF6D56E" w14:textId="77777777" w:rsidTr="00CC41BC">
        <w:trPr>
          <w:trHeight w:val="397"/>
        </w:trPr>
        <w:tc>
          <w:tcPr>
            <w:tcW w:w="1555" w:type="dxa"/>
            <w:vAlign w:val="center"/>
          </w:tcPr>
          <w:p w14:paraId="4C3B1AFE" w14:textId="77777777" w:rsidR="006405AF" w:rsidRDefault="006405AF" w:rsidP="00CC41BC">
            <w:r>
              <w:t>MINPOLJ</w:t>
            </w:r>
          </w:p>
        </w:tc>
        <w:tc>
          <w:tcPr>
            <w:tcW w:w="7512" w:type="dxa"/>
            <w:vAlign w:val="center"/>
          </w:tcPr>
          <w:p w14:paraId="12875C91" w14:textId="77777777" w:rsidR="006405AF" w:rsidRDefault="006405AF" w:rsidP="00CC41BC">
            <w:r>
              <w:t>Ministarstvo poljoprivrede</w:t>
            </w:r>
          </w:p>
        </w:tc>
      </w:tr>
      <w:tr w:rsidR="000E0C3C" w14:paraId="3690B19E" w14:textId="77777777" w:rsidTr="00B30B78">
        <w:trPr>
          <w:trHeight w:val="397"/>
        </w:trPr>
        <w:tc>
          <w:tcPr>
            <w:tcW w:w="1555" w:type="dxa"/>
            <w:vAlign w:val="center"/>
          </w:tcPr>
          <w:p w14:paraId="5D5ECC96" w14:textId="79A157FD" w:rsidR="000E0C3C" w:rsidRDefault="000E0C3C" w:rsidP="000E0C3C">
            <w:proofErr w:type="spellStart"/>
            <w:r>
              <w:t>mKO</w:t>
            </w:r>
            <w:proofErr w:type="spellEnd"/>
          </w:p>
        </w:tc>
        <w:tc>
          <w:tcPr>
            <w:tcW w:w="7512" w:type="dxa"/>
            <w:vAlign w:val="center"/>
          </w:tcPr>
          <w:p w14:paraId="18DB77D4" w14:textId="2AE0CC36" w:rsidR="000E0C3C" w:rsidRDefault="000E0C3C" w:rsidP="000E0C3C">
            <w:r>
              <w:t>Miješani komunalni otpad</w:t>
            </w:r>
          </w:p>
        </w:tc>
      </w:tr>
      <w:tr w:rsidR="006405AF" w14:paraId="52BC6835" w14:textId="77777777" w:rsidTr="00B30B78">
        <w:trPr>
          <w:trHeight w:val="397"/>
        </w:trPr>
        <w:tc>
          <w:tcPr>
            <w:tcW w:w="1555" w:type="dxa"/>
            <w:vAlign w:val="center"/>
          </w:tcPr>
          <w:p w14:paraId="28CE1976" w14:textId="15135CB2" w:rsidR="006405AF" w:rsidRDefault="006405AF" w:rsidP="000E0C3C">
            <w:r>
              <w:t>MMPI</w:t>
            </w:r>
          </w:p>
        </w:tc>
        <w:tc>
          <w:tcPr>
            <w:tcW w:w="7512" w:type="dxa"/>
            <w:vAlign w:val="center"/>
          </w:tcPr>
          <w:p w14:paraId="05B3832F" w14:textId="6473E85B" w:rsidR="006405AF" w:rsidRDefault="006405AF" w:rsidP="000E0C3C">
            <w:r w:rsidRPr="006405AF">
              <w:t>Ministarstvo mora, prometa i infrastrukture</w:t>
            </w:r>
          </w:p>
        </w:tc>
      </w:tr>
      <w:tr w:rsidR="000E0C3C" w14:paraId="1F1E8517" w14:textId="77777777" w:rsidTr="00B30B78">
        <w:trPr>
          <w:trHeight w:val="397"/>
        </w:trPr>
        <w:tc>
          <w:tcPr>
            <w:tcW w:w="1555" w:type="dxa"/>
            <w:vAlign w:val="center"/>
          </w:tcPr>
          <w:p w14:paraId="30D19D72" w14:textId="5422666F" w:rsidR="000E0C3C" w:rsidRDefault="000E0C3C" w:rsidP="000E0C3C">
            <w:r>
              <w:t>MZOE</w:t>
            </w:r>
          </w:p>
        </w:tc>
        <w:tc>
          <w:tcPr>
            <w:tcW w:w="7512" w:type="dxa"/>
            <w:vAlign w:val="center"/>
          </w:tcPr>
          <w:p w14:paraId="7491F986" w14:textId="03BA69D6" w:rsidR="000E0C3C" w:rsidRDefault="000E0C3C" w:rsidP="000E0C3C">
            <w:r>
              <w:t>Ministarstvo zaštite okoliša i energetike (danas MINGOR)</w:t>
            </w:r>
          </w:p>
        </w:tc>
      </w:tr>
      <w:tr w:rsidR="000E0C3C" w14:paraId="1561A242" w14:textId="77777777" w:rsidTr="00B30B78">
        <w:trPr>
          <w:trHeight w:val="397"/>
        </w:trPr>
        <w:tc>
          <w:tcPr>
            <w:tcW w:w="1555" w:type="dxa"/>
            <w:vAlign w:val="center"/>
          </w:tcPr>
          <w:p w14:paraId="3BD9B0E9" w14:textId="0C189D1F" w:rsidR="000E0C3C" w:rsidRDefault="000E0C3C" w:rsidP="000E0C3C">
            <w:r>
              <w:t>MŽ</w:t>
            </w:r>
          </w:p>
        </w:tc>
        <w:tc>
          <w:tcPr>
            <w:tcW w:w="7512" w:type="dxa"/>
            <w:vAlign w:val="center"/>
          </w:tcPr>
          <w:p w14:paraId="2964A6D9" w14:textId="3569731F" w:rsidR="000E0C3C" w:rsidRDefault="000E0C3C" w:rsidP="000E0C3C">
            <w:r>
              <w:t>Međimurska županija</w:t>
            </w:r>
          </w:p>
        </w:tc>
      </w:tr>
      <w:tr w:rsidR="000E0C3C" w14:paraId="40140F44" w14:textId="77777777" w:rsidTr="00B30B78">
        <w:trPr>
          <w:trHeight w:val="397"/>
        </w:trPr>
        <w:tc>
          <w:tcPr>
            <w:tcW w:w="1555" w:type="dxa"/>
            <w:vAlign w:val="center"/>
          </w:tcPr>
          <w:p w14:paraId="6FD256FB" w14:textId="0BEE3A63" w:rsidR="000E0C3C" w:rsidRDefault="000E0C3C" w:rsidP="000E0C3C">
            <w:r>
              <w:t>NN</w:t>
            </w:r>
          </w:p>
        </w:tc>
        <w:tc>
          <w:tcPr>
            <w:tcW w:w="7512" w:type="dxa"/>
            <w:vAlign w:val="center"/>
          </w:tcPr>
          <w:p w14:paraId="735FDFA7" w14:textId="10A0BB2D" w:rsidR="000E0C3C" w:rsidRDefault="000E0C3C" w:rsidP="000E0C3C">
            <w:r>
              <w:t>Narodne novine</w:t>
            </w:r>
          </w:p>
        </w:tc>
      </w:tr>
      <w:tr w:rsidR="006405AF" w14:paraId="009D1B08" w14:textId="77777777" w:rsidTr="00B30B78">
        <w:trPr>
          <w:trHeight w:val="397"/>
        </w:trPr>
        <w:tc>
          <w:tcPr>
            <w:tcW w:w="1555" w:type="dxa"/>
            <w:vAlign w:val="center"/>
          </w:tcPr>
          <w:p w14:paraId="43E9C6E0" w14:textId="3D263028" w:rsidR="006405AF" w:rsidRDefault="006405AF" w:rsidP="000E0C3C">
            <w:r>
              <w:t>OBŽ</w:t>
            </w:r>
          </w:p>
        </w:tc>
        <w:tc>
          <w:tcPr>
            <w:tcW w:w="7512" w:type="dxa"/>
            <w:vAlign w:val="center"/>
          </w:tcPr>
          <w:p w14:paraId="7A7F4C40" w14:textId="737E0F33" w:rsidR="006405AF" w:rsidRDefault="006405AF" w:rsidP="000E0C3C">
            <w:r>
              <w:t>Osječko-baranjska županija</w:t>
            </w:r>
          </w:p>
        </w:tc>
      </w:tr>
      <w:tr w:rsidR="000E0C3C" w14:paraId="22F56E26" w14:textId="77777777" w:rsidTr="00B30B78">
        <w:trPr>
          <w:trHeight w:val="397"/>
        </w:trPr>
        <w:tc>
          <w:tcPr>
            <w:tcW w:w="1555" w:type="dxa"/>
            <w:vAlign w:val="center"/>
          </w:tcPr>
          <w:p w14:paraId="1C4480F7" w14:textId="3E3F0B3B" w:rsidR="000E0C3C" w:rsidRDefault="000E0C3C" w:rsidP="000E0C3C">
            <w:r>
              <w:t>OPKK</w:t>
            </w:r>
          </w:p>
        </w:tc>
        <w:tc>
          <w:tcPr>
            <w:tcW w:w="7512" w:type="dxa"/>
            <w:vAlign w:val="center"/>
          </w:tcPr>
          <w:p w14:paraId="0B14405A" w14:textId="68938D25" w:rsidR="000E0C3C" w:rsidRDefault="000E0C3C" w:rsidP="000E0C3C">
            <w:r w:rsidRPr="00AC59EC">
              <w:t>Operativni program konkurentnost i kohezija</w:t>
            </w:r>
          </w:p>
        </w:tc>
      </w:tr>
      <w:tr w:rsidR="000E0C3C" w14:paraId="40BB10DC" w14:textId="77777777" w:rsidTr="00B30B78">
        <w:trPr>
          <w:trHeight w:val="397"/>
        </w:trPr>
        <w:tc>
          <w:tcPr>
            <w:tcW w:w="1555" w:type="dxa"/>
            <w:vAlign w:val="center"/>
          </w:tcPr>
          <w:p w14:paraId="5029B5CE" w14:textId="4BF6EB11" w:rsidR="000E0C3C" w:rsidRDefault="000E0C3C" w:rsidP="000E0C3C">
            <w:r>
              <w:t>PCB</w:t>
            </w:r>
          </w:p>
        </w:tc>
        <w:tc>
          <w:tcPr>
            <w:tcW w:w="7512" w:type="dxa"/>
            <w:vAlign w:val="center"/>
          </w:tcPr>
          <w:p w14:paraId="6B308DC1" w14:textId="2C5325A9" w:rsidR="000E0C3C" w:rsidRDefault="000E0C3C" w:rsidP="000E0C3C">
            <w:proofErr w:type="spellStart"/>
            <w:r w:rsidRPr="00AC59EC">
              <w:t>Poliklorirani</w:t>
            </w:r>
            <w:proofErr w:type="spellEnd"/>
            <w:r w:rsidRPr="00AC59EC">
              <w:t xml:space="preserve"> </w:t>
            </w:r>
            <w:proofErr w:type="spellStart"/>
            <w:r w:rsidRPr="00AC59EC">
              <w:t>bifenili</w:t>
            </w:r>
            <w:proofErr w:type="spellEnd"/>
            <w:r w:rsidRPr="00AC59EC">
              <w:t xml:space="preserve"> i </w:t>
            </w:r>
            <w:proofErr w:type="spellStart"/>
            <w:r w:rsidRPr="00AC59EC">
              <w:t>poliklorirani</w:t>
            </w:r>
            <w:proofErr w:type="spellEnd"/>
            <w:r w:rsidRPr="00AC59EC">
              <w:t xml:space="preserve"> </w:t>
            </w:r>
            <w:proofErr w:type="spellStart"/>
            <w:r w:rsidRPr="00AC59EC">
              <w:t>terfenili</w:t>
            </w:r>
            <w:proofErr w:type="spellEnd"/>
          </w:p>
        </w:tc>
      </w:tr>
      <w:tr w:rsidR="006405AF" w14:paraId="7C0DAA42" w14:textId="77777777" w:rsidTr="00B30B78">
        <w:trPr>
          <w:trHeight w:val="397"/>
        </w:trPr>
        <w:tc>
          <w:tcPr>
            <w:tcW w:w="1555" w:type="dxa"/>
            <w:vAlign w:val="center"/>
          </w:tcPr>
          <w:p w14:paraId="78DE1D48" w14:textId="7B78FBAE" w:rsidR="006405AF" w:rsidRDefault="006405AF" w:rsidP="000E0C3C">
            <w:r>
              <w:t>PGO</w:t>
            </w:r>
          </w:p>
        </w:tc>
        <w:tc>
          <w:tcPr>
            <w:tcW w:w="7512" w:type="dxa"/>
            <w:vAlign w:val="center"/>
          </w:tcPr>
          <w:p w14:paraId="7C163C21" w14:textId="64FE33B5" w:rsidR="006405AF" w:rsidRPr="00AC59EC" w:rsidRDefault="006405AF" w:rsidP="000E0C3C">
            <w:r>
              <w:t>Plan gospodarenja otpadom</w:t>
            </w:r>
          </w:p>
        </w:tc>
      </w:tr>
      <w:tr w:rsidR="006405AF" w14:paraId="12237B8B" w14:textId="77777777" w:rsidTr="00B30B78">
        <w:trPr>
          <w:trHeight w:val="397"/>
        </w:trPr>
        <w:tc>
          <w:tcPr>
            <w:tcW w:w="1555" w:type="dxa"/>
            <w:vAlign w:val="center"/>
          </w:tcPr>
          <w:p w14:paraId="2AC16171" w14:textId="48EBCE64" w:rsidR="006405AF" w:rsidRDefault="006405AF" w:rsidP="000E0C3C">
            <w:r>
              <w:lastRenderedPageBreak/>
              <w:t>PSNO</w:t>
            </w:r>
          </w:p>
        </w:tc>
        <w:tc>
          <w:tcPr>
            <w:tcW w:w="7512" w:type="dxa"/>
            <w:vAlign w:val="center"/>
          </w:tcPr>
          <w:p w14:paraId="57C3EB37" w14:textId="0D04B440" w:rsidR="006405AF" w:rsidRDefault="006405AF" w:rsidP="000E0C3C">
            <w:r>
              <w:t>Plan sprječavanja nastanka otpada</w:t>
            </w:r>
          </w:p>
        </w:tc>
      </w:tr>
      <w:tr w:rsidR="006405AF" w14:paraId="0D9029F8" w14:textId="77777777" w:rsidTr="00B30B78">
        <w:trPr>
          <w:trHeight w:val="397"/>
        </w:trPr>
        <w:tc>
          <w:tcPr>
            <w:tcW w:w="1555" w:type="dxa"/>
            <w:vAlign w:val="center"/>
          </w:tcPr>
          <w:p w14:paraId="61B6E8C2" w14:textId="767A0A12" w:rsidR="006405AF" w:rsidRDefault="006405AF" w:rsidP="000E0C3C">
            <w:r>
              <w:t>PSŽ</w:t>
            </w:r>
          </w:p>
        </w:tc>
        <w:tc>
          <w:tcPr>
            <w:tcW w:w="7512" w:type="dxa"/>
            <w:vAlign w:val="center"/>
          </w:tcPr>
          <w:p w14:paraId="410C3D15" w14:textId="20570C52" w:rsidR="006405AF" w:rsidRPr="00AC59EC" w:rsidRDefault="006405AF" w:rsidP="000E0C3C">
            <w:r>
              <w:t>Požeško-slavonska županija</w:t>
            </w:r>
          </w:p>
        </w:tc>
      </w:tr>
      <w:tr w:rsidR="000E0C3C" w14:paraId="5073CFB8" w14:textId="77777777" w:rsidTr="00B30B78">
        <w:trPr>
          <w:trHeight w:val="397"/>
        </w:trPr>
        <w:tc>
          <w:tcPr>
            <w:tcW w:w="1555" w:type="dxa"/>
            <w:vAlign w:val="center"/>
          </w:tcPr>
          <w:p w14:paraId="4B62B326" w14:textId="6BE804BA" w:rsidR="000E0C3C" w:rsidRDefault="000E0C3C" w:rsidP="000E0C3C">
            <w:r>
              <w:t>RH</w:t>
            </w:r>
          </w:p>
        </w:tc>
        <w:tc>
          <w:tcPr>
            <w:tcW w:w="7512" w:type="dxa"/>
            <w:vAlign w:val="center"/>
          </w:tcPr>
          <w:p w14:paraId="247FA89A" w14:textId="4027AE75" w:rsidR="000E0C3C" w:rsidRDefault="000E0C3C" w:rsidP="000E0C3C">
            <w:r>
              <w:t>Republika Hrvatska</w:t>
            </w:r>
          </w:p>
        </w:tc>
      </w:tr>
      <w:tr w:rsidR="000E0C3C" w14:paraId="75B1E985" w14:textId="77777777" w:rsidTr="00B30B78">
        <w:trPr>
          <w:trHeight w:val="397"/>
        </w:trPr>
        <w:tc>
          <w:tcPr>
            <w:tcW w:w="1555" w:type="dxa"/>
            <w:vAlign w:val="center"/>
          </w:tcPr>
          <w:p w14:paraId="05F4B365" w14:textId="1EA17DEB" w:rsidR="000E0C3C" w:rsidRDefault="000E0C3C" w:rsidP="000E0C3C">
            <w:r>
              <w:t>ROO</w:t>
            </w:r>
          </w:p>
        </w:tc>
        <w:tc>
          <w:tcPr>
            <w:tcW w:w="7512" w:type="dxa"/>
            <w:vAlign w:val="center"/>
          </w:tcPr>
          <w:p w14:paraId="1792CC3C" w14:textId="7DE16D87" w:rsidR="000E0C3C" w:rsidRDefault="000E0C3C" w:rsidP="000E0C3C">
            <w:r>
              <w:t>Registar onečišćavanja okoliša</w:t>
            </w:r>
          </w:p>
        </w:tc>
      </w:tr>
      <w:tr w:rsidR="000E0C3C" w14:paraId="2960DAF0" w14:textId="77777777" w:rsidTr="00B30B78">
        <w:trPr>
          <w:trHeight w:val="397"/>
        </w:trPr>
        <w:tc>
          <w:tcPr>
            <w:tcW w:w="1555" w:type="dxa"/>
            <w:vAlign w:val="center"/>
          </w:tcPr>
          <w:p w14:paraId="58E71CB2" w14:textId="3CC86FA3" w:rsidR="000E0C3C" w:rsidRDefault="000E0C3C" w:rsidP="000E0C3C">
            <w:r>
              <w:t>SDŽ</w:t>
            </w:r>
          </w:p>
        </w:tc>
        <w:tc>
          <w:tcPr>
            <w:tcW w:w="7512" w:type="dxa"/>
            <w:vAlign w:val="center"/>
          </w:tcPr>
          <w:p w14:paraId="3544BF04" w14:textId="288F60EE" w:rsidR="000E0C3C" w:rsidRDefault="000E0C3C" w:rsidP="000E0C3C">
            <w:r>
              <w:t>Splitsko-dalmatinska županija</w:t>
            </w:r>
          </w:p>
        </w:tc>
      </w:tr>
      <w:tr w:rsidR="000E0C3C" w14:paraId="2D30F365" w14:textId="77777777" w:rsidTr="00B30B78">
        <w:trPr>
          <w:trHeight w:val="397"/>
        </w:trPr>
        <w:tc>
          <w:tcPr>
            <w:tcW w:w="1555" w:type="dxa"/>
            <w:vAlign w:val="center"/>
          </w:tcPr>
          <w:p w14:paraId="6BDC6303" w14:textId="5634072A" w:rsidR="000E0C3C" w:rsidRDefault="000E0C3C" w:rsidP="000E0C3C">
            <w:r>
              <w:t>SMŽ</w:t>
            </w:r>
          </w:p>
        </w:tc>
        <w:tc>
          <w:tcPr>
            <w:tcW w:w="7512" w:type="dxa"/>
            <w:vAlign w:val="center"/>
          </w:tcPr>
          <w:p w14:paraId="00CF565E" w14:textId="1F980ACC" w:rsidR="000E0C3C" w:rsidRDefault="000E0C3C" w:rsidP="000E0C3C">
            <w:r>
              <w:t>Sisačko-moslavačka županija</w:t>
            </w:r>
          </w:p>
        </w:tc>
      </w:tr>
      <w:tr w:rsidR="004A2626" w14:paraId="013A3507" w14:textId="77777777" w:rsidTr="00B30B78">
        <w:trPr>
          <w:trHeight w:val="397"/>
        </w:trPr>
        <w:tc>
          <w:tcPr>
            <w:tcW w:w="1555" w:type="dxa"/>
            <w:vAlign w:val="center"/>
          </w:tcPr>
          <w:p w14:paraId="2240653E" w14:textId="74528F22" w:rsidR="004A2626" w:rsidRDefault="004A2626" w:rsidP="000E0C3C">
            <w:r>
              <w:t>ST</w:t>
            </w:r>
          </w:p>
        </w:tc>
        <w:tc>
          <w:tcPr>
            <w:tcW w:w="7512" w:type="dxa"/>
            <w:vAlign w:val="center"/>
          </w:tcPr>
          <w:p w14:paraId="1B78B811" w14:textId="0BC7584A" w:rsidR="004A2626" w:rsidRPr="00155CE5" w:rsidRDefault="004A2626" w:rsidP="000E0C3C">
            <w:r>
              <w:t>Suha tvar</w:t>
            </w:r>
          </w:p>
        </w:tc>
      </w:tr>
      <w:tr w:rsidR="00155CE5" w14:paraId="4A692187" w14:textId="77777777" w:rsidTr="00B30B78">
        <w:trPr>
          <w:trHeight w:val="397"/>
        </w:trPr>
        <w:tc>
          <w:tcPr>
            <w:tcW w:w="1555" w:type="dxa"/>
            <w:vAlign w:val="center"/>
          </w:tcPr>
          <w:p w14:paraId="3C724107" w14:textId="6482446E" w:rsidR="00155CE5" w:rsidRDefault="00155CE5" w:rsidP="000E0C3C">
            <w:r>
              <w:t>SUP direktiva</w:t>
            </w:r>
          </w:p>
        </w:tc>
        <w:tc>
          <w:tcPr>
            <w:tcW w:w="7512" w:type="dxa"/>
            <w:vAlign w:val="center"/>
          </w:tcPr>
          <w:p w14:paraId="06356B7C" w14:textId="14953175" w:rsidR="00155CE5" w:rsidRDefault="00155CE5" w:rsidP="000E0C3C">
            <w:r w:rsidRPr="00155CE5">
              <w:t>Direktiv</w:t>
            </w:r>
            <w:r>
              <w:t>a</w:t>
            </w:r>
            <w:r w:rsidRPr="00155CE5">
              <w:t xml:space="preserve"> (EC) 2019/904 o smanjenju utjecaja određenih plastičnih predmeta na okoliš </w:t>
            </w:r>
          </w:p>
        </w:tc>
      </w:tr>
      <w:tr w:rsidR="000E0C3C" w14:paraId="59377295" w14:textId="77777777" w:rsidTr="00B30B78">
        <w:trPr>
          <w:trHeight w:val="397"/>
        </w:trPr>
        <w:tc>
          <w:tcPr>
            <w:tcW w:w="1555" w:type="dxa"/>
            <w:vAlign w:val="center"/>
          </w:tcPr>
          <w:p w14:paraId="24EB95F2" w14:textId="5BBAFD82" w:rsidR="000E0C3C" w:rsidRDefault="000E0C3C" w:rsidP="000E0C3C">
            <w:r>
              <w:t>ŠKŽ</w:t>
            </w:r>
          </w:p>
        </w:tc>
        <w:tc>
          <w:tcPr>
            <w:tcW w:w="7512" w:type="dxa"/>
            <w:vAlign w:val="center"/>
          </w:tcPr>
          <w:p w14:paraId="7CE430F7" w14:textId="4F1BACB6" w:rsidR="000E0C3C" w:rsidRDefault="000E0C3C" w:rsidP="000E0C3C">
            <w:r>
              <w:t>Šibensko-kninska županija</w:t>
            </w:r>
          </w:p>
        </w:tc>
      </w:tr>
      <w:tr w:rsidR="000E0C3C" w14:paraId="5319CB92" w14:textId="77777777" w:rsidTr="00B30B78">
        <w:trPr>
          <w:trHeight w:val="397"/>
        </w:trPr>
        <w:tc>
          <w:tcPr>
            <w:tcW w:w="1555" w:type="dxa"/>
            <w:vAlign w:val="center"/>
          </w:tcPr>
          <w:p w14:paraId="2CFCD60F" w14:textId="355AAF3C" w:rsidR="000E0C3C" w:rsidRDefault="000E0C3C" w:rsidP="000E0C3C">
            <w:r>
              <w:t>VPŽ</w:t>
            </w:r>
          </w:p>
        </w:tc>
        <w:tc>
          <w:tcPr>
            <w:tcW w:w="7512" w:type="dxa"/>
            <w:vAlign w:val="center"/>
          </w:tcPr>
          <w:p w14:paraId="7AACD2A4" w14:textId="2DDA817B" w:rsidR="000E0C3C" w:rsidRDefault="000E0C3C" w:rsidP="000E0C3C">
            <w:r>
              <w:t>Virovitičko-podravska županija</w:t>
            </w:r>
          </w:p>
        </w:tc>
      </w:tr>
      <w:tr w:rsidR="000E0C3C" w14:paraId="5286380B" w14:textId="77777777" w:rsidTr="00B30B78">
        <w:trPr>
          <w:trHeight w:val="397"/>
        </w:trPr>
        <w:tc>
          <w:tcPr>
            <w:tcW w:w="1555" w:type="dxa"/>
            <w:vAlign w:val="center"/>
          </w:tcPr>
          <w:p w14:paraId="47DBC551" w14:textId="41C8759F" w:rsidR="000E0C3C" w:rsidRDefault="000E0C3C" w:rsidP="000E0C3C">
            <w:r>
              <w:t>VŽ</w:t>
            </w:r>
          </w:p>
        </w:tc>
        <w:tc>
          <w:tcPr>
            <w:tcW w:w="7512" w:type="dxa"/>
            <w:vAlign w:val="center"/>
          </w:tcPr>
          <w:p w14:paraId="552DA0FF" w14:textId="61319EDA" w:rsidR="000E0C3C" w:rsidRDefault="000E0C3C" w:rsidP="000E0C3C">
            <w:r>
              <w:t>Varaždinska županija</w:t>
            </w:r>
          </w:p>
        </w:tc>
      </w:tr>
      <w:tr w:rsidR="006405AF" w14:paraId="7AAB7FF6" w14:textId="77777777" w:rsidTr="00B30B78">
        <w:trPr>
          <w:trHeight w:val="397"/>
        </w:trPr>
        <w:tc>
          <w:tcPr>
            <w:tcW w:w="1555" w:type="dxa"/>
            <w:vAlign w:val="center"/>
          </w:tcPr>
          <w:p w14:paraId="2A409175" w14:textId="1E8228AC" w:rsidR="006405AF" w:rsidRDefault="006405AF" w:rsidP="000E0C3C">
            <w:r>
              <w:t>ZGO</w:t>
            </w:r>
          </w:p>
        </w:tc>
        <w:tc>
          <w:tcPr>
            <w:tcW w:w="7512" w:type="dxa"/>
            <w:vAlign w:val="center"/>
          </w:tcPr>
          <w:p w14:paraId="0A18F63F" w14:textId="2D976507" w:rsidR="006405AF" w:rsidRDefault="006405AF" w:rsidP="000E0C3C">
            <w:r w:rsidRPr="006405AF">
              <w:t>Zakonu o gospodarenju otpadom (NN 84/21)</w:t>
            </w:r>
          </w:p>
        </w:tc>
      </w:tr>
      <w:tr w:rsidR="000E0C3C" w14:paraId="0B01D095" w14:textId="77777777" w:rsidTr="00B30B78">
        <w:trPr>
          <w:trHeight w:val="397"/>
        </w:trPr>
        <w:tc>
          <w:tcPr>
            <w:tcW w:w="1555" w:type="dxa"/>
            <w:vAlign w:val="center"/>
          </w:tcPr>
          <w:p w14:paraId="2AEB95C5" w14:textId="55BE5D27" w:rsidR="000E0C3C" w:rsidRDefault="000E0C3C" w:rsidP="000E0C3C">
            <w:r>
              <w:t>ZŽ</w:t>
            </w:r>
          </w:p>
        </w:tc>
        <w:tc>
          <w:tcPr>
            <w:tcW w:w="7512" w:type="dxa"/>
            <w:vAlign w:val="center"/>
          </w:tcPr>
          <w:p w14:paraId="2ADD6894" w14:textId="32C6B4B0" w:rsidR="000E0C3C" w:rsidRDefault="000E0C3C" w:rsidP="000E0C3C">
            <w:r>
              <w:t>Zagrebačka županija</w:t>
            </w:r>
          </w:p>
        </w:tc>
      </w:tr>
    </w:tbl>
    <w:p w14:paraId="2CC88566" w14:textId="3229ACFD" w:rsidR="000444C4" w:rsidRDefault="000444C4" w:rsidP="000444C4"/>
    <w:p w14:paraId="03DE2A06" w14:textId="7CFEDFEC" w:rsidR="001C38FA" w:rsidRDefault="001C38FA" w:rsidP="000444C4"/>
    <w:p w14:paraId="58E16655" w14:textId="77777777" w:rsidR="001C38FA" w:rsidRDefault="001C38FA" w:rsidP="000444C4"/>
    <w:p w14:paraId="0F123582" w14:textId="77777777" w:rsidR="000444C4" w:rsidRDefault="000444C4" w:rsidP="000444C4"/>
    <w:p w14:paraId="17036331" w14:textId="4B6BD1B2" w:rsidR="000444C4" w:rsidRDefault="001C38FA">
      <w:pPr>
        <w:pStyle w:val="IRNaslov1"/>
        <w:numPr>
          <w:ilvl w:val="0"/>
          <w:numId w:val="4"/>
        </w:numPr>
        <w:ind w:left="709" w:hanging="709"/>
      </w:pPr>
      <w:bookmarkStart w:id="1" w:name="_Toc123211631"/>
      <w:r>
        <w:lastRenderedPageBreak/>
        <w:t>Uvod</w:t>
      </w:r>
      <w:bookmarkEnd w:id="1"/>
    </w:p>
    <w:p w14:paraId="16114B35" w14:textId="77777777" w:rsidR="00BF051A" w:rsidRDefault="00BF051A" w:rsidP="00BF051A">
      <w:r>
        <w:t xml:space="preserve">Akcijskim planom EU-a za kružno gospodarstvo, „Zatvaranje petlje – akcijski plan EU-a za kružno gospodarstvo“ iz 2015. godine i „Akcijskim planom za </w:t>
      </w:r>
      <w:proofErr w:type="spellStart"/>
      <w:r>
        <w:t>čistiju</w:t>
      </w:r>
      <w:proofErr w:type="spellEnd"/>
      <w:r>
        <w:t xml:space="preserve"> i konkurentniju Europu“ iz 2020., ostvareni su preduvjeti za ubrzani prijelaz na kružno gospodarstvo čiji je cilj očuvanje vrijednosti resursa i proizvoda u gospodarstvu što je dulje moguće, uz najmanje moguće stvaranje otpada.</w:t>
      </w:r>
    </w:p>
    <w:p w14:paraId="307EEC6C" w14:textId="77777777" w:rsidR="00BF051A" w:rsidRDefault="00BF051A" w:rsidP="00BF051A">
      <w:r>
        <w:t xml:space="preserve">Akcijskim planom za kružno gospodarstvo nastoji se jačati: </w:t>
      </w:r>
    </w:p>
    <w:p w14:paraId="1040BF9B" w14:textId="3386906C" w:rsidR="00BF051A" w:rsidRDefault="00BF051A" w:rsidP="00BF051A">
      <w:pPr>
        <w:pStyle w:val="Odlomakpopisa"/>
        <w:numPr>
          <w:ilvl w:val="0"/>
          <w:numId w:val="61"/>
        </w:numPr>
      </w:pPr>
      <w:r>
        <w:t xml:space="preserve">sprječavanja nastanka otpada, s posebnim naglaskom prevencije hrane i morskog otpada; </w:t>
      </w:r>
    </w:p>
    <w:p w14:paraId="1F036504" w14:textId="5AA0E643" w:rsidR="00BF051A" w:rsidRDefault="00BF051A" w:rsidP="00BF051A">
      <w:pPr>
        <w:pStyle w:val="Odlomakpopisa"/>
        <w:numPr>
          <w:ilvl w:val="0"/>
          <w:numId w:val="61"/>
        </w:numPr>
      </w:pPr>
      <w:r>
        <w:t xml:space="preserve">proširena odgovornost proizvođača; </w:t>
      </w:r>
    </w:p>
    <w:p w14:paraId="60471DC6" w14:textId="251B2901" w:rsidR="00BF051A" w:rsidRDefault="00BF051A" w:rsidP="00BF051A">
      <w:pPr>
        <w:pStyle w:val="Odlomakpopisa"/>
        <w:numPr>
          <w:ilvl w:val="0"/>
          <w:numId w:val="61"/>
        </w:numPr>
      </w:pPr>
      <w:r>
        <w:t xml:space="preserve">poticanje recikliranja i ponovne uporabe; </w:t>
      </w:r>
    </w:p>
    <w:p w14:paraId="234E0E2C" w14:textId="76075F3A" w:rsidR="00BF051A" w:rsidRDefault="00BF051A" w:rsidP="00BF051A">
      <w:pPr>
        <w:pStyle w:val="Odlomakpopisa"/>
        <w:numPr>
          <w:ilvl w:val="0"/>
          <w:numId w:val="61"/>
        </w:numPr>
      </w:pPr>
      <w:r>
        <w:t xml:space="preserve">postupno smanjenje odlaganja otpada. </w:t>
      </w:r>
    </w:p>
    <w:p w14:paraId="04826E47" w14:textId="77777777" w:rsidR="00BF051A" w:rsidRDefault="00BF051A" w:rsidP="00BF051A">
      <w:r>
        <w:t>Rezultat akcijskog plana je usvajanjem četiri nove Direktive o otpadu, poznate kao „paket o otpadu“ kojima je izmijenjeno šest postojećih direktiva o otpadu, kako slijedi:</w:t>
      </w:r>
    </w:p>
    <w:p w14:paraId="1ACD476D" w14:textId="1467C898" w:rsidR="00BF051A" w:rsidRDefault="00BF051A" w:rsidP="00BF051A">
      <w:pPr>
        <w:pStyle w:val="Odlomakpopisa"/>
        <w:numPr>
          <w:ilvl w:val="0"/>
          <w:numId w:val="62"/>
        </w:numPr>
      </w:pPr>
      <w:r>
        <w:t>Direktiva (EU) 2018/849 Europskog parlamenta i Vijeća od 30. svibnja 2018. o izmjeni direktiva 2000/53/EZ o otpadnim vozilima, 2006/66/EZ o baterijama i akumulatorima i o otpadnim baterijama i akumulatorima te 2012/19/EU o otpadnoj električnoj i elektroničkoj opremi</w:t>
      </w:r>
    </w:p>
    <w:p w14:paraId="5039EBD3" w14:textId="11585BF4" w:rsidR="00BF051A" w:rsidRDefault="00BF051A" w:rsidP="00BF051A">
      <w:pPr>
        <w:pStyle w:val="Odlomakpopisa"/>
        <w:numPr>
          <w:ilvl w:val="0"/>
          <w:numId w:val="62"/>
        </w:numPr>
      </w:pPr>
      <w:r>
        <w:t>Direktiva (EU) 2018/850 Europskog parlamenta i Vijeća od 30. svibnja 2018. o izmjeni Direktive 1999/31/EZ o odlagalištima otpada</w:t>
      </w:r>
    </w:p>
    <w:p w14:paraId="5918E594" w14:textId="488BBDDB" w:rsidR="00BF051A" w:rsidRDefault="00BF051A" w:rsidP="00BF051A">
      <w:pPr>
        <w:pStyle w:val="Odlomakpopisa"/>
        <w:numPr>
          <w:ilvl w:val="0"/>
          <w:numId w:val="62"/>
        </w:numPr>
      </w:pPr>
      <w:r>
        <w:t>Direktiva (EU) 2018/851 Europskog parlamenta i Vijeća od 30. svibnja 2018. o izmjeni Direktive 2008/98/EZ o otpadu</w:t>
      </w:r>
    </w:p>
    <w:p w14:paraId="2B2C3622" w14:textId="4842DACA" w:rsidR="00BF051A" w:rsidRDefault="00BF051A" w:rsidP="00BF051A">
      <w:pPr>
        <w:pStyle w:val="Odlomakpopisa"/>
        <w:numPr>
          <w:ilvl w:val="0"/>
          <w:numId w:val="62"/>
        </w:numPr>
      </w:pPr>
      <w:r>
        <w:t xml:space="preserve">Direktiva (EU) 2018/852 Europskog parlamenta i Vijeća od 30. svibnja 2018. o izmjeni Direktive 94/62/EZ o ambalaži i ambalažnom otpadu </w:t>
      </w:r>
    </w:p>
    <w:p w14:paraId="5A25883F" w14:textId="77777777" w:rsidR="00BF051A" w:rsidRDefault="00BF051A" w:rsidP="00BF051A">
      <w:r>
        <w:t>Ovim direktivama su utvrđeni ambiciozniji ciljevi za odvajanje i recikliranje otpada i smanjenje odlaganja otpada do 2035. godine.</w:t>
      </w:r>
    </w:p>
    <w:p w14:paraId="6CE8C72E" w14:textId="77777777" w:rsidR="00BF051A" w:rsidRDefault="00BF051A" w:rsidP="00BF051A">
      <w:r>
        <w:t>Kao dio Europske strategije za plastiku u kružnom gospodarstvu, u lipnju 2019. godine donesena je Direktiva (EU) 2019/904 Europskog parlamenta i Vijeća od 5. lipnja 2019. o smanjenju utjecaja određenih plastičnih proizvoda na okoliš (SL L 155, 12. 6. 2019.) s mjerama za jednokratne plastične proizvode koje uključuju zabranu stavljanja na tržište, označavanje proizvoda, proširenu odgovornost proizvođača, informiranje javnosti i dr.</w:t>
      </w:r>
    </w:p>
    <w:p w14:paraId="392E17F0" w14:textId="77777777" w:rsidR="00BF051A" w:rsidRDefault="00BF051A" w:rsidP="00BF051A">
      <w:r>
        <w:t>Nacionalno zakonodavstvo je usklađeno s navedenim direktivama kroz Zakon o gospodarenju otpadom (NN 84/2021). Ovim Zakonom propisuju se mjere u svrhu ostvarenja ciljeva Europskog zelenog plana i Akcijskog plana za kružno gospodarstvo kojima je gospodarenje otpadom integrirano u kružno gospodarstvo.</w:t>
      </w:r>
    </w:p>
    <w:p w14:paraId="38591F24" w14:textId="77777777" w:rsidR="00BF051A" w:rsidRDefault="00BF051A" w:rsidP="00BF051A">
      <w:r>
        <w:t>Iz područja gospodarenja otpadom posebno važnim se smatraju mjere Europskog zelenog plana koje podržavaju ispunjavanje postojećih nacionalnih obveza koje proizlaze iz spomenutih direktiva EU-a o otpadu, a posebice ciljeva do 2035. godine određenih izmjenom Okvirne direktive o otpadu – povećanje odvajanja i recikliranja otpada na 65% i smanjenje odlaganja otpada na 10 %.</w:t>
      </w:r>
    </w:p>
    <w:p w14:paraId="4E0C7075" w14:textId="77777777" w:rsidR="00BF051A" w:rsidRDefault="00BF051A" w:rsidP="00BF051A">
      <w:r>
        <w:t>Osim navedenih posebnih mjera kojima se daje prioritet sprječavanju, ponovnoj uporabi i recikliranju otpada prije odlaganja na odlagališta, direktivama iz „paketa o otpadu“ uvedeni su dodatni zahtjevi koje moraju biti uključeni u planove gospodarenja otpadom država članica i programe za sprječavanje nastanka otpada.</w:t>
      </w:r>
    </w:p>
    <w:p w14:paraId="4E43242D" w14:textId="77777777" w:rsidR="00BF051A" w:rsidRDefault="00BF051A" w:rsidP="00BF051A">
      <w:r>
        <w:lastRenderedPageBreak/>
        <w:t xml:space="preserve">Uzimajući u obzir postavljene ciljeve gospodarenja otpadom, u ovom planskom dokumentu korištena je detaljnija metodologija izračuna a koja je uređena EU aktima navedenim u poglavlju 4. Ciljevi gospodarenja otpadom. </w:t>
      </w:r>
    </w:p>
    <w:p w14:paraId="00CFACDD" w14:textId="77777777" w:rsidR="00BF051A" w:rsidRDefault="00BF051A" w:rsidP="00BF051A">
      <w:r>
        <w:t>Sastavni dio PGO 2023-2028 je i Program sprječavanja nastanka otpada. Članak 30. Okvirne direktive o otpadu propisuje obvezu ocjenjivanja nacionalnih planova gospodarenja otpadom i programa za sprječavanje nastanka otpada najmanje svakih šest godina te reviziju prema potrebi.</w:t>
      </w:r>
    </w:p>
    <w:p w14:paraId="3A275DF2" w14:textId="77777777" w:rsidR="00BF051A" w:rsidRDefault="00BF051A" w:rsidP="00BF051A">
      <w:r>
        <w:t>Osim primjene načela kružnog gospodarstva u gospodarenju otpadom, PGO 2023 – 2028 je važan i u kontekstu programiranja i planiranja korištenja sredstava EU-a za sljedeće višegodišnje financijsko programsko razdoblje, 2021. – 2027.</w:t>
      </w:r>
    </w:p>
    <w:p w14:paraId="025880B2" w14:textId="134BE795" w:rsidR="00BF051A" w:rsidRDefault="00BF051A" w:rsidP="00BF051A">
      <w:r>
        <w:t>Ovaj Plan gospodarenja otpadom Republike Hrvatske za razdoblje 2023. – 2028. godine donosi se kao nacionalni krovni planski dokument kojim će se sustav gospodarenja otpadom na području RH uskladiti s novim ciljevima i politikama u gospodarenju otpadom, te je isti (iako se donosi za razdoblje do 2028.) utemeljen na ciljevima do 2035. godine a temeljem kojih je planiran razvoj sustava gospodarenja otpadom.</w:t>
      </w:r>
    </w:p>
    <w:p w14:paraId="6A82B44D" w14:textId="4982BC57" w:rsidR="000444C4" w:rsidRPr="00835847" w:rsidRDefault="000444C4">
      <w:pPr>
        <w:pStyle w:val="IRNaslov1"/>
        <w:numPr>
          <w:ilvl w:val="0"/>
          <w:numId w:val="4"/>
        </w:numPr>
        <w:ind w:left="709" w:hanging="709"/>
      </w:pPr>
      <w:bookmarkStart w:id="2" w:name="_Ref116545180"/>
      <w:bookmarkStart w:id="3" w:name="_Toc123211632"/>
      <w:r>
        <w:lastRenderedPageBreak/>
        <w:t>Stanje gospodarenja otpadom u Republici Hrvatskoj</w:t>
      </w:r>
      <w:bookmarkEnd w:id="2"/>
      <w:bookmarkEnd w:id="3"/>
    </w:p>
    <w:p w14:paraId="70737609" w14:textId="24983D93" w:rsidR="009725D3" w:rsidRPr="00835847" w:rsidRDefault="005C65F8">
      <w:pPr>
        <w:pStyle w:val="IRNaslov2"/>
        <w:numPr>
          <w:ilvl w:val="1"/>
          <w:numId w:val="22"/>
        </w:numPr>
        <w:ind w:left="709"/>
      </w:pPr>
      <w:bookmarkStart w:id="4" w:name="_Toc123211633"/>
      <w:r>
        <w:t>Informacijski sustav gospodarenja otpadom</w:t>
      </w:r>
      <w:bookmarkEnd w:id="4"/>
    </w:p>
    <w:p w14:paraId="7E91AACE" w14:textId="5EE85E13" w:rsidR="005C65F8" w:rsidRPr="007D3EA4" w:rsidRDefault="00594BA1" w:rsidP="005C65F8">
      <w:r w:rsidRPr="00594BA1">
        <w:t xml:space="preserve">U svrhu cjelovitog upravljanja zaštitom okoliša i praćenja opterećenja okoliša, u okviru </w:t>
      </w:r>
      <w:r>
        <w:t>I</w:t>
      </w:r>
      <w:r w:rsidRPr="00594BA1">
        <w:t xml:space="preserve">nformacijskog sustava zaštite okoliša uspostavljen je </w:t>
      </w:r>
      <w:r>
        <w:t>I</w:t>
      </w:r>
      <w:r w:rsidRPr="00594BA1">
        <w:t>nformacijski sustav gospodarenja otpadom kao osnova za izradu i donošenje dokumenata održivog razvitka i zaštite okoliša, praćenje provedbe mjera u tim dokumentima te ostalim dokumentima u skladu s odredbama Zakona o zaštiti okoliša (NN 80/13, 153/13, 78/15, 12/18, 118/18).</w:t>
      </w:r>
    </w:p>
    <w:p w14:paraId="3552A9BB" w14:textId="271FA890" w:rsidR="005C65F8" w:rsidRPr="007D3EA4" w:rsidRDefault="005C65F8" w:rsidP="005C65F8">
      <w:r w:rsidRPr="006405AF">
        <w:t>Sukladno Zakonu o gospodarenju otpadom (NN 84/21)</w:t>
      </w:r>
      <w:r w:rsidR="006405AF" w:rsidRPr="006405AF">
        <w:t xml:space="preserve"> (u daljnjem tekstu: ZGO)</w:t>
      </w:r>
      <w:r w:rsidRPr="006405AF">
        <w:t>, Informacijski sustav</w:t>
      </w:r>
      <w:r w:rsidRPr="007D3EA4">
        <w:t xml:space="preserve"> gospodarenja otpadom</w:t>
      </w:r>
      <w:r w:rsidR="00C82F00">
        <w:t xml:space="preserve"> (u daljnjem tekstu Informacijski sustav)</w:t>
      </w:r>
      <w:r w:rsidRPr="007D3EA4">
        <w:t xml:space="preserve"> služi u nadzoru provedbe i upravljanja sustavom gospodarenja otpadom RH, a uspostavlja ga i vodi MINGOR. Istim Zakonom propisuju se podaci i aplikacije koji moraju biti sadržan</w:t>
      </w:r>
      <w:r>
        <w:t>e</w:t>
      </w:r>
      <w:r w:rsidRPr="007D3EA4">
        <w:t xml:space="preserve"> u sustavu.</w:t>
      </w:r>
    </w:p>
    <w:p w14:paraId="3F463F61" w14:textId="7B511DF7" w:rsidR="005C65F8" w:rsidRPr="007D3EA4" w:rsidRDefault="005C65F8" w:rsidP="005C65F8">
      <w:r w:rsidRPr="007D3EA4">
        <w:t xml:space="preserve">Od propisanih aplikacija u sklopu </w:t>
      </w:r>
      <w:r w:rsidR="00C82F00">
        <w:t xml:space="preserve">Informacijskog </w:t>
      </w:r>
      <w:r w:rsidRPr="007D3EA4">
        <w:t xml:space="preserve">sustava uspostavljene su aplikacije: e-ONTO, Registar onečišćavanja okoliša (ROO), </w:t>
      </w:r>
      <w:r w:rsidR="00C82F00">
        <w:t>A</w:t>
      </w:r>
      <w:r w:rsidRPr="007D3EA4">
        <w:t xml:space="preserve">plikacija za evidenciju lokacija odbačenog otpada (ELOO), </w:t>
      </w:r>
      <w:r w:rsidR="00C82F00">
        <w:t>A</w:t>
      </w:r>
      <w:r w:rsidR="00C82F00" w:rsidRPr="007D3EA4">
        <w:t xml:space="preserve">plikacija </w:t>
      </w:r>
      <w:r w:rsidRPr="007D3EA4">
        <w:t xml:space="preserve">za operatere odlagališta i praćenje odlaganja biorazgradivog komunalnog otpada, Portal sprječavanja nastanka otpada i aplikacija za praćenje projekata i aktivnosti sprječavanja nastanka otpada, ponovne uporabe i </w:t>
      </w:r>
      <w:r w:rsidR="00910700">
        <w:t>obrazovno</w:t>
      </w:r>
      <w:r w:rsidRPr="007D3EA4">
        <w:t xml:space="preserve">-informativnih aktivnosti. </w:t>
      </w:r>
    </w:p>
    <w:p w14:paraId="04FA3AEB" w14:textId="3DE9E0F9" w:rsidR="005C65F8" w:rsidRPr="007D3EA4" w:rsidRDefault="005C65F8" w:rsidP="005C65F8">
      <w:r w:rsidRPr="007D3EA4">
        <w:t xml:space="preserve">U tijeku je uspostava Registra djelatnosti gospodarenja otpadom, </w:t>
      </w:r>
      <w:r w:rsidR="00C82F00">
        <w:t>A</w:t>
      </w:r>
      <w:r w:rsidRPr="007D3EA4">
        <w:t xml:space="preserve">plikacije za izvješće o radu davatelja usluge, te Registra proizvođača s proširenom odgovornosti, dok </w:t>
      </w:r>
      <w:r w:rsidR="000C42FA">
        <w:t>izrada</w:t>
      </w:r>
      <w:r w:rsidR="000C42FA" w:rsidRPr="007D3EA4">
        <w:t xml:space="preserve"> </w:t>
      </w:r>
      <w:r w:rsidRPr="007D3EA4">
        <w:t>aplikacije za prekogranični promet otpadom još nije započela.</w:t>
      </w:r>
    </w:p>
    <w:p w14:paraId="0EB2F236" w14:textId="77777777" w:rsidR="005C65F8" w:rsidRPr="007D3EA4" w:rsidRDefault="005C65F8" w:rsidP="005C65F8">
      <w:r w:rsidRPr="007D3EA4">
        <w:t xml:space="preserve">Obzirom na </w:t>
      </w:r>
      <w:r>
        <w:t>učestalu</w:t>
      </w:r>
      <w:r w:rsidRPr="007D3EA4">
        <w:t xml:space="preserve"> izmjenu postojećih propisa i donošenje novih propisa iz područja gospodarenja otpadom na EU razini, a time i na nacionalnoj razini, uspostavljene aplikacije </w:t>
      </w:r>
      <w:r>
        <w:t xml:space="preserve">informacijskog </w:t>
      </w:r>
      <w:r w:rsidRPr="007D3EA4">
        <w:t>sustava usporedno zahtijevaju i kontinuirane prilagodbe i unaprjeđenja. Također donošenje novih propisa, posebice delegiranih i provedbenih odluka koje definiraju nove metodologije prikupljanja podataka i izradu novih statistika iz područja gospodarenja otpadom, rezultiraju potrebom uspostave novih aplikacija za prikupljanje podataka poput aplikacija za provedbu statističkih istraživanja i sl.</w:t>
      </w:r>
    </w:p>
    <w:p w14:paraId="0202B4DF" w14:textId="77777777" w:rsidR="005C65F8" w:rsidRPr="007D3EA4" w:rsidRDefault="005C65F8" w:rsidP="005C65F8">
      <w:r w:rsidRPr="007D3EA4">
        <w:t xml:space="preserve">Pored aktivnosti usmjerenih na unaprjeđenje postojećih aplikacija i uspostavu novih, potrebno je nastaviti i s aktivnostima unaprjeđenja kvalitete i opsega podataka </w:t>
      </w:r>
      <w:r>
        <w:t>informacijskog sustava</w:t>
      </w:r>
      <w:r w:rsidRPr="007D3EA4">
        <w:t>, edukacijom svih dionika u lancu prikupljanja i obrade podataka (obveznici prijave podataka, nadležna tijela za kontrolu kvalitete i verifikaciju podataka i dr.).</w:t>
      </w:r>
    </w:p>
    <w:p w14:paraId="681244DB" w14:textId="0E923904" w:rsidR="00477694" w:rsidRDefault="000444C4">
      <w:pPr>
        <w:pStyle w:val="IRNaslov2"/>
        <w:numPr>
          <w:ilvl w:val="1"/>
          <w:numId w:val="22"/>
        </w:numPr>
        <w:ind w:left="709"/>
      </w:pPr>
      <w:bookmarkStart w:id="5" w:name="_Toc123211634"/>
      <w:r>
        <w:t>Porijeklo, sastav, kategorije i vrste otpada</w:t>
      </w:r>
      <w:bookmarkEnd w:id="5"/>
    </w:p>
    <w:p w14:paraId="054C18D4" w14:textId="50F578C2" w:rsidR="00F33A81" w:rsidRPr="00F33A81" w:rsidRDefault="00F33A81" w:rsidP="00F33A81">
      <w:pPr>
        <w:rPr>
          <w:i/>
          <w:iCs/>
        </w:rPr>
      </w:pPr>
      <w:r w:rsidRPr="00F33A81">
        <w:rPr>
          <w:i/>
          <w:iCs/>
        </w:rPr>
        <w:t xml:space="preserve">Analiza stanja </w:t>
      </w:r>
      <w:r w:rsidR="00C82F00">
        <w:rPr>
          <w:i/>
          <w:iCs/>
        </w:rPr>
        <w:t xml:space="preserve">u području gospodarenja otpadom </w:t>
      </w:r>
      <w:r w:rsidRPr="00F33A81">
        <w:rPr>
          <w:i/>
          <w:iCs/>
        </w:rPr>
        <w:t xml:space="preserve">prikazana u ovom dokumentu temelji se na: podacima sadržanim u Informacijskom sustavu gospodarenja otpadom, nacionalnim tematskim izvješćima i publikacijama iz područja otpada MINGOR-a, podacima EUROSTAT-ove baze podataka te za slučaj pojedinih posebnih kategorija otpada </w:t>
      </w:r>
      <w:r w:rsidR="004E7910" w:rsidRPr="004E7910">
        <w:rPr>
          <w:i/>
          <w:iCs/>
        </w:rPr>
        <w:t xml:space="preserve">koje pravni subjekti dostavljaju Fondu za zaštitu okoliša i energetsku učinkovitost (u </w:t>
      </w:r>
      <w:r w:rsidR="004E7910">
        <w:rPr>
          <w:i/>
          <w:iCs/>
        </w:rPr>
        <w:t xml:space="preserve">daljnjem </w:t>
      </w:r>
      <w:r w:rsidR="004E7910" w:rsidRPr="004E7910">
        <w:rPr>
          <w:i/>
          <w:iCs/>
        </w:rPr>
        <w:t>tekstu FZOEU)</w:t>
      </w:r>
      <w:r w:rsidR="004E7910">
        <w:rPr>
          <w:i/>
          <w:iCs/>
        </w:rPr>
        <w:t>.</w:t>
      </w:r>
    </w:p>
    <w:p w14:paraId="53612613" w14:textId="77777777" w:rsidR="00F33A81" w:rsidRPr="00F33A81" w:rsidRDefault="00F33A81" w:rsidP="00F33A81">
      <w:pPr>
        <w:rPr>
          <w:i/>
          <w:iCs/>
        </w:rPr>
      </w:pPr>
      <w:r w:rsidRPr="00F33A81">
        <w:rPr>
          <w:i/>
          <w:iCs/>
        </w:rPr>
        <w:t>Prikazane statistike otpada usklađene su s metodologijama propisanima delegiranim i provedbenim aktima te ostalim smjernicama tijela Europske komisije.</w:t>
      </w:r>
    </w:p>
    <w:p w14:paraId="1AA1FAF7" w14:textId="742694B9" w:rsidR="00F33A81" w:rsidRPr="00F33A81" w:rsidRDefault="00F33A81" w:rsidP="00F33A81">
      <w:pPr>
        <w:rPr>
          <w:i/>
          <w:iCs/>
        </w:rPr>
      </w:pPr>
      <w:r w:rsidRPr="00F33A81">
        <w:rPr>
          <w:i/>
          <w:iCs/>
        </w:rPr>
        <w:t xml:space="preserve">Iako su potrebna daljnja </w:t>
      </w:r>
      <w:r w:rsidR="004E7910">
        <w:rPr>
          <w:i/>
          <w:iCs/>
        </w:rPr>
        <w:t xml:space="preserve">povećanja </w:t>
      </w:r>
      <w:r w:rsidRPr="00F33A81">
        <w:rPr>
          <w:i/>
          <w:iCs/>
        </w:rPr>
        <w:t xml:space="preserve">opsega i </w:t>
      </w:r>
      <w:r w:rsidR="004E7910" w:rsidRPr="00F33A81">
        <w:rPr>
          <w:i/>
          <w:iCs/>
        </w:rPr>
        <w:t xml:space="preserve">unaprjeđenja </w:t>
      </w:r>
      <w:r w:rsidRPr="00F33A81">
        <w:rPr>
          <w:i/>
          <w:iCs/>
        </w:rPr>
        <w:t xml:space="preserve">kvalitete prikupljenih podataka za pojedine segmente u gospodarenju otpadom, uključujući i podatke vezane za </w:t>
      </w:r>
      <w:r w:rsidR="004E7910">
        <w:rPr>
          <w:i/>
          <w:iCs/>
        </w:rPr>
        <w:t xml:space="preserve">proizvode u okviru </w:t>
      </w:r>
      <w:r w:rsidRPr="00F33A81">
        <w:rPr>
          <w:i/>
          <w:iCs/>
        </w:rPr>
        <w:t>sustav</w:t>
      </w:r>
      <w:r w:rsidR="004E7910">
        <w:rPr>
          <w:i/>
          <w:iCs/>
        </w:rPr>
        <w:t>a</w:t>
      </w:r>
      <w:r w:rsidRPr="00F33A81">
        <w:rPr>
          <w:i/>
          <w:iCs/>
        </w:rPr>
        <w:t xml:space="preserve"> </w:t>
      </w:r>
      <w:r w:rsidRPr="00F33A81">
        <w:rPr>
          <w:i/>
          <w:iCs/>
        </w:rPr>
        <w:lastRenderedPageBreak/>
        <w:t>proširene odgovornosti proizvođača, kao i daljnja unaprjeđenja informatičkih rješenja Informacijskog sustava gospodarenja otpadom, podaci korišteni u ovom dokumentu za analizu stanja daju vjerodostojan i cjelovit prikaz stanja u području sprječavanja nastanka otpada i gospodarenja otpadom u RH.</w:t>
      </w:r>
    </w:p>
    <w:p w14:paraId="00066A3A" w14:textId="419E0DE9" w:rsidR="006A5775" w:rsidRDefault="000444C4" w:rsidP="00A22739">
      <w:pPr>
        <w:pStyle w:val="IRNaslov3"/>
        <w:numPr>
          <w:ilvl w:val="2"/>
          <w:numId w:val="22"/>
        </w:numPr>
        <w:rPr>
          <w:rStyle w:val="zadanifontodlomka-000023"/>
          <w:rFonts w:asciiTheme="minorHAnsi" w:hAnsiTheme="minorHAnsi"/>
          <w:color w:val="auto"/>
          <w:szCs w:val="26"/>
        </w:rPr>
      </w:pPr>
      <w:bookmarkStart w:id="6" w:name="_Toc123211635"/>
      <w:r w:rsidRPr="00460193">
        <w:rPr>
          <w:rStyle w:val="zadanifontodlomka-000023"/>
          <w:rFonts w:asciiTheme="minorHAnsi" w:hAnsiTheme="minorHAnsi"/>
          <w:color w:val="auto"/>
          <w:szCs w:val="26"/>
        </w:rPr>
        <w:t>Ukupne količine otpada</w:t>
      </w:r>
      <w:r w:rsidR="00F33A81" w:rsidRPr="00460193">
        <w:rPr>
          <w:rStyle w:val="zadanifontodlomka-000023"/>
          <w:rFonts w:asciiTheme="minorHAnsi" w:hAnsiTheme="minorHAnsi"/>
          <w:color w:val="auto"/>
          <w:szCs w:val="26"/>
        </w:rPr>
        <w:t xml:space="preserve"> u RH</w:t>
      </w:r>
      <w:bookmarkEnd w:id="6"/>
    </w:p>
    <w:p w14:paraId="6ABFF6B6" w14:textId="5F5B9575" w:rsidR="00F33A81" w:rsidRPr="00223644" w:rsidRDefault="00F33A81" w:rsidP="00F33A81">
      <w:pPr>
        <w:rPr>
          <w:i/>
          <w:iCs/>
        </w:rPr>
      </w:pPr>
      <w:r w:rsidRPr="00223644">
        <w:rPr>
          <w:i/>
          <w:iCs/>
        </w:rPr>
        <w:t>Statistika kol</w:t>
      </w:r>
      <w:r>
        <w:rPr>
          <w:i/>
          <w:iCs/>
        </w:rPr>
        <w:t>i</w:t>
      </w:r>
      <w:r w:rsidRPr="00223644">
        <w:rPr>
          <w:i/>
          <w:iCs/>
        </w:rPr>
        <w:t>čin</w:t>
      </w:r>
      <w:r>
        <w:rPr>
          <w:i/>
          <w:iCs/>
        </w:rPr>
        <w:t>a</w:t>
      </w:r>
      <w:r w:rsidRPr="00223644">
        <w:rPr>
          <w:i/>
          <w:iCs/>
        </w:rPr>
        <w:t xml:space="preserve"> otpada </w:t>
      </w:r>
      <w:r>
        <w:rPr>
          <w:i/>
          <w:iCs/>
        </w:rPr>
        <w:t xml:space="preserve">(opasnog i neopasnog otpada) </w:t>
      </w:r>
      <w:r w:rsidRPr="00223644">
        <w:rPr>
          <w:i/>
          <w:iCs/>
        </w:rPr>
        <w:t xml:space="preserve">izrađena je u skladu s EUROSTAT-ovom metodologijom propisanom Uredbom (EZ) br. 2150/2002 Europskog parlamenta i vijeća od 25. studenoga 2002. o statističkim podacima o otpadu (SL L 332, 9.12.2002), kako je zadnje izmijenjena i dopunjena Uredbom Komisije (EU) br. 849/2010 od 27. rujna 2010. o izmjeni Uredbe (EZ) br. 2150/2002 Europskog parlamenta i Vijeća o statističkim podacima o otpadu (SL L 253, 27. 9. 2010.). </w:t>
      </w:r>
    </w:p>
    <w:p w14:paraId="61688D17" w14:textId="4459E8F1" w:rsidR="00F33A81" w:rsidRPr="00223644" w:rsidRDefault="004E7910" w:rsidP="00F33A81">
      <w:r>
        <w:t>T</w:t>
      </w:r>
      <w:r w:rsidR="00F33A81" w:rsidRPr="00223644">
        <w:t xml:space="preserve">rend porasta ukupnih količina </w:t>
      </w:r>
      <w:r w:rsidR="00F33A81">
        <w:t xml:space="preserve">nastalog </w:t>
      </w:r>
      <w:r w:rsidR="00F33A81" w:rsidRPr="00223644">
        <w:t xml:space="preserve">otpada u RH </w:t>
      </w:r>
      <w:r>
        <w:t>se nastavlja, te je</w:t>
      </w:r>
      <w:r w:rsidR="00CA13B5">
        <w:t xml:space="preserve"> u</w:t>
      </w:r>
      <w:r w:rsidR="00F33A81" w:rsidRPr="00223644">
        <w:t xml:space="preserve"> razdoblju od 2016. do 2020. godine</w:t>
      </w:r>
      <w:r w:rsidR="00F33A81" w:rsidRPr="00223644">
        <w:rPr>
          <w:rStyle w:val="Referencafusnote"/>
        </w:rPr>
        <w:footnoteReference w:id="1"/>
      </w:r>
      <w:r w:rsidR="00F33A81" w:rsidRPr="00223644">
        <w:t xml:space="preserve"> </w:t>
      </w:r>
      <w:r>
        <w:t>iznosio</w:t>
      </w:r>
      <w:r w:rsidR="00F33A81">
        <w:t xml:space="preserve"> </w:t>
      </w:r>
      <w:r w:rsidR="00F33A81" w:rsidRPr="00223644">
        <w:t>12 %</w:t>
      </w:r>
      <w:r>
        <w:t>. U</w:t>
      </w:r>
      <w:r w:rsidR="00F33A81" w:rsidRPr="00223644">
        <w:t xml:space="preserve"> 2020.</w:t>
      </w:r>
      <w:r w:rsidR="00907B10">
        <w:rPr>
          <w:rStyle w:val="Referencafusnote"/>
        </w:rPr>
        <w:footnoteReference w:id="2"/>
      </w:r>
      <w:r w:rsidR="00F33A81" w:rsidRPr="00223644">
        <w:t xml:space="preserve"> </w:t>
      </w:r>
      <w:r>
        <w:t xml:space="preserve">količina nastalog otpada </w:t>
      </w:r>
      <w:r w:rsidR="00F33A81" w:rsidRPr="00223644">
        <w:t xml:space="preserve">iznosila </w:t>
      </w:r>
      <w:r>
        <w:t xml:space="preserve">je </w:t>
      </w:r>
      <w:r w:rsidR="00F33A81" w:rsidRPr="00223644">
        <w:t>6.003.759 tona odnosno 1,</w:t>
      </w:r>
      <w:r w:rsidRPr="00223644">
        <w:t>5</w:t>
      </w:r>
      <w:r>
        <w:t> </w:t>
      </w:r>
      <w:r w:rsidR="00F33A81" w:rsidRPr="00223644">
        <w:t xml:space="preserve">tona/stanovnik. Trend porasta je prisutan i na EU razini, </w:t>
      </w:r>
      <w:r w:rsidR="00F33A81">
        <w:t xml:space="preserve">i to </w:t>
      </w:r>
      <w:r w:rsidR="00F33A81" w:rsidRPr="00223644">
        <w:t>uz značajno veću količinu otpada koja nastaje po stanovniku (5,2</w:t>
      </w:r>
      <w:r w:rsidR="00F33A81">
        <w:t xml:space="preserve"> </w:t>
      </w:r>
      <w:r w:rsidR="00F33A81" w:rsidRPr="00223644">
        <w:t>tona/stanovnik, 2018. godina</w:t>
      </w:r>
      <w:r w:rsidR="00F33A81" w:rsidRPr="00223644">
        <w:rPr>
          <w:rStyle w:val="Referencafusnote"/>
        </w:rPr>
        <w:footnoteReference w:id="3"/>
      </w:r>
      <w:r w:rsidR="00F33A81" w:rsidRPr="00223644">
        <w:t>).</w:t>
      </w:r>
    </w:p>
    <w:p w14:paraId="02F9978E" w14:textId="4245780E" w:rsidR="00F33A81" w:rsidRPr="00223644" w:rsidRDefault="00F33A81" w:rsidP="009F01BB">
      <w:pPr>
        <w:spacing w:after="0"/>
        <w:jc w:val="center"/>
      </w:pPr>
    </w:p>
    <w:p w14:paraId="3C37E127" w14:textId="77777777" w:rsidR="00F33A81" w:rsidRPr="009F01BB" w:rsidRDefault="00F33A81" w:rsidP="00BA1411">
      <w:pPr>
        <w:spacing w:after="0"/>
        <w:jc w:val="right"/>
        <w:rPr>
          <w:i/>
          <w:iCs/>
          <w:sz w:val="18"/>
          <w:szCs w:val="20"/>
        </w:rPr>
      </w:pPr>
      <w:r w:rsidRPr="009F01BB">
        <w:rPr>
          <w:i/>
          <w:iCs/>
          <w:sz w:val="18"/>
          <w:szCs w:val="20"/>
        </w:rPr>
        <w:t>Izvor: MINGOR</w:t>
      </w:r>
    </w:p>
    <w:p w14:paraId="46C56259" w14:textId="093C2C8C" w:rsidR="00F33A81" w:rsidRPr="00223644" w:rsidRDefault="00F33A81" w:rsidP="00F33A81">
      <w:pPr>
        <w:pStyle w:val="Slika"/>
      </w:pPr>
      <w:bookmarkStart w:id="8" w:name="_Toc125363906"/>
      <w:r w:rsidRPr="00223644">
        <w:t xml:space="preserve">Slika </w:t>
      </w:r>
      <w:fldSimple w:instr=" SEQ Slika \* ARABIC ">
        <w:r w:rsidR="00F37B62">
          <w:rPr>
            <w:noProof/>
          </w:rPr>
          <w:t>1</w:t>
        </w:r>
      </w:fldSimple>
      <w:r w:rsidRPr="00223644">
        <w:t xml:space="preserve">. </w:t>
      </w:r>
      <w:r w:rsidRPr="009F01BB">
        <w:rPr>
          <w:b w:val="0"/>
          <w:bCs/>
        </w:rPr>
        <w:t>Ukupne količine nastalog otpada u ekonomskim djelatnostima i u kućanstvima u</w:t>
      </w:r>
      <w:r w:rsidR="009F01BB">
        <w:rPr>
          <w:b w:val="0"/>
          <w:bCs/>
        </w:rPr>
        <w:t xml:space="preserve"> </w:t>
      </w:r>
      <w:r w:rsidRPr="009F01BB">
        <w:rPr>
          <w:b w:val="0"/>
          <w:bCs/>
        </w:rPr>
        <w:t>RH, 2016. – 2020.</w:t>
      </w:r>
      <w:bookmarkEnd w:id="8"/>
    </w:p>
    <w:p w14:paraId="13844C97" w14:textId="7A5CDC67" w:rsidR="00CA7FB4" w:rsidRDefault="00F33A81" w:rsidP="007C706E">
      <w:r w:rsidRPr="00223644">
        <w:t xml:space="preserve">Najveći skok u porastu </w:t>
      </w:r>
      <w:r>
        <w:t xml:space="preserve">nastalih </w:t>
      </w:r>
      <w:r w:rsidRPr="00223644">
        <w:t xml:space="preserve">količina </w:t>
      </w:r>
      <w:r>
        <w:t xml:space="preserve">otpada </w:t>
      </w:r>
      <w:r w:rsidRPr="00223644">
        <w:t xml:space="preserve">u promatranom razdoblju (112 %) vezan je uz </w:t>
      </w:r>
      <w:r>
        <w:t>nastanak</w:t>
      </w:r>
      <w:r w:rsidRPr="00223644">
        <w:t xml:space="preserve"> sekundarnog otpada</w:t>
      </w:r>
      <w:r w:rsidR="002C73D9">
        <w:rPr>
          <w:rStyle w:val="Referencafusnote"/>
        </w:rPr>
        <w:footnoteReference w:id="4"/>
      </w:r>
      <w:r w:rsidRPr="00223644">
        <w:t xml:space="preserve"> (</w:t>
      </w:r>
      <w:r w:rsidRPr="00223644">
        <w:fldChar w:fldCharType="begin"/>
      </w:r>
      <w:r w:rsidRPr="00223644">
        <w:instrText xml:space="preserve"> REF _Ref110071580 \h </w:instrText>
      </w:r>
      <w:r w:rsidRPr="00223644">
        <w:fldChar w:fldCharType="separate"/>
      </w:r>
      <w:r w:rsidR="00F37B62" w:rsidRPr="00223644">
        <w:t xml:space="preserve">Slika </w:t>
      </w:r>
      <w:r w:rsidR="00F37B62">
        <w:rPr>
          <w:noProof/>
        </w:rPr>
        <w:t>2</w:t>
      </w:r>
      <w:r w:rsidRPr="00223644">
        <w:fldChar w:fldCharType="end"/>
      </w:r>
      <w:r w:rsidRPr="00223644">
        <w:t>). Navedeno je rezultat izgradnje i puštanja u rad infrastrukture za obradu otpada i to miješanog komunalnog otpada (</w:t>
      </w:r>
      <w:bookmarkStart w:id="9" w:name="_Hlk119150915"/>
      <w:r w:rsidRPr="00223644">
        <w:t>postrojenja za mehaničko – biološku obradu otpada</w:t>
      </w:r>
      <w:bookmarkEnd w:id="9"/>
      <w:r w:rsidRPr="00223644">
        <w:t xml:space="preserve">), posebice od 2018. godine nadalje. Količine </w:t>
      </w:r>
      <w:r>
        <w:t xml:space="preserve">nastalog </w:t>
      </w:r>
      <w:r w:rsidRPr="00223644">
        <w:t>primarnog otpada</w:t>
      </w:r>
      <w:r w:rsidR="00CA7FB4">
        <w:rPr>
          <w:rStyle w:val="Referencafusnote"/>
        </w:rPr>
        <w:footnoteReference w:id="5"/>
      </w:r>
      <w:r w:rsidRPr="00223644">
        <w:t xml:space="preserve"> su od 2016. godine u </w:t>
      </w:r>
      <w:r>
        <w:t>blagom</w:t>
      </w:r>
      <w:r w:rsidRPr="00223644">
        <w:t xml:space="preserve"> porastu (9 %), koji se evidentira </w:t>
      </w:r>
      <w:r>
        <w:t>posebice</w:t>
      </w:r>
      <w:r w:rsidRPr="00223644">
        <w:t xml:space="preserve"> za metalni otpad, otpadni papir i karton, </w:t>
      </w:r>
      <w:proofErr w:type="spellStart"/>
      <w:r w:rsidRPr="00223644">
        <w:t>gnojovku</w:t>
      </w:r>
      <w:proofErr w:type="spellEnd"/>
      <w:r w:rsidRPr="00223644">
        <w:t xml:space="preserve"> i građevni otpad.</w:t>
      </w:r>
    </w:p>
    <w:p w14:paraId="6B2B9E7A" w14:textId="2F29015A" w:rsidR="00CA7FB4" w:rsidRPr="00223644" w:rsidRDefault="00CA7FB4" w:rsidP="00F33A81">
      <w:pPr>
        <w:jc w:val="center"/>
      </w:pPr>
    </w:p>
    <w:p w14:paraId="1E7800CF" w14:textId="77777777" w:rsidR="00F33A81" w:rsidRPr="009F01BB" w:rsidRDefault="00F33A81" w:rsidP="00BA1411">
      <w:pPr>
        <w:spacing w:after="0"/>
        <w:jc w:val="right"/>
        <w:rPr>
          <w:i/>
          <w:iCs/>
          <w:sz w:val="18"/>
          <w:szCs w:val="20"/>
        </w:rPr>
      </w:pPr>
      <w:r w:rsidRPr="009F01BB">
        <w:rPr>
          <w:i/>
          <w:iCs/>
          <w:sz w:val="18"/>
          <w:szCs w:val="20"/>
        </w:rPr>
        <w:t>Izvor: MINGOR</w:t>
      </w:r>
    </w:p>
    <w:p w14:paraId="7CC3BE37" w14:textId="5618496D" w:rsidR="00F33A81" w:rsidRPr="00223644" w:rsidRDefault="00F33A81" w:rsidP="009F01BB">
      <w:pPr>
        <w:pStyle w:val="Slika"/>
      </w:pPr>
      <w:bookmarkStart w:id="10" w:name="_Ref110071580"/>
      <w:bookmarkStart w:id="11" w:name="_Toc125363907"/>
      <w:r w:rsidRPr="00223644">
        <w:t xml:space="preserve">Slika </w:t>
      </w:r>
      <w:fldSimple w:instr=" SEQ Slika \* ARABIC ">
        <w:r w:rsidR="00F37B62">
          <w:rPr>
            <w:noProof/>
          </w:rPr>
          <w:t>2</w:t>
        </w:r>
      </w:fldSimple>
      <w:bookmarkEnd w:id="10"/>
      <w:r w:rsidRPr="00223644">
        <w:t xml:space="preserve">. </w:t>
      </w:r>
      <w:r w:rsidRPr="009F01BB">
        <w:rPr>
          <w:b w:val="0"/>
          <w:bCs/>
        </w:rPr>
        <w:t>Količine primarnog i sekundarnog otpada u RH, 2016., 2018. i 2020. godine</w:t>
      </w:r>
      <w:bookmarkEnd w:id="11"/>
    </w:p>
    <w:p w14:paraId="7C654CF2" w14:textId="7039AC19" w:rsidR="00F33A81" w:rsidRPr="00223644" w:rsidRDefault="00F33A81" w:rsidP="00F33A81">
      <w:r>
        <w:t xml:space="preserve">Razmatrajući nastali otpad s obzirom na </w:t>
      </w:r>
      <w:r w:rsidR="005432C0">
        <w:t>porijeklo (</w:t>
      </w:r>
      <w:r>
        <w:t>gospodarske aktivnosti</w:t>
      </w:r>
      <w:r w:rsidR="005432C0">
        <w:t>)</w:t>
      </w:r>
      <w:r>
        <w:t xml:space="preserve"> </w:t>
      </w:r>
      <w:r w:rsidRPr="00223644">
        <w:t>najveći udio u ukupno</w:t>
      </w:r>
      <w:r>
        <w:t xml:space="preserve"> nastaloj </w:t>
      </w:r>
      <w:r w:rsidRPr="00223644">
        <w:t xml:space="preserve">količini otpada </w:t>
      </w:r>
      <w:r>
        <w:t>tijekom 2020. godine imao je</w:t>
      </w:r>
      <w:r w:rsidRPr="00223644">
        <w:t xml:space="preserve"> sektor građevinarstva (24%, 1.431.694</w:t>
      </w:r>
      <w:r>
        <w:t xml:space="preserve"> </w:t>
      </w:r>
      <w:r w:rsidRPr="00223644">
        <w:t xml:space="preserve">tona), zatim sektor opskrbe vodom, uklanjanja otpadnih voda, gospodarenja otpadom te djelatnosti sanacije </w:t>
      </w:r>
      <w:r w:rsidRPr="00223644">
        <w:lastRenderedPageBreak/>
        <w:t>okoliša</w:t>
      </w:r>
      <w:r w:rsidR="007C706E">
        <w:t xml:space="preserve"> </w:t>
      </w:r>
      <w:r w:rsidRPr="00223644">
        <w:t>(16%, 977.321 tona), sektor rudarstva i vađenja (12%, 693.517 tona) te sektor uslužnih djelatnosti (10%, 567.529 tona)</w:t>
      </w:r>
      <w:r>
        <w:t xml:space="preserve"> (</w:t>
      </w:r>
      <w:r>
        <w:fldChar w:fldCharType="begin"/>
      </w:r>
      <w:r>
        <w:instrText xml:space="preserve"> REF _Ref111190663 \h </w:instrText>
      </w:r>
      <w:r>
        <w:fldChar w:fldCharType="separate"/>
      </w:r>
      <w:r w:rsidR="00F37B62" w:rsidRPr="00223644">
        <w:t xml:space="preserve">Slika </w:t>
      </w:r>
      <w:r w:rsidR="00F37B62">
        <w:rPr>
          <w:noProof/>
        </w:rPr>
        <w:t>3</w:t>
      </w:r>
      <w:r>
        <w:fldChar w:fldCharType="end"/>
      </w:r>
      <w:r>
        <w:t>)</w:t>
      </w:r>
      <w:r w:rsidRPr="00223644">
        <w:t xml:space="preserve">. </w:t>
      </w:r>
    </w:p>
    <w:p w14:paraId="5545E19D" w14:textId="2B9BEFF5" w:rsidR="00F33A81" w:rsidRPr="00223644" w:rsidRDefault="00F33A81" w:rsidP="00F33A81">
      <w:r w:rsidRPr="00E86259">
        <w:rPr>
          <w:highlight w:val="yellow"/>
        </w:rPr>
        <w:t>Kućanstva čine u ukupnim količinama nastalog otpada udio od 20% (1.212.068 tona)</w:t>
      </w:r>
      <w:r w:rsidRPr="00223644">
        <w:t xml:space="preserve">. Otpad iz kućanstava obuhvaća različite vrste otpada koje proizvode građani, od komunalnog otpada (npr. miješani komunalni otpad, glomazni otpad, ambalažni otpad, EE otpad i dr.) do drugih vrsta otpada kao što su npr. otpadna vozila, otpadni akumulatori, otpadne gume itd. </w:t>
      </w:r>
    </w:p>
    <w:p w14:paraId="74ED2E0E" w14:textId="11A7B92C" w:rsidR="00F33A81" w:rsidRPr="00223644" w:rsidRDefault="00F33A81" w:rsidP="00F33A81">
      <w:pPr>
        <w:jc w:val="center"/>
        <w:rPr>
          <w:sz w:val="20"/>
        </w:rPr>
      </w:pPr>
    </w:p>
    <w:p w14:paraId="4A0CD01D" w14:textId="77777777" w:rsidR="00F33A81" w:rsidRPr="009F01BB" w:rsidRDefault="00F33A81" w:rsidP="00BA1411">
      <w:pPr>
        <w:spacing w:after="0"/>
        <w:jc w:val="right"/>
        <w:rPr>
          <w:i/>
          <w:iCs/>
          <w:sz w:val="18"/>
          <w:szCs w:val="20"/>
        </w:rPr>
      </w:pPr>
      <w:r w:rsidRPr="009F01BB">
        <w:rPr>
          <w:i/>
          <w:iCs/>
          <w:sz w:val="18"/>
          <w:szCs w:val="20"/>
        </w:rPr>
        <w:t>Izvor: MINGOR</w:t>
      </w:r>
    </w:p>
    <w:p w14:paraId="6898BA48" w14:textId="530FAA1D" w:rsidR="00F33A81" w:rsidRPr="00223644" w:rsidRDefault="00F33A81" w:rsidP="009F01BB">
      <w:pPr>
        <w:pStyle w:val="Slika"/>
      </w:pPr>
      <w:bookmarkStart w:id="12" w:name="_Ref111190663"/>
      <w:bookmarkStart w:id="13" w:name="_Toc125363908"/>
      <w:r w:rsidRPr="00223644">
        <w:t xml:space="preserve">Slika </w:t>
      </w:r>
      <w:fldSimple w:instr=" SEQ Slika \* ARABIC ">
        <w:r w:rsidR="00F37B62">
          <w:rPr>
            <w:noProof/>
          </w:rPr>
          <w:t>3</w:t>
        </w:r>
      </w:fldSimple>
      <w:bookmarkEnd w:id="12"/>
      <w:r w:rsidRPr="00223644">
        <w:t xml:space="preserve">. </w:t>
      </w:r>
      <w:r w:rsidRPr="009F01BB">
        <w:rPr>
          <w:b w:val="0"/>
          <w:bCs/>
        </w:rPr>
        <w:t>Udjeli gospodarskih aktivnosti i kućanstva u ukupno nastalom otpadu u 2020. godini</w:t>
      </w:r>
      <w:bookmarkEnd w:id="13"/>
    </w:p>
    <w:p w14:paraId="462F3C84" w14:textId="5A7303EC" w:rsidR="00F33A81" w:rsidRPr="00223644" w:rsidRDefault="00F33A81" w:rsidP="009F01BB">
      <w:pPr>
        <w:pStyle w:val="Tablica"/>
      </w:pPr>
      <w:bookmarkStart w:id="14" w:name="_Ref111125192"/>
      <w:bookmarkStart w:id="15" w:name="_Toc125364390"/>
      <w:r w:rsidRPr="00223644">
        <w:t xml:space="preserve">Tablica </w:t>
      </w:r>
      <w:fldSimple w:instr=" SEQ Tablica \* ARABIC ">
        <w:r w:rsidR="00F37B62">
          <w:rPr>
            <w:noProof/>
          </w:rPr>
          <w:t>1</w:t>
        </w:r>
      </w:fldSimple>
      <w:bookmarkEnd w:id="14"/>
      <w:r w:rsidRPr="00223644">
        <w:t xml:space="preserve">. </w:t>
      </w:r>
      <w:r w:rsidRPr="009F01BB">
        <w:rPr>
          <w:b w:val="0"/>
          <w:bCs/>
        </w:rPr>
        <w:t>Količine otpada po gospodarskim aktivnostima i kućanstvu u 2020. godini</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7"/>
        <w:gridCol w:w="1273"/>
      </w:tblGrid>
      <w:tr w:rsidR="00F33A81" w:rsidRPr="00234F78" w14:paraId="2B64C339" w14:textId="77777777" w:rsidTr="009F01BB">
        <w:trPr>
          <w:trHeight w:val="20"/>
        </w:trPr>
        <w:tc>
          <w:tcPr>
            <w:tcW w:w="4296" w:type="pct"/>
            <w:shd w:val="clear" w:color="auto" w:fill="002060"/>
            <w:noWrap/>
            <w:vAlign w:val="center"/>
            <w:hideMark/>
          </w:tcPr>
          <w:p w14:paraId="1D315E0F" w14:textId="77777777" w:rsidR="00F33A81" w:rsidRPr="00234F78" w:rsidRDefault="00F33A81"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Gospodarska aktivnost/kućanstvo</w:t>
            </w:r>
          </w:p>
        </w:tc>
        <w:tc>
          <w:tcPr>
            <w:tcW w:w="704" w:type="pct"/>
            <w:shd w:val="clear" w:color="auto" w:fill="002060"/>
            <w:vAlign w:val="center"/>
            <w:hideMark/>
          </w:tcPr>
          <w:p w14:paraId="09F23194" w14:textId="77777777" w:rsidR="00F33A81" w:rsidRPr="00234F78" w:rsidRDefault="00F33A81"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Količina (t)</w:t>
            </w:r>
          </w:p>
        </w:tc>
      </w:tr>
      <w:tr w:rsidR="00F33A81" w:rsidRPr="00234F78" w14:paraId="77D6CB95" w14:textId="77777777" w:rsidTr="009F01BB">
        <w:trPr>
          <w:trHeight w:val="20"/>
        </w:trPr>
        <w:tc>
          <w:tcPr>
            <w:tcW w:w="4296" w:type="pct"/>
            <w:shd w:val="clear" w:color="auto" w:fill="auto"/>
            <w:noWrap/>
            <w:vAlign w:val="center"/>
            <w:hideMark/>
          </w:tcPr>
          <w:p w14:paraId="53A22DFC" w14:textId="77777777" w:rsidR="00F33A81" w:rsidRPr="00234F78" w:rsidRDefault="00F33A81" w:rsidP="00CC41BC">
            <w:pPr>
              <w:spacing w:after="0" w:line="240" w:lineRule="auto"/>
              <w:rPr>
                <w:rFonts w:eastAsia="Times New Roman" w:cstheme="minorHAnsi"/>
                <w:color w:val="000000"/>
                <w:sz w:val="20"/>
                <w:szCs w:val="20"/>
                <w:lang w:eastAsia="hr-HR"/>
              </w:rPr>
            </w:pPr>
            <w:proofErr w:type="spellStart"/>
            <w:r w:rsidRPr="00234F78">
              <w:rPr>
                <w:rFonts w:eastAsia="Times New Roman" w:cstheme="minorHAnsi"/>
                <w:color w:val="000000"/>
                <w:sz w:val="20"/>
                <w:szCs w:val="20"/>
                <w:lang w:eastAsia="hr-HR"/>
              </w:rPr>
              <w:t>F_Građevinarstvo</w:t>
            </w:r>
            <w:proofErr w:type="spellEnd"/>
          </w:p>
        </w:tc>
        <w:tc>
          <w:tcPr>
            <w:tcW w:w="704" w:type="pct"/>
            <w:shd w:val="clear" w:color="auto" w:fill="auto"/>
            <w:vAlign w:val="center"/>
            <w:hideMark/>
          </w:tcPr>
          <w:p w14:paraId="0FCAF2F1" w14:textId="77777777" w:rsidR="00F33A81" w:rsidRPr="00234F78" w:rsidRDefault="00F33A81"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1.431.694</w:t>
            </w:r>
          </w:p>
        </w:tc>
      </w:tr>
      <w:tr w:rsidR="00F33A81" w:rsidRPr="00234F78" w14:paraId="4325776B" w14:textId="77777777" w:rsidTr="009F01BB">
        <w:trPr>
          <w:trHeight w:val="20"/>
        </w:trPr>
        <w:tc>
          <w:tcPr>
            <w:tcW w:w="4296" w:type="pct"/>
            <w:shd w:val="clear" w:color="auto" w:fill="auto"/>
            <w:noWrap/>
            <w:vAlign w:val="center"/>
            <w:hideMark/>
          </w:tcPr>
          <w:p w14:paraId="064D10A3" w14:textId="77777777" w:rsidR="00F33A81" w:rsidRPr="00234F78" w:rsidRDefault="00F33A81"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Kućanstva</w:t>
            </w:r>
          </w:p>
        </w:tc>
        <w:tc>
          <w:tcPr>
            <w:tcW w:w="704" w:type="pct"/>
            <w:shd w:val="clear" w:color="auto" w:fill="auto"/>
            <w:vAlign w:val="center"/>
            <w:hideMark/>
          </w:tcPr>
          <w:p w14:paraId="5583FA48" w14:textId="77777777" w:rsidR="00F33A81" w:rsidRPr="00234F78" w:rsidRDefault="00F33A81"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1.212.068</w:t>
            </w:r>
          </w:p>
        </w:tc>
      </w:tr>
      <w:tr w:rsidR="00F33A81" w:rsidRPr="00234F78" w14:paraId="5DEEB56F" w14:textId="77777777" w:rsidTr="009F01BB">
        <w:trPr>
          <w:trHeight w:val="20"/>
        </w:trPr>
        <w:tc>
          <w:tcPr>
            <w:tcW w:w="4296" w:type="pct"/>
            <w:shd w:val="clear" w:color="auto" w:fill="auto"/>
            <w:noWrap/>
            <w:vAlign w:val="center"/>
            <w:hideMark/>
          </w:tcPr>
          <w:p w14:paraId="0F6326DB" w14:textId="77777777" w:rsidR="00F33A81" w:rsidRPr="00234F78" w:rsidRDefault="00F33A81" w:rsidP="00CC41BC">
            <w:pPr>
              <w:spacing w:after="0" w:line="240" w:lineRule="auto"/>
              <w:rPr>
                <w:rFonts w:eastAsia="Times New Roman" w:cstheme="minorHAnsi"/>
                <w:color w:val="000000"/>
                <w:sz w:val="20"/>
                <w:szCs w:val="20"/>
                <w:lang w:eastAsia="hr-HR"/>
              </w:rPr>
            </w:pPr>
            <w:proofErr w:type="spellStart"/>
            <w:r w:rsidRPr="00234F78">
              <w:rPr>
                <w:rFonts w:eastAsia="Times New Roman" w:cstheme="minorHAnsi"/>
                <w:color w:val="000000"/>
                <w:sz w:val="20"/>
                <w:szCs w:val="20"/>
                <w:lang w:eastAsia="hr-HR"/>
              </w:rPr>
              <w:t>E_Opskrba</w:t>
            </w:r>
            <w:proofErr w:type="spellEnd"/>
            <w:r w:rsidRPr="00234F78">
              <w:rPr>
                <w:rFonts w:eastAsia="Times New Roman" w:cstheme="minorHAnsi"/>
                <w:color w:val="000000"/>
                <w:sz w:val="20"/>
                <w:szCs w:val="20"/>
                <w:lang w:eastAsia="hr-HR"/>
              </w:rPr>
              <w:t xml:space="preserve"> vodom, uklanjanje otpadnih voda, gospodarenje otpadom te djelatnosti sanacije okoliša</w:t>
            </w:r>
          </w:p>
        </w:tc>
        <w:tc>
          <w:tcPr>
            <w:tcW w:w="704" w:type="pct"/>
            <w:shd w:val="clear" w:color="auto" w:fill="auto"/>
            <w:vAlign w:val="center"/>
            <w:hideMark/>
          </w:tcPr>
          <w:p w14:paraId="69D65102" w14:textId="77777777" w:rsidR="00F33A81" w:rsidRPr="00234F78" w:rsidRDefault="00F33A81"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977.321</w:t>
            </w:r>
          </w:p>
        </w:tc>
      </w:tr>
      <w:tr w:rsidR="00F33A81" w:rsidRPr="00234F78" w14:paraId="4E600115" w14:textId="77777777" w:rsidTr="009F01BB">
        <w:trPr>
          <w:trHeight w:val="20"/>
        </w:trPr>
        <w:tc>
          <w:tcPr>
            <w:tcW w:w="4296" w:type="pct"/>
            <w:shd w:val="clear" w:color="auto" w:fill="auto"/>
            <w:noWrap/>
            <w:vAlign w:val="center"/>
            <w:hideMark/>
          </w:tcPr>
          <w:p w14:paraId="29B338E5" w14:textId="77777777" w:rsidR="00F33A81" w:rsidRPr="00234F78" w:rsidRDefault="00F33A81" w:rsidP="00CC41BC">
            <w:pPr>
              <w:spacing w:after="0" w:line="240" w:lineRule="auto"/>
              <w:rPr>
                <w:rFonts w:eastAsia="Times New Roman" w:cstheme="minorHAnsi"/>
                <w:color w:val="000000"/>
                <w:sz w:val="20"/>
                <w:szCs w:val="20"/>
                <w:lang w:eastAsia="hr-HR"/>
              </w:rPr>
            </w:pPr>
            <w:proofErr w:type="spellStart"/>
            <w:r w:rsidRPr="00234F78">
              <w:rPr>
                <w:rFonts w:eastAsia="Times New Roman" w:cstheme="minorHAnsi"/>
                <w:color w:val="000000"/>
                <w:sz w:val="20"/>
                <w:szCs w:val="20"/>
                <w:lang w:eastAsia="hr-HR"/>
              </w:rPr>
              <w:t>B_Rudarstvo</w:t>
            </w:r>
            <w:proofErr w:type="spellEnd"/>
            <w:r w:rsidRPr="00234F78">
              <w:rPr>
                <w:rFonts w:eastAsia="Times New Roman" w:cstheme="minorHAnsi"/>
                <w:color w:val="000000"/>
                <w:sz w:val="20"/>
                <w:szCs w:val="20"/>
                <w:lang w:eastAsia="hr-HR"/>
              </w:rPr>
              <w:t xml:space="preserve"> i vađenje</w:t>
            </w:r>
          </w:p>
        </w:tc>
        <w:tc>
          <w:tcPr>
            <w:tcW w:w="704" w:type="pct"/>
            <w:shd w:val="clear" w:color="auto" w:fill="auto"/>
            <w:vAlign w:val="center"/>
            <w:hideMark/>
          </w:tcPr>
          <w:p w14:paraId="5B9A6D4D" w14:textId="77777777" w:rsidR="00F33A81" w:rsidRPr="00234F78" w:rsidRDefault="00F33A81"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693.517</w:t>
            </w:r>
          </w:p>
        </w:tc>
      </w:tr>
      <w:tr w:rsidR="00F33A81" w:rsidRPr="00234F78" w14:paraId="36FD8739" w14:textId="77777777" w:rsidTr="009F01BB">
        <w:trPr>
          <w:trHeight w:val="20"/>
        </w:trPr>
        <w:tc>
          <w:tcPr>
            <w:tcW w:w="4296" w:type="pct"/>
            <w:shd w:val="clear" w:color="auto" w:fill="auto"/>
            <w:noWrap/>
            <w:vAlign w:val="center"/>
            <w:hideMark/>
          </w:tcPr>
          <w:p w14:paraId="541661DD" w14:textId="77777777" w:rsidR="00F33A81" w:rsidRPr="00234F78" w:rsidRDefault="00F33A81"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G-</w:t>
            </w:r>
            <w:proofErr w:type="spellStart"/>
            <w:r w:rsidRPr="00234F78">
              <w:rPr>
                <w:rFonts w:eastAsia="Times New Roman" w:cstheme="minorHAnsi"/>
                <w:color w:val="000000"/>
                <w:sz w:val="20"/>
                <w:szCs w:val="20"/>
                <w:lang w:eastAsia="hr-HR"/>
              </w:rPr>
              <w:t>U_Uslužne</w:t>
            </w:r>
            <w:proofErr w:type="spellEnd"/>
            <w:r w:rsidRPr="00234F78">
              <w:rPr>
                <w:rFonts w:eastAsia="Times New Roman" w:cstheme="minorHAnsi"/>
                <w:color w:val="000000"/>
                <w:sz w:val="20"/>
                <w:szCs w:val="20"/>
                <w:lang w:eastAsia="hr-HR"/>
              </w:rPr>
              <w:t xml:space="preserve"> djelatnosti (osim G46.77)</w:t>
            </w:r>
          </w:p>
        </w:tc>
        <w:tc>
          <w:tcPr>
            <w:tcW w:w="704" w:type="pct"/>
            <w:shd w:val="clear" w:color="auto" w:fill="auto"/>
            <w:vAlign w:val="center"/>
            <w:hideMark/>
          </w:tcPr>
          <w:p w14:paraId="79B52FF3" w14:textId="77777777" w:rsidR="00F33A81" w:rsidRPr="00234F78" w:rsidRDefault="00F33A81"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567.529</w:t>
            </w:r>
          </w:p>
        </w:tc>
      </w:tr>
      <w:tr w:rsidR="00F33A81" w:rsidRPr="00234F78" w14:paraId="3E90EB41" w14:textId="77777777" w:rsidTr="009F01BB">
        <w:trPr>
          <w:trHeight w:val="20"/>
        </w:trPr>
        <w:tc>
          <w:tcPr>
            <w:tcW w:w="4296" w:type="pct"/>
            <w:shd w:val="clear" w:color="auto" w:fill="auto"/>
            <w:noWrap/>
            <w:vAlign w:val="center"/>
            <w:hideMark/>
          </w:tcPr>
          <w:p w14:paraId="3739589E" w14:textId="77777777" w:rsidR="00F33A81" w:rsidRPr="00234F78" w:rsidRDefault="00F33A81" w:rsidP="00CC41BC">
            <w:pPr>
              <w:spacing w:after="0" w:line="240" w:lineRule="auto"/>
              <w:rPr>
                <w:rFonts w:eastAsia="Times New Roman" w:cstheme="minorHAnsi"/>
                <w:color w:val="000000"/>
                <w:sz w:val="20"/>
                <w:szCs w:val="20"/>
                <w:lang w:eastAsia="hr-HR"/>
              </w:rPr>
            </w:pPr>
            <w:proofErr w:type="spellStart"/>
            <w:r w:rsidRPr="00234F78">
              <w:rPr>
                <w:rFonts w:eastAsia="Times New Roman" w:cstheme="minorHAnsi"/>
                <w:color w:val="000000"/>
                <w:sz w:val="20"/>
                <w:szCs w:val="20"/>
                <w:lang w:eastAsia="hr-HR"/>
              </w:rPr>
              <w:t>A_Poljoprivreda</w:t>
            </w:r>
            <w:proofErr w:type="spellEnd"/>
            <w:r w:rsidRPr="00234F78">
              <w:rPr>
                <w:rFonts w:eastAsia="Times New Roman" w:cstheme="minorHAnsi"/>
                <w:color w:val="000000"/>
                <w:sz w:val="20"/>
                <w:szCs w:val="20"/>
                <w:lang w:eastAsia="hr-HR"/>
              </w:rPr>
              <w:t>, šumarstvo i ribarstvo</w:t>
            </w:r>
          </w:p>
        </w:tc>
        <w:tc>
          <w:tcPr>
            <w:tcW w:w="704" w:type="pct"/>
            <w:shd w:val="clear" w:color="auto" w:fill="auto"/>
            <w:vAlign w:val="center"/>
            <w:hideMark/>
          </w:tcPr>
          <w:p w14:paraId="2E09871B" w14:textId="77777777" w:rsidR="00F33A81" w:rsidRPr="00234F78" w:rsidRDefault="00F33A81"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565.300</w:t>
            </w:r>
          </w:p>
        </w:tc>
      </w:tr>
      <w:tr w:rsidR="00F33A81" w:rsidRPr="00234F78" w14:paraId="7E5F103D" w14:textId="77777777" w:rsidTr="009F01BB">
        <w:trPr>
          <w:trHeight w:val="20"/>
        </w:trPr>
        <w:tc>
          <w:tcPr>
            <w:tcW w:w="4296" w:type="pct"/>
            <w:shd w:val="clear" w:color="auto" w:fill="auto"/>
            <w:noWrap/>
            <w:vAlign w:val="center"/>
            <w:hideMark/>
          </w:tcPr>
          <w:p w14:paraId="589DEB49" w14:textId="77777777" w:rsidR="00F33A81" w:rsidRPr="00234F78" w:rsidRDefault="00F33A81" w:rsidP="00CC41BC">
            <w:pPr>
              <w:spacing w:after="0" w:line="240" w:lineRule="auto"/>
              <w:rPr>
                <w:rFonts w:eastAsia="Times New Roman" w:cstheme="minorHAnsi"/>
                <w:color w:val="000000"/>
                <w:sz w:val="20"/>
                <w:szCs w:val="20"/>
                <w:lang w:eastAsia="hr-HR"/>
              </w:rPr>
            </w:pPr>
            <w:proofErr w:type="spellStart"/>
            <w:r w:rsidRPr="00234F78">
              <w:rPr>
                <w:rFonts w:eastAsia="Times New Roman" w:cstheme="minorHAnsi"/>
                <w:color w:val="000000"/>
                <w:sz w:val="20"/>
                <w:szCs w:val="20"/>
                <w:lang w:eastAsia="hr-HR"/>
              </w:rPr>
              <w:t>C_Prerađivačka</w:t>
            </w:r>
            <w:proofErr w:type="spellEnd"/>
            <w:r w:rsidRPr="00234F78">
              <w:rPr>
                <w:rFonts w:eastAsia="Times New Roman" w:cstheme="minorHAnsi"/>
                <w:color w:val="000000"/>
                <w:sz w:val="20"/>
                <w:szCs w:val="20"/>
                <w:lang w:eastAsia="hr-HR"/>
              </w:rPr>
              <w:t xml:space="preserve"> industrija</w:t>
            </w:r>
          </w:p>
        </w:tc>
        <w:tc>
          <w:tcPr>
            <w:tcW w:w="704" w:type="pct"/>
            <w:shd w:val="clear" w:color="auto" w:fill="auto"/>
            <w:vAlign w:val="center"/>
            <w:hideMark/>
          </w:tcPr>
          <w:p w14:paraId="3D584515" w14:textId="77777777" w:rsidR="00F33A81" w:rsidRPr="00234F78" w:rsidRDefault="00F33A81"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439.675</w:t>
            </w:r>
          </w:p>
        </w:tc>
      </w:tr>
      <w:tr w:rsidR="00F33A81" w:rsidRPr="00234F78" w14:paraId="3BEC3D35" w14:textId="77777777" w:rsidTr="009F01BB">
        <w:trPr>
          <w:trHeight w:val="20"/>
        </w:trPr>
        <w:tc>
          <w:tcPr>
            <w:tcW w:w="4296" w:type="pct"/>
            <w:shd w:val="clear" w:color="auto" w:fill="auto"/>
            <w:noWrap/>
            <w:vAlign w:val="center"/>
            <w:hideMark/>
          </w:tcPr>
          <w:p w14:paraId="1FFEFDA8" w14:textId="77777777" w:rsidR="00F33A81" w:rsidRPr="00234F78" w:rsidRDefault="00F33A81" w:rsidP="00CC41BC">
            <w:pPr>
              <w:spacing w:after="0" w:line="240" w:lineRule="auto"/>
              <w:rPr>
                <w:rFonts w:eastAsia="Times New Roman" w:cstheme="minorHAnsi"/>
                <w:color w:val="000000"/>
                <w:sz w:val="20"/>
                <w:szCs w:val="20"/>
                <w:lang w:eastAsia="hr-HR"/>
              </w:rPr>
            </w:pPr>
            <w:proofErr w:type="spellStart"/>
            <w:r w:rsidRPr="00234F78">
              <w:rPr>
                <w:rFonts w:eastAsia="Times New Roman" w:cstheme="minorHAnsi"/>
                <w:color w:val="000000"/>
                <w:sz w:val="20"/>
                <w:szCs w:val="20"/>
                <w:lang w:eastAsia="hr-HR"/>
              </w:rPr>
              <w:t>D_Opskrba</w:t>
            </w:r>
            <w:proofErr w:type="spellEnd"/>
            <w:r w:rsidRPr="00234F78">
              <w:rPr>
                <w:rFonts w:eastAsia="Times New Roman" w:cstheme="minorHAnsi"/>
                <w:color w:val="000000"/>
                <w:sz w:val="20"/>
                <w:szCs w:val="20"/>
                <w:lang w:eastAsia="hr-HR"/>
              </w:rPr>
              <w:t xml:space="preserve"> električnom energijom, plinom, parom i klimatizacijom</w:t>
            </w:r>
          </w:p>
        </w:tc>
        <w:tc>
          <w:tcPr>
            <w:tcW w:w="704" w:type="pct"/>
            <w:shd w:val="clear" w:color="auto" w:fill="auto"/>
            <w:vAlign w:val="center"/>
            <w:hideMark/>
          </w:tcPr>
          <w:p w14:paraId="1455D580" w14:textId="77777777" w:rsidR="00F33A81" w:rsidRPr="00234F78" w:rsidRDefault="00F33A81"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68.400</w:t>
            </w:r>
          </w:p>
        </w:tc>
      </w:tr>
      <w:tr w:rsidR="00F33A81" w:rsidRPr="00234F78" w14:paraId="0437BAE0" w14:textId="77777777" w:rsidTr="009F01BB">
        <w:trPr>
          <w:trHeight w:val="20"/>
        </w:trPr>
        <w:tc>
          <w:tcPr>
            <w:tcW w:w="4296" w:type="pct"/>
            <w:shd w:val="clear" w:color="auto" w:fill="auto"/>
            <w:noWrap/>
            <w:vAlign w:val="center"/>
            <w:hideMark/>
          </w:tcPr>
          <w:p w14:paraId="70F4EC73" w14:textId="77777777" w:rsidR="00F33A81" w:rsidRPr="00234F78" w:rsidRDefault="00F33A81"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G46.77_Trgovina na veliko ostacima</w:t>
            </w:r>
          </w:p>
        </w:tc>
        <w:tc>
          <w:tcPr>
            <w:tcW w:w="704" w:type="pct"/>
            <w:shd w:val="clear" w:color="auto" w:fill="auto"/>
            <w:vAlign w:val="center"/>
            <w:hideMark/>
          </w:tcPr>
          <w:p w14:paraId="7F1FDB94" w14:textId="77777777" w:rsidR="00F33A81" w:rsidRPr="00234F78" w:rsidRDefault="00F33A81"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48.255</w:t>
            </w:r>
          </w:p>
        </w:tc>
      </w:tr>
      <w:tr w:rsidR="00F33A81" w:rsidRPr="00234F78" w14:paraId="693B50A8" w14:textId="77777777" w:rsidTr="009F01BB">
        <w:trPr>
          <w:trHeight w:val="20"/>
        </w:trPr>
        <w:tc>
          <w:tcPr>
            <w:tcW w:w="4296" w:type="pct"/>
            <w:shd w:val="clear" w:color="auto" w:fill="auto"/>
            <w:noWrap/>
            <w:vAlign w:val="center"/>
            <w:hideMark/>
          </w:tcPr>
          <w:p w14:paraId="6908CB76" w14:textId="77777777" w:rsidR="00F33A81" w:rsidRPr="00234F78" w:rsidRDefault="00F33A81" w:rsidP="00CC41BC">
            <w:pPr>
              <w:spacing w:after="0" w:line="240" w:lineRule="auto"/>
              <w:jc w:val="right"/>
              <w:rPr>
                <w:rFonts w:eastAsia="Times New Roman" w:cstheme="minorHAnsi"/>
                <w:b/>
                <w:bCs/>
                <w:color w:val="000000"/>
                <w:sz w:val="20"/>
                <w:szCs w:val="20"/>
                <w:lang w:eastAsia="hr-HR"/>
              </w:rPr>
            </w:pPr>
            <w:r w:rsidRPr="00234F78">
              <w:rPr>
                <w:rFonts w:eastAsia="Times New Roman" w:cstheme="minorHAnsi"/>
                <w:b/>
                <w:bCs/>
                <w:color w:val="000000"/>
                <w:sz w:val="20"/>
                <w:szCs w:val="20"/>
                <w:lang w:eastAsia="hr-HR"/>
              </w:rPr>
              <w:t>Ukupno proizvedeno (opasni i neopasni otpad)</w:t>
            </w:r>
          </w:p>
        </w:tc>
        <w:tc>
          <w:tcPr>
            <w:tcW w:w="704" w:type="pct"/>
            <w:shd w:val="clear" w:color="auto" w:fill="auto"/>
            <w:noWrap/>
            <w:vAlign w:val="center"/>
            <w:hideMark/>
          </w:tcPr>
          <w:p w14:paraId="11724E87" w14:textId="77777777" w:rsidR="00F33A81" w:rsidRPr="00234F78" w:rsidRDefault="00F33A81" w:rsidP="00CC41BC">
            <w:pPr>
              <w:spacing w:after="0" w:line="240" w:lineRule="auto"/>
              <w:jc w:val="right"/>
              <w:rPr>
                <w:rFonts w:eastAsia="Times New Roman" w:cstheme="minorHAnsi"/>
                <w:b/>
                <w:bCs/>
                <w:color w:val="000000"/>
                <w:sz w:val="20"/>
                <w:szCs w:val="20"/>
                <w:lang w:eastAsia="hr-HR"/>
              </w:rPr>
            </w:pPr>
            <w:r w:rsidRPr="00234F78">
              <w:rPr>
                <w:rFonts w:eastAsia="Times New Roman" w:cstheme="minorHAnsi"/>
                <w:b/>
                <w:bCs/>
                <w:color w:val="000000"/>
                <w:sz w:val="20"/>
                <w:szCs w:val="20"/>
                <w:lang w:eastAsia="hr-HR"/>
              </w:rPr>
              <w:t>6.003.759</w:t>
            </w:r>
          </w:p>
        </w:tc>
      </w:tr>
    </w:tbl>
    <w:p w14:paraId="23921F0A" w14:textId="77777777" w:rsidR="00F33A81" w:rsidRPr="009F01BB" w:rsidRDefault="00F33A81" w:rsidP="00BA1411">
      <w:pPr>
        <w:spacing w:after="240"/>
        <w:jc w:val="right"/>
        <w:rPr>
          <w:i/>
          <w:iCs/>
          <w:sz w:val="18"/>
          <w:szCs w:val="20"/>
        </w:rPr>
      </w:pPr>
      <w:r w:rsidRPr="009F01BB">
        <w:rPr>
          <w:i/>
          <w:iCs/>
          <w:sz w:val="18"/>
          <w:szCs w:val="20"/>
        </w:rPr>
        <w:t>Izvor: MINGOR</w:t>
      </w:r>
    </w:p>
    <w:p w14:paraId="37BD8C96" w14:textId="6FC2E8BF" w:rsidR="00F33A81" w:rsidRDefault="00F33A81" w:rsidP="009F01BB">
      <w:r w:rsidRPr="00223644">
        <w:t>Kada se razmatraju vrste otpada, u ukupno nastalim količinama otpada najzastupljeniji je mineralni otpad uključujući i mineralni građevni otpad i otpad od rušenja (22,3%), otpad iz kućanstva i slični otpad (miješani komunalni otpad, glomazni otpad, otpad od čišćenja ulica itd.) (19,1%), otpadni metali (14,3%), životinjske fekalije, urin i gnojivo (9,2%), zemlja (8,4%), te otpad od papira i kartona (6,1%) (</w:t>
      </w:r>
      <w:r w:rsidR="009F01BB">
        <w:fldChar w:fldCharType="begin"/>
      </w:r>
      <w:r w:rsidR="009F01BB">
        <w:instrText xml:space="preserve"> REF _Ref110074986 \h </w:instrText>
      </w:r>
      <w:r w:rsidR="009F01BB">
        <w:fldChar w:fldCharType="separate"/>
      </w:r>
      <w:r w:rsidR="00F37B62" w:rsidRPr="00223644">
        <w:t xml:space="preserve">Tablica </w:t>
      </w:r>
      <w:r w:rsidR="00F37B62">
        <w:rPr>
          <w:noProof/>
        </w:rPr>
        <w:t>2</w:t>
      </w:r>
      <w:r w:rsidR="009F01BB">
        <w:fldChar w:fldCharType="end"/>
      </w:r>
      <w:r w:rsidRPr="00223644">
        <w:t>).</w:t>
      </w:r>
    </w:p>
    <w:p w14:paraId="19CBD062" w14:textId="15E9EBAB" w:rsidR="009F01BB" w:rsidRPr="00223644" w:rsidRDefault="009F01BB" w:rsidP="009F01BB">
      <w:pPr>
        <w:pStyle w:val="Tablica"/>
      </w:pPr>
      <w:bookmarkStart w:id="16" w:name="_Ref110074986"/>
      <w:bookmarkStart w:id="17" w:name="_Toc125364391"/>
      <w:r w:rsidRPr="00223644">
        <w:t xml:space="preserve">Tablica </w:t>
      </w:r>
      <w:fldSimple w:instr=" SEQ Tablica \* ARABIC ">
        <w:r w:rsidR="00F37B62">
          <w:rPr>
            <w:noProof/>
          </w:rPr>
          <w:t>2</w:t>
        </w:r>
      </w:fldSimple>
      <w:bookmarkEnd w:id="16"/>
      <w:r w:rsidRPr="00223644">
        <w:t xml:space="preserve">. Količine i udio otpada u ukupnoj količini prema vrsti </w:t>
      </w:r>
      <w:r w:rsidR="00BB6A94">
        <w:t xml:space="preserve">otpada </w:t>
      </w:r>
      <w:r w:rsidRPr="00223644">
        <w:t>(statističkoj kategoriji otpada)</w:t>
      </w:r>
      <w:r w:rsidR="00BB6A94">
        <w:t xml:space="preserve"> za 2020. godinu</w:t>
      </w:r>
      <w:bookmarkEnd w:id="1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1131"/>
        <w:gridCol w:w="1278"/>
      </w:tblGrid>
      <w:tr w:rsidR="009F01BB" w:rsidRPr="00234F78" w14:paraId="67566A79" w14:textId="77777777" w:rsidTr="00BE690B">
        <w:trPr>
          <w:trHeight w:val="20"/>
          <w:tblHeader/>
        </w:trPr>
        <w:tc>
          <w:tcPr>
            <w:tcW w:w="6658" w:type="dxa"/>
            <w:shd w:val="clear" w:color="auto" w:fill="002060"/>
            <w:noWrap/>
            <w:vAlign w:val="center"/>
            <w:hideMark/>
          </w:tcPr>
          <w:p w14:paraId="3B05F8C6" w14:textId="77777777" w:rsidR="009F01BB" w:rsidRPr="00234F78" w:rsidRDefault="009F01BB"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Vrsta otpada</w:t>
            </w:r>
            <w:r w:rsidRPr="00234F78">
              <w:rPr>
                <w:rStyle w:val="Referencafusnote"/>
                <w:rFonts w:eastAsia="Times New Roman" w:cstheme="minorHAnsi"/>
                <w:bCs/>
                <w:color w:val="FFFFFF" w:themeColor="background1"/>
                <w:sz w:val="20"/>
                <w:szCs w:val="20"/>
                <w:lang w:eastAsia="hr-HR"/>
              </w:rPr>
              <w:footnoteReference w:id="6"/>
            </w:r>
          </w:p>
        </w:tc>
        <w:tc>
          <w:tcPr>
            <w:tcW w:w="1131" w:type="dxa"/>
            <w:shd w:val="clear" w:color="auto" w:fill="002060"/>
            <w:noWrap/>
            <w:vAlign w:val="center"/>
            <w:hideMark/>
          </w:tcPr>
          <w:p w14:paraId="6F258E1B" w14:textId="77777777" w:rsidR="009F01BB" w:rsidRPr="00234F78" w:rsidRDefault="009F01BB"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Količina (t)</w:t>
            </w:r>
          </w:p>
        </w:tc>
        <w:tc>
          <w:tcPr>
            <w:tcW w:w="1278" w:type="dxa"/>
            <w:shd w:val="clear" w:color="auto" w:fill="002060"/>
            <w:noWrap/>
            <w:vAlign w:val="center"/>
            <w:hideMark/>
          </w:tcPr>
          <w:p w14:paraId="0EC99B45" w14:textId="77777777" w:rsidR="009F01BB" w:rsidRPr="00234F78" w:rsidRDefault="009F01BB"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 xml:space="preserve">Udio </w:t>
            </w:r>
          </w:p>
        </w:tc>
      </w:tr>
      <w:tr w:rsidR="009F01BB" w:rsidRPr="00234F78" w14:paraId="14BB5772" w14:textId="77777777" w:rsidTr="00BE690B">
        <w:trPr>
          <w:trHeight w:val="20"/>
        </w:trPr>
        <w:tc>
          <w:tcPr>
            <w:tcW w:w="6658" w:type="dxa"/>
            <w:shd w:val="clear" w:color="auto" w:fill="auto"/>
            <w:noWrap/>
            <w:vAlign w:val="center"/>
            <w:hideMark/>
          </w:tcPr>
          <w:p w14:paraId="793F9DF0"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 xml:space="preserve">Mineralni otpad uključujući i mineralni građevni otpad i otpad od rušenja </w:t>
            </w:r>
          </w:p>
        </w:tc>
        <w:tc>
          <w:tcPr>
            <w:tcW w:w="1131" w:type="dxa"/>
            <w:shd w:val="clear" w:color="auto" w:fill="auto"/>
            <w:noWrap/>
            <w:vAlign w:val="center"/>
            <w:hideMark/>
          </w:tcPr>
          <w:p w14:paraId="189AF54E"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1.339.878</w:t>
            </w:r>
          </w:p>
        </w:tc>
        <w:tc>
          <w:tcPr>
            <w:tcW w:w="1278" w:type="dxa"/>
            <w:shd w:val="clear" w:color="auto" w:fill="auto"/>
            <w:noWrap/>
            <w:vAlign w:val="center"/>
            <w:hideMark/>
          </w:tcPr>
          <w:p w14:paraId="0BC16138"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22,3%</w:t>
            </w:r>
          </w:p>
        </w:tc>
      </w:tr>
      <w:tr w:rsidR="009F01BB" w:rsidRPr="00234F78" w14:paraId="07A27E10" w14:textId="77777777" w:rsidTr="00BE690B">
        <w:trPr>
          <w:trHeight w:val="20"/>
        </w:trPr>
        <w:tc>
          <w:tcPr>
            <w:tcW w:w="6658" w:type="dxa"/>
            <w:shd w:val="clear" w:color="auto" w:fill="auto"/>
            <w:noWrap/>
            <w:vAlign w:val="center"/>
            <w:hideMark/>
          </w:tcPr>
          <w:p w14:paraId="7216696F"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Otpad iz kućanstava i slični otpad</w:t>
            </w:r>
          </w:p>
        </w:tc>
        <w:tc>
          <w:tcPr>
            <w:tcW w:w="1131" w:type="dxa"/>
            <w:shd w:val="clear" w:color="auto" w:fill="auto"/>
            <w:noWrap/>
            <w:vAlign w:val="center"/>
            <w:hideMark/>
          </w:tcPr>
          <w:p w14:paraId="60D7A9EE"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1.147.784</w:t>
            </w:r>
          </w:p>
        </w:tc>
        <w:tc>
          <w:tcPr>
            <w:tcW w:w="1278" w:type="dxa"/>
            <w:shd w:val="clear" w:color="auto" w:fill="auto"/>
            <w:noWrap/>
            <w:vAlign w:val="center"/>
            <w:hideMark/>
          </w:tcPr>
          <w:p w14:paraId="4C9EEACC"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19,1%</w:t>
            </w:r>
          </w:p>
        </w:tc>
      </w:tr>
      <w:tr w:rsidR="009F01BB" w:rsidRPr="00234F78" w14:paraId="4721B76B" w14:textId="77777777" w:rsidTr="00BE690B">
        <w:trPr>
          <w:trHeight w:val="20"/>
        </w:trPr>
        <w:tc>
          <w:tcPr>
            <w:tcW w:w="6658" w:type="dxa"/>
            <w:shd w:val="clear" w:color="auto" w:fill="auto"/>
            <w:noWrap/>
            <w:vAlign w:val="center"/>
            <w:hideMark/>
          </w:tcPr>
          <w:p w14:paraId="7FCAD924"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Otpadni metali</w:t>
            </w:r>
          </w:p>
        </w:tc>
        <w:tc>
          <w:tcPr>
            <w:tcW w:w="1131" w:type="dxa"/>
            <w:shd w:val="clear" w:color="auto" w:fill="auto"/>
            <w:noWrap/>
            <w:vAlign w:val="center"/>
            <w:hideMark/>
          </w:tcPr>
          <w:p w14:paraId="23F93629"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858.337</w:t>
            </w:r>
          </w:p>
        </w:tc>
        <w:tc>
          <w:tcPr>
            <w:tcW w:w="1278" w:type="dxa"/>
            <w:shd w:val="clear" w:color="auto" w:fill="auto"/>
            <w:noWrap/>
            <w:vAlign w:val="center"/>
            <w:hideMark/>
          </w:tcPr>
          <w:p w14:paraId="2A9F94F1"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14,3%</w:t>
            </w:r>
          </w:p>
        </w:tc>
      </w:tr>
      <w:tr w:rsidR="009F01BB" w:rsidRPr="00234F78" w14:paraId="6476F0C8" w14:textId="77777777" w:rsidTr="00BE690B">
        <w:trPr>
          <w:trHeight w:val="20"/>
        </w:trPr>
        <w:tc>
          <w:tcPr>
            <w:tcW w:w="6658" w:type="dxa"/>
            <w:shd w:val="clear" w:color="auto" w:fill="auto"/>
            <w:noWrap/>
            <w:vAlign w:val="center"/>
            <w:hideMark/>
          </w:tcPr>
          <w:p w14:paraId="738663DA" w14:textId="307DF66C"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Životinjske fekalije, urin i gnoj</w:t>
            </w:r>
          </w:p>
        </w:tc>
        <w:tc>
          <w:tcPr>
            <w:tcW w:w="1131" w:type="dxa"/>
            <w:shd w:val="clear" w:color="auto" w:fill="auto"/>
            <w:noWrap/>
            <w:vAlign w:val="center"/>
            <w:hideMark/>
          </w:tcPr>
          <w:p w14:paraId="05B19630"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554.847</w:t>
            </w:r>
          </w:p>
        </w:tc>
        <w:tc>
          <w:tcPr>
            <w:tcW w:w="1278" w:type="dxa"/>
            <w:shd w:val="clear" w:color="auto" w:fill="auto"/>
            <w:noWrap/>
            <w:vAlign w:val="center"/>
            <w:hideMark/>
          </w:tcPr>
          <w:p w14:paraId="08DB69CF"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9,2%</w:t>
            </w:r>
          </w:p>
        </w:tc>
      </w:tr>
      <w:tr w:rsidR="009F01BB" w:rsidRPr="00234F78" w14:paraId="56E66B07" w14:textId="77777777" w:rsidTr="00BE690B">
        <w:trPr>
          <w:trHeight w:val="20"/>
        </w:trPr>
        <w:tc>
          <w:tcPr>
            <w:tcW w:w="6658" w:type="dxa"/>
            <w:shd w:val="clear" w:color="auto" w:fill="auto"/>
            <w:noWrap/>
            <w:vAlign w:val="center"/>
            <w:hideMark/>
          </w:tcPr>
          <w:p w14:paraId="4200068B"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Zemlja</w:t>
            </w:r>
          </w:p>
        </w:tc>
        <w:tc>
          <w:tcPr>
            <w:tcW w:w="1131" w:type="dxa"/>
            <w:shd w:val="clear" w:color="auto" w:fill="auto"/>
            <w:noWrap/>
            <w:vAlign w:val="center"/>
            <w:hideMark/>
          </w:tcPr>
          <w:p w14:paraId="1607CCD4"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506.588</w:t>
            </w:r>
          </w:p>
        </w:tc>
        <w:tc>
          <w:tcPr>
            <w:tcW w:w="1278" w:type="dxa"/>
            <w:shd w:val="clear" w:color="auto" w:fill="auto"/>
            <w:noWrap/>
            <w:vAlign w:val="center"/>
            <w:hideMark/>
          </w:tcPr>
          <w:p w14:paraId="44499BAF"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8,4%</w:t>
            </w:r>
          </w:p>
        </w:tc>
      </w:tr>
      <w:tr w:rsidR="009F01BB" w:rsidRPr="00234F78" w14:paraId="30840CAC" w14:textId="77777777" w:rsidTr="00BE690B">
        <w:trPr>
          <w:trHeight w:val="20"/>
        </w:trPr>
        <w:tc>
          <w:tcPr>
            <w:tcW w:w="6658" w:type="dxa"/>
            <w:shd w:val="clear" w:color="auto" w:fill="auto"/>
            <w:noWrap/>
            <w:vAlign w:val="center"/>
            <w:hideMark/>
          </w:tcPr>
          <w:p w14:paraId="60A4DF4E"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Otpad od papira i kartona</w:t>
            </w:r>
          </w:p>
        </w:tc>
        <w:tc>
          <w:tcPr>
            <w:tcW w:w="1131" w:type="dxa"/>
            <w:shd w:val="clear" w:color="auto" w:fill="auto"/>
            <w:noWrap/>
            <w:vAlign w:val="center"/>
            <w:hideMark/>
          </w:tcPr>
          <w:p w14:paraId="3017A587"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364.076</w:t>
            </w:r>
          </w:p>
        </w:tc>
        <w:tc>
          <w:tcPr>
            <w:tcW w:w="1278" w:type="dxa"/>
            <w:shd w:val="clear" w:color="auto" w:fill="auto"/>
            <w:noWrap/>
            <w:vAlign w:val="center"/>
            <w:hideMark/>
          </w:tcPr>
          <w:p w14:paraId="1635FEFE"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6,1%</w:t>
            </w:r>
          </w:p>
        </w:tc>
      </w:tr>
      <w:tr w:rsidR="009F01BB" w:rsidRPr="00234F78" w14:paraId="768D53D6" w14:textId="77777777" w:rsidTr="00BE690B">
        <w:trPr>
          <w:trHeight w:val="20"/>
        </w:trPr>
        <w:tc>
          <w:tcPr>
            <w:tcW w:w="6658" w:type="dxa"/>
            <w:shd w:val="clear" w:color="auto" w:fill="auto"/>
            <w:noWrap/>
            <w:vAlign w:val="center"/>
            <w:hideMark/>
          </w:tcPr>
          <w:p w14:paraId="54E6F761"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Ostaci od sortiranja - sekundarni otpad</w:t>
            </w:r>
          </w:p>
        </w:tc>
        <w:tc>
          <w:tcPr>
            <w:tcW w:w="1131" w:type="dxa"/>
            <w:shd w:val="clear" w:color="auto" w:fill="auto"/>
            <w:noWrap/>
            <w:vAlign w:val="center"/>
            <w:hideMark/>
          </w:tcPr>
          <w:p w14:paraId="3BAD165C"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249.954</w:t>
            </w:r>
          </w:p>
        </w:tc>
        <w:tc>
          <w:tcPr>
            <w:tcW w:w="1278" w:type="dxa"/>
            <w:shd w:val="clear" w:color="auto" w:fill="auto"/>
            <w:noWrap/>
            <w:vAlign w:val="center"/>
            <w:hideMark/>
          </w:tcPr>
          <w:p w14:paraId="7A3FA441"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4,2%</w:t>
            </w:r>
          </w:p>
        </w:tc>
      </w:tr>
      <w:tr w:rsidR="009F01BB" w:rsidRPr="00234F78" w14:paraId="2814F297" w14:textId="77777777" w:rsidTr="00BE690B">
        <w:trPr>
          <w:trHeight w:val="20"/>
        </w:trPr>
        <w:tc>
          <w:tcPr>
            <w:tcW w:w="6658" w:type="dxa"/>
            <w:shd w:val="clear" w:color="auto" w:fill="auto"/>
            <w:noWrap/>
            <w:vAlign w:val="center"/>
            <w:hideMark/>
          </w:tcPr>
          <w:p w14:paraId="26D62D42"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Otpad od plastike</w:t>
            </w:r>
          </w:p>
        </w:tc>
        <w:tc>
          <w:tcPr>
            <w:tcW w:w="1131" w:type="dxa"/>
            <w:shd w:val="clear" w:color="auto" w:fill="auto"/>
            <w:noWrap/>
            <w:vAlign w:val="center"/>
            <w:hideMark/>
          </w:tcPr>
          <w:p w14:paraId="019301D7"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126.223</w:t>
            </w:r>
          </w:p>
        </w:tc>
        <w:tc>
          <w:tcPr>
            <w:tcW w:w="1278" w:type="dxa"/>
            <w:shd w:val="clear" w:color="auto" w:fill="auto"/>
            <w:noWrap/>
            <w:vAlign w:val="center"/>
            <w:hideMark/>
          </w:tcPr>
          <w:p w14:paraId="7FBA45CE"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2,1%</w:t>
            </w:r>
          </w:p>
        </w:tc>
      </w:tr>
      <w:tr w:rsidR="009F01BB" w:rsidRPr="00234F78" w14:paraId="1CD176D7" w14:textId="77777777" w:rsidTr="00BE690B">
        <w:trPr>
          <w:trHeight w:val="20"/>
        </w:trPr>
        <w:tc>
          <w:tcPr>
            <w:tcW w:w="6658" w:type="dxa"/>
            <w:shd w:val="clear" w:color="auto" w:fill="auto"/>
            <w:noWrap/>
            <w:vAlign w:val="center"/>
            <w:hideMark/>
          </w:tcPr>
          <w:p w14:paraId="46AB4885"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Otpad od drva</w:t>
            </w:r>
          </w:p>
        </w:tc>
        <w:tc>
          <w:tcPr>
            <w:tcW w:w="1131" w:type="dxa"/>
            <w:shd w:val="clear" w:color="auto" w:fill="auto"/>
            <w:noWrap/>
            <w:vAlign w:val="center"/>
            <w:hideMark/>
          </w:tcPr>
          <w:p w14:paraId="340A02F7"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126.127</w:t>
            </w:r>
          </w:p>
        </w:tc>
        <w:tc>
          <w:tcPr>
            <w:tcW w:w="1278" w:type="dxa"/>
            <w:shd w:val="clear" w:color="auto" w:fill="auto"/>
            <w:noWrap/>
            <w:vAlign w:val="center"/>
            <w:hideMark/>
          </w:tcPr>
          <w:p w14:paraId="7F207FBD"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2,1%</w:t>
            </w:r>
          </w:p>
        </w:tc>
      </w:tr>
      <w:tr w:rsidR="009F01BB" w:rsidRPr="00234F78" w14:paraId="260C62FF" w14:textId="77777777" w:rsidTr="00BE690B">
        <w:trPr>
          <w:trHeight w:val="20"/>
        </w:trPr>
        <w:tc>
          <w:tcPr>
            <w:tcW w:w="6658" w:type="dxa"/>
            <w:shd w:val="clear" w:color="auto" w:fill="auto"/>
            <w:noWrap/>
            <w:vAlign w:val="center"/>
            <w:hideMark/>
          </w:tcPr>
          <w:p w14:paraId="2AC8CF47"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Otpad od izgaranja</w:t>
            </w:r>
          </w:p>
        </w:tc>
        <w:tc>
          <w:tcPr>
            <w:tcW w:w="1131" w:type="dxa"/>
            <w:shd w:val="clear" w:color="auto" w:fill="auto"/>
            <w:noWrap/>
            <w:vAlign w:val="center"/>
            <w:hideMark/>
          </w:tcPr>
          <w:p w14:paraId="74C4A0F8"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100.905</w:t>
            </w:r>
          </w:p>
        </w:tc>
        <w:tc>
          <w:tcPr>
            <w:tcW w:w="1278" w:type="dxa"/>
            <w:shd w:val="clear" w:color="auto" w:fill="auto"/>
            <w:noWrap/>
            <w:vAlign w:val="center"/>
            <w:hideMark/>
          </w:tcPr>
          <w:p w14:paraId="3660438E"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1,7%</w:t>
            </w:r>
          </w:p>
        </w:tc>
      </w:tr>
      <w:tr w:rsidR="009F01BB" w:rsidRPr="00234F78" w14:paraId="4965DF27" w14:textId="77777777" w:rsidTr="00BE690B">
        <w:trPr>
          <w:trHeight w:val="20"/>
        </w:trPr>
        <w:tc>
          <w:tcPr>
            <w:tcW w:w="6658" w:type="dxa"/>
            <w:shd w:val="clear" w:color="auto" w:fill="auto"/>
            <w:noWrap/>
            <w:vAlign w:val="center"/>
            <w:hideMark/>
          </w:tcPr>
          <w:p w14:paraId="443EA442"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Biljni otpad</w:t>
            </w:r>
          </w:p>
        </w:tc>
        <w:tc>
          <w:tcPr>
            <w:tcW w:w="1131" w:type="dxa"/>
            <w:shd w:val="clear" w:color="auto" w:fill="auto"/>
            <w:noWrap/>
            <w:vAlign w:val="center"/>
            <w:hideMark/>
          </w:tcPr>
          <w:p w14:paraId="323046BA"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100.550</w:t>
            </w:r>
          </w:p>
        </w:tc>
        <w:tc>
          <w:tcPr>
            <w:tcW w:w="1278" w:type="dxa"/>
            <w:shd w:val="clear" w:color="auto" w:fill="auto"/>
            <w:noWrap/>
            <w:vAlign w:val="center"/>
            <w:hideMark/>
          </w:tcPr>
          <w:p w14:paraId="011623BE"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1,7%</w:t>
            </w:r>
          </w:p>
        </w:tc>
      </w:tr>
      <w:tr w:rsidR="009F01BB" w:rsidRPr="00234F78" w14:paraId="22B00825" w14:textId="77777777" w:rsidTr="00BE690B">
        <w:trPr>
          <w:trHeight w:val="20"/>
        </w:trPr>
        <w:tc>
          <w:tcPr>
            <w:tcW w:w="6658" w:type="dxa"/>
            <w:shd w:val="clear" w:color="auto" w:fill="auto"/>
            <w:noWrap/>
            <w:vAlign w:val="center"/>
            <w:hideMark/>
          </w:tcPr>
          <w:p w14:paraId="642EBEAC"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Otpad od stakla</w:t>
            </w:r>
          </w:p>
        </w:tc>
        <w:tc>
          <w:tcPr>
            <w:tcW w:w="1131" w:type="dxa"/>
            <w:shd w:val="clear" w:color="auto" w:fill="auto"/>
            <w:noWrap/>
            <w:vAlign w:val="center"/>
            <w:hideMark/>
          </w:tcPr>
          <w:p w14:paraId="7055BA2D"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83.051</w:t>
            </w:r>
          </w:p>
        </w:tc>
        <w:tc>
          <w:tcPr>
            <w:tcW w:w="1278" w:type="dxa"/>
            <w:shd w:val="clear" w:color="auto" w:fill="auto"/>
            <w:noWrap/>
            <w:vAlign w:val="center"/>
            <w:hideMark/>
          </w:tcPr>
          <w:p w14:paraId="23D44D8E"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1,4%</w:t>
            </w:r>
          </w:p>
        </w:tc>
      </w:tr>
      <w:tr w:rsidR="009F01BB" w:rsidRPr="00234F78" w14:paraId="378E76A7" w14:textId="77777777" w:rsidTr="00BE690B">
        <w:trPr>
          <w:trHeight w:val="20"/>
        </w:trPr>
        <w:tc>
          <w:tcPr>
            <w:tcW w:w="6658" w:type="dxa"/>
            <w:shd w:val="clear" w:color="auto" w:fill="auto"/>
            <w:noWrap/>
            <w:vAlign w:val="center"/>
            <w:hideMark/>
          </w:tcPr>
          <w:p w14:paraId="563538D3"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Otpad od prehrambenih proizvoda životinjskog i miješanog podrijetla</w:t>
            </w:r>
          </w:p>
        </w:tc>
        <w:tc>
          <w:tcPr>
            <w:tcW w:w="1131" w:type="dxa"/>
            <w:shd w:val="clear" w:color="auto" w:fill="auto"/>
            <w:noWrap/>
            <w:vAlign w:val="center"/>
            <w:hideMark/>
          </w:tcPr>
          <w:p w14:paraId="52D1D822"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76.791</w:t>
            </w:r>
          </w:p>
        </w:tc>
        <w:tc>
          <w:tcPr>
            <w:tcW w:w="1278" w:type="dxa"/>
            <w:shd w:val="clear" w:color="auto" w:fill="auto"/>
            <w:noWrap/>
            <w:vAlign w:val="center"/>
            <w:hideMark/>
          </w:tcPr>
          <w:p w14:paraId="575D7641"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1,3%</w:t>
            </w:r>
          </w:p>
        </w:tc>
      </w:tr>
      <w:tr w:rsidR="009F01BB" w:rsidRPr="00234F78" w14:paraId="7F74343F" w14:textId="77777777" w:rsidTr="00BE690B">
        <w:trPr>
          <w:trHeight w:val="20"/>
        </w:trPr>
        <w:tc>
          <w:tcPr>
            <w:tcW w:w="6658" w:type="dxa"/>
            <w:shd w:val="clear" w:color="auto" w:fill="auto"/>
            <w:noWrap/>
            <w:vAlign w:val="center"/>
            <w:hideMark/>
          </w:tcPr>
          <w:p w14:paraId="6F6AB2BE"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Miješani i nediferencirani materijali</w:t>
            </w:r>
          </w:p>
        </w:tc>
        <w:tc>
          <w:tcPr>
            <w:tcW w:w="1131" w:type="dxa"/>
            <w:shd w:val="clear" w:color="auto" w:fill="auto"/>
            <w:noWrap/>
            <w:vAlign w:val="center"/>
            <w:hideMark/>
          </w:tcPr>
          <w:p w14:paraId="6B580733"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64.282</w:t>
            </w:r>
          </w:p>
        </w:tc>
        <w:tc>
          <w:tcPr>
            <w:tcW w:w="1278" w:type="dxa"/>
            <w:shd w:val="clear" w:color="auto" w:fill="auto"/>
            <w:noWrap/>
            <w:vAlign w:val="center"/>
            <w:hideMark/>
          </w:tcPr>
          <w:p w14:paraId="2B192A30"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1,1%</w:t>
            </w:r>
          </w:p>
        </w:tc>
      </w:tr>
      <w:tr w:rsidR="009F01BB" w:rsidRPr="00234F78" w14:paraId="47E5F991" w14:textId="77777777" w:rsidTr="00BE690B">
        <w:trPr>
          <w:trHeight w:val="20"/>
        </w:trPr>
        <w:tc>
          <w:tcPr>
            <w:tcW w:w="6658" w:type="dxa"/>
            <w:shd w:val="clear" w:color="auto" w:fill="auto"/>
            <w:noWrap/>
            <w:vAlign w:val="center"/>
            <w:hideMark/>
          </w:tcPr>
          <w:p w14:paraId="280559A9"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lastRenderedPageBreak/>
              <w:t>Otpadna vozila</w:t>
            </w:r>
          </w:p>
        </w:tc>
        <w:tc>
          <w:tcPr>
            <w:tcW w:w="1131" w:type="dxa"/>
            <w:shd w:val="clear" w:color="auto" w:fill="auto"/>
            <w:noWrap/>
            <w:vAlign w:val="center"/>
            <w:hideMark/>
          </w:tcPr>
          <w:p w14:paraId="704D7D23"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55.260</w:t>
            </w:r>
          </w:p>
        </w:tc>
        <w:tc>
          <w:tcPr>
            <w:tcW w:w="1278" w:type="dxa"/>
            <w:shd w:val="clear" w:color="auto" w:fill="auto"/>
            <w:noWrap/>
            <w:vAlign w:val="center"/>
            <w:hideMark/>
          </w:tcPr>
          <w:p w14:paraId="67C69243"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0,9%</w:t>
            </w:r>
          </w:p>
        </w:tc>
      </w:tr>
      <w:tr w:rsidR="009F01BB" w:rsidRPr="00234F78" w14:paraId="72202456" w14:textId="77777777" w:rsidTr="00BE690B">
        <w:trPr>
          <w:trHeight w:val="20"/>
        </w:trPr>
        <w:tc>
          <w:tcPr>
            <w:tcW w:w="6658" w:type="dxa"/>
            <w:shd w:val="clear" w:color="auto" w:fill="auto"/>
            <w:noWrap/>
            <w:vAlign w:val="center"/>
            <w:hideMark/>
          </w:tcPr>
          <w:p w14:paraId="5CA418B9"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Mineralni otpad od obrade otpada i stabilizirani otpad - sekundarni otpad</w:t>
            </w:r>
          </w:p>
        </w:tc>
        <w:tc>
          <w:tcPr>
            <w:tcW w:w="1131" w:type="dxa"/>
            <w:shd w:val="clear" w:color="auto" w:fill="auto"/>
            <w:noWrap/>
            <w:vAlign w:val="center"/>
            <w:hideMark/>
          </w:tcPr>
          <w:p w14:paraId="1E556460"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50.807</w:t>
            </w:r>
          </w:p>
        </w:tc>
        <w:tc>
          <w:tcPr>
            <w:tcW w:w="1278" w:type="dxa"/>
            <w:shd w:val="clear" w:color="auto" w:fill="auto"/>
            <w:noWrap/>
            <w:vAlign w:val="center"/>
            <w:hideMark/>
          </w:tcPr>
          <w:p w14:paraId="4CF87152"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0,8%</w:t>
            </w:r>
          </w:p>
        </w:tc>
      </w:tr>
      <w:tr w:rsidR="009F01BB" w:rsidRPr="00234F78" w14:paraId="5A4FA48E" w14:textId="77777777" w:rsidTr="00BE690B">
        <w:trPr>
          <w:trHeight w:val="20"/>
        </w:trPr>
        <w:tc>
          <w:tcPr>
            <w:tcW w:w="6658" w:type="dxa"/>
            <w:shd w:val="clear" w:color="auto" w:fill="auto"/>
            <w:noWrap/>
            <w:vAlign w:val="center"/>
            <w:hideMark/>
          </w:tcPr>
          <w:p w14:paraId="561EF75E"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Odbačena oprema (osim odbačenih vozila, baterija i akumulatora)</w:t>
            </w:r>
          </w:p>
        </w:tc>
        <w:tc>
          <w:tcPr>
            <w:tcW w:w="1131" w:type="dxa"/>
            <w:shd w:val="clear" w:color="auto" w:fill="auto"/>
            <w:noWrap/>
            <w:vAlign w:val="center"/>
            <w:hideMark/>
          </w:tcPr>
          <w:p w14:paraId="7D04C25D"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48.855</w:t>
            </w:r>
          </w:p>
        </w:tc>
        <w:tc>
          <w:tcPr>
            <w:tcW w:w="1278" w:type="dxa"/>
            <w:shd w:val="clear" w:color="auto" w:fill="auto"/>
            <w:noWrap/>
            <w:vAlign w:val="center"/>
            <w:hideMark/>
          </w:tcPr>
          <w:p w14:paraId="3AA1553C"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0,8%</w:t>
            </w:r>
          </w:p>
        </w:tc>
      </w:tr>
      <w:tr w:rsidR="009F01BB" w:rsidRPr="00234F78" w14:paraId="2C3229E2" w14:textId="77777777" w:rsidTr="00BE690B">
        <w:trPr>
          <w:trHeight w:val="20"/>
        </w:trPr>
        <w:tc>
          <w:tcPr>
            <w:tcW w:w="6658" w:type="dxa"/>
            <w:shd w:val="clear" w:color="auto" w:fill="auto"/>
            <w:noWrap/>
            <w:vAlign w:val="center"/>
            <w:hideMark/>
          </w:tcPr>
          <w:p w14:paraId="3C68B98C"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Otpad od gume</w:t>
            </w:r>
          </w:p>
        </w:tc>
        <w:tc>
          <w:tcPr>
            <w:tcW w:w="1131" w:type="dxa"/>
            <w:shd w:val="clear" w:color="auto" w:fill="auto"/>
            <w:noWrap/>
            <w:vAlign w:val="center"/>
            <w:hideMark/>
          </w:tcPr>
          <w:p w14:paraId="18A30129"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26.049</w:t>
            </w:r>
          </w:p>
        </w:tc>
        <w:tc>
          <w:tcPr>
            <w:tcW w:w="1278" w:type="dxa"/>
            <w:shd w:val="clear" w:color="auto" w:fill="auto"/>
            <w:noWrap/>
            <w:vAlign w:val="center"/>
            <w:hideMark/>
          </w:tcPr>
          <w:p w14:paraId="40703871"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0,4%</w:t>
            </w:r>
          </w:p>
        </w:tc>
      </w:tr>
      <w:tr w:rsidR="009F01BB" w:rsidRPr="00234F78" w14:paraId="6A61D91E" w14:textId="77777777" w:rsidTr="00BE690B">
        <w:trPr>
          <w:trHeight w:val="20"/>
        </w:trPr>
        <w:tc>
          <w:tcPr>
            <w:tcW w:w="6658" w:type="dxa"/>
            <w:shd w:val="clear" w:color="auto" w:fill="auto"/>
            <w:noWrap/>
            <w:vAlign w:val="center"/>
            <w:hideMark/>
          </w:tcPr>
          <w:p w14:paraId="1B7D8CFC"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Kemijski otpad</w:t>
            </w:r>
          </w:p>
        </w:tc>
        <w:tc>
          <w:tcPr>
            <w:tcW w:w="1131" w:type="dxa"/>
            <w:shd w:val="clear" w:color="auto" w:fill="auto"/>
            <w:noWrap/>
            <w:vAlign w:val="center"/>
            <w:hideMark/>
          </w:tcPr>
          <w:p w14:paraId="3A9656C5"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26.018</w:t>
            </w:r>
          </w:p>
        </w:tc>
        <w:tc>
          <w:tcPr>
            <w:tcW w:w="1278" w:type="dxa"/>
            <w:shd w:val="clear" w:color="auto" w:fill="auto"/>
            <w:noWrap/>
            <w:vAlign w:val="center"/>
            <w:hideMark/>
          </w:tcPr>
          <w:p w14:paraId="348B9863"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0,4%</w:t>
            </w:r>
          </w:p>
        </w:tc>
      </w:tr>
      <w:tr w:rsidR="009F01BB" w:rsidRPr="00234F78" w14:paraId="7C218B8D" w14:textId="77777777" w:rsidTr="00BE690B">
        <w:trPr>
          <w:trHeight w:val="20"/>
        </w:trPr>
        <w:tc>
          <w:tcPr>
            <w:tcW w:w="6658" w:type="dxa"/>
            <w:shd w:val="clear" w:color="auto" w:fill="auto"/>
            <w:noWrap/>
            <w:vAlign w:val="center"/>
            <w:hideMark/>
          </w:tcPr>
          <w:p w14:paraId="46D334DB"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Obični muljevi</w:t>
            </w:r>
          </w:p>
        </w:tc>
        <w:tc>
          <w:tcPr>
            <w:tcW w:w="1131" w:type="dxa"/>
            <w:shd w:val="clear" w:color="auto" w:fill="auto"/>
            <w:noWrap/>
            <w:vAlign w:val="center"/>
            <w:hideMark/>
          </w:tcPr>
          <w:p w14:paraId="2F9F910C"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25.146</w:t>
            </w:r>
          </w:p>
        </w:tc>
        <w:tc>
          <w:tcPr>
            <w:tcW w:w="1278" w:type="dxa"/>
            <w:shd w:val="clear" w:color="auto" w:fill="auto"/>
            <w:noWrap/>
            <w:vAlign w:val="center"/>
            <w:hideMark/>
          </w:tcPr>
          <w:p w14:paraId="178C4AE2"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0,4%</w:t>
            </w:r>
          </w:p>
        </w:tc>
      </w:tr>
      <w:tr w:rsidR="009F01BB" w:rsidRPr="00234F78" w14:paraId="2F3E4089" w14:textId="77777777" w:rsidTr="00BE690B">
        <w:trPr>
          <w:trHeight w:val="20"/>
        </w:trPr>
        <w:tc>
          <w:tcPr>
            <w:tcW w:w="6658" w:type="dxa"/>
            <w:shd w:val="clear" w:color="auto" w:fill="auto"/>
            <w:noWrap/>
            <w:vAlign w:val="center"/>
            <w:hideMark/>
          </w:tcPr>
          <w:p w14:paraId="2DF39D0E"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Otpadne baterije i akumulatori</w:t>
            </w:r>
          </w:p>
        </w:tc>
        <w:tc>
          <w:tcPr>
            <w:tcW w:w="1131" w:type="dxa"/>
            <w:shd w:val="clear" w:color="auto" w:fill="auto"/>
            <w:noWrap/>
            <w:vAlign w:val="center"/>
            <w:hideMark/>
          </w:tcPr>
          <w:p w14:paraId="75DCED3C"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14.818</w:t>
            </w:r>
          </w:p>
        </w:tc>
        <w:tc>
          <w:tcPr>
            <w:tcW w:w="1278" w:type="dxa"/>
            <w:shd w:val="clear" w:color="auto" w:fill="auto"/>
            <w:noWrap/>
            <w:vAlign w:val="center"/>
            <w:hideMark/>
          </w:tcPr>
          <w:p w14:paraId="37861E1E"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0,2%</w:t>
            </w:r>
          </w:p>
        </w:tc>
      </w:tr>
      <w:tr w:rsidR="009F01BB" w:rsidRPr="00234F78" w14:paraId="4A97D9DB" w14:textId="77777777" w:rsidTr="00BE690B">
        <w:trPr>
          <w:trHeight w:val="20"/>
        </w:trPr>
        <w:tc>
          <w:tcPr>
            <w:tcW w:w="6658" w:type="dxa"/>
            <w:shd w:val="clear" w:color="auto" w:fill="auto"/>
            <w:noWrap/>
            <w:vAlign w:val="center"/>
            <w:hideMark/>
          </w:tcPr>
          <w:p w14:paraId="023EA73B"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Otpadna ulja</w:t>
            </w:r>
          </w:p>
        </w:tc>
        <w:tc>
          <w:tcPr>
            <w:tcW w:w="1131" w:type="dxa"/>
            <w:shd w:val="clear" w:color="auto" w:fill="auto"/>
            <w:noWrap/>
            <w:vAlign w:val="center"/>
            <w:hideMark/>
          </w:tcPr>
          <w:p w14:paraId="38A245A5"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13.518</w:t>
            </w:r>
          </w:p>
        </w:tc>
        <w:tc>
          <w:tcPr>
            <w:tcW w:w="1278" w:type="dxa"/>
            <w:shd w:val="clear" w:color="auto" w:fill="auto"/>
            <w:noWrap/>
            <w:vAlign w:val="center"/>
            <w:hideMark/>
          </w:tcPr>
          <w:p w14:paraId="4456A229"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0,2%</w:t>
            </w:r>
          </w:p>
        </w:tc>
      </w:tr>
      <w:tr w:rsidR="009F01BB" w:rsidRPr="00234F78" w14:paraId="176C82B8" w14:textId="77777777" w:rsidTr="00BE690B">
        <w:trPr>
          <w:trHeight w:val="20"/>
        </w:trPr>
        <w:tc>
          <w:tcPr>
            <w:tcW w:w="6658" w:type="dxa"/>
            <w:shd w:val="clear" w:color="auto" w:fill="auto"/>
            <w:noWrap/>
            <w:vAlign w:val="center"/>
            <w:hideMark/>
          </w:tcPr>
          <w:p w14:paraId="3E8D9407"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Otpad od jaružanja</w:t>
            </w:r>
          </w:p>
        </w:tc>
        <w:tc>
          <w:tcPr>
            <w:tcW w:w="1131" w:type="dxa"/>
            <w:shd w:val="clear" w:color="auto" w:fill="auto"/>
            <w:noWrap/>
            <w:vAlign w:val="center"/>
            <w:hideMark/>
          </w:tcPr>
          <w:p w14:paraId="5874B8D8"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10.860</w:t>
            </w:r>
          </w:p>
        </w:tc>
        <w:tc>
          <w:tcPr>
            <w:tcW w:w="1278" w:type="dxa"/>
            <w:shd w:val="clear" w:color="auto" w:fill="auto"/>
            <w:noWrap/>
            <w:vAlign w:val="center"/>
            <w:hideMark/>
          </w:tcPr>
          <w:p w14:paraId="10E40A51"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0,2%</w:t>
            </w:r>
          </w:p>
        </w:tc>
      </w:tr>
      <w:tr w:rsidR="009F01BB" w:rsidRPr="00234F78" w14:paraId="013629B5" w14:textId="77777777" w:rsidTr="00BE690B">
        <w:trPr>
          <w:trHeight w:val="20"/>
        </w:trPr>
        <w:tc>
          <w:tcPr>
            <w:tcW w:w="6658" w:type="dxa"/>
            <w:shd w:val="clear" w:color="auto" w:fill="auto"/>
            <w:noWrap/>
            <w:vAlign w:val="center"/>
            <w:hideMark/>
          </w:tcPr>
          <w:p w14:paraId="38DF96A6"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Otpad od tekstila</w:t>
            </w:r>
          </w:p>
        </w:tc>
        <w:tc>
          <w:tcPr>
            <w:tcW w:w="1131" w:type="dxa"/>
            <w:shd w:val="clear" w:color="auto" w:fill="auto"/>
            <w:noWrap/>
            <w:vAlign w:val="center"/>
            <w:hideMark/>
          </w:tcPr>
          <w:p w14:paraId="74A334EB"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10.023</w:t>
            </w:r>
          </w:p>
        </w:tc>
        <w:tc>
          <w:tcPr>
            <w:tcW w:w="1278" w:type="dxa"/>
            <w:shd w:val="clear" w:color="auto" w:fill="auto"/>
            <w:noWrap/>
            <w:vAlign w:val="center"/>
            <w:hideMark/>
          </w:tcPr>
          <w:p w14:paraId="34321AAD"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0,2%</w:t>
            </w:r>
          </w:p>
        </w:tc>
      </w:tr>
      <w:tr w:rsidR="009F01BB" w:rsidRPr="00234F78" w14:paraId="307860B3" w14:textId="77777777" w:rsidTr="00BE690B">
        <w:trPr>
          <w:trHeight w:val="20"/>
        </w:trPr>
        <w:tc>
          <w:tcPr>
            <w:tcW w:w="6658" w:type="dxa"/>
            <w:shd w:val="clear" w:color="auto" w:fill="auto"/>
            <w:noWrap/>
            <w:vAlign w:val="center"/>
            <w:hideMark/>
          </w:tcPr>
          <w:p w14:paraId="15EAA37A"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Medicinski i biološki otpad</w:t>
            </w:r>
          </w:p>
        </w:tc>
        <w:tc>
          <w:tcPr>
            <w:tcW w:w="1131" w:type="dxa"/>
            <w:shd w:val="clear" w:color="auto" w:fill="auto"/>
            <w:noWrap/>
            <w:vAlign w:val="center"/>
            <w:hideMark/>
          </w:tcPr>
          <w:p w14:paraId="658E44EE"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6.866</w:t>
            </w:r>
          </w:p>
        </w:tc>
        <w:tc>
          <w:tcPr>
            <w:tcW w:w="1278" w:type="dxa"/>
            <w:shd w:val="clear" w:color="auto" w:fill="auto"/>
            <w:noWrap/>
            <w:vAlign w:val="center"/>
            <w:hideMark/>
          </w:tcPr>
          <w:p w14:paraId="1DF739FD"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0,1%</w:t>
            </w:r>
          </w:p>
        </w:tc>
      </w:tr>
      <w:tr w:rsidR="009F01BB" w:rsidRPr="00234F78" w14:paraId="53961600" w14:textId="77777777" w:rsidTr="00BE690B">
        <w:trPr>
          <w:trHeight w:val="20"/>
        </w:trPr>
        <w:tc>
          <w:tcPr>
            <w:tcW w:w="6658" w:type="dxa"/>
            <w:shd w:val="clear" w:color="auto" w:fill="auto"/>
            <w:noWrap/>
            <w:vAlign w:val="center"/>
            <w:hideMark/>
          </w:tcPr>
          <w:p w14:paraId="152278F0"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Muljevi od industrijskih otpadnih voda</w:t>
            </w:r>
          </w:p>
        </w:tc>
        <w:tc>
          <w:tcPr>
            <w:tcW w:w="1131" w:type="dxa"/>
            <w:shd w:val="clear" w:color="auto" w:fill="auto"/>
            <w:noWrap/>
            <w:vAlign w:val="center"/>
            <w:hideMark/>
          </w:tcPr>
          <w:p w14:paraId="668654B8"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5.263</w:t>
            </w:r>
          </w:p>
        </w:tc>
        <w:tc>
          <w:tcPr>
            <w:tcW w:w="1278" w:type="dxa"/>
            <w:shd w:val="clear" w:color="auto" w:fill="auto"/>
            <w:noWrap/>
            <w:vAlign w:val="center"/>
            <w:hideMark/>
          </w:tcPr>
          <w:p w14:paraId="4A6D0643"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0,1%</w:t>
            </w:r>
          </w:p>
        </w:tc>
      </w:tr>
      <w:tr w:rsidR="009F01BB" w:rsidRPr="00234F78" w14:paraId="3DF49012" w14:textId="77777777" w:rsidTr="00BE690B">
        <w:trPr>
          <w:trHeight w:val="20"/>
        </w:trPr>
        <w:tc>
          <w:tcPr>
            <w:tcW w:w="6658" w:type="dxa"/>
            <w:shd w:val="clear" w:color="auto" w:fill="auto"/>
            <w:noWrap/>
            <w:vAlign w:val="center"/>
            <w:hideMark/>
          </w:tcPr>
          <w:p w14:paraId="3FD6D9CA"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Ostalo (Kiseline, lužine i soli; Muljevi i tekući otpad od obrade otpada - sekundarni otpad; Istrošena otapala; Otpad koji sadrži PCB)</w:t>
            </w:r>
          </w:p>
        </w:tc>
        <w:tc>
          <w:tcPr>
            <w:tcW w:w="1131" w:type="dxa"/>
            <w:shd w:val="clear" w:color="auto" w:fill="auto"/>
            <w:noWrap/>
            <w:vAlign w:val="center"/>
            <w:hideMark/>
          </w:tcPr>
          <w:p w14:paraId="306DE16B"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10.883</w:t>
            </w:r>
          </w:p>
        </w:tc>
        <w:tc>
          <w:tcPr>
            <w:tcW w:w="1278" w:type="dxa"/>
            <w:shd w:val="clear" w:color="auto" w:fill="auto"/>
            <w:noWrap/>
            <w:vAlign w:val="center"/>
            <w:hideMark/>
          </w:tcPr>
          <w:p w14:paraId="026D80D8"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0,2%</w:t>
            </w:r>
          </w:p>
        </w:tc>
      </w:tr>
      <w:tr w:rsidR="009F01BB" w:rsidRPr="00234F78" w14:paraId="1BB3C77B" w14:textId="77777777" w:rsidTr="00BE690B">
        <w:trPr>
          <w:trHeight w:val="20"/>
        </w:trPr>
        <w:tc>
          <w:tcPr>
            <w:tcW w:w="6658" w:type="dxa"/>
            <w:shd w:val="clear" w:color="auto" w:fill="auto"/>
            <w:noWrap/>
            <w:vAlign w:val="center"/>
            <w:hideMark/>
          </w:tcPr>
          <w:p w14:paraId="6A47E5D2" w14:textId="77777777" w:rsidR="009F01BB" w:rsidRPr="00234F78" w:rsidRDefault="009F01BB" w:rsidP="00CC41BC">
            <w:pPr>
              <w:spacing w:after="0" w:line="240" w:lineRule="auto"/>
              <w:jc w:val="right"/>
              <w:rPr>
                <w:rFonts w:eastAsia="Times New Roman" w:cstheme="minorHAnsi"/>
                <w:b/>
                <w:bCs/>
                <w:color w:val="000000"/>
                <w:sz w:val="20"/>
                <w:szCs w:val="20"/>
                <w:lang w:eastAsia="hr-HR"/>
              </w:rPr>
            </w:pPr>
            <w:r w:rsidRPr="00234F78">
              <w:rPr>
                <w:rFonts w:eastAsia="Times New Roman" w:cstheme="minorHAnsi"/>
                <w:b/>
                <w:bCs/>
                <w:color w:val="000000"/>
                <w:sz w:val="20"/>
                <w:szCs w:val="20"/>
                <w:lang w:eastAsia="hr-HR"/>
              </w:rPr>
              <w:t>Ukupno</w:t>
            </w:r>
          </w:p>
        </w:tc>
        <w:tc>
          <w:tcPr>
            <w:tcW w:w="1131" w:type="dxa"/>
            <w:shd w:val="clear" w:color="auto" w:fill="auto"/>
            <w:noWrap/>
            <w:vAlign w:val="center"/>
            <w:hideMark/>
          </w:tcPr>
          <w:p w14:paraId="63488D9E" w14:textId="77777777" w:rsidR="009F01BB" w:rsidRPr="00234F78" w:rsidRDefault="009F01BB" w:rsidP="00CC41BC">
            <w:pPr>
              <w:spacing w:after="0" w:line="240" w:lineRule="auto"/>
              <w:jc w:val="right"/>
              <w:rPr>
                <w:rFonts w:eastAsia="Times New Roman" w:cstheme="minorHAnsi"/>
                <w:b/>
                <w:bCs/>
                <w:color w:val="000000"/>
                <w:sz w:val="20"/>
                <w:szCs w:val="20"/>
                <w:lang w:eastAsia="hr-HR"/>
              </w:rPr>
            </w:pPr>
            <w:r w:rsidRPr="00234F78">
              <w:rPr>
                <w:rFonts w:eastAsia="Times New Roman" w:cstheme="minorHAnsi"/>
                <w:b/>
                <w:bCs/>
                <w:color w:val="000000"/>
                <w:sz w:val="20"/>
                <w:szCs w:val="20"/>
                <w:lang w:eastAsia="hr-HR"/>
              </w:rPr>
              <w:t>6.003.759</w:t>
            </w:r>
          </w:p>
        </w:tc>
        <w:tc>
          <w:tcPr>
            <w:tcW w:w="1278" w:type="dxa"/>
            <w:shd w:val="clear" w:color="auto" w:fill="auto"/>
            <w:noWrap/>
            <w:vAlign w:val="center"/>
            <w:hideMark/>
          </w:tcPr>
          <w:p w14:paraId="716DC88D" w14:textId="77777777" w:rsidR="009F01BB" w:rsidRPr="00234F78" w:rsidRDefault="009F01BB" w:rsidP="00CC41BC">
            <w:pPr>
              <w:spacing w:after="0" w:line="240" w:lineRule="auto"/>
              <w:jc w:val="right"/>
              <w:rPr>
                <w:rFonts w:eastAsia="Times New Roman" w:cstheme="minorHAnsi"/>
                <w:b/>
                <w:bCs/>
                <w:color w:val="000000"/>
                <w:sz w:val="20"/>
                <w:szCs w:val="20"/>
                <w:lang w:eastAsia="hr-HR"/>
              </w:rPr>
            </w:pPr>
            <w:r w:rsidRPr="00234F78">
              <w:rPr>
                <w:rFonts w:eastAsia="Times New Roman" w:cstheme="minorHAnsi"/>
                <w:b/>
                <w:bCs/>
                <w:color w:val="000000"/>
                <w:sz w:val="20"/>
                <w:szCs w:val="20"/>
                <w:lang w:eastAsia="hr-HR"/>
              </w:rPr>
              <w:t>100,0%</w:t>
            </w:r>
          </w:p>
        </w:tc>
      </w:tr>
    </w:tbl>
    <w:p w14:paraId="5AF86FB5" w14:textId="27CAE181" w:rsidR="009F01BB" w:rsidRPr="009F01BB" w:rsidRDefault="009F01BB" w:rsidP="00BA1411">
      <w:pPr>
        <w:spacing w:after="240"/>
        <w:jc w:val="right"/>
        <w:rPr>
          <w:i/>
          <w:iCs/>
          <w:sz w:val="18"/>
          <w:szCs w:val="20"/>
        </w:rPr>
      </w:pPr>
      <w:r w:rsidRPr="009F01BB">
        <w:rPr>
          <w:i/>
          <w:iCs/>
          <w:sz w:val="18"/>
          <w:szCs w:val="20"/>
        </w:rPr>
        <w:t>Izvor: MINGOR</w:t>
      </w:r>
    </w:p>
    <w:p w14:paraId="07E24B2C" w14:textId="63016B0D" w:rsidR="009F01BB" w:rsidRPr="00223644" w:rsidRDefault="009F01BB" w:rsidP="009F01BB">
      <w:r>
        <w:t xml:space="preserve">Kao posljedica </w:t>
      </w:r>
      <w:r w:rsidRPr="00223644">
        <w:t>porast</w:t>
      </w:r>
      <w:r>
        <w:t>a</w:t>
      </w:r>
      <w:r w:rsidRPr="00223644">
        <w:t xml:space="preserve"> nastalih količina otpada rastu i količine obrađenog otpada, no s pozitivnim pomakom u redu prvenstva gospodarenja otpadom uz porast stope recikliranja</w:t>
      </w:r>
      <w:r w:rsidR="00214770">
        <w:t xml:space="preserve"> ukupno nastalog otpada</w:t>
      </w:r>
      <w:r w:rsidRPr="00223644">
        <w:t xml:space="preserve"> s 36,5 % u 2016. na 46,2 % u 2020., te smanjenje stope odlaganja </w:t>
      </w:r>
      <w:r w:rsidR="00214770">
        <w:t xml:space="preserve">ukupno nastalog otpada </w:t>
      </w:r>
      <w:r w:rsidRPr="00223644">
        <w:t>s 32,9 % na 23,8 % (</w:t>
      </w:r>
      <w:r w:rsidRPr="00223644">
        <w:fldChar w:fldCharType="begin"/>
      </w:r>
      <w:r w:rsidRPr="00223644">
        <w:instrText xml:space="preserve"> REF _Ref110079658 \h </w:instrText>
      </w:r>
      <w:r w:rsidRPr="00223644">
        <w:fldChar w:fldCharType="separate"/>
      </w:r>
      <w:r w:rsidR="00F37B62" w:rsidRPr="00223644">
        <w:t xml:space="preserve">Tablica </w:t>
      </w:r>
      <w:r w:rsidR="00F37B62">
        <w:rPr>
          <w:noProof/>
        </w:rPr>
        <w:t>3</w:t>
      </w:r>
      <w:r w:rsidRPr="00223644">
        <w:fldChar w:fldCharType="end"/>
      </w:r>
      <w:r w:rsidRPr="00223644">
        <w:t>).</w:t>
      </w:r>
    </w:p>
    <w:p w14:paraId="0F6A975A" w14:textId="52FEF375" w:rsidR="009F01BB" w:rsidRPr="009F01BB" w:rsidRDefault="009F01BB" w:rsidP="009F01BB">
      <w:pPr>
        <w:pStyle w:val="Tablica"/>
        <w:rPr>
          <w:b w:val="0"/>
          <w:bCs/>
        </w:rPr>
      </w:pPr>
      <w:bookmarkStart w:id="18" w:name="_Ref110079658"/>
      <w:bookmarkStart w:id="19" w:name="_Toc125364392"/>
      <w:r w:rsidRPr="00223644">
        <w:t xml:space="preserve">Tablica </w:t>
      </w:r>
      <w:fldSimple w:instr=" SEQ Tablica \* ARABIC ">
        <w:r w:rsidR="00F37B62">
          <w:rPr>
            <w:noProof/>
          </w:rPr>
          <w:t>3</w:t>
        </w:r>
      </w:fldSimple>
      <w:bookmarkEnd w:id="18"/>
      <w:r w:rsidRPr="00223644">
        <w:t xml:space="preserve">. </w:t>
      </w:r>
      <w:r w:rsidRPr="009F01BB">
        <w:rPr>
          <w:b w:val="0"/>
          <w:bCs/>
        </w:rPr>
        <w:t xml:space="preserve">Postupanje s </w:t>
      </w:r>
      <w:r w:rsidR="00BB6A94">
        <w:rPr>
          <w:b w:val="0"/>
          <w:bCs/>
        </w:rPr>
        <w:t xml:space="preserve">ukupnim količinama nastalog otpada </w:t>
      </w:r>
      <w:r w:rsidRPr="009F01BB">
        <w:rPr>
          <w:b w:val="0"/>
          <w:bCs/>
        </w:rPr>
        <w:t xml:space="preserve"> u razdoblju od 2016. do 2020. godine prema postupcima obrade (uključene i količine izvezene</w:t>
      </w:r>
      <w:r w:rsidR="00E75AB4">
        <w:rPr>
          <w:b w:val="0"/>
          <w:bCs/>
        </w:rPr>
        <w:t>/iznesene</w:t>
      </w:r>
      <w:r w:rsidRPr="009F01BB">
        <w:rPr>
          <w:b w:val="0"/>
          <w:bCs/>
        </w:rPr>
        <w:t xml:space="preserve"> na obradu izvan granica RH)</w:t>
      </w:r>
      <w:bookmarkEnd w:id="19"/>
      <w:r w:rsidRPr="009F01BB">
        <w:rPr>
          <w:b w:val="0"/>
          <w:bCs/>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34"/>
        <w:gridCol w:w="947"/>
        <w:gridCol w:w="1179"/>
        <w:gridCol w:w="992"/>
        <w:gridCol w:w="1276"/>
        <w:gridCol w:w="992"/>
      </w:tblGrid>
      <w:tr w:rsidR="00BA1411" w:rsidRPr="00234F78" w14:paraId="1795C028" w14:textId="77777777" w:rsidTr="00BA1411">
        <w:trPr>
          <w:trHeight w:val="20"/>
          <w:tblHeader/>
        </w:trPr>
        <w:tc>
          <w:tcPr>
            <w:tcW w:w="2547" w:type="dxa"/>
            <w:vMerge w:val="restart"/>
            <w:shd w:val="clear" w:color="auto" w:fill="002060"/>
            <w:noWrap/>
            <w:vAlign w:val="center"/>
            <w:hideMark/>
          </w:tcPr>
          <w:p w14:paraId="073D0C4C" w14:textId="77777777" w:rsidR="00BA1411" w:rsidRPr="00234F78" w:rsidRDefault="00BA1411"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Godina</w:t>
            </w:r>
          </w:p>
        </w:tc>
        <w:tc>
          <w:tcPr>
            <w:tcW w:w="2081" w:type="dxa"/>
            <w:gridSpan w:val="2"/>
            <w:shd w:val="clear" w:color="auto" w:fill="002060"/>
            <w:noWrap/>
            <w:vAlign w:val="center"/>
            <w:hideMark/>
          </w:tcPr>
          <w:p w14:paraId="4C0D86B7" w14:textId="77777777" w:rsidR="00BA1411" w:rsidRPr="00234F78" w:rsidRDefault="00BA1411"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2016.</w:t>
            </w:r>
          </w:p>
        </w:tc>
        <w:tc>
          <w:tcPr>
            <w:tcW w:w="2171" w:type="dxa"/>
            <w:gridSpan w:val="2"/>
            <w:shd w:val="clear" w:color="auto" w:fill="002060"/>
            <w:noWrap/>
            <w:vAlign w:val="center"/>
            <w:hideMark/>
          </w:tcPr>
          <w:p w14:paraId="3DF602C8" w14:textId="77777777" w:rsidR="00BA1411" w:rsidRPr="00234F78" w:rsidRDefault="00BA1411"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2018.</w:t>
            </w:r>
          </w:p>
        </w:tc>
        <w:tc>
          <w:tcPr>
            <w:tcW w:w="2268" w:type="dxa"/>
            <w:gridSpan w:val="2"/>
            <w:shd w:val="clear" w:color="auto" w:fill="002060"/>
            <w:noWrap/>
            <w:vAlign w:val="center"/>
            <w:hideMark/>
          </w:tcPr>
          <w:p w14:paraId="21D58681" w14:textId="77777777" w:rsidR="00BA1411" w:rsidRPr="00234F78" w:rsidRDefault="00BA1411"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2020.</w:t>
            </w:r>
          </w:p>
        </w:tc>
      </w:tr>
      <w:tr w:rsidR="00BA1411" w:rsidRPr="00234F78" w14:paraId="79D470A7" w14:textId="77777777" w:rsidTr="00BA1411">
        <w:trPr>
          <w:trHeight w:val="20"/>
          <w:tblHeader/>
        </w:trPr>
        <w:tc>
          <w:tcPr>
            <w:tcW w:w="2547" w:type="dxa"/>
            <w:vMerge/>
            <w:shd w:val="clear" w:color="auto" w:fill="002060"/>
            <w:noWrap/>
            <w:vAlign w:val="center"/>
          </w:tcPr>
          <w:p w14:paraId="66F98855" w14:textId="77777777" w:rsidR="00BA1411" w:rsidRPr="00234F78" w:rsidRDefault="00BA1411" w:rsidP="00CC41BC">
            <w:pPr>
              <w:spacing w:after="0" w:line="240" w:lineRule="auto"/>
              <w:rPr>
                <w:rFonts w:eastAsia="Times New Roman" w:cstheme="minorHAnsi"/>
                <w:b/>
                <w:bCs/>
                <w:color w:val="FFFFFF" w:themeColor="background1"/>
                <w:sz w:val="20"/>
                <w:szCs w:val="20"/>
                <w:lang w:eastAsia="hr-HR"/>
              </w:rPr>
            </w:pPr>
          </w:p>
        </w:tc>
        <w:tc>
          <w:tcPr>
            <w:tcW w:w="1134" w:type="dxa"/>
            <w:shd w:val="clear" w:color="auto" w:fill="002060"/>
            <w:noWrap/>
            <w:vAlign w:val="center"/>
            <w:hideMark/>
          </w:tcPr>
          <w:p w14:paraId="0DF021DD" w14:textId="77777777" w:rsidR="00BA1411" w:rsidRPr="00234F78" w:rsidRDefault="00BA1411"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Količina (t)</w:t>
            </w:r>
          </w:p>
        </w:tc>
        <w:tc>
          <w:tcPr>
            <w:tcW w:w="947" w:type="dxa"/>
            <w:shd w:val="clear" w:color="auto" w:fill="002060"/>
            <w:noWrap/>
            <w:vAlign w:val="center"/>
            <w:hideMark/>
          </w:tcPr>
          <w:p w14:paraId="504FCDDC" w14:textId="77777777" w:rsidR="00BA1411" w:rsidRPr="00234F78" w:rsidRDefault="00BA1411"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Udio</w:t>
            </w:r>
          </w:p>
        </w:tc>
        <w:tc>
          <w:tcPr>
            <w:tcW w:w="1179" w:type="dxa"/>
            <w:shd w:val="clear" w:color="auto" w:fill="002060"/>
            <w:noWrap/>
            <w:vAlign w:val="center"/>
            <w:hideMark/>
          </w:tcPr>
          <w:p w14:paraId="20996211" w14:textId="77777777" w:rsidR="00BA1411" w:rsidRPr="00234F78" w:rsidRDefault="00BA1411"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Količina (t)</w:t>
            </w:r>
          </w:p>
        </w:tc>
        <w:tc>
          <w:tcPr>
            <w:tcW w:w="992" w:type="dxa"/>
            <w:shd w:val="clear" w:color="auto" w:fill="002060"/>
            <w:noWrap/>
            <w:vAlign w:val="center"/>
            <w:hideMark/>
          </w:tcPr>
          <w:p w14:paraId="3753E44B" w14:textId="77777777" w:rsidR="00BA1411" w:rsidRPr="00234F78" w:rsidRDefault="00BA1411"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Udio</w:t>
            </w:r>
          </w:p>
        </w:tc>
        <w:tc>
          <w:tcPr>
            <w:tcW w:w="1276" w:type="dxa"/>
            <w:shd w:val="clear" w:color="auto" w:fill="002060"/>
            <w:noWrap/>
            <w:vAlign w:val="center"/>
            <w:hideMark/>
          </w:tcPr>
          <w:p w14:paraId="2869DAFA" w14:textId="77777777" w:rsidR="00BA1411" w:rsidRPr="00234F78" w:rsidRDefault="00BA1411"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Količina (t)</w:t>
            </w:r>
          </w:p>
        </w:tc>
        <w:tc>
          <w:tcPr>
            <w:tcW w:w="992" w:type="dxa"/>
            <w:shd w:val="clear" w:color="auto" w:fill="002060"/>
            <w:noWrap/>
            <w:vAlign w:val="center"/>
            <w:hideMark/>
          </w:tcPr>
          <w:p w14:paraId="00027879" w14:textId="77777777" w:rsidR="00BA1411" w:rsidRPr="00234F78" w:rsidRDefault="00BA1411"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Udio</w:t>
            </w:r>
          </w:p>
        </w:tc>
      </w:tr>
      <w:tr w:rsidR="009F01BB" w:rsidRPr="00234F78" w14:paraId="4F29B51D" w14:textId="77777777" w:rsidTr="00BA1411">
        <w:trPr>
          <w:trHeight w:val="20"/>
        </w:trPr>
        <w:tc>
          <w:tcPr>
            <w:tcW w:w="2547" w:type="dxa"/>
            <w:shd w:val="clear" w:color="auto" w:fill="auto"/>
            <w:noWrap/>
            <w:vAlign w:val="center"/>
          </w:tcPr>
          <w:p w14:paraId="65F2A76F"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Recikliranje</w:t>
            </w:r>
          </w:p>
        </w:tc>
        <w:tc>
          <w:tcPr>
            <w:tcW w:w="1134" w:type="dxa"/>
            <w:shd w:val="clear" w:color="auto" w:fill="auto"/>
            <w:noWrap/>
            <w:vAlign w:val="center"/>
          </w:tcPr>
          <w:p w14:paraId="290E4330" w14:textId="77777777" w:rsidR="009F01BB" w:rsidRPr="00234F78" w:rsidRDefault="009F01BB" w:rsidP="00CC41BC">
            <w:pPr>
              <w:spacing w:after="0" w:line="240" w:lineRule="auto"/>
              <w:jc w:val="center"/>
              <w:rPr>
                <w:rFonts w:eastAsia="Times New Roman" w:cstheme="minorHAnsi"/>
                <w:color w:val="000000"/>
                <w:sz w:val="20"/>
                <w:szCs w:val="20"/>
                <w:lang w:eastAsia="hr-HR"/>
              </w:rPr>
            </w:pPr>
            <w:r w:rsidRPr="00234F78">
              <w:rPr>
                <w:rFonts w:eastAsia="Times New Roman" w:cstheme="minorHAnsi"/>
                <w:color w:val="000000"/>
                <w:sz w:val="20"/>
                <w:szCs w:val="20"/>
                <w:lang w:eastAsia="hr-HR"/>
              </w:rPr>
              <w:t>1.961.386</w:t>
            </w:r>
          </w:p>
        </w:tc>
        <w:tc>
          <w:tcPr>
            <w:tcW w:w="947" w:type="dxa"/>
            <w:shd w:val="clear" w:color="auto" w:fill="auto"/>
            <w:noWrap/>
            <w:vAlign w:val="center"/>
          </w:tcPr>
          <w:p w14:paraId="23345790"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36,5%</w:t>
            </w:r>
          </w:p>
        </w:tc>
        <w:tc>
          <w:tcPr>
            <w:tcW w:w="1179" w:type="dxa"/>
            <w:shd w:val="clear" w:color="auto" w:fill="auto"/>
            <w:noWrap/>
            <w:vAlign w:val="center"/>
          </w:tcPr>
          <w:p w14:paraId="2A1001F6" w14:textId="77777777" w:rsidR="009F01BB" w:rsidRPr="00234F78" w:rsidRDefault="009F01BB" w:rsidP="00CC41BC">
            <w:pPr>
              <w:spacing w:after="0" w:line="240" w:lineRule="auto"/>
              <w:jc w:val="center"/>
              <w:rPr>
                <w:rFonts w:eastAsia="Times New Roman" w:cstheme="minorHAnsi"/>
                <w:color w:val="000000"/>
                <w:sz w:val="20"/>
                <w:szCs w:val="20"/>
                <w:lang w:eastAsia="hr-HR"/>
              </w:rPr>
            </w:pPr>
            <w:r w:rsidRPr="00234F78">
              <w:rPr>
                <w:rFonts w:eastAsia="Times New Roman" w:cstheme="minorHAnsi"/>
                <w:color w:val="000000"/>
                <w:sz w:val="20"/>
                <w:szCs w:val="20"/>
                <w:lang w:eastAsia="hr-HR"/>
              </w:rPr>
              <w:t>2.395.668</w:t>
            </w:r>
          </w:p>
        </w:tc>
        <w:tc>
          <w:tcPr>
            <w:tcW w:w="992" w:type="dxa"/>
            <w:shd w:val="clear" w:color="auto" w:fill="auto"/>
            <w:noWrap/>
            <w:vAlign w:val="center"/>
          </w:tcPr>
          <w:p w14:paraId="4327FB41"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43,2%</w:t>
            </w:r>
          </w:p>
        </w:tc>
        <w:tc>
          <w:tcPr>
            <w:tcW w:w="1276" w:type="dxa"/>
            <w:shd w:val="clear" w:color="auto" w:fill="auto"/>
            <w:noWrap/>
            <w:vAlign w:val="center"/>
          </w:tcPr>
          <w:p w14:paraId="6FDED1FD" w14:textId="77777777" w:rsidR="009F01BB" w:rsidRPr="00234F78" w:rsidRDefault="009F01BB" w:rsidP="00CC41BC">
            <w:pPr>
              <w:spacing w:after="0" w:line="240" w:lineRule="auto"/>
              <w:jc w:val="center"/>
              <w:rPr>
                <w:rFonts w:eastAsia="Times New Roman" w:cstheme="minorHAnsi"/>
                <w:color w:val="000000"/>
                <w:sz w:val="20"/>
                <w:szCs w:val="20"/>
                <w:lang w:eastAsia="hr-HR"/>
              </w:rPr>
            </w:pPr>
            <w:r w:rsidRPr="00234F78">
              <w:rPr>
                <w:rFonts w:eastAsia="Times New Roman" w:cstheme="minorHAnsi"/>
                <w:color w:val="000000"/>
                <w:sz w:val="20"/>
                <w:szCs w:val="20"/>
                <w:lang w:eastAsia="hr-HR"/>
              </w:rPr>
              <w:t>2.774.331</w:t>
            </w:r>
          </w:p>
        </w:tc>
        <w:tc>
          <w:tcPr>
            <w:tcW w:w="992" w:type="dxa"/>
            <w:shd w:val="clear" w:color="auto" w:fill="auto"/>
            <w:noWrap/>
            <w:vAlign w:val="center"/>
          </w:tcPr>
          <w:p w14:paraId="522ACDE5"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cstheme="minorHAnsi"/>
                <w:sz w:val="20"/>
                <w:szCs w:val="20"/>
              </w:rPr>
              <w:t>46,2%</w:t>
            </w:r>
          </w:p>
        </w:tc>
      </w:tr>
      <w:tr w:rsidR="009F01BB" w:rsidRPr="00234F78" w14:paraId="0E72A7A4" w14:textId="77777777" w:rsidTr="00BA1411">
        <w:trPr>
          <w:trHeight w:val="20"/>
        </w:trPr>
        <w:tc>
          <w:tcPr>
            <w:tcW w:w="2547" w:type="dxa"/>
            <w:shd w:val="clear" w:color="auto" w:fill="auto"/>
            <w:noWrap/>
            <w:vAlign w:val="center"/>
          </w:tcPr>
          <w:p w14:paraId="0E15FB18"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Nasipavanje</w:t>
            </w:r>
          </w:p>
        </w:tc>
        <w:tc>
          <w:tcPr>
            <w:tcW w:w="1134" w:type="dxa"/>
            <w:shd w:val="clear" w:color="auto" w:fill="auto"/>
            <w:noWrap/>
            <w:vAlign w:val="center"/>
          </w:tcPr>
          <w:p w14:paraId="7C4E8E39" w14:textId="77777777" w:rsidR="009F01BB" w:rsidRPr="00234F78" w:rsidRDefault="009F01BB" w:rsidP="00CC41BC">
            <w:pPr>
              <w:spacing w:after="0" w:line="240" w:lineRule="auto"/>
              <w:jc w:val="center"/>
              <w:rPr>
                <w:rFonts w:eastAsia="Times New Roman" w:cstheme="minorHAnsi"/>
                <w:color w:val="000000"/>
                <w:sz w:val="20"/>
                <w:szCs w:val="20"/>
                <w:lang w:eastAsia="hr-HR"/>
              </w:rPr>
            </w:pPr>
            <w:r w:rsidRPr="00234F78">
              <w:rPr>
                <w:rFonts w:eastAsia="Times New Roman" w:cstheme="minorHAnsi"/>
                <w:color w:val="000000"/>
                <w:sz w:val="20"/>
                <w:szCs w:val="20"/>
                <w:lang w:eastAsia="hr-HR"/>
              </w:rPr>
              <w:t>148.836</w:t>
            </w:r>
          </w:p>
        </w:tc>
        <w:tc>
          <w:tcPr>
            <w:tcW w:w="947" w:type="dxa"/>
            <w:shd w:val="clear" w:color="auto" w:fill="auto"/>
            <w:noWrap/>
            <w:vAlign w:val="center"/>
          </w:tcPr>
          <w:p w14:paraId="6CB31DFC"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2,8%</w:t>
            </w:r>
          </w:p>
        </w:tc>
        <w:tc>
          <w:tcPr>
            <w:tcW w:w="1179" w:type="dxa"/>
            <w:shd w:val="clear" w:color="auto" w:fill="auto"/>
            <w:noWrap/>
            <w:vAlign w:val="center"/>
          </w:tcPr>
          <w:p w14:paraId="2E92415D" w14:textId="77777777" w:rsidR="009F01BB" w:rsidRPr="00234F78" w:rsidRDefault="009F01BB" w:rsidP="00CC41BC">
            <w:pPr>
              <w:spacing w:after="0" w:line="240" w:lineRule="auto"/>
              <w:jc w:val="center"/>
              <w:rPr>
                <w:rFonts w:eastAsia="Times New Roman" w:cstheme="minorHAnsi"/>
                <w:color w:val="000000"/>
                <w:sz w:val="20"/>
                <w:szCs w:val="20"/>
                <w:lang w:eastAsia="hr-HR"/>
              </w:rPr>
            </w:pPr>
            <w:r w:rsidRPr="00234F78">
              <w:rPr>
                <w:rFonts w:eastAsia="Times New Roman" w:cstheme="minorHAnsi"/>
                <w:color w:val="000000"/>
                <w:sz w:val="20"/>
                <w:szCs w:val="20"/>
                <w:lang w:eastAsia="hr-HR"/>
              </w:rPr>
              <w:t>131.084</w:t>
            </w:r>
          </w:p>
        </w:tc>
        <w:tc>
          <w:tcPr>
            <w:tcW w:w="992" w:type="dxa"/>
            <w:shd w:val="clear" w:color="auto" w:fill="auto"/>
            <w:noWrap/>
            <w:vAlign w:val="center"/>
          </w:tcPr>
          <w:p w14:paraId="3BE24728"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2,4%</w:t>
            </w:r>
          </w:p>
        </w:tc>
        <w:tc>
          <w:tcPr>
            <w:tcW w:w="1276" w:type="dxa"/>
            <w:shd w:val="clear" w:color="auto" w:fill="auto"/>
            <w:noWrap/>
            <w:vAlign w:val="center"/>
          </w:tcPr>
          <w:p w14:paraId="72D0901C"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198.379</w:t>
            </w:r>
          </w:p>
        </w:tc>
        <w:tc>
          <w:tcPr>
            <w:tcW w:w="992" w:type="dxa"/>
            <w:shd w:val="clear" w:color="auto" w:fill="auto"/>
            <w:noWrap/>
            <w:vAlign w:val="center"/>
          </w:tcPr>
          <w:p w14:paraId="4635866C" w14:textId="77777777" w:rsidR="009F01BB" w:rsidRPr="00234F78" w:rsidRDefault="009F01BB" w:rsidP="00CC41BC">
            <w:pPr>
              <w:spacing w:after="0" w:line="240" w:lineRule="auto"/>
              <w:jc w:val="right"/>
              <w:rPr>
                <w:rFonts w:cstheme="minorHAnsi"/>
                <w:sz w:val="20"/>
                <w:szCs w:val="20"/>
              </w:rPr>
            </w:pPr>
            <w:r w:rsidRPr="00234F78">
              <w:rPr>
                <w:rFonts w:cstheme="minorHAnsi"/>
                <w:sz w:val="20"/>
                <w:szCs w:val="20"/>
              </w:rPr>
              <w:t>3,3%</w:t>
            </w:r>
          </w:p>
        </w:tc>
      </w:tr>
      <w:tr w:rsidR="009F01BB" w:rsidRPr="00234F78" w14:paraId="2684E4F8" w14:textId="77777777" w:rsidTr="00BA1411">
        <w:trPr>
          <w:trHeight w:val="20"/>
        </w:trPr>
        <w:tc>
          <w:tcPr>
            <w:tcW w:w="2547" w:type="dxa"/>
            <w:shd w:val="clear" w:color="auto" w:fill="auto"/>
            <w:noWrap/>
            <w:vAlign w:val="center"/>
            <w:hideMark/>
          </w:tcPr>
          <w:p w14:paraId="5F960037"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Energetska oporaba</w:t>
            </w:r>
          </w:p>
        </w:tc>
        <w:tc>
          <w:tcPr>
            <w:tcW w:w="1134" w:type="dxa"/>
            <w:shd w:val="clear" w:color="auto" w:fill="auto"/>
            <w:noWrap/>
            <w:vAlign w:val="center"/>
            <w:hideMark/>
          </w:tcPr>
          <w:p w14:paraId="18931C51"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61.576</w:t>
            </w:r>
          </w:p>
        </w:tc>
        <w:tc>
          <w:tcPr>
            <w:tcW w:w="947" w:type="dxa"/>
            <w:shd w:val="clear" w:color="auto" w:fill="auto"/>
            <w:noWrap/>
            <w:vAlign w:val="center"/>
            <w:hideMark/>
          </w:tcPr>
          <w:p w14:paraId="5EB21D33"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1,1%</w:t>
            </w:r>
          </w:p>
        </w:tc>
        <w:tc>
          <w:tcPr>
            <w:tcW w:w="1179" w:type="dxa"/>
            <w:shd w:val="clear" w:color="auto" w:fill="auto"/>
            <w:noWrap/>
            <w:vAlign w:val="center"/>
            <w:hideMark/>
          </w:tcPr>
          <w:p w14:paraId="72171C32"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64.053</w:t>
            </w:r>
          </w:p>
        </w:tc>
        <w:tc>
          <w:tcPr>
            <w:tcW w:w="992" w:type="dxa"/>
            <w:shd w:val="clear" w:color="auto" w:fill="auto"/>
            <w:noWrap/>
            <w:vAlign w:val="center"/>
            <w:hideMark/>
          </w:tcPr>
          <w:p w14:paraId="7BA18EDD"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1,2%</w:t>
            </w:r>
          </w:p>
        </w:tc>
        <w:tc>
          <w:tcPr>
            <w:tcW w:w="1276" w:type="dxa"/>
            <w:shd w:val="clear" w:color="auto" w:fill="auto"/>
            <w:noWrap/>
            <w:vAlign w:val="center"/>
            <w:hideMark/>
          </w:tcPr>
          <w:p w14:paraId="7FF2B948"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89.517</w:t>
            </w:r>
          </w:p>
        </w:tc>
        <w:tc>
          <w:tcPr>
            <w:tcW w:w="992" w:type="dxa"/>
            <w:shd w:val="clear" w:color="auto" w:fill="auto"/>
            <w:noWrap/>
            <w:vAlign w:val="center"/>
            <w:hideMark/>
          </w:tcPr>
          <w:p w14:paraId="1DBAE8E2"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cstheme="minorHAnsi"/>
                <w:sz w:val="20"/>
                <w:szCs w:val="20"/>
              </w:rPr>
              <w:t>1,5%</w:t>
            </w:r>
          </w:p>
        </w:tc>
      </w:tr>
      <w:tr w:rsidR="009F01BB" w:rsidRPr="00234F78" w14:paraId="46C8EBC6" w14:textId="77777777" w:rsidTr="00BA1411">
        <w:trPr>
          <w:trHeight w:val="20"/>
        </w:trPr>
        <w:tc>
          <w:tcPr>
            <w:tcW w:w="2547" w:type="dxa"/>
            <w:shd w:val="clear" w:color="auto" w:fill="auto"/>
            <w:noWrap/>
            <w:vAlign w:val="center"/>
            <w:hideMark/>
          </w:tcPr>
          <w:p w14:paraId="5350C0C7"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 xml:space="preserve">Odlaganje </w:t>
            </w:r>
          </w:p>
        </w:tc>
        <w:tc>
          <w:tcPr>
            <w:tcW w:w="1134" w:type="dxa"/>
            <w:shd w:val="clear" w:color="auto" w:fill="auto"/>
            <w:noWrap/>
            <w:vAlign w:val="center"/>
            <w:hideMark/>
          </w:tcPr>
          <w:p w14:paraId="5C008575"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1.763.292</w:t>
            </w:r>
          </w:p>
        </w:tc>
        <w:tc>
          <w:tcPr>
            <w:tcW w:w="947" w:type="dxa"/>
            <w:shd w:val="clear" w:color="auto" w:fill="auto"/>
            <w:noWrap/>
            <w:vAlign w:val="center"/>
            <w:hideMark/>
          </w:tcPr>
          <w:p w14:paraId="1B0CBA50"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32,9%</w:t>
            </w:r>
          </w:p>
        </w:tc>
        <w:tc>
          <w:tcPr>
            <w:tcW w:w="1179" w:type="dxa"/>
            <w:shd w:val="clear" w:color="auto" w:fill="auto"/>
            <w:noWrap/>
            <w:vAlign w:val="center"/>
            <w:hideMark/>
          </w:tcPr>
          <w:p w14:paraId="52545C9D"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1.593.692</w:t>
            </w:r>
          </w:p>
        </w:tc>
        <w:tc>
          <w:tcPr>
            <w:tcW w:w="992" w:type="dxa"/>
            <w:shd w:val="clear" w:color="auto" w:fill="auto"/>
            <w:noWrap/>
            <w:vAlign w:val="center"/>
            <w:hideMark/>
          </w:tcPr>
          <w:p w14:paraId="0971CCCE"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28,7%</w:t>
            </w:r>
          </w:p>
        </w:tc>
        <w:tc>
          <w:tcPr>
            <w:tcW w:w="1276" w:type="dxa"/>
            <w:shd w:val="clear" w:color="auto" w:fill="auto"/>
            <w:noWrap/>
            <w:vAlign w:val="center"/>
            <w:hideMark/>
          </w:tcPr>
          <w:p w14:paraId="6DCA9F2C"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1.431.448</w:t>
            </w:r>
          </w:p>
        </w:tc>
        <w:tc>
          <w:tcPr>
            <w:tcW w:w="992" w:type="dxa"/>
            <w:shd w:val="clear" w:color="auto" w:fill="auto"/>
            <w:noWrap/>
            <w:vAlign w:val="center"/>
            <w:hideMark/>
          </w:tcPr>
          <w:p w14:paraId="11495EDD"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cstheme="minorHAnsi"/>
                <w:sz w:val="20"/>
                <w:szCs w:val="20"/>
              </w:rPr>
              <w:t>23,8%</w:t>
            </w:r>
          </w:p>
        </w:tc>
      </w:tr>
      <w:tr w:rsidR="009F01BB" w:rsidRPr="00234F78" w14:paraId="09367E69" w14:textId="77777777" w:rsidTr="00BA1411">
        <w:trPr>
          <w:trHeight w:val="20"/>
        </w:trPr>
        <w:tc>
          <w:tcPr>
            <w:tcW w:w="2547" w:type="dxa"/>
            <w:shd w:val="clear" w:color="auto" w:fill="auto"/>
            <w:noWrap/>
            <w:vAlign w:val="center"/>
            <w:hideMark/>
          </w:tcPr>
          <w:p w14:paraId="2509DA35"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Spaljivanje bez energetske oporabe</w:t>
            </w:r>
          </w:p>
        </w:tc>
        <w:tc>
          <w:tcPr>
            <w:tcW w:w="1134" w:type="dxa"/>
            <w:shd w:val="clear" w:color="auto" w:fill="auto"/>
            <w:noWrap/>
            <w:vAlign w:val="center"/>
            <w:hideMark/>
          </w:tcPr>
          <w:p w14:paraId="0604DD7A"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11.189</w:t>
            </w:r>
          </w:p>
        </w:tc>
        <w:tc>
          <w:tcPr>
            <w:tcW w:w="947" w:type="dxa"/>
            <w:shd w:val="clear" w:color="auto" w:fill="auto"/>
            <w:noWrap/>
            <w:vAlign w:val="center"/>
            <w:hideMark/>
          </w:tcPr>
          <w:p w14:paraId="03B149F8"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0,2%</w:t>
            </w:r>
          </w:p>
        </w:tc>
        <w:tc>
          <w:tcPr>
            <w:tcW w:w="1179" w:type="dxa"/>
            <w:shd w:val="clear" w:color="auto" w:fill="auto"/>
            <w:noWrap/>
            <w:vAlign w:val="center"/>
            <w:hideMark/>
          </w:tcPr>
          <w:p w14:paraId="436F6EDC"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10.843</w:t>
            </w:r>
          </w:p>
        </w:tc>
        <w:tc>
          <w:tcPr>
            <w:tcW w:w="992" w:type="dxa"/>
            <w:shd w:val="clear" w:color="auto" w:fill="auto"/>
            <w:noWrap/>
            <w:vAlign w:val="center"/>
            <w:hideMark/>
          </w:tcPr>
          <w:p w14:paraId="24FCB781"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0,2%</w:t>
            </w:r>
          </w:p>
        </w:tc>
        <w:tc>
          <w:tcPr>
            <w:tcW w:w="1276" w:type="dxa"/>
            <w:shd w:val="clear" w:color="auto" w:fill="auto"/>
            <w:noWrap/>
            <w:vAlign w:val="center"/>
            <w:hideMark/>
          </w:tcPr>
          <w:p w14:paraId="0E189194"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9.753</w:t>
            </w:r>
          </w:p>
        </w:tc>
        <w:tc>
          <w:tcPr>
            <w:tcW w:w="992" w:type="dxa"/>
            <w:shd w:val="clear" w:color="auto" w:fill="auto"/>
            <w:noWrap/>
            <w:vAlign w:val="center"/>
            <w:hideMark/>
          </w:tcPr>
          <w:p w14:paraId="5F9599B4"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cstheme="minorHAnsi"/>
                <w:sz w:val="20"/>
                <w:szCs w:val="20"/>
              </w:rPr>
              <w:t>0,2%</w:t>
            </w:r>
          </w:p>
        </w:tc>
      </w:tr>
      <w:tr w:rsidR="009F01BB" w:rsidRPr="00234F78" w14:paraId="6C91CA1E" w14:textId="77777777" w:rsidTr="00BA1411">
        <w:trPr>
          <w:trHeight w:val="20"/>
        </w:trPr>
        <w:tc>
          <w:tcPr>
            <w:tcW w:w="2547" w:type="dxa"/>
            <w:shd w:val="clear" w:color="auto" w:fill="auto"/>
            <w:noWrap/>
            <w:vAlign w:val="center"/>
            <w:hideMark/>
          </w:tcPr>
          <w:p w14:paraId="0A9C4AD4" w14:textId="1BF7DCEE" w:rsidR="009F01BB" w:rsidRPr="00234F78" w:rsidRDefault="009F01BB" w:rsidP="00CC41BC">
            <w:pPr>
              <w:spacing w:after="0" w:line="240" w:lineRule="auto"/>
              <w:rPr>
                <w:rFonts w:eastAsia="Times New Roman" w:cstheme="minorHAnsi"/>
                <w:color w:val="000000"/>
                <w:sz w:val="20"/>
                <w:szCs w:val="20"/>
                <w:lang w:eastAsia="hr-HR"/>
              </w:rPr>
            </w:pPr>
            <w:proofErr w:type="spellStart"/>
            <w:r w:rsidRPr="00234F78">
              <w:rPr>
                <w:rFonts w:eastAsia="Times New Roman" w:cstheme="minorHAnsi"/>
                <w:color w:val="000000"/>
                <w:sz w:val="20"/>
                <w:szCs w:val="20"/>
                <w:lang w:eastAsia="hr-HR"/>
              </w:rPr>
              <w:t>Predobrada</w:t>
            </w:r>
            <w:proofErr w:type="spellEnd"/>
            <w:r w:rsidRPr="00234F78">
              <w:rPr>
                <w:rFonts w:eastAsia="Times New Roman" w:cstheme="minorHAnsi"/>
                <w:color w:val="000000"/>
                <w:sz w:val="20"/>
                <w:szCs w:val="20"/>
                <w:lang w:eastAsia="hr-HR"/>
              </w:rPr>
              <w:t xml:space="preserve"> prije </w:t>
            </w:r>
            <w:r w:rsidR="000D054F">
              <w:rPr>
                <w:rFonts w:eastAsia="Times New Roman" w:cstheme="minorHAnsi"/>
                <w:color w:val="000000"/>
                <w:sz w:val="20"/>
                <w:szCs w:val="20"/>
                <w:lang w:eastAsia="hr-HR"/>
              </w:rPr>
              <w:t>konačnog</w:t>
            </w:r>
            <w:r w:rsidR="000D054F">
              <w:rPr>
                <w:rStyle w:val="Referencafusnote"/>
                <w:rFonts w:eastAsia="Times New Roman" w:cstheme="minorHAnsi"/>
                <w:color w:val="000000"/>
                <w:sz w:val="20"/>
                <w:szCs w:val="20"/>
                <w:lang w:eastAsia="hr-HR"/>
              </w:rPr>
              <w:footnoteReference w:id="7"/>
            </w:r>
            <w:r w:rsidR="000D054F" w:rsidRPr="00234F78">
              <w:rPr>
                <w:rFonts w:eastAsia="Times New Roman" w:cstheme="minorHAnsi"/>
                <w:color w:val="000000"/>
                <w:sz w:val="20"/>
                <w:szCs w:val="20"/>
                <w:lang w:eastAsia="hr-HR"/>
              </w:rPr>
              <w:t xml:space="preserve"> </w:t>
            </w:r>
            <w:r w:rsidRPr="00234F78">
              <w:rPr>
                <w:rFonts w:eastAsia="Times New Roman" w:cstheme="minorHAnsi"/>
                <w:color w:val="000000"/>
                <w:sz w:val="20"/>
                <w:szCs w:val="20"/>
                <w:lang w:eastAsia="hr-HR"/>
              </w:rPr>
              <w:t xml:space="preserve">postupanja s otpadom </w:t>
            </w:r>
          </w:p>
        </w:tc>
        <w:tc>
          <w:tcPr>
            <w:tcW w:w="1134" w:type="dxa"/>
            <w:shd w:val="clear" w:color="auto" w:fill="auto"/>
            <w:noWrap/>
            <w:vAlign w:val="center"/>
            <w:hideMark/>
          </w:tcPr>
          <w:p w14:paraId="28EF61D6"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483.363</w:t>
            </w:r>
          </w:p>
        </w:tc>
        <w:tc>
          <w:tcPr>
            <w:tcW w:w="947" w:type="dxa"/>
            <w:shd w:val="clear" w:color="auto" w:fill="auto"/>
            <w:noWrap/>
            <w:vAlign w:val="center"/>
            <w:hideMark/>
          </w:tcPr>
          <w:p w14:paraId="028918C7"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9,0%</w:t>
            </w:r>
          </w:p>
        </w:tc>
        <w:tc>
          <w:tcPr>
            <w:tcW w:w="1179" w:type="dxa"/>
            <w:shd w:val="clear" w:color="auto" w:fill="auto"/>
            <w:noWrap/>
            <w:vAlign w:val="center"/>
            <w:hideMark/>
          </w:tcPr>
          <w:p w14:paraId="60882916"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437.345</w:t>
            </w:r>
          </w:p>
        </w:tc>
        <w:tc>
          <w:tcPr>
            <w:tcW w:w="992" w:type="dxa"/>
            <w:shd w:val="clear" w:color="auto" w:fill="auto"/>
            <w:noWrap/>
            <w:vAlign w:val="center"/>
            <w:hideMark/>
          </w:tcPr>
          <w:p w14:paraId="629D23EF"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7,9%</w:t>
            </w:r>
          </w:p>
        </w:tc>
        <w:tc>
          <w:tcPr>
            <w:tcW w:w="1276" w:type="dxa"/>
            <w:shd w:val="clear" w:color="auto" w:fill="auto"/>
            <w:noWrap/>
            <w:vAlign w:val="center"/>
            <w:hideMark/>
          </w:tcPr>
          <w:p w14:paraId="41786ABB"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623.187</w:t>
            </w:r>
          </w:p>
        </w:tc>
        <w:tc>
          <w:tcPr>
            <w:tcW w:w="992" w:type="dxa"/>
            <w:shd w:val="clear" w:color="auto" w:fill="auto"/>
            <w:noWrap/>
            <w:vAlign w:val="center"/>
            <w:hideMark/>
          </w:tcPr>
          <w:p w14:paraId="43A358C8"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cstheme="minorHAnsi"/>
                <w:sz w:val="20"/>
                <w:szCs w:val="20"/>
              </w:rPr>
              <w:t>10,4%</w:t>
            </w:r>
          </w:p>
        </w:tc>
      </w:tr>
      <w:tr w:rsidR="009F01BB" w:rsidRPr="00234F78" w14:paraId="01046956" w14:textId="77777777" w:rsidTr="00BA1411">
        <w:trPr>
          <w:trHeight w:val="20"/>
        </w:trPr>
        <w:tc>
          <w:tcPr>
            <w:tcW w:w="2547" w:type="dxa"/>
            <w:shd w:val="clear" w:color="auto" w:fill="auto"/>
            <w:noWrap/>
            <w:vAlign w:val="center"/>
            <w:hideMark/>
          </w:tcPr>
          <w:p w14:paraId="3003DC75"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Procjene za neevidentirano postupanje (građevini otpad, otpad iz rudarske industrije i komunalni otpad)</w:t>
            </w:r>
          </w:p>
        </w:tc>
        <w:tc>
          <w:tcPr>
            <w:tcW w:w="1134" w:type="dxa"/>
            <w:shd w:val="clear" w:color="auto" w:fill="auto"/>
            <w:noWrap/>
            <w:vAlign w:val="center"/>
            <w:hideMark/>
          </w:tcPr>
          <w:p w14:paraId="1F2D3C36"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937.311</w:t>
            </w:r>
          </w:p>
        </w:tc>
        <w:tc>
          <w:tcPr>
            <w:tcW w:w="947" w:type="dxa"/>
            <w:shd w:val="clear" w:color="auto" w:fill="auto"/>
            <w:noWrap/>
            <w:vAlign w:val="center"/>
            <w:hideMark/>
          </w:tcPr>
          <w:p w14:paraId="256BB6F0"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17,5%</w:t>
            </w:r>
          </w:p>
        </w:tc>
        <w:tc>
          <w:tcPr>
            <w:tcW w:w="1179" w:type="dxa"/>
            <w:shd w:val="clear" w:color="auto" w:fill="auto"/>
            <w:noWrap/>
            <w:vAlign w:val="center"/>
            <w:hideMark/>
          </w:tcPr>
          <w:p w14:paraId="3055EE6E"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910.623</w:t>
            </w:r>
          </w:p>
        </w:tc>
        <w:tc>
          <w:tcPr>
            <w:tcW w:w="992" w:type="dxa"/>
            <w:shd w:val="clear" w:color="auto" w:fill="auto"/>
            <w:noWrap/>
            <w:vAlign w:val="center"/>
            <w:hideMark/>
          </w:tcPr>
          <w:p w14:paraId="6BA8B23F"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16,4%</w:t>
            </w:r>
          </w:p>
        </w:tc>
        <w:tc>
          <w:tcPr>
            <w:tcW w:w="1276" w:type="dxa"/>
            <w:shd w:val="clear" w:color="auto" w:fill="auto"/>
            <w:noWrap/>
            <w:vAlign w:val="center"/>
            <w:hideMark/>
          </w:tcPr>
          <w:p w14:paraId="41CB153F"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877.144</w:t>
            </w:r>
          </w:p>
        </w:tc>
        <w:tc>
          <w:tcPr>
            <w:tcW w:w="992" w:type="dxa"/>
            <w:shd w:val="clear" w:color="auto" w:fill="auto"/>
            <w:noWrap/>
            <w:vAlign w:val="center"/>
            <w:hideMark/>
          </w:tcPr>
          <w:p w14:paraId="26FADD31"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cstheme="minorHAnsi"/>
                <w:sz w:val="20"/>
                <w:szCs w:val="20"/>
              </w:rPr>
              <w:t>14,6%</w:t>
            </w:r>
          </w:p>
        </w:tc>
      </w:tr>
      <w:tr w:rsidR="009F01BB" w:rsidRPr="00234F78" w14:paraId="7CFB3D6C" w14:textId="77777777" w:rsidTr="00BA1411">
        <w:trPr>
          <w:trHeight w:val="20"/>
        </w:trPr>
        <w:tc>
          <w:tcPr>
            <w:tcW w:w="2547" w:type="dxa"/>
            <w:shd w:val="clear" w:color="auto" w:fill="auto"/>
            <w:noWrap/>
            <w:vAlign w:val="center"/>
            <w:hideMark/>
          </w:tcPr>
          <w:p w14:paraId="2149B520" w14:textId="77777777" w:rsidR="009F01BB" w:rsidRPr="00234F78" w:rsidRDefault="009F01BB" w:rsidP="00CC41BC">
            <w:pPr>
              <w:spacing w:after="0" w:line="240" w:lineRule="auto"/>
              <w:jc w:val="right"/>
              <w:rPr>
                <w:rFonts w:eastAsia="Times New Roman" w:cstheme="minorHAnsi"/>
                <w:b/>
                <w:bCs/>
                <w:color w:val="000000"/>
                <w:sz w:val="20"/>
                <w:szCs w:val="20"/>
                <w:lang w:eastAsia="hr-HR"/>
              </w:rPr>
            </w:pPr>
            <w:r w:rsidRPr="00234F78">
              <w:rPr>
                <w:rFonts w:eastAsia="Times New Roman" w:cstheme="minorHAnsi"/>
                <w:b/>
                <w:bCs/>
                <w:color w:val="000000"/>
                <w:sz w:val="20"/>
                <w:szCs w:val="20"/>
                <w:lang w:eastAsia="hr-HR"/>
              </w:rPr>
              <w:t>Ukupno:</w:t>
            </w:r>
          </w:p>
        </w:tc>
        <w:tc>
          <w:tcPr>
            <w:tcW w:w="1134" w:type="dxa"/>
            <w:shd w:val="clear" w:color="auto" w:fill="auto"/>
            <w:noWrap/>
            <w:vAlign w:val="center"/>
            <w:hideMark/>
          </w:tcPr>
          <w:p w14:paraId="23B65EE6" w14:textId="77777777" w:rsidR="009F01BB" w:rsidRPr="00234F78" w:rsidRDefault="009F01BB" w:rsidP="00CC41BC">
            <w:pPr>
              <w:spacing w:after="0" w:line="240" w:lineRule="auto"/>
              <w:jc w:val="right"/>
              <w:rPr>
                <w:rFonts w:eastAsia="Times New Roman" w:cstheme="minorHAnsi"/>
                <w:b/>
                <w:bCs/>
                <w:color w:val="000000"/>
                <w:sz w:val="20"/>
                <w:szCs w:val="20"/>
                <w:lang w:eastAsia="hr-HR"/>
              </w:rPr>
            </w:pPr>
            <w:r w:rsidRPr="00234F78">
              <w:rPr>
                <w:rFonts w:eastAsia="Times New Roman" w:cstheme="minorHAnsi"/>
                <w:b/>
                <w:bCs/>
                <w:color w:val="000000"/>
                <w:sz w:val="20"/>
                <w:szCs w:val="20"/>
                <w:lang w:eastAsia="hr-HR"/>
              </w:rPr>
              <w:t>5.366.953</w:t>
            </w:r>
          </w:p>
        </w:tc>
        <w:tc>
          <w:tcPr>
            <w:tcW w:w="947" w:type="dxa"/>
            <w:shd w:val="clear" w:color="auto" w:fill="auto"/>
            <w:noWrap/>
            <w:vAlign w:val="center"/>
            <w:hideMark/>
          </w:tcPr>
          <w:p w14:paraId="26636D78" w14:textId="77777777" w:rsidR="009F01BB" w:rsidRPr="00234F78" w:rsidRDefault="009F01BB" w:rsidP="00CC41BC">
            <w:pPr>
              <w:spacing w:after="0" w:line="240" w:lineRule="auto"/>
              <w:jc w:val="right"/>
              <w:rPr>
                <w:rFonts w:eastAsia="Times New Roman" w:cstheme="minorHAnsi"/>
                <w:b/>
                <w:bCs/>
                <w:color w:val="000000"/>
                <w:sz w:val="20"/>
                <w:szCs w:val="20"/>
                <w:lang w:eastAsia="hr-HR"/>
              </w:rPr>
            </w:pPr>
            <w:r w:rsidRPr="00234F78">
              <w:rPr>
                <w:rFonts w:eastAsia="Times New Roman" w:cstheme="minorHAnsi"/>
                <w:b/>
                <w:bCs/>
                <w:color w:val="000000"/>
                <w:sz w:val="20"/>
                <w:szCs w:val="20"/>
                <w:lang w:eastAsia="hr-HR"/>
              </w:rPr>
              <w:t>100,0 % </w:t>
            </w:r>
          </w:p>
        </w:tc>
        <w:tc>
          <w:tcPr>
            <w:tcW w:w="1179" w:type="dxa"/>
            <w:shd w:val="clear" w:color="auto" w:fill="auto"/>
            <w:noWrap/>
            <w:vAlign w:val="center"/>
            <w:hideMark/>
          </w:tcPr>
          <w:p w14:paraId="4F6B5080" w14:textId="77777777" w:rsidR="009F01BB" w:rsidRPr="00234F78" w:rsidRDefault="009F01BB" w:rsidP="00CC41BC">
            <w:pPr>
              <w:spacing w:after="0" w:line="240" w:lineRule="auto"/>
              <w:jc w:val="right"/>
              <w:rPr>
                <w:rFonts w:eastAsia="Times New Roman" w:cstheme="minorHAnsi"/>
                <w:b/>
                <w:bCs/>
                <w:color w:val="000000"/>
                <w:sz w:val="20"/>
                <w:szCs w:val="20"/>
                <w:lang w:eastAsia="hr-HR"/>
              </w:rPr>
            </w:pPr>
            <w:r w:rsidRPr="00234F78">
              <w:rPr>
                <w:rFonts w:eastAsia="Times New Roman" w:cstheme="minorHAnsi"/>
                <w:b/>
                <w:bCs/>
                <w:color w:val="000000"/>
                <w:sz w:val="20"/>
                <w:szCs w:val="20"/>
                <w:lang w:eastAsia="hr-HR"/>
              </w:rPr>
              <w:t>5.543.310</w:t>
            </w:r>
          </w:p>
        </w:tc>
        <w:tc>
          <w:tcPr>
            <w:tcW w:w="992" w:type="dxa"/>
            <w:shd w:val="clear" w:color="auto" w:fill="auto"/>
            <w:noWrap/>
            <w:vAlign w:val="center"/>
            <w:hideMark/>
          </w:tcPr>
          <w:p w14:paraId="62FC0DA9" w14:textId="77777777" w:rsidR="009F01BB" w:rsidRPr="00234F78" w:rsidRDefault="009F01BB" w:rsidP="00CC41BC">
            <w:pPr>
              <w:spacing w:after="0" w:line="240" w:lineRule="auto"/>
              <w:jc w:val="right"/>
              <w:rPr>
                <w:rFonts w:eastAsia="Times New Roman" w:cstheme="minorHAnsi"/>
                <w:b/>
                <w:bCs/>
                <w:color w:val="000000"/>
                <w:sz w:val="20"/>
                <w:szCs w:val="20"/>
                <w:lang w:eastAsia="hr-HR"/>
              </w:rPr>
            </w:pPr>
            <w:r w:rsidRPr="00234F78">
              <w:rPr>
                <w:rFonts w:eastAsia="Times New Roman" w:cstheme="minorHAnsi"/>
                <w:b/>
                <w:bCs/>
                <w:color w:val="000000"/>
                <w:sz w:val="20"/>
                <w:szCs w:val="20"/>
                <w:lang w:eastAsia="hr-HR"/>
              </w:rPr>
              <w:t>100,0 % </w:t>
            </w:r>
          </w:p>
        </w:tc>
        <w:tc>
          <w:tcPr>
            <w:tcW w:w="1276" w:type="dxa"/>
            <w:shd w:val="clear" w:color="auto" w:fill="auto"/>
            <w:noWrap/>
            <w:vAlign w:val="center"/>
            <w:hideMark/>
          </w:tcPr>
          <w:p w14:paraId="7AA4F5BE" w14:textId="77777777" w:rsidR="009F01BB" w:rsidRPr="00234F78" w:rsidRDefault="009F01BB" w:rsidP="00CC41BC">
            <w:pPr>
              <w:spacing w:after="0" w:line="240" w:lineRule="auto"/>
              <w:jc w:val="right"/>
              <w:rPr>
                <w:rFonts w:eastAsia="Times New Roman" w:cstheme="minorHAnsi"/>
                <w:b/>
                <w:bCs/>
                <w:color w:val="000000"/>
                <w:sz w:val="20"/>
                <w:szCs w:val="20"/>
                <w:lang w:eastAsia="hr-HR"/>
              </w:rPr>
            </w:pPr>
            <w:r w:rsidRPr="00234F78">
              <w:rPr>
                <w:rFonts w:eastAsia="Times New Roman" w:cstheme="minorHAnsi"/>
                <w:b/>
                <w:bCs/>
                <w:color w:val="000000"/>
                <w:sz w:val="20"/>
                <w:szCs w:val="20"/>
                <w:lang w:eastAsia="hr-HR"/>
              </w:rPr>
              <w:t>6.003.759</w:t>
            </w:r>
          </w:p>
        </w:tc>
        <w:tc>
          <w:tcPr>
            <w:tcW w:w="992" w:type="dxa"/>
            <w:shd w:val="clear" w:color="auto" w:fill="auto"/>
            <w:noWrap/>
            <w:vAlign w:val="center"/>
            <w:hideMark/>
          </w:tcPr>
          <w:p w14:paraId="257462B3" w14:textId="77777777" w:rsidR="009F01BB" w:rsidRPr="00234F78" w:rsidRDefault="009F01BB" w:rsidP="00CC41BC">
            <w:pPr>
              <w:spacing w:after="0" w:line="240" w:lineRule="auto"/>
              <w:jc w:val="right"/>
              <w:rPr>
                <w:rFonts w:eastAsia="Times New Roman" w:cstheme="minorHAnsi"/>
                <w:b/>
                <w:bCs/>
                <w:color w:val="000000"/>
                <w:sz w:val="20"/>
                <w:szCs w:val="20"/>
                <w:lang w:eastAsia="hr-HR"/>
              </w:rPr>
            </w:pPr>
            <w:r w:rsidRPr="00234F78">
              <w:rPr>
                <w:rFonts w:eastAsia="Times New Roman" w:cstheme="minorHAnsi"/>
                <w:b/>
                <w:bCs/>
                <w:color w:val="000000"/>
                <w:sz w:val="20"/>
                <w:szCs w:val="20"/>
                <w:lang w:eastAsia="hr-HR"/>
              </w:rPr>
              <w:t>100,0 % </w:t>
            </w:r>
          </w:p>
        </w:tc>
      </w:tr>
    </w:tbl>
    <w:p w14:paraId="742328EB" w14:textId="77777777" w:rsidR="009F01BB" w:rsidRPr="009F01BB" w:rsidRDefault="009F01BB" w:rsidP="00BA1411">
      <w:pPr>
        <w:spacing w:after="240"/>
        <w:jc w:val="right"/>
        <w:rPr>
          <w:i/>
          <w:iCs/>
          <w:sz w:val="18"/>
          <w:szCs w:val="20"/>
        </w:rPr>
      </w:pPr>
      <w:r w:rsidRPr="009F01BB">
        <w:rPr>
          <w:i/>
          <w:iCs/>
          <w:sz w:val="18"/>
          <w:szCs w:val="20"/>
        </w:rPr>
        <w:t>Izvor: MINGOR</w:t>
      </w:r>
    </w:p>
    <w:p w14:paraId="696AF8F4" w14:textId="61B1153F" w:rsidR="009F01BB" w:rsidRPr="00223644" w:rsidRDefault="009F01BB" w:rsidP="009F01BB">
      <w:pPr>
        <w:jc w:val="center"/>
      </w:pPr>
    </w:p>
    <w:p w14:paraId="47DD9463" w14:textId="77777777" w:rsidR="009F01BB" w:rsidRPr="009F01BB" w:rsidRDefault="009F01BB" w:rsidP="00BA1411">
      <w:pPr>
        <w:spacing w:after="0"/>
        <w:jc w:val="right"/>
        <w:rPr>
          <w:i/>
          <w:iCs/>
          <w:sz w:val="18"/>
          <w:szCs w:val="20"/>
        </w:rPr>
      </w:pPr>
      <w:r w:rsidRPr="009F01BB">
        <w:rPr>
          <w:i/>
          <w:iCs/>
          <w:sz w:val="18"/>
          <w:szCs w:val="20"/>
        </w:rPr>
        <w:t>Izvor: MINGOR</w:t>
      </w:r>
    </w:p>
    <w:p w14:paraId="1A927B73" w14:textId="6E88AA14" w:rsidR="009F01BB" w:rsidRPr="009F01BB" w:rsidRDefault="009F01BB" w:rsidP="009F01BB">
      <w:pPr>
        <w:pStyle w:val="Slika"/>
        <w:rPr>
          <w:b w:val="0"/>
          <w:bCs/>
        </w:rPr>
      </w:pPr>
      <w:bookmarkStart w:id="20" w:name="_Toc125363909"/>
      <w:r w:rsidRPr="00223644">
        <w:t xml:space="preserve">Slika </w:t>
      </w:r>
      <w:fldSimple w:instr=" SEQ Slika \* ARABIC ">
        <w:r w:rsidR="00F37B62">
          <w:rPr>
            <w:noProof/>
          </w:rPr>
          <w:t>4</w:t>
        </w:r>
      </w:fldSimple>
      <w:r w:rsidRPr="00223644">
        <w:t xml:space="preserve">. </w:t>
      </w:r>
      <w:r w:rsidRPr="009F01BB">
        <w:rPr>
          <w:b w:val="0"/>
          <w:bCs/>
        </w:rPr>
        <w:t xml:space="preserve">Postupanje s otpadom u razdoblju od 2016. do 2020. godine prema postupcima obrade (uključene i količine </w:t>
      </w:r>
      <w:r w:rsidR="00B94021" w:rsidRPr="00B94021">
        <w:rPr>
          <w:b w:val="0"/>
          <w:bCs/>
        </w:rPr>
        <w:t xml:space="preserve">Izvezene izvan EU i iznesene u </w:t>
      </w:r>
      <w:proofErr w:type="spellStart"/>
      <w:r w:rsidR="00B94021" w:rsidRPr="00B94021">
        <w:rPr>
          <w:b w:val="0"/>
          <w:bCs/>
        </w:rPr>
        <w:t>dr</w:t>
      </w:r>
      <w:r w:rsidR="00B94021">
        <w:rPr>
          <w:b w:val="0"/>
          <w:bCs/>
        </w:rPr>
        <w:t>ugedržave</w:t>
      </w:r>
      <w:proofErr w:type="spellEnd"/>
      <w:r w:rsidR="00B94021">
        <w:rPr>
          <w:b w:val="0"/>
          <w:bCs/>
        </w:rPr>
        <w:t xml:space="preserve"> članice EU</w:t>
      </w:r>
      <w:r w:rsidRPr="009F01BB">
        <w:rPr>
          <w:b w:val="0"/>
          <w:bCs/>
        </w:rPr>
        <w:t xml:space="preserve"> na obradu)</w:t>
      </w:r>
      <w:bookmarkEnd w:id="20"/>
    </w:p>
    <w:p w14:paraId="0096AA52" w14:textId="52228684" w:rsidR="009F01BB" w:rsidRPr="00223644" w:rsidRDefault="009F01BB" w:rsidP="009F01BB">
      <w:r w:rsidRPr="00223644">
        <w:t xml:space="preserve">U 2020. godini reciklirano je 46,2% ukupno nastalog otpada, 3,3% je </w:t>
      </w:r>
      <w:proofErr w:type="spellStart"/>
      <w:r w:rsidRPr="00223644">
        <w:t>oporabljeno</w:t>
      </w:r>
      <w:proofErr w:type="spellEnd"/>
      <w:r w:rsidRPr="00223644">
        <w:t xml:space="preserve"> postupkom nasipavanja</w:t>
      </w:r>
      <w:r w:rsidR="00B94021">
        <w:t xml:space="preserve"> (R5)</w:t>
      </w:r>
      <w:r w:rsidRPr="00223644">
        <w:t xml:space="preserve">, 1,5% je </w:t>
      </w:r>
      <w:r>
        <w:t xml:space="preserve">energetski </w:t>
      </w:r>
      <w:proofErr w:type="spellStart"/>
      <w:r>
        <w:t>oporabljeno</w:t>
      </w:r>
      <w:proofErr w:type="spellEnd"/>
      <w:r w:rsidR="00B94021">
        <w:t xml:space="preserve"> (R1)</w:t>
      </w:r>
      <w:r w:rsidRPr="00223644">
        <w:t xml:space="preserve">. Time stopa oporabe </w:t>
      </w:r>
      <w:r>
        <w:t xml:space="preserve">u 2020. godini </w:t>
      </w:r>
      <w:r w:rsidRPr="00223644">
        <w:t xml:space="preserve">za ukupno nastali otpad RH iznosi 51%. Odloženo je 23,8% nastalog otpada, dok se bez energetske oporabe spalila </w:t>
      </w:r>
      <w:r w:rsidRPr="00223644">
        <w:lastRenderedPageBreak/>
        <w:t>zanemariva količina otpada (0,2%). Procjene za neevidentirano postupanje s otpadom iznose 14,6% (građevni otpad, otpad iz rudarske industrije i komunalni otpad).</w:t>
      </w:r>
    </w:p>
    <w:p w14:paraId="2F10C077" w14:textId="118F5D22" w:rsidR="009F01BB" w:rsidRDefault="009F01BB" w:rsidP="009F01BB">
      <w:r w:rsidRPr="00223644">
        <w:t xml:space="preserve">Sve nastale količine otpada ne obrađuju se u RH. U 2020. godini </w:t>
      </w:r>
      <w:r w:rsidRPr="00E86259">
        <w:rPr>
          <w:highlight w:val="yellow"/>
        </w:rPr>
        <w:t xml:space="preserve">obrađivači u RH </w:t>
      </w:r>
      <w:r w:rsidR="00B94021" w:rsidRPr="00E86259">
        <w:rPr>
          <w:highlight w:val="yellow"/>
        </w:rPr>
        <w:t xml:space="preserve">konačnim </w:t>
      </w:r>
      <w:r w:rsidRPr="00E86259">
        <w:rPr>
          <w:highlight w:val="yellow"/>
        </w:rPr>
        <w:t>postupcima</w:t>
      </w:r>
      <w:r w:rsidR="00E75AB4" w:rsidRPr="00E86259">
        <w:rPr>
          <w:rStyle w:val="Referencafusnote"/>
          <w:highlight w:val="yellow"/>
        </w:rPr>
        <w:footnoteReference w:id="8"/>
      </w:r>
      <w:r w:rsidR="00E75AB4" w:rsidRPr="00E86259">
        <w:rPr>
          <w:highlight w:val="yellow"/>
        </w:rPr>
        <w:t xml:space="preserve"> </w:t>
      </w:r>
      <w:r w:rsidRPr="00E86259">
        <w:rPr>
          <w:highlight w:val="yellow"/>
        </w:rPr>
        <w:t xml:space="preserve"> obradili su ukupno 3.605.161 tona otpada nastalog na području RH, odnosno 60% ukupnih količina</w:t>
      </w:r>
      <w:r w:rsidRPr="00223644">
        <w:t xml:space="preserve">. Riječ je o </w:t>
      </w:r>
      <w:r w:rsidR="00B94021">
        <w:t>konačnim</w:t>
      </w:r>
      <w:r w:rsidR="00B94021" w:rsidRPr="00223644">
        <w:t xml:space="preserve"> </w:t>
      </w:r>
      <w:r w:rsidRPr="00223644">
        <w:t>postupcima obrade</w:t>
      </w:r>
      <w:r w:rsidR="004B5D52">
        <w:t xml:space="preserve"> (uglavnom recikliranje i odlaganje)</w:t>
      </w:r>
      <w:r w:rsidR="00E75AB4">
        <w:t xml:space="preserve"> </w:t>
      </w:r>
      <w:r w:rsidRPr="00223644">
        <w:t xml:space="preserve">iza kojih ne slijedi daljnje postupanje s otpadom. Preostale količine nastalog otpada (2.398.598 tona) </w:t>
      </w:r>
      <w:r w:rsidR="00E75AB4">
        <w:t xml:space="preserve">obrađene su </w:t>
      </w:r>
      <w:r w:rsidR="00E75AB4" w:rsidRPr="00E75AB4">
        <w:t>prethodn</w:t>
      </w:r>
      <w:r w:rsidR="00E75AB4">
        <w:t>im</w:t>
      </w:r>
      <w:r w:rsidR="00E75AB4" w:rsidRPr="00E75AB4">
        <w:t xml:space="preserve"> postup</w:t>
      </w:r>
      <w:r w:rsidR="00E75AB4">
        <w:t>cima</w:t>
      </w:r>
      <w:r w:rsidR="00E75AB4" w:rsidRPr="00E75AB4">
        <w:t xml:space="preserve"> prije oporabe</w:t>
      </w:r>
      <w:r w:rsidR="00E75AB4">
        <w:t>/zbrinjavanja</w:t>
      </w:r>
      <w:r w:rsidR="00E75AB4" w:rsidRPr="00E75AB4">
        <w:t xml:space="preserve"> </w:t>
      </w:r>
      <w:r w:rsidRPr="00223644">
        <w:t>u RH, odnosno pripremnim radnjama (rastavljanje, usitnjavanje</w:t>
      </w:r>
      <w:r w:rsidR="007C706E">
        <w:t>,</w:t>
      </w:r>
      <w:r w:rsidRPr="00223644">
        <w:t xml:space="preserve"> miješanje, ponovno pakiranje itd.) za </w:t>
      </w:r>
      <w:r w:rsidR="00E75AB4">
        <w:t xml:space="preserve">konačni </w:t>
      </w:r>
      <w:r w:rsidRPr="00223644">
        <w:t>postupak obrade u izvozu</w:t>
      </w:r>
      <w:r w:rsidR="00E75AB4">
        <w:t>/iznosu</w:t>
      </w:r>
      <w:r w:rsidRPr="00223644">
        <w:t xml:space="preserve"> ili su izveze</w:t>
      </w:r>
      <w:r w:rsidR="00E75AB4">
        <w:t>ne/iznesene</w:t>
      </w:r>
      <w:r w:rsidRPr="00223644">
        <w:t xml:space="preserve"> direktno, bez prethodne </w:t>
      </w:r>
      <w:proofErr w:type="spellStart"/>
      <w:r w:rsidRPr="00223644">
        <w:t>predobrade</w:t>
      </w:r>
      <w:proofErr w:type="spellEnd"/>
      <w:r w:rsidRPr="00223644">
        <w:t xml:space="preserve">. </w:t>
      </w:r>
    </w:p>
    <w:p w14:paraId="30B4634F" w14:textId="006C621C" w:rsidR="009F01BB" w:rsidRPr="00223644" w:rsidRDefault="009F01BB" w:rsidP="009F01BB">
      <w:r w:rsidRPr="008C5FC0">
        <w:t>U 2020. godini izvezena</w:t>
      </w:r>
      <w:r w:rsidR="00E75AB4">
        <w:t>/iznesena</w:t>
      </w:r>
      <w:r w:rsidRPr="008C5FC0">
        <w:t xml:space="preserve"> količina otpada iznosila je 898.267 tona, od čega 18.760 tona opasnog otpada i 879.507 tona neopasnog otpada. U prosjeku se 95% izvezenih</w:t>
      </w:r>
      <w:r w:rsidR="00E75AB4">
        <w:t>/iznesenih</w:t>
      </w:r>
      <w:r w:rsidRPr="008C5FC0">
        <w:t xml:space="preserve"> količina otpada izvan RH materijalno reciklira, oko 3% se energetski oporabi, dok se ostatak od 2% uglavnom spali bez energetske oporabe te u manjoj mjeri odloži na odlagališta. O prekograničnom prometu otpada više u Poglavlju </w:t>
      </w:r>
      <w:r w:rsidR="008C5FC0" w:rsidRPr="008C5FC0">
        <w:fldChar w:fldCharType="begin"/>
      </w:r>
      <w:r w:rsidR="008C5FC0" w:rsidRPr="008C5FC0">
        <w:instrText xml:space="preserve"> REF _Ref114833929 \r \h </w:instrText>
      </w:r>
      <w:r w:rsidR="008C5FC0">
        <w:instrText xml:space="preserve"> \* MERGEFORMAT </w:instrText>
      </w:r>
      <w:r w:rsidR="008C5FC0" w:rsidRPr="008C5FC0">
        <w:fldChar w:fldCharType="separate"/>
      </w:r>
      <w:r w:rsidR="00F37B62">
        <w:t>2.3</w:t>
      </w:r>
      <w:r w:rsidR="008C5FC0" w:rsidRPr="008C5FC0">
        <w:fldChar w:fldCharType="end"/>
      </w:r>
      <w:r w:rsidR="008C5FC0" w:rsidRPr="008C5FC0">
        <w:t>.</w:t>
      </w:r>
    </w:p>
    <w:p w14:paraId="484BBBD6" w14:textId="1357C95D" w:rsidR="000444C4" w:rsidRPr="00460193" w:rsidRDefault="000444C4" w:rsidP="00A22739">
      <w:pPr>
        <w:pStyle w:val="IRNaslov3"/>
        <w:numPr>
          <w:ilvl w:val="2"/>
          <w:numId w:val="22"/>
        </w:numPr>
        <w:rPr>
          <w:rStyle w:val="zadanifontodlomka-000023"/>
          <w:rFonts w:asciiTheme="minorHAnsi" w:hAnsiTheme="minorHAnsi"/>
          <w:color w:val="auto"/>
          <w:szCs w:val="26"/>
        </w:rPr>
      </w:pPr>
      <w:bookmarkStart w:id="21" w:name="_Toc123211636"/>
      <w:r w:rsidRPr="00460193">
        <w:rPr>
          <w:rStyle w:val="zadanifontodlomka-000023"/>
          <w:rFonts w:asciiTheme="minorHAnsi" w:hAnsiTheme="minorHAnsi"/>
          <w:color w:val="auto"/>
          <w:szCs w:val="26"/>
        </w:rPr>
        <w:t>Opasni otpad</w:t>
      </w:r>
      <w:bookmarkEnd w:id="21"/>
    </w:p>
    <w:p w14:paraId="55F71493" w14:textId="344E27CF" w:rsidR="004D2A7B" w:rsidRPr="00223644" w:rsidRDefault="004D2A7B" w:rsidP="004D2A7B">
      <w:bookmarkStart w:id="22" w:name="_Hlk114833999"/>
      <w:r w:rsidRPr="00223644">
        <w:t xml:space="preserve">Opasni otpad čini udio od 3% u ukupnim </w:t>
      </w:r>
      <w:r>
        <w:t xml:space="preserve">nastalim </w:t>
      </w:r>
      <w:r w:rsidRPr="00223644">
        <w:t>količinama otpada</w:t>
      </w:r>
      <w:r w:rsidR="00BB6A94">
        <w:t xml:space="preserve"> (</w:t>
      </w:r>
      <w:r w:rsidR="00BB6A94" w:rsidRPr="00BB6A94">
        <w:t>6.003.759 t</w:t>
      </w:r>
      <w:r w:rsidR="00BB6A94">
        <w:t>)</w:t>
      </w:r>
      <w:r w:rsidR="007C6A0B">
        <w:t>.</w:t>
      </w:r>
      <w:r w:rsidRPr="00223644">
        <w:t xml:space="preserve"> U razdoblju od 2012. do 2020. </w:t>
      </w:r>
      <w:r w:rsidR="00BB6A94" w:rsidRPr="00BB6A94">
        <w:t xml:space="preserve">količina opasnog otpada je porasla </w:t>
      </w:r>
      <w:r w:rsidR="00BB6A94">
        <w:t xml:space="preserve">za </w:t>
      </w:r>
      <w:r w:rsidRPr="00223644">
        <w:t>54%</w:t>
      </w:r>
      <w:r w:rsidR="00BB6A94">
        <w:t>, te je u 2020. godini iznosila 186.956 tona</w:t>
      </w:r>
      <w:r w:rsidRPr="00223644">
        <w:t xml:space="preserve"> Navedeni porast, posebice od 2016. godine nadalje, može se pripisati unaprjeđenju nacionalnog sustava za posebne kategorije otpada koji organizira </w:t>
      </w:r>
      <w:r>
        <w:t xml:space="preserve">i vodi </w:t>
      </w:r>
      <w:r w:rsidR="004B5D52">
        <w:t>FZOEU</w:t>
      </w:r>
      <w:r w:rsidRPr="00223644">
        <w:t xml:space="preserve"> </w:t>
      </w:r>
      <w:r w:rsidRPr="00223644">
        <w:rPr>
          <w:rStyle w:val="Referencafusnote"/>
        </w:rPr>
        <w:footnoteReference w:id="9"/>
      </w:r>
      <w:r w:rsidR="004B5D52">
        <w:t xml:space="preserve"> koje je rezultiralo povećanim izdvajanjem opasnog otpada</w:t>
      </w:r>
      <w:r w:rsidRPr="00223644">
        <w:t>. U prosjeku udio tih posebnih kategorija otpada u opasnom otpadu iznosi 59%.</w:t>
      </w:r>
    </w:p>
    <w:p w14:paraId="7BD30BB2" w14:textId="526B03D3" w:rsidR="004D2A7B" w:rsidRPr="004D2A7B" w:rsidRDefault="004D2A7B" w:rsidP="00BA1411">
      <w:pPr>
        <w:spacing w:after="0"/>
        <w:jc w:val="right"/>
        <w:rPr>
          <w:i/>
          <w:iCs/>
          <w:sz w:val="18"/>
          <w:szCs w:val="20"/>
        </w:rPr>
      </w:pPr>
      <w:r w:rsidRPr="004D2A7B">
        <w:rPr>
          <w:i/>
          <w:iCs/>
          <w:sz w:val="18"/>
          <w:szCs w:val="20"/>
        </w:rPr>
        <w:t>Izvor: MINGOR</w:t>
      </w:r>
    </w:p>
    <w:p w14:paraId="6A74B23C" w14:textId="2D5FCB4B" w:rsidR="004D2A7B" w:rsidRPr="00223644" w:rsidRDefault="004D2A7B" w:rsidP="004D2A7B">
      <w:pPr>
        <w:pStyle w:val="Slika"/>
      </w:pPr>
      <w:bookmarkStart w:id="23" w:name="_Toc125363910"/>
      <w:r w:rsidRPr="00223644">
        <w:t xml:space="preserve">Slika </w:t>
      </w:r>
      <w:fldSimple w:instr=" SEQ Slika \* ARABIC ">
        <w:r w:rsidR="00F37B62">
          <w:rPr>
            <w:noProof/>
          </w:rPr>
          <w:t>5</w:t>
        </w:r>
      </w:fldSimple>
      <w:r w:rsidRPr="00223644">
        <w:t xml:space="preserve">. </w:t>
      </w:r>
      <w:r w:rsidRPr="004D2A7B">
        <w:rPr>
          <w:b w:val="0"/>
          <w:bCs/>
        </w:rPr>
        <w:t>Količine opasnog otpada i opasnih posebnih kategorija otpada u RH, 2012. do 2020. godine</w:t>
      </w:r>
      <w:bookmarkEnd w:id="23"/>
    </w:p>
    <w:p w14:paraId="19E6A168" w14:textId="2084F7B4" w:rsidR="004D2A7B" w:rsidRPr="00223644" w:rsidRDefault="004D2A7B" w:rsidP="004D2A7B">
      <w:r w:rsidRPr="00223644">
        <w:t>Osim</w:t>
      </w:r>
      <w:r w:rsidR="00E05BB2">
        <w:t xml:space="preserve"> kod vrsta </w:t>
      </w:r>
      <w:r w:rsidR="00240BFC">
        <w:t xml:space="preserve">opasnog otpada </w:t>
      </w:r>
      <w:r w:rsidR="00240BFC" w:rsidRPr="00240BFC">
        <w:t>koj</w:t>
      </w:r>
      <w:r w:rsidR="00E05BB2">
        <w:t>e</w:t>
      </w:r>
      <w:r w:rsidR="00240BFC" w:rsidRPr="00240BFC">
        <w:t xml:space="preserve"> se smatra</w:t>
      </w:r>
      <w:r w:rsidR="00E05BB2">
        <w:t>ju</w:t>
      </w:r>
      <w:r w:rsidR="00240BFC" w:rsidRPr="00240BFC">
        <w:t xml:space="preserve"> posebn</w:t>
      </w:r>
      <w:r w:rsidR="00E05BB2">
        <w:t>im</w:t>
      </w:r>
      <w:r w:rsidR="00240BFC" w:rsidRPr="00240BFC">
        <w:t xml:space="preserve"> kategorij</w:t>
      </w:r>
      <w:r w:rsidR="00E05BB2">
        <w:t>ama</w:t>
      </w:r>
      <w:r w:rsidR="00240BFC" w:rsidRPr="00240BFC">
        <w:t xml:space="preserve"> otpada u sustavu FZOEU</w:t>
      </w:r>
      <w:r w:rsidR="00E05BB2">
        <w:t>,</w:t>
      </w:r>
      <w:r w:rsidRPr="00223644">
        <w:t xml:space="preserve"> </w:t>
      </w:r>
      <w:r w:rsidR="00E05BB2" w:rsidRPr="00223644">
        <w:t xml:space="preserve">evidentira se </w:t>
      </w:r>
      <w:r w:rsidRPr="00223644">
        <w:t xml:space="preserve">značajniji porast količina i za </w:t>
      </w:r>
      <w:r>
        <w:t xml:space="preserve">opasni </w:t>
      </w:r>
      <w:r w:rsidRPr="00223644">
        <w:t>medicinski otpad</w:t>
      </w:r>
      <w:r w:rsidR="00E05BB2">
        <w:t xml:space="preserve"> kao</w:t>
      </w:r>
      <w:r w:rsidR="00E05BB2" w:rsidRPr="00E05BB2">
        <w:t xml:space="preserve"> </w:t>
      </w:r>
      <w:r w:rsidR="00E05BB2" w:rsidRPr="00223644">
        <w:t xml:space="preserve">posljedica povećanja potrošnje medicinskih proizvoda uslijed pandemije bolesti </w:t>
      </w:r>
      <w:r w:rsidR="00E05BB2" w:rsidRPr="00232119">
        <w:t>uzrokovan</w:t>
      </w:r>
      <w:r w:rsidR="00E05BB2">
        <w:t>e</w:t>
      </w:r>
      <w:r w:rsidR="00E05BB2" w:rsidRPr="00232119">
        <w:t xml:space="preserve"> </w:t>
      </w:r>
      <w:proofErr w:type="spellStart"/>
      <w:r w:rsidR="00E05BB2" w:rsidRPr="00232119">
        <w:t>koronavirusom</w:t>
      </w:r>
      <w:proofErr w:type="spellEnd"/>
      <w:r w:rsidR="00E05BB2">
        <w:t xml:space="preserve"> </w:t>
      </w:r>
      <w:r w:rsidR="00E05BB2" w:rsidRPr="00223644">
        <w:t>COVID-19</w:t>
      </w:r>
      <w:r w:rsidRPr="00223644">
        <w:t>. Količina opasnog medicinskog otpada u 2020. je iznosila 5.968 tona što je porast od 137 % u odnosu na 2012. godinu</w:t>
      </w:r>
      <w:r w:rsidR="00E05BB2">
        <w:t>.</w:t>
      </w:r>
      <w:r w:rsidRPr="00223644">
        <w:t xml:space="preserve"> </w:t>
      </w:r>
    </w:p>
    <w:p w14:paraId="3FCAE50E" w14:textId="40DD8E5A" w:rsidR="004D2A7B" w:rsidRPr="00223644" w:rsidRDefault="004D2A7B" w:rsidP="004D2A7B">
      <w:r w:rsidRPr="00223644">
        <w:t xml:space="preserve">Ako se promatra porijeklo otpada, </w:t>
      </w:r>
      <w:r w:rsidR="00BB6A94">
        <w:t xml:space="preserve">u 2020. godinu, </w:t>
      </w:r>
      <w:r w:rsidRPr="00E86259">
        <w:rPr>
          <w:highlight w:val="yellow"/>
        </w:rPr>
        <w:t xml:space="preserve">najveći udio </w:t>
      </w:r>
      <w:r w:rsidR="00BB6A94" w:rsidRPr="00E86259">
        <w:rPr>
          <w:highlight w:val="yellow"/>
        </w:rPr>
        <w:t xml:space="preserve">opasnog otpada </w:t>
      </w:r>
      <w:r w:rsidRPr="00E86259">
        <w:rPr>
          <w:highlight w:val="yellow"/>
        </w:rPr>
        <w:t>nast</w:t>
      </w:r>
      <w:r w:rsidR="00BB6A94" w:rsidRPr="00E86259">
        <w:rPr>
          <w:highlight w:val="yellow"/>
        </w:rPr>
        <w:t xml:space="preserve">ao je </w:t>
      </w:r>
      <w:r w:rsidRPr="00E86259">
        <w:rPr>
          <w:highlight w:val="yellow"/>
        </w:rPr>
        <w:t xml:space="preserve"> u kućanstvima (40 %).</w:t>
      </w:r>
      <w:r w:rsidRPr="00223644">
        <w:t xml:space="preserve"> Uglavnom je riječ o otpadnoj električnoj i elektroničkoj opremi te otpadnim vozilima. Iza kućanstava slijedi sektor prerađivačke industrije (21%)</w:t>
      </w:r>
      <w:r>
        <w:t>,</w:t>
      </w:r>
      <w:r w:rsidRPr="00223644">
        <w:t xml:space="preserve"> gdje se najveći doprinos evidentira </w:t>
      </w:r>
      <w:r>
        <w:t>za</w:t>
      </w:r>
      <w:r w:rsidRPr="00223644">
        <w:t xml:space="preserve"> sektor proizvodnje metala i sektor proizvodnje gotovih metalnih proizvoda, osim strojeva i opreme</w:t>
      </w:r>
      <w:r>
        <w:t>,</w:t>
      </w:r>
      <w:r w:rsidRPr="00223644">
        <w:t xml:space="preserve"> </w:t>
      </w:r>
      <w:r>
        <w:t xml:space="preserve">zatim </w:t>
      </w:r>
      <w:r w:rsidRPr="00223644">
        <w:t>sektor uslužnih djelatnosti (19%) i sektor građevinarstva (11%) (</w:t>
      </w:r>
      <w:r>
        <w:fldChar w:fldCharType="begin"/>
      </w:r>
      <w:r>
        <w:instrText xml:space="preserve"> REF _Ref111035716 \h </w:instrText>
      </w:r>
      <w:r>
        <w:fldChar w:fldCharType="separate"/>
      </w:r>
      <w:r w:rsidR="00F37B62" w:rsidRPr="00223644">
        <w:t xml:space="preserve">Slika </w:t>
      </w:r>
      <w:r w:rsidR="00F37B62">
        <w:rPr>
          <w:noProof/>
        </w:rPr>
        <w:t>6</w:t>
      </w:r>
      <w:r>
        <w:fldChar w:fldCharType="end"/>
      </w:r>
      <w:r w:rsidRPr="00223644">
        <w:t>).</w:t>
      </w:r>
    </w:p>
    <w:p w14:paraId="60B2F1C1" w14:textId="354AB747" w:rsidR="004D2A7B" w:rsidRPr="004D2A7B" w:rsidRDefault="004D2A7B" w:rsidP="00BA1411">
      <w:pPr>
        <w:spacing w:after="0"/>
        <w:jc w:val="right"/>
        <w:rPr>
          <w:i/>
          <w:iCs/>
          <w:sz w:val="18"/>
          <w:szCs w:val="20"/>
        </w:rPr>
      </w:pPr>
      <w:r w:rsidRPr="004D2A7B">
        <w:rPr>
          <w:i/>
          <w:iCs/>
          <w:sz w:val="18"/>
          <w:szCs w:val="20"/>
        </w:rPr>
        <w:t>Izvor: MINGOR</w:t>
      </w:r>
    </w:p>
    <w:p w14:paraId="4BF16E3A" w14:textId="4BC8CB73" w:rsidR="004D2A7B" w:rsidRPr="004D2A7B" w:rsidRDefault="004D2A7B" w:rsidP="004D2A7B">
      <w:pPr>
        <w:pStyle w:val="Slika"/>
        <w:rPr>
          <w:b w:val="0"/>
          <w:bCs/>
        </w:rPr>
      </w:pPr>
      <w:bookmarkStart w:id="24" w:name="_Ref111035716"/>
      <w:bookmarkStart w:id="25" w:name="_Toc125363911"/>
      <w:r w:rsidRPr="00223644">
        <w:t xml:space="preserve">Slika </w:t>
      </w:r>
      <w:fldSimple w:instr=" SEQ Slika \* ARABIC ">
        <w:r w:rsidR="00F37B62">
          <w:rPr>
            <w:noProof/>
          </w:rPr>
          <w:t>6</w:t>
        </w:r>
      </w:fldSimple>
      <w:bookmarkEnd w:id="24"/>
      <w:r w:rsidRPr="00223644">
        <w:t xml:space="preserve">. </w:t>
      </w:r>
      <w:r w:rsidRPr="004D2A7B">
        <w:rPr>
          <w:b w:val="0"/>
          <w:bCs/>
        </w:rPr>
        <w:t>Udjeli gospodarskih aktivnosti i kućanstva u ukupno nastalom opasnom otpadu u RH, 2020.</w:t>
      </w:r>
      <w:bookmarkEnd w:id="25"/>
    </w:p>
    <w:p w14:paraId="081E7D3E" w14:textId="492445F2" w:rsidR="004D2A7B" w:rsidRPr="00223644" w:rsidRDefault="004D2A7B" w:rsidP="004D2A7B">
      <w:r w:rsidRPr="00223644">
        <w:t xml:space="preserve">U ukupnim količinama </w:t>
      </w:r>
      <w:r>
        <w:t xml:space="preserve">nastalog </w:t>
      </w:r>
      <w:r w:rsidRPr="00223644">
        <w:t xml:space="preserve">opasnog otpada najviše su zastupljena otpadna vozila (28,26%) i otpadna električna i elektronička oprema (15,36%), zatim kemijski otpad (11,84%), otpadne baterije i akumulatori (7,81%), </w:t>
      </w:r>
      <w:r w:rsidRPr="00C13F01">
        <w:t>ostaci od sortiranja (7,28%) i otpadna ulja (7,23%)</w:t>
      </w:r>
      <w:r w:rsidRPr="00223644">
        <w:rPr>
          <w:rFonts w:ascii="Calibri" w:eastAsia="Times New Roman" w:hAnsi="Calibri" w:cs="Calibri"/>
          <w:color w:val="000000"/>
          <w:sz w:val="20"/>
          <w:szCs w:val="20"/>
          <w:lang w:eastAsia="hr-HR"/>
        </w:rPr>
        <w:t xml:space="preserve"> (</w:t>
      </w:r>
      <w:r w:rsidRPr="00223644">
        <w:rPr>
          <w:rFonts w:ascii="Calibri" w:eastAsia="Times New Roman" w:hAnsi="Calibri" w:cs="Calibri"/>
          <w:color w:val="000000"/>
          <w:sz w:val="20"/>
          <w:szCs w:val="20"/>
          <w:lang w:eastAsia="hr-HR"/>
        </w:rPr>
        <w:fldChar w:fldCharType="begin"/>
      </w:r>
      <w:r w:rsidRPr="00223644">
        <w:rPr>
          <w:rFonts w:ascii="Calibri" w:eastAsia="Times New Roman" w:hAnsi="Calibri" w:cs="Calibri"/>
          <w:color w:val="000000"/>
          <w:sz w:val="20"/>
          <w:szCs w:val="20"/>
          <w:lang w:eastAsia="hr-HR"/>
        </w:rPr>
        <w:instrText xml:space="preserve"> REF _Ref110091914 \h </w:instrText>
      </w:r>
      <w:r w:rsidRPr="00223644">
        <w:rPr>
          <w:rFonts w:ascii="Calibri" w:eastAsia="Times New Roman" w:hAnsi="Calibri" w:cs="Calibri"/>
          <w:color w:val="000000"/>
          <w:sz w:val="20"/>
          <w:szCs w:val="20"/>
          <w:lang w:eastAsia="hr-HR"/>
        </w:rPr>
      </w:r>
      <w:r w:rsidRPr="00223644">
        <w:rPr>
          <w:rFonts w:ascii="Calibri" w:eastAsia="Times New Roman" w:hAnsi="Calibri" w:cs="Calibri"/>
          <w:color w:val="000000"/>
          <w:sz w:val="20"/>
          <w:szCs w:val="20"/>
          <w:lang w:eastAsia="hr-HR"/>
        </w:rPr>
        <w:fldChar w:fldCharType="separate"/>
      </w:r>
      <w:r w:rsidR="00F37B62" w:rsidRPr="00223644">
        <w:t xml:space="preserve">Tablica </w:t>
      </w:r>
      <w:r w:rsidR="00F37B62">
        <w:rPr>
          <w:noProof/>
        </w:rPr>
        <w:t>4</w:t>
      </w:r>
      <w:r w:rsidRPr="00223644">
        <w:rPr>
          <w:rFonts w:ascii="Calibri" w:eastAsia="Times New Roman" w:hAnsi="Calibri" w:cs="Calibri"/>
          <w:color w:val="000000"/>
          <w:sz w:val="20"/>
          <w:szCs w:val="20"/>
          <w:lang w:eastAsia="hr-HR"/>
        </w:rPr>
        <w:fldChar w:fldCharType="end"/>
      </w:r>
      <w:r w:rsidRPr="00223644">
        <w:rPr>
          <w:rFonts w:ascii="Calibri" w:eastAsia="Times New Roman" w:hAnsi="Calibri" w:cs="Calibri"/>
          <w:color w:val="000000"/>
          <w:sz w:val="20"/>
          <w:szCs w:val="20"/>
          <w:lang w:eastAsia="hr-HR"/>
        </w:rPr>
        <w:t xml:space="preserve">, </w:t>
      </w:r>
      <w:r w:rsidRPr="00223644">
        <w:rPr>
          <w:rFonts w:ascii="Calibri" w:eastAsia="Times New Roman" w:hAnsi="Calibri" w:cs="Calibri"/>
          <w:color w:val="000000"/>
          <w:sz w:val="20"/>
          <w:szCs w:val="20"/>
          <w:lang w:eastAsia="hr-HR"/>
        </w:rPr>
        <w:fldChar w:fldCharType="begin"/>
      </w:r>
      <w:r w:rsidRPr="00223644">
        <w:rPr>
          <w:rFonts w:ascii="Calibri" w:eastAsia="Times New Roman" w:hAnsi="Calibri" w:cs="Calibri"/>
          <w:color w:val="000000"/>
          <w:sz w:val="20"/>
          <w:szCs w:val="20"/>
          <w:lang w:eastAsia="hr-HR"/>
        </w:rPr>
        <w:instrText xml:space="preserve"> REF _Ref110091929 \h </w:instrText>
      </w:r>
      <w:r w:rsidRPr="00223644">
        <w:rPr>
          <w:rFonts w:ascii="Calibri" w:eastAsia="Times New Roman" w:hAnsi="Calibri" w:cs="Calibri"/>
          <w:color w:val="000000"/>
          <w:sz w:val="20"/>
          <w:szCs w:val="20"/>
          <w:lang w:eastAsia="hr-HR"/>
        </w:rPr>
      </w:r>
      <w:r w:rsidRPr="00223644">
        <w:rPr>
          <w:rFonts w:ascii="Calibri" w:eastAsia="Times New Roman" w:hAnsi="Calibri" w:cs="Calibri"/>
          <w:color w:val="000000"/>
          <w:sz w:val="20"/>
          <w:szCs w:val="20"/>
          <w:lang w:eastAsia="hr-HR"/>
        </w:rPr>
        <w:fldChar w:fldCharType="separate"/>
      </w:r>
      <w:r w:rsidR="00F37B62" w:rsidRPr="00223644">
        <w:t xml:space="preserve">Slika </w:t>
      </w:r>
      <w:r w:rsidR="00F37B62">
        <w:rPr>
          <w:noProof/>
        </w:rPr>
        <w:t>7</w:t>
      </w:r>
      <w:r w:rsidRPr="00223644">
        <w:rPr>
          <w:rFonts w:ascii="Calibri" w:eastAsia="Times New Roman" w:hAnsi="Calibri" w:cs="Calibri"/>
          <w:color w:val="000000"/>
          <w:sz w:val="20"/>
          <w:szCs w:val="20"/>
          <w:lang w:eastAsia="hr-HR"/>
        </w:rPr>
        <w:fldChar w:fldCharType="end"/>
      </w:r>
      <w:r w:rsidRPr="00223644">
        <w:rPr>
          <w:rFonts w:ascii="Calibri" w:eastAsia="Times New Roman" w:hAnsi="Calibri" w:cs="Calibri"/>
          <w:color w:val="000000"/>
          <w:sz w:val="20"/>
          <w:szCs w:val="20"/>
          <w:lang w:eastAsia="hr-HR"/>
        </w:rPr>
        <w:t>).</w:t>
      </w:r>
    </w:p>
    <w:p w14:paraId="14B762A8" w14:textId="71BB42BB" w:rsidR="004D2A7B" w:rsidRPr="00BA1411" w:rsidRDefault="004D2A7B" w:rsidP="00BA1411">
      <w:pPr>
        <w:pStyle w:val="Tablica"/>
        <w:rPr>
          <w:b w:val="0"/>
          <w:bCs/>
        </w:rPr>
      </w:pPr>
      <w:bookmarkStart w:id="26" w:name="_Ref110091914"/>
      <w:bookmarkStart w:id="27" w:name="_Toc125364393"/>
      <w:r w:rsidRPr="00223644">
        <w:lastRenderedPageBreak/>
        <w:t xml:space="preserve">Tablica </w:t>
      </w:r>
      <w:fldSimple w:instr=" SEQ Tablica \* ARABIC ">
        <w:r w:rsidR="00F37B62">
          <w:rPr>
            <w:noProof/>
          </w:rPr>
          <w:t>4</w:t>
        </w:r>
      </w:fldSimple>
      <w:bookmarkEnd w:id="26"/>
      <w:r w:rsidRPr="00223644">
        <w:t xml:space="preserve">. </w:t>
      </w:r>
      <w:r w:rsidRPr="00BA1411">
        <w:rPr>
          <w:b w:val="0"/>
          <w:bCs/>
        </w:rPr>
        <w:t>Količine i udio otpada u ukupnoj količini opasnog otpada prema vrsti otpada (statističkoj kategoriji otpada)</w:t>
      </w:r>
      <w:r w:rsidR="00BB6A94">
        <w:rPr>
          <w:b w:val="0"/>
          <w:bCs/>
        </w:rPr>
        <w:t xml:space="preserve"> za 2020. godinu</w:t>
      </w:r>
      <w:bookmarkEnd w:id="27"/>
    </w:p>
    <w:tbl>
      <w:tblPr>
        <w:tblW w:w="5000" w:type="pct"/>
        <w:tblLook w:val="04A0" w:firstRow="1" w:lastRow="0" w:firstColumn="1" w:lastColumn="0" w:noHBand="0" w:noVBand="1"/>
      </w:tblPr>
      <w:tblGrid>
        <w:gridCol w:w="6458"/>
        <w:gridCol w:w="1396"/>
        <w:gridCol w:w="1186"/>
      </w:tblGrid>
      <w:tr w:rsidR="004D2A7B" w:rsidRPr="00BA1411" w14:paraId="340F9A4C" w14:textId="77777777" w:rsidTr="00CC41BC">
        <w:trPr>
          <w:trHeight w:val="20"/>
          <w:tblHeader/>
        </w:trPr>
        <w:tc>
          <w:tcPr>
            <w:tcW w:w="3572" w:type="pct"/>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A50842C" w14:textId="77777777" w:rsidR="004D2A7B" w:rsidRPr="00BA1411" w:rsidRDefault="004D2A7B" w:rsidP="00CC41BC">
            <w:pPr>
              <w:spacing w:after="0" w:line="240" w:lineRule="auto"/>
              <w:jc w:val="center"/>
              <w:rPr>
                <w:rFonts w:eastAsia="Times New Roman" w:cstheme="minorHAnsi"/>
                <w:b/>
                <w:bCs/>
                <w:color w:val="FFFFFF" w:themeColor="background1"/>
                <w:sz w:val="20"/>
                <w:szCs w:val="20"/>
                <w:lang w:eastAsia="hr-HR"/>
              </w:rPr>
            </w:pPr>
            <w:r w:rsidRPr="00BA1411">
              <w:rPr>
                <w:rFonts w:eastAsia="Times New Roman" w:cstheme="minorHAnsi"/>
                <w:b/>
                <w:bCs/>
                <w:color w:val="FFFFFF" w:themeColor="background1"/>
                <w:sz w:val="20"/>
                <w:szCs w:val="20"/>
                <w:lang w:eastAsia="hr-HR"/>
              </w:rPr>
              <w:t>Vrsta otpada</w:t>
            </w:r>
            <w:r w:rsidRPr="00BA1411">
              <w:rPr>
                <w:rStyle w:val="Referencafusnote"/>
                <w:rFonts w:eastAsia="Times New Roman" w:cstheme="minorHAnsi"/>
                <w:bCs/>
                <w:color w:val="FFFFFF" w:themeColor="background1"/>
                <w:sz w:val="20"/>
                <w:szCs w:val="20"/>
                <w:lang w:eastAsia="hr-HR"/>
              </w:rPr>
              <w:footnoteReference w:id="10"/>
            </w:r>
          </w:p>
        </w:tc>
        <w:tc>
          <w:tcPr>
            <w:tcW w:w="772" w:type="pct"/>
            <w:tcBorders>
              <w:top w:val="single" w:sz="4" w:space="0" w:color="auto"/>
              <w:left w:val="nil"/>
              <w:bottom w:val="single" w:sz="4" w:space="0" w:color="auto"/>
              <w:right w:val="single" w:sz="4" w:space="0" w:color="auto"/>
            </w:tcBorders>
            <w:shd w:val="clear" w:color="auto" w:fill="002060"/>
            <w:noWrap/>
            <w:vAlign w:val="bottom"/>
            <w:hideMark/>
          </w:tcPr>
          <w:p w14:paraId="5DEB6E37" w14:textId="77777777" w:rsidR="004D2A7B" w:rsidRPr="00BA1411" w:rsidRDefault="004D2A7B" w:rsidP="00CC41BC">
            <w:pPr>
              <w:spacing w:after="0" w:line="240" w:lineRule="auto"/>
              <w:jc w:val="center"/>
              <w:rPr>
                <w:rFonts w:eastAsia="Times New Roman" w:cstheme="minorHAnsi"/>
                <w:b/>
                <w:bCs/>
                <w:color w:val="FFFFFF" w:themeColor="background1"/>
                <w:sz w:val="20"/>
                <w:szCs w:val="20"/>
                <w:lang w:eastAsia="hr-HR"/>
              </w:rPr>
            </w:pPr>
            <w:r w:rsidRPr="00BA1411">
              <w:rPr>
                <w:rFonts w:eastAsia="Times New Roman" w:cstheme="minorHAnsi"/>
                <w:b/>
                <w:bCs/>
                <w:color w:val="FFFFFF" w:themeColor="background1"/>
                <w:sz w:val="20"/>
                <w:szCs w:val="20"/>
                <w:lang w:eastAsia="hr-HR"/>
              </w:rPr>
              <w:t>Količina (t)</w:t>
            </w:r>
          </w:p>
        </w:tc>
        <w:tc>
          <w:tcPr>
            <w:tcW w:w="656" w:type="pct"/>
            <w:tcBorders>
              <w:top w:val="single" w:sz="4" w:space="0" w:color="auto"/>
              <w:left w:val="nil"/>
              <w:bottom w:val="single" w:sz="4" w:space="0" w:color="auto"/>
              <w:right w:val="single" w:sz="4" w:space="0" w:color="auto"/>
            </w:tcBorders>
            <w:shd w:val="clear" w:color="auto" w:fill="002060"/>
            <w:noWrap/>
            <w:vAlign w:val="bottom"/>
            <w:hideMark/>
          </w:tcPr>
          <w:p w14:paraId="2BF012D7" w14:textId="77777777" w:rsidR="004D2A7B" w:rsidRPr="00BA1411" w:rsidRDefault="004D2A7B" w:rsidP="00CC41BC">
            <w:pPr>
              <w:spacing w:after="0" w:line="240" w:lineRule="auto"/>
              <w:jc w:val="center"/>
              <w:rPr>
                <w:rFonts w:eastAsia="Times New Roman" w:cstheme="minorHAnsi"/>
                <w:b/>
                <w:bCs/>
                <w:color w:val="FFFFFF" w:themeColor="background1"/>
                <w:sz w:val="20"/>
                <w:szCs w:val="20"/>
                <w:lang w:eastAsia="hr-HR"/>
              </w:rPr>
            </w:pPr>
            <w:r w:rsidRPr="00BA1411">
              <w:rPr>
                <w:rFonts w:eastAsia="Times New Roman" w:cstheme="minorHAnsi"/>
                <w:b/>
                <w:bCs/>
                <w:color w:val="FFFFFF" w:themeColor="background1"/>
                <w:sz w:val="20"/>
                <w:szCs w:val="20"/>
                <w:lang w:eastAsia="hr-HR"/>
              </w:rPr>
              <w:t>Udio</w:t>
            </w:r>
          </w:p>
        </w:tc>
      </w:tr>
      <w:tr w:rsidR="004D2A7B" w:rsidRPr="00BA1411" w14:paraId="7E3E7B26"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559F276E"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Otpadna vozila</w:t>
            </w:r>
          </w:p>
        </w:tc>
        <w:tc>
          <w:tcPr>
            <w:tcW w:w="772" w:type="pct"/>
            <w:tcBorders>
              <w:top w:val="nil"/>
              <w:left w:val="nil"/>
              <w:bottom w:val="single" w:sz="4" w:space="0" w:color="auto"/>
              <w:right w:val="single" w:sz="4" w:space="0" w:color="auto"/>
            </w:tcBorders>
            <w:shd w:val="clear" w:color="auto" w:fill="auto"/>
            <w:noWrap/>
            <w:vAlign w:val="bottom"/>
            <w:hideMark/>
          </w:tcPr>
          <w:p w14:paraId="55B88E49"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52.842</w:t>
            </w:r>
          </w:p>
        </w:tc>
        <w:tc>
          <w:tcPr>
            <w:tcW w:w="656" w:type="pct"/>
            <w:tcBorders>
              <w:top w:val="nil"/>
              <w:left w:val="nil"/>
              <w:bottom w:val="single" w:sz="4" w:space="0" w:color="auto"/>
              <w:right w:val="single" w:sz="4" w:space="0" w:color="auto"/>
            </w:tcBorders>
            <w:shd w:val="clear" w:color="auto" w:fill="auto"/>
            <w:noWrap/>
            <w:vAlign w:val="bottom"/>
            <w:hideMark/>
          </w:tcPr>
          <w:p w14:paraId="243772DE"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28,26%</w:t>
            </w:r>
          </w:p>
        </w:tc>
      </w:tr>
      <w:tr w:rsidR="004D2A7B" w:rsidRPr="00BA1411" w14:paraId="44964811"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3E074C1A"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Odbačena oprema (osim odbačenih vozila, baterija i akumulatora)</w:t>
            </w:r>
          </w:p>
        </w:tc>
        <w:tc>
          <w:tcPr>
            <w:tcW w:w="772" w:type="pct"/>
            <w:tcBorders>
              <w:top w:val="nil"/>
              <w:left w:val="nil"/>
              <w:bottom w:val="single" w:sz="4" w:space="0" w:color="auto"/>
              <w:right w:val="single" w:sz="4" w:space="0" w:color="auto"/>
            </w:tcBorders>
            <w:shd w:val="clear" w:color="auto" w:fill="auto"/>
            <w:noWrap/>
            <w:vAlign w:val="bottom"/>
            <w:hideMark/>
          </w:tcPr>
          <w:p w14:paraId="38FF5F7B"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28.709</w:t>
            </w:r>
          </w:p>
        </w:tc>
        <w:tc>
          <w:tcPr>
            <w:tcW w:w="656" w:type="pct"/>
            <w:tcBorders>
              <w:top w:val="nil"/>
              <w:left w:val="nil"/>
              <w:bottom w:val="single" w:sz="4" w:space="0" w:color="auto"/>
              <w:right w:val="single" w:sz="4" w:space="0" w:color="auto"/>
            </w:tcBorders>
            <w:shd w:val="clear" w:color="auto" w:fill="auto"/>
            <w:noWrap/>
            <w:vAlign w:val="bottom"/>
            <w:hideMark/>
          </w:tcPr>
          <w:p w14:paraId="37FEC9F3"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15,36%</w:t>
            </w:r>
          </w:p>
        </w:tc>
      </w:tr>
      <w:tr w:rsidR="004D2A7B" w:rsidRPr="00BA1411" w14:paraId="3C654B06"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54579761"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Kemijski otpad</w:t>
            </w:r>
          </w:p>
        </w:tc>
        <w:tc>
          <w:tcPr>
            <w:tcW w:w="772" w:type="pct"/>
            <w:tcBorders>
              <w:top w:val="nil"/>
              <w:left w:val="nil"/>
              <w:bottom w:val="single" w:sz="4" w:space="0" w:color="auto"/>
              <w:right w:val="single" w:sz="4" w:space="0" w:color="auto"/>
            </w:tcBorders>
            <w:shd w:val="clear" w:color="auto" w:fill="auto"/>
            <w:noWrap/>
            <w:vAlign w:val="bottom"/>
            <w:hideMark/>
          </w:tcPr>
          <w:p w14:paraId="3F5750F6"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22.127</w:t>
            </w:r>
          </w:p>
        </w:tc>
        <w:tc>
          <w:tcPr>
            <w:tcW w:w="656" w:type="pct"/>
            <w:tcBorders>
              <w:top w:val="nil"/>
              <w:left w:val="nil"/>
              <w:bottom w:val="single" w:sz="4" w:space="0" w:color="auto"/>
              <w:right w:val="single" w:sz="4" w:space="0" w:color="auto"/>
            </w:tcBorders>
            <w:shd w:val="clear" w:color="auto" w:fill="auto"/>
            <w:noWrap/>
            <w:vAlign w:val="bottom"/>
            <w:hideMark/>
          </w:tcPr>
          <w:p w14:paraId="13C9B65A"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11,84%</w:t>
            </w:r>
          </w:p>
        </w:tc>
      </w:tr>
      <w:tr w:rsidR="004D2A7B" w:rsidRPr="00BA1411" w14:paraId="16997F20"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14FC0517"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Otpadne baterije i akumulatori</w:t>
            </w:r>
          </w:p>
        </w:tc>
        <w:tc>
          <w:tcPr>
            <w:tcW w:w="772" w:type="pct"/>
            <w:tcBorders>
              <w:top w:val="nil"/>
              <w:left w:val="nil"/>
              <w:bottom w:val="single" w:sz="4" w:space="0" w:color="auto"/>
              <w:right w:val="single" w:sz="4" w:space="0" w:color="auto"/>
            </w:tcBorders>
            <w:shd w:val="clear" w:color="auto" w:fill="auto"/>
            <w:noWrap/>
            <w:vAlign w:val="bottom"/>
            <w:hideMark/>
          </w:tcPr>
          <w:p w14:paraId="235C0A04"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14.606</w:t>
            </w:r>
          </w:p>
        </w:tc>
        <w:tc>
          <w:tcPr>
            <w:tcW w:w="656" w:type="pct"/>
            <w:tcBorders>
              <w:top w:val="nil"/>
              <w:left w:val="nil"/>
              <w:bottom w:val="single" w:sz="4" w:space="0" w:color="auto"/>
              <w:right w:val="single" w:sz="4" w:space="0" w:color="auto"/>
            </w:tcBorders>
            <w:shd w:val="clear" w:color="auto" w:fill="auto"/>
            <w:noWrap/>
            <w:vAlign w:val="bottom"/>
            <w:hideMark/>
          </w:tcPr>
          <w:p w14:paraId="1CF8F9F2"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7,81%</w:t>
            </w:r>
          </w:p>
        </w:tc>
      </w:tr>
      <w:tr w:rsidR="004D2A7B" w:rsidRPr="00BA1411" w14:paraId="65C45A96"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19AEA9AC"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Ostaci od sortiranja - sekundarni otpad</w:t>
            </w:r>
          </w:p>
        </w:tc>
        <w:tc>
          <w:tcPr>
            <w:tcW w:w="772" w:type="pct"/>
            <w:tcBorders>
              <w:top w:val="nil"/>
              <w:left w:val="nil"/>
              <w:bottom w:val="single" w:sz="4" w:space="0" w:color="auto"/>
              <w:right w:val="single" w:sz="4" w:space="0" w:color="auto"/>
            </w:tcBorders>
            <w:shd w:val="clear" w:color="auto" w:fill="auto"/>
            <w:noWrap/>
            <w:vAlign w:val="bottom"/>
            <w:hideMark/>
          </w:tcPr>
          <w:p w14:paraId="5CAFE40E"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13.602</w:t>
            </w:r>
          </w:p>
        </w:tc>
        <w:tc>
          <w:tcPr>
            <w:tcW w:w="656" w:type="pct"/>
            <w:tcBorders>
              <w:top w:val="nil"/>
              <w:left w:val="nil"/>
              <w:bottom w:val="single" w:sz="4" w:space="0" w:color="auto"/>
              <w:right w:val="single" w:sz="4" w:space="0" w:color="auto"/>
            </w:tcBorders>
            <w:shd w:val="clear" w:color="auto" w:fill="auto"/>
            <w:noWrap/>
            <w:vAlign w:val="bottom"/>
            <w:hideMark/>
          </w:tcPr>
          <w:p w14:paraId="62CCCC3E"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7,28%</w:t>
            </w:r>
          </w:p>
        </w:tc>
      </w:tr>
      <w:tr w:rsidR="004D2A7B" w:rsidRPr="00BA1411" w14:paraId="2D78B8C6"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38D41432"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Otpadna ulja</w:t>
            </w:r>
          </w:p>
        </w:tc>
        <w:tc>
          <w:tcPr>
            <w:tcW w:w="772" w:type="pct"/>
            <w:tcBorders>
              <w:top w:val="nil"/>
              <w:left w:val="nil"/>
              <w:bottom w:val="single" w:sz="4" w:space="0" w:color="auto"/>
              <w:right w:val="single" w:sz="4" w:space="0" w:color="auto"/>
            </w:tcBorders>
            <w:shd w:val="clear" w:color="auto" w:fill="auto"/>
            <w:noWrap/>
            <w:vAlign w:val="bottom"/>
            <w:hideMark/>
          </w:tcPr>
          <w:p w14:paraId="3B1784A0"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13.518</w:t>
            </w:r>
          </w:p>
        </w:tc>
        <w:tc>
          <w:tcPr>
            <w:tcW w:w="656" w:type="pct"/>
            <w:tcBorders>
              <w:top w:val="nil"/>
              <w:left w:val="nil"/>
              <w:bottom w:val="single" w:sz="4" w:space="0" w:color="auto"/>
              <w:right w:val="single" w:sz="4" w:space="0" w:color="auto"/>
            </w:tcBorders>
            <w:shd w:val="clear" w:color="auto" w:fill="auto"/>
            <w:noWrap/>
            <w:vAlign w:val="bottom"/>
            <w:hideMark/>
          </w:tcPr>
          <w:p w14:paraId="1047CC63"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7,23%</w:t>
            </w:r>
          </w:p>
        </w:tc>
      </w:tr>
      <w:tr w:rsidR="004D2A7B" w:rsidRPr="00BA1411" w14:paraId="771CE426"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0B55505C"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Mineralni građevinski otpad i otpad od rušenja</w:t>
            </w:r>
          </w:p>
        </w:tc>
        <w:tc>
          <w:tcPr>
            <w:tcW w:w="772" w:type="pct"/>
            <w:tcBorders>
              <w:top w:val="nil"/>
              <w:left w:val="nil"/>
              <w:bottom w:val="single" w:sz="4" w:space="0" w:color="auto"/>
              <w:right w:val="single" w:sz="4" w:space="0" w:color="auto"/>
            </w:tcBorders>
            <w:shd w:val="clear" w:color="auto" w:fill="auto"/>
            <w:noWrap/>
            <w:vAlign w:val="bottom"/>
            <w:hideMark/>
          </w:tcPr>
          <w:p w14:paraId="62F89763"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7.161</w:t>
            </w:r>
          </w:p>
        </w:tc>
        <w:tc>
          <w:tcPr>
            <w:tcW w:w="656" w:type="pct"/>
            <w:tcBorders>
              <w:top w:val="nil"/>
              <w:left w:val="nil"/>
              <w:bottom w:val="single" w:sz="4" w:space="0" w:color="auto"/>
              <w:right w:val="single" w:sz="4" w:space="0" w:color="auto"/>
            </w:tcBorders>
            <w:shd w:val="clear" w:color="auto" w:fill="auto"/>
            <w:noWrap/>
            <w:vAlign w:val="bottom"/>
            <w:hideMark/>
          </w:tcPr>
          <w:p w14:paraId="75D4931E"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3,83%</w:t>
            </w:r>
          </w:p>
        </w:tc>
      </w:tr>
      <w:tr w:rsidR="004D2A7B" w:rsidRPr="00BA1411" w14:paraId="04FD7A6E"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2A69888E"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Ostali mineralni otpad</w:t>
            </w:r>
          </w:p>
        </w:tc>
        <w:tc>
          <w:tcPr>
            <w:tcW w:w="772" w:type="pct"/>
            <w:tcBorders>
              <w:top w:val="nil"/>
              <w:left w:val="nil"/>
              <w:bottom w:val="single" w:sz="4" w:space="0" w:color="auto"/>
              <w:right w:val="single" w:sz="4" w:space="0" w:color="auto"/>
            </w:tcBorders>
            <w:shd w:val="clear" w:color="auto" w:fill="auto"/>
            <w:noWrap/>
            <w:vAlign w:val="bottom"/>
            <w:hideMark/>
          </w:tcPr>
          <w:p w14:paraId="2DA88814"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6.775</w:t>
            </w:r>
          </w:p>
        </w:tc>
        <w:tc>
          <w:tcPr>
            <w:tcW w:w="656" w:type="pct"/>
            <w:tcBorders>
              <w:top w:val="nil"/>
              <w:left w:val="nil"/>
              <w:bottom w:val="single" w:sz="4" w:space="0" w:color="auto"/>
              <w:right w:val="single" w:sz="4" w:space="0" w:color="auto"/>
            </w:tcBorders>
            <w:shd w:val="clear" w:color="auto" w:fill="auto"/>
            <w:noWrap/>
            <w:vAlign w:val="bottom"/>
            <w:hideMark/>
          </w:tcPr>
          <w:p w14:paraId="35792E99"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3,62%</w:t>
            </w:r>
          </w:p>
        </w:tc>
      </w:tr>
      <w:tr w:rsidR="004D2A7B" w:rsidRPr="00BA1411" w14:paraId="2B1C811D"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0B4E6F15"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Medicinski i biološki otpad</w:t>
            </w:r>
          </w:p>
        </w:tc>
        <w:tc>
          <w:tcPr>
            <w:tcW w:w="772" w:type="pct"/>
            <w:tcBorders>
              <w:top w:val="nil"/>
              <w:left w:val="nil"/>
              <w:bottom w:val="single" w:sz="4" w:space="0" w:color="auto"/>
              <w:right w:val="single" w:sz="4" w:space="0" w:color="auto"/>
            </w:tcBorders>
            <w:shd w:val="clear" w:color="auto" w:fill="auto"/>
            <w:noWrap/>
            <w:vAlign w:val="bottom"/>
            <w:hideMark/>
          </w:tcPr>
          <w:p w14:paraId="5B08370B"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5.968</w:t>
            </w:r>
          </w:p>
        </w:tc>
        <w:tc>
          <w:tcPr>
            <w:tcW w:w="656" w:type="pct"/>
            <w:tcBorders>
              <w:top w:val="nil"/>
              <w:left w:val="nil"/>
              <w:bottom w:val="single" w:sz="4" w:space="0" w:color="auto"/>
              <w:right w:val="single" w:sz="4" w:space="0" w:color="auto"/>
            </w:tcBorders>
            <w:shd w:val="clear" w:color="auto" w:fill="auto"/>
            <w:noWrap/>
            <w:vAlign w:val="bottom"/>
            <w:hideMark/>
          </w:tcPr>
          <w:p w14:paraId="65348699"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3,19%</w:t>
            </w:r>
          </w:p>
        </w:tc>
      </w:tr>
      <w:tr w:rsidR="004D2A7B" w:rsidRPr="00BA1411" w14:paraId="5354BD4E"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7F91EDBA"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Zemlja</w:t>
            </w:r>
          </w:p>
        </w:tc>
        <w:tc>
          <w:tcPr>
            <w:tcW w:w="772" w:type="pct"/>
            <w:tcBorders>
              <w:top w:val="nil"/>
              <w:left w:val="nil"/>
              <w:bottom w:val="single" w:sz="4" w:space="0" w:color="auto"/>
              <w:right w:val="single" w:sz="4" w:space="0" w:color="auto"/>
            </w:tcBorders>
            <w:shd w:val="clear" w:color="auto" w:fill="auto"/>
            <w:noWrap/>
            <w:vAlign w:val="bottom"/>
            <w:hideMark/>
          </w:tcPr>
          <w:p w14:paraId="1C5A019E"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4.923</w:t>
            </w:r>
          </w:p>
        </w:tc>
        <w:tc>
          <w:tcPr>
            <w:tcW w:w="656" w:type="pct"/>
            <w:tcBorders>
              <w:top w:val="nil"/>
              <w:left w:val="nil"/>
              <w:bottom w:val="single" w:sz="4" w:space="0" w:color="auto"/>
              <w:right w:val="single" w:sz="4" w:space="0" w:color="auto"/>
            </w:tcBorders>
            <w:shd w:val="clear" w:color="auto" w:fill="auto"/>
            <w:noWrap/>
            <w:vAlign w:val="bottom"/>
            <w:hideMark/>
          </w:tcPr>
          <w:p w14:paraId="43FCC66B"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2,63%</w:t>
            </w:r>
          </w:p>
        </w:tc>
      </w:tr>
      <w:tr w:rsidR="004D2A7B" w:rsidRPr="00BA1411" w14:paraId="1597C875"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74EF2948"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Kiseline, lužine i soli</w:t>
            </w:r>
          </w:p>
        </w:tc>
        <w:tc>
          <w:tcPr>
            <w:tcW w:w="772" w:type="pct"/>
            <w:tcBorders>
              <w:top w:val="nil"/>
              <w:left w:val="nil"/>
              <w:bottom w:val="single" w:sz="4" w:space="0" w:color="auto"/>
              <w:right w:val="single" w:sz="4" w:space="0" w:color="auto"/>
            </w:tcBorders>
            <w:shd w:val="clear" w:color="auto" w:fill="auto"/>
            <w:noWrap/>
            <w:vAlign w:val="bottom"/>
            <w:hideMark/>
          </w:tcPr>
          <w:p w14:paraId="160FA818"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4.407</w:t>
            </w:r>
          </w:p>
        </w:tc>
        <w:tc>
          <w:tcPr>
            <w:tcW w:w="656" w:type="pct"/>
            <w:tcBorders>
              <w:top w:val="nil"/>
              <w:left w:val="nil"/>
              <w:bottom w:val="single" w:sz="4" w:space="0" w:color="auto"/>
              <w:right w:val="single" w:sz="4" w:space="0" w:color="auto"/>
            </w:tcBorders>
            <w:shd w:val="clear" w:color="auto" w:fill="auto"/>
            <w:noWrap/>
            <w:vAlign w:val="bottom"/>
            <w:hideMark/>
          </w:tcPr>
          <w:p w14:paraId="71B05AC9"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2,36%</w:t>
            </w:r>
          </w:p>
        </w:tc>
      </w:tr>
      <w:tr w:rsidR="004D2A7B" w:rsidRPr="00BA1411" w14:paraId="712FFF34"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7AF1F8A8"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Muljevi i tekući otpad od obrade otpada - sekundarni otpad</w:t>
            </w:r>
          </w:p>
        </w:tc>
        <w:tc>
          <w:tcPr>
            <w:tcW w:w="772" w:type="pct"/>
            <w:tcBorders>
              <w:top w:val="nil"/>
              <w:left w:val="nil"/>
              <w:bottom w:val="single" w:sz="4" w:space="0" w:color="auto"/>
              <w:right w:val="single" w:sz="4" w:space="0" w:color="auto"/>
            </w:tcBorders>
            <w:shd w:val="clear" w:color="auto" w:fill="auto"/>
            <w:noWrap/>
            <w:vAlign w:val="bottom"/>
            <w:hideMark/>
          </w:tcPr>
          <w:p w14:paraId="2FDD422A"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3.839</w:t>
            </w:r>
          </w:p>
        </w:tc>
        <w:tc>
          <w:tcPr>
            <w:tcW w:w="656" w:type="pct"/>
            <w:tcBorders>
              <w:top w:val="nil"/>
              <w:left w:val="nil"/>
              <w:bottom w:val="single" w:sz="4" w:space="0" w:color="auto"/>
              <w:right w:val="single" w:sz="4" w:space="0" w:color="auto"/>
            </w:tcBorders>
            <w:shd w:val="clear" w:color="auto" w:fill="auto"/>
            <w:noWrap/>
            <w:vAlign w:val="bottom"/>
            <w:hideMark/>
          </w:tcPr>
          <w:p w14:paraId="564005EB"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2,05%</w:t>
            </w:r>
          </w:p>
        </w:tc>
      </w:tr>
      <w:tr w:rsidR="004D2A7B" w:rsidRPr="00BA1411" w14:paraId="319BB47A"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595E713D"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Otpad od izgaranja</w:t>
            </w:r>
          </w:p>
        </w:tc>
        <w:tc>
          <w:tcPr>
            <w:tcW w:w="772" w:type="pct"/>
            <w:tcBorders>
              <w:top w:val="nil"/>
              <w:left w:val="nil"/>
              <w:bottom w:val="single" w:sz="4" w:space="0" w:color="auto"/>
              <w:right w:val="single" w:sz="4" w:space="0" w:color="auto"/>
            </w:tcBorders>
            <w:shd w:val="clear" w:color="auto" w:fill="auto"/>
            <w:noWrap/>
            <w:vAlign w:val="bottom"/>
            <w:hideMark/>
          </w:tcPr>
          <w:p w14:paraId="172B1B09"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2.199</w:t>
            </w:r>
          </w:p>
        </w:tc>
        <w:tc>
          <w:tcPr>
            <w:tcW w:w="656" w:type="pct"/>
            <w:tcBorders>
              <w:top w:val="nil"/>
              <w:left w:val="nil"/>
              <w:bottom w:val="single" w:sz="4" w:space="0" w:color="auto"/>
              <w:right w:val="single" w:sz="4" w:space="0" w:color="auto"/>
            </w:tcBorders>
            <w:shd w:val="clear" w:color="auto" w:fill="auto"/>
            <w:noWrap/>
            <w:vAlign w:val="bottom"/>
            <w:hideMark/>
          </w:tcPr>
          <w:p w14:paraId="6BB8F4FE"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1,18%</w:t>
            </w:r>
          </w:p>
        </w:tc>
      </w:tr>
      <w:tr w:rsidR="004D2A7B" w:rsidRPr="00BA1411" w14:paraId="059C0C82"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3D677E11"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Istrošena otapala</w:t>
            </w:r>
          </w:p>
        </w:tc>
        <w:tc>
          <w:tcPr>
            <w:tcW w:w="772" w:type="pct"/>
            <w:tcBorders>
              <w:top w:val="nil"/>
              <w:left w:val="nil"/>
              <w:bottom w:val="single" w:sz="4" w:space="0" w:color="auto"/>
              <w:right w:val="single" w:sz="4" w:space="0" w:color="auto"/>
            </w:tcBorders>
            <w:shd w:val="clear" w:color="auto" w:fill="auto"/>
            <w:noWrap/>
            <w:vAlign w:val="bottom"/>
            <w:hideMark/>
          </w:tcPr>
          <w:p w14:paraId="465C3289"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1.715</w:t>
            </w:r>
          </w:p>
        </w:tc>
        <w:tc>
          <w:tcPr>
            <w:tcW w:w="656" w:type="pct"/>
            <w:tcBorders>
              <w:top w:val="nil"/>
              <w:left w:val="nil"/>
              <w:bottom w:val="single" w:sz="4" w:space="0" w:color="auto"/>
              <w:right w:val="single" w:sz="4" w:space="0" w:color="auto"/>
            </w:tcBorders>
            <w:shd w:val="clear" w:color="auto" w:fill="auto"/>
            <w:noWrap/>
            <w:vAlign w:val="bottom"/>
            <w:hideMark/>
          </w:tcPr>
          <w:p w14:paraId="5A0B7BDF"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0,92%</w:t>
            </w:r>
          </w:p>
        </w:tc>
      </w:tr>
      <w:tr w:rsidR="004D2A7B" w:rsidRPr="00BA1411" w14:paraId="50B7E213"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4E987952"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Otpad od jaružanja</w:t>
            </w:r>
          </w:p>
        </w:tc>
        <w:tc>
          <w:tcPr>
            <w:tcW w:w="772" w:type="pct"/>
            <w:tcBorders>
              <w:top w:val="nil"/>
              <w:left w:val="nil"/>
              <w:bottom w:val="single" w:sz="4" w:space="0" w:color="auto"/>
              <w:right w:val="single" w:sz="4" w:space="0" w:color="auto"/>
            </w:tcBorders>
            <w:shd w:val="clear" w:color="auto" w:fill="auto"/>
            <w:noWrap/>
            <w:vAlign w:val="bottom"/>
            <w:hideMark/>
          </w:tcPr>
          <w:p w14:paraId="4A730B11"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1.522</w:t>
            </w:r>
          </w:p>
        </w:tc>
        <w:tc>
          <w:tcPr>
            <w:tcW w:w="656" w:type="pct"/>
            <w:tcBorders>
              <w:top w:val="nil"/>
              <w:left w:val="nil"/>
              <w:bottom w:val="single" w:sz="4" w:space="0" w:color="auto"/>
              <w:right w:val="single" w:sz="4" w:space="0" w:color="auto"/>
            </w:tcBorders>
            <w:shd w:val="clear" w:color="auto" w:fill="auto"/>
            <w:noWrap/>
            <w:vAlign w:val="bottom"/>
            <w:hideMark/>
          </w:tcPr>
          <w:p w14:paraId="3A7C6192"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0,81%</w:t>
            </w:r>
          </w:p>
        </w:tc>
      </w:tr>
      <w:tr w:rsidR="004D2A7B" w:rsidRPr="00BA1411" w14:paraId="070C6404"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3968CA0B"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Muljevi od industrijskih otpadnih voda</w:t>
            </w:r>
          </w:p>
        </w:tc>
        <w:tc>
          <w:tcPr>
            <w:tcW w:w="772" w:type="pct"/>
            <w:tcBorders>
              <w:top w:val="nil"/>
              <w:left w:val="nil"/>
              <w:bottom w:val="single" w:sz="4" w:space="0" w:color="auto"/>
              <w:right w:val="single" w:sz="4" w:space="0" w:color="auto"/>
            </w:tcBorders>
            <w:shd w:val="clear" w:color="auto" w:fill="auto"/>
            <w:noWrap/>
            <w:vAlign w:val="bottom"/>
            <w:hideMark/>
          </w:tcPr>
          <w:p w14:paraId="041BEB5B"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1.521</w:t>
            </w:r>
          </w:p>
        </w:tc>
        <w:tc>
          <w:tcPr>
            <w:tcW w:w="656" w:type="pct"/>
            <w:tcBorders>
              <w:top w:val="nil"/>
              <w:left w:val="nil"/>
              <w:bottom w:val="single" w:sz="4" w:space="0" w:color="auto"/>
              <w:right w:val="single" w:sz="4" w:space="0" w:color="auto"/>
            </w:tcBorders>
            <w:shd w:val="clear" w:color="auto" w:fill="auto"/>
            <w:noWrap/>
            <w:vAlign w:val="bottom"/>
            <w:hideMark/>
          </w:tcPr>
          <w:p w14:paraId="3E20AFFD"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0,81%</w:t>
            </w:r>
          </w:p>
        </w:tc>
      </w:tr>
      <w:tr w:rsidR="004D2A7B" w:rsidRPr="00BA1411" w14:paraId="25835543"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01659E89"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Miješani i nediferencirani materijali</w:t>
            </w:r>
          </w:p>
        </w:tc>
        <w:tc>
          <w:tcPr>
            <w:tcW w:w="772" w:type="pct"/>
            <w:tcBorders>
              <w:top w:val="nil"/>
              <w:left w:val="nil"/>
              <w:bottom w:val="single" w:sz="4" w:space="0" w:color="auto"/>
              <w:right w:val="single" w:sz="4" w:space="0" w:color="auto"/>
            </w:tcBorders>
            <w:shd w:val="clear" w:color="auto" w:fill="auto"/>
            <w:noWrap/>
            <w:vAlign w:val="bottom"/>
            <w:hideMark/>
          </w:tcPr>
          <w:p w14:paraId="327FA046"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1.484</w:t>
            </w:r>
          </w:p>
        </w:tc>
        <w:tc>
          <w:tcPr>
            <w:tcW w:w="656" w:type="pct"/>
            <w:tcBorders>
              <w:top w:val="nil"/>
              <w:left w:val="nil"/>
              <w:bottom w:val="single" w:sz="4" w:space="0" w:color="auto"/>
              <w:right w:val="single" w:sz="4" w:space="0" w:color="auto"/>
            </w:tcBorders>
            <w:shd w:val="clear" w:color="auto" w:fill="auto"/>
            <w:noWrap/>
            <w:vAlign w:val="bottom"/>
            <w:hideMark/>
          </w:tcPr>
          <w:p w14:paraId="6534613D"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0,79%</w:t>
            </w:r>
          </w:p>
        </w:tc>
      </w:tr>
      <w:tr w:rsidR="004D2A7B" w:rsidRPr="00BA1411" w14:paraId="3EC5306E"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3A6AC34E"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Otpad koji sadrži PCB</w:t>
            </w:r>
          </w:p>
        </w:tc>
        <w:tc>
          <w:tcPr>
            <w:tcW w:w="772" w:type="pct"/>
            <w:tcBorders>
              <w:top w:val="nil"/>
              <w:left w:val="nil"/>
              <w:bottom w:val="single" w:sz="4" w:space="0" w:color="auto"/>
              <w:right w:val="single" w:sz="4" w:space="0" w:color="auto"/>
            </w:tcBorders>
            <w:shd w:val="clear" w:color="auto" w:fill="auto"/>
            <w:noWrap/>
            <w:vAlign w:val="bottom"/>
            <w:hideMark/>
          </w:tcPr>
          <w:p w14:paraId="2CD36A9E"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22</w:t>
            </w:r>
          </w:p>
        </w:tc>
        <w:tc>
          <w:tcPr>
            <w:tcW w:w="656" w:type="pct"/>
            <w:tcBorders>
              <w:top w:val="nil"/>
              <w:left w:val="nil"/>
              <w:bottom w:val="single" w:sz="4" w:space="0" w:color="auto"/>
              <w:right w:val="single" w:sz="4" w:space="0" w:color="auto"/>
            </w:tcBorders>
            <w:shd w:val="clear" w:color="auto" w:fill="auto"/>
            <w:noWrap/>
            <w:vAlign w:val="bottom"/>
            <w:hideMark/>
          </w:tcPr>
          <w:p w14:paraId="45ADFCB9"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0,01%</w:t>
            </w:r>
          </w:p>
        </w:tc>
      </w:tr>
      <w:tr w:rsidR="004D2A7B" w:rsidRPr="00BA1411" w14:paraId="3803A91A"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2DDFC307"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Otpad od drva</w:t>
            </w:r>
          </w:p>
        </w:tc>
        <w:tc>
          <w:tcPr>
            <w:tcW w:w="772" w:type="pct"/>
            <w:tcBorders>
              <w:top w:val="nil"/>
              <w:left w:val="nil"/>
              <w:bottom w:val="single" w:sz="4" w:space="0" w:color="auto"/>
              <w:right w:val="single" w:sz="4" w:space="0" w:color="auto"/>
            </w:tcBorders>
            <w:shd w:val="clear" w:color="auto" w:fill="auto"/>
            <w:noWrap/>
            <w:vAlign w:val="bottom"/>
            <w:hideMark/>
          </w:tcPr>
          <w:p w14:paraId="7C49BFED"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15</w:t>
            </w:r>
          </w:p>
        </w:tc>
        <w:tc>
          <w:tcPr>
            <w:tcW w:w="656" w:type="pct"/>
            <w:tcBorders>
              <w:top w:val="nil"/>
              <w:left w:val="nil"/>
              <w:bottom w:val="single" w:sz="4" w:space="0" w:color="auto"/>
              <w:right w:val="single" w:sz="4" w:space="0" w:color="auto"/>
            </w:tcBorders>
            <w:shd w:val="clear" w:color="auto" w:fill="auto"/>
            <w:noWrap/>
            <w:vAlign w:val="bottom"/>
            <w:hideMark/>
          </w:tcPr>
          <w:p w14:paraId="3454E5E1"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0,01%</w:t>
            </w:r>
          </w:p>
        </w:tc>
      </w:tr>
      <w:tr w:rsidR="004D2A7B" w:rsidRPr="00BA1411" w14:paraId="0D948BF1"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center"/>
            <w:hideMark/>
          </w:tcPr>
          <w:p w14:paraId="7F7B2568" w14:textId="77777777" w:rsidR="004D2A7B" w:rsidRPr="00BA1411" w:rsidRDefault="004D2A7B" w:rsidP="00CC41BC">
            <w:pPr>
              <w:spacing w:after="0" w:line="240" w:lineRule="auto"/>
              <w:jc w:val="right"/>
              <w:rPr>
                <w:rFonts w:eastAsia="Times New Roman" w:cstheme="minorHAnsi"/>
                <w:b/>
                <w:bCs/>
                <w:color w:val="000000"/>
                <w:sz w:val="20"/>
                <w:szCs w:val="20"/>
                <w:lang w:eastAsia="hr-HR"/>
              </w:rPr>
            </w:pPr>
            <w:r w:rsidRPr="00BA1411">
              <w:rPr>
                <w:rFonts w:eastAsia="Times New Roman" w:cstheme="minorHAnsi"/>
                <w:b/>
                <w:bCs/>
                <w:color w:val="000000"/>
                <w:sz w:val="20"/>
                <w:szCs w:val="20"/>
                <w:lang w:eastAsia="hr-HR"/>
              </w:rPr>
              <w:t>Ukupno</w:t>
            </w:r>
          </w:p>
        </w:tc>
        <w:tc>
          <w:tcPr>
            <w:tcW w:w="772" w:type="pct"/>
            <w:tcBorders>
              <w:top w:val="nil"/>
              <w:left w:val="nil"/>
              <w:bottom w:val="single" w:sz="4" w:space="0" w:color="auto"/>
              <w:right w:val="single" w:sz="4" w:space="0" w:color="auto"/>
            </w:tcBorders>
            <w:shd w:val="clear" w:color="auto" w:fill="auto"/>
            <w:noWrap/>
            <w:vAlign w:val="bottom"/>
            <w:hideMark/>
          </w:tcPr>
          <w:p w14:paraId="3256F441" w14:textId="77777777" w:rsidR="004D2A7B" w:rsidRPr="00BA1411" w:rsidRDefault="004D2A7B" w:rsidP="00CC41BC">
            <w:pPr>
              <w:spacing w:after="0" w:line="240" w:lineRule="auto"/>
              <w:jc w:val="right"/>
              <w:rPr>
                <w:rFonts w:eastAsia="Times New Roman" w:cstheme="minorHAnsi"/>
                <w:b/>
                <w:bCs/>
                <w:color w:val="000000"/>
                <w:sz w:val="20"/>
                <w:szCs w:val="20"/>
                <w:lang w:eastAsia="hr-HR"/>
              </w:rPr>
            </w:pPr>
            <w:r w:rsidRPr="00BA1411">
              <w:rPr>
                <w:rFonts w:eastAsia="Times New Roman" w:cstheme="minorHAnsi"/>
                <w:b/>
                <w:bCs/>
                <w:color w:val="000000"/>
                <w:sz w:val="20"/>
                <w:szCs w:val="20"/>
                <w:lang w:eastAsia="hr-HR"/>
              </w:rPr>
              <w:t>186.956</w:t>
            </w:r>
          </w:p>
        </w:tc>
        <w:tc>
          <w:tcPr>
            <w:tcW w:w="656" w:type="pct"/>
            <w:tcBorders>
              <w:top w:val="nil"/>
              <w:left w:val="nil"/>
              <w:bottom w:val="single" w:sz="4" w:space="0" w:color="auto"/>
              <w:right w:val="single" w:sz="4" w:space="0" w:color="auto"/>
            </w:tcBorders>
            <w:shd w:val="clear" w:color="auto" w:fill="auto"/>
            <w:noWrap/>
            <w:vAlign w:val="bottom"/>
            <w:hideMark/>
          </w:tcPr>
          <w:p w14:paraId="4CE523A0" w14:textId="77777777" w:rsidR="004D2A7B" w:rsidRPr="00BA1411" w:rsidRDefault="004D2A7B" w:rsidP="00CC41BC">
            <w:pPr>
              <w:spacing w:after="0" w:line="240" w:lineRule="auto"/>
              <w:jc w:val="right"/>
              <w:rPr>
                <w:rFonts w:eastAsia="Times New Roman" w:cstheme="minorHAnsi"/>
                <w:b/>
                <w:bCs/>
                <w:color w:val="000000"/>
                <w:sz w:val="20"/>
                <w:szCs w:val="20"/>
                <w:lang w:eastAsia="hr-HR"/>
              </w:rPr>
            </w:pPr>
            <w:r w:rsidRPr="00BA1411">
              <w:rPr>
                <w:rFonts w:eastAsia="Times New Roman" w:cstheme="minorHAnsi"/>
                <w:b/>
                <w:bCs/>
                <w:color w:val="000000"/>
                <w:sz w:val="20"/>
                <w:szCs w:val="20"/>
                <w:lang w:eastAsia="hr-HR"/>
              </w:rPr>
              <w:t>100,00%</w:t>
            </w:r>
          </w:p>
        </w:tc>
      </w:tr>
    </w:tbl>
    <w:p w14:paraId="16C955B9" w14:textId="2DEDEF60" w:rsidR="004D2A7B" w:rsidRPr="00BA1411" w:rsidRDefault="004D2A7B" w:rsidP="00BA1411">
      <w:pPr>
        <w:spacing w:after="240"/>
        <w:jc w:val="right"/>
        <w:rPr>
          <w:i/>
          <w:iCs/>
          <w:sz w:val="18"/>
          <w:szCs w:val="20"/>
        </w:rPr>
      </w:pPr>
      <w:r w:rsidRPr="00BA1411">
        <w:rPr>
          <w:i/>
          <w:iCs/>
          <w:sz w:val="18"/>
          <w:szCs w:val="20"/>
        </w:rPr>
        <w:t>Izvor: MINGOR</w:t>
      </w:r>
    </w:p>
    <w:p w14:paraId="27A40073" w14:textId="77777777" w:rsidR="00E62ECA" w:rsidRPr="00223644" w:rsidRDefault="00E62ECA" w:rsidP="004D2A7B">
      <w:pPr>
        <w:jc w:val="center"/>
      </w:pPr>
    </w:p>
    <w:p w14:paraId="6F19FD0F" w14:textId="77777777" w:rsidR="004D2A7B" w:rsidRPr="00BA1411" w:rsidRDefault="004D2A7B" w:rsidP="00BA1411">
      <w:pPr>
        <w:spacing w:after="0"/>
        <w:jc w:val="right"/>
        <w:rPr>
          <w:i/>
          <w:iCs/>
          <w:sz w:val="18"/>
          <w:szCs w:val="20"/>
        </w:rPr>
      </w:pPr>
      <w:r w:rsidRPr="00BA1411">
        <w:rPr>
          <w:i/>
          <w:iCs/>
          <w:sz w:val="18"/>
          <w:szCs w:val="20"/>
        </w:rPr>
        <w:t>Izvor: MINGOR</w:t>
      </w:r>
    </w:p>
    <w:p w14:paraId="530E1325" w14:textId="10FC0724" w:rsidR="004D2A7B" w:rsidRPr="00223644" w:rsidRDefault="004D2A7B" w:rsidP="00BA1411">
      <w:pPr>
        <w:pStyle w:val="Slika"/>
      </w:pPr>
      <w:bookmarkStart w:id="28" w:name="_Ref110091929"/>
      <w:bookmarkStart w:id="29" w:name="_Toc125363912"/>
      <w:r w:rsidRPr="00223644">
        <w:t xml:space="preserve">Slika </w:t>
      </w:r>
      <w:fldSimple w:instr=" SEQ Slika \* ARABIC ">
        <w:r w:rsidR="00F37B62">
          <w:rPr>
            <w:noProof/>
          </w:rPr>
          <w:t>7</w:t>
        </w:r>
      </w:fldSimple>
      <w:bookmarkEnd w:id="28"/>
      <w:r w:rsidRPr="00223644">
        <w:t xml:space="preserve">. </w:t>
      </w:r>
      <w:r w:rsidRPr="00BA1411">
        <w:rPr>
          <w:b w:val="0"/>
          <w:bCs/>
        </w:rPr>
        <w:t>Udjeli pojedinih vrsta opasnog otpada u ukupnoj količini opasnog otpada u RH, 2020.</w:t>
      </w:r>
      <w:bookmarkEnd w:id="29"/>
      <w:r w:rsidRPr="00BA1411">
        <w:rPr>
          <w:b w:val="0"/>
          <w:bCs/>
        </w:rPr>
        <w:t xml:space="preserve"> </w:t>
      </w:r>
    </w:p>
    <w:p w14:paraId="769E0C5F" w14:textId="742DC5A1" w:rsidR="004D2A7B" w:rsidRPr="00223644" w:rsidRDefault="00C049AE" w:rsidP="004D2A7B">
      <w:r>
        <w:t xml:space="preserve">Konačnim </w:t>
      </w:r>
      <w:r w:rsidR="004D2A7B" w:rsidRPr="00223644">
        <w:t xml:space="preserve">postupcima (energetska oporaba, recikliranje i odlaganje) se u RH u 2020. godini obradilo 99.037 tona opasnog otpada, dok </w:t>
      </w:r>
      <w:r>
        <w:t>j</w:t>
      </w:r>
      <w:r w:rsidR="004D2A7B" w:rsidRPr="00223644">
        <w:t xml:space="preserve">e 18.760 tona direktno </w:t>
      </w:r>
      <w:r>
        <w:t xml:space="preserve">izneseno </w:t>
      </w:r>
      <w:r w:rsidR="004D2A7B" w:rsidRPr="00223644">
        <w:t>na obradu izvan RH</w:t>
      </w:r>
      <w:r w:rsidR="004D2A7B">
        <w:t>. P</w:t>
      </w:r>
      <w:r w:rsidR="004D2A7B" w:rsidRPr="00223644">
        <w:t xml:space="preserve">reostalih 69.159 tona se u RH obradilo </w:t>
      </w:r>
      <w:r w:rsidRPr="00C049AE">
        <w:t>prethodni</w:t>
      </w:r>
      <w:r>
        <w:t>m</w:t>
      </w:r>
      <w:r w:rsidRPr="00C049AE">
        <w:t xml:space="preserve"> postupci</w:t>
      </w:r>
      <w:r>
        <w:t>ma</w:t>
      </w:r>
      <w:r w:rsidRPr="00C049AE">
        <w:t xml:space="preserve"> prije oporabe/zbrinjavanja</w:t>
      </w:r>
      <w:r w:rsidRPr="00C049AE" w:rsidDel="00C049AE">
        <w:t xml:space="preserve"> </w:t>
      </w:r>
      <w:r w:rsidR="004D2A7B" w:rsidRPr="00223644">
        <w:t>(rastavljanje, usitnjavanje miješanje, ponovno pakiranje itd.) za finalni postupak obrade u izvozu (</w:t>
      </w:r>
      <w:r w:rsidR="004D2A7B" w:rsidRPr="00223644">
        <w:fldChar w:fldCharType="begin"/>
      </w:r>
      <w:r w:rsidR="004D2A7B" w:rsidRPr="00223644">
        <w:instrText xml:space="preserve"> REF _Ref110094866 \h </w:instrText>
      </w:r>
      <w:r w:rsidR="004D2A7B" w:rsidRPr="00223644">
        <w:fldChar w:fldCharType="separate"/>
      </w:r>
      <w:r w:rsidR="00F37B62" w:rsidRPr="00223644">
        <w:t xml:space="preserve">Slika </w:t>
      </w:r>
      <w:r w:rsidR="00F37B62">
        <w:rPr>
          <w:noProof/>
        </w:rPr>
        <w:t>8</w:t>
      </w:r>
      <w:r w:rsidR="004D2A7B" w:rsidRPr="00223644">
        <w:fldChar w:fldCharType="end"/>
      </w:r>
      <w:r w:rsidR="004D2A7B" w:rsidRPr="00223644">
        <w:t>).</w:t>
      </w:r>
    </w:p>
    <w:p w14:paraId="3EB60241" w14:textId="77777777" w:rsidR="00E62ECA" w:rsidRDefault="00E62ECA" w:rsidP="00BA1411">
      <w:pPr>
        <w:spacing w:after="0"/>
        <w:jc w:val="right"/>
        <w:rPr>
          <w:i/>
          <w:iCs/>
          <w:sz w:val="18"/>
          <w:szCs w:val="20"/>
        </w:rPr>
      </w:pPr>
    </w:p>
    <w:p w14:paraId="434D3D36" w14:textId="41178780" w:rsidR="004D2A7B" w:rsidRPr="00BA1411" w:rsidRDefault="004D2A7B" w:rsidP="00BA1411">
      <w:pPr>
        <w:spacing w:after="0"/>
        <w:jc w:val="right"/>
        <w:rPr>
          <w:i/>
          <w:iCs/>
          <w:sz w:val="18"/>
          <w:szCs w:val="20"/>
        </w:rPr>
      </w:pPr>
      <w:r w:rsidRPr="00BA1411">
        <w:rPr>
          <w:i/>
          <w:iCs/>
          <w:sz w:val="18"/>
          <w:szCs w:val="20"/>
        </w:rPr>
        <w:t>Izvor: MINGOR</w:t>
      </w:r>
    </w:p>
    <w:p w14:paraId="05321956" w14:textId="1CAA4A5E" w:rsidR="004D2A7B" w:rsidRPr="00223644" w:rsidRDefault="004D2A7B" w:rsidP="00BA1411">
      <w:pPr>
        <w:pStyle w:val="Slika"/>
      </w:pPr>
      <w:bookmarkStart w:id="30" w:name="_Ref110094866"/>
      <w:bookmarkStart w:id="31" w:name="_Toc125363913"/>
      <w:r w:rsidRPr="00223644">
        <w:t xml:space="preserve">Slika </w:t>
      </w:r>
      <w:fldSimple w:instr=" SEQ Slika \* ARABIC ">
        <w:r w:rsidR="00F37B62">
          <w:rPr>
            <w:noProof/>
          </w:rPr>
          <w:t>8</w:t>
        </w:r>
      </w:fldSimple>
      <w:bookmarkEnd w:id="30"/>
      <w:r w:rsidRPr="00223644">
        <w:t xml:space="preserve">. </w:t>
      </w:r>
      <w:r w:rsidRPr="00BA1411">
        <w:rPr>
          <w:b w:val="0"/>
          <w:bCs/>
        </w:rPr>
        <w:t>Postupanje s opasnim otpadom u 2020. godini</w:t>
      </w:r>
      <w:bookmarkEnd w:id="31"/>
    </w:p>
    <w:p w14:paraId="6E02AE1D" w14:textId="76B0B176" w:rsidR="004D2A7B" w:rsidRPr="00223644" w:rsidRDefault="004D2A7B" w:rsidP="004D2A7B">
      <w:r w:rsidRPr="00223644">
        <w:t xml:space="preserve">U </w:t>
      </w:r>
      <w:r w:rsidRPr="00223644">
        <w:fldChar w:fldCharType="begin"/>
      </w:r>
      <w:r w:rsidRPr="00223644">
        <w:instrText xml:space="preserve"> REF _Ref110095149 \h  \* MERGEFORMAT </w:instrText>
      </w:r>
      <w:r w:rsidRPr="00223644">
        <w:fldChar w:fldCharType="separate"/>
      </w:r>
      <w:r w:rsidR="00F37B62" w:rsidRPr="00223644">
        <w:t xml:space="preserve">Tablica </w:t>
      </w:r>
      <w:r w:rsidR="00F37B62">
        <w:rPr>
          <w:noProof/>
        </w:rPr>
        <w:t>5</w:t>
      </w:r>
      <w:r w:rsidRPr="00223644">
        <w:fldChar w:fldCharType="end"/>
      </w:r>
      <w:r w:rsidRPr="00223644">
        <w:t xml:space="preserve">. u nastavku </w:t>
      </w:r>
      <w:r w:rsidR="0087705F">
        <w:t>prikazane</w:t>
      </w:r>
      <w:r w:rsidR="0087705F" w:rsidRPr="00223644">
        <w:t xml:space="preserve"> </w:t>
      </w:r>
      <w:r w:rsidR="0087705F">
        <w:t>su</w:t>
      </w:r>
      <w:r w:rsidRPr="00223644">
        <w:t xml:space="preserve"> </w:t>
      </w:r>
      <w:r w:rsidR="0087705F" w:rsidRPr="00223644">
        <w:t>količin</w:t>
      </w:r>
      <w:r w:rsidR="0087705F">
        <w:t>e</w:t>
      </w:r>
      <w:r w:rsidR="0087705F" w:rsidRPr="00223644">
        <w:t xml:space="preserve"> </w:t>
      </w:r>
      <w:r w:rsidRPr="00223644">
        <w:t xml:space="preserve">i </w:t>
      </w:r>
      <w:r w:rsidR="0087705F" w:rsidRPr="00223644">
        <w:t>vrst</w:t>
      </w:r>
      <w:r w:rsidR="0087705F">
        <w:t>e</w:t>
      </w:r>
      <w:r w:rsidR="0087705F" w:rsidRPr="00223644">
        <w:t xml:space="preserve"> </w:t>
      </w:r>
      <w:r w:rsidRPr="00223644">
        <w:t xml:space="preserve">otpada koje su se u 2020. godini obradile </w:t>
      </w:r>
      <w:r w:rsidR="0087705F">
        <w:t>konačnim</w:t>
      </w:r>
      <w:r w:rsidR="0087705F" w:rsidRPr="00223644">
        <w:t xml:space="preserve"> </w:t>
      </w:r>
      <w:r w:rsidRPr="00223644">
        <w:t>postupcima</w:t>
      </w:r>
      <w:r>
        <w:t xml:space="preserve"> u RH</w:t>
      </w:r>
      <w:r w:rsidRPr="00223644">
        <w:t>. Najveće količine opasnog otpada obradile su se postupcima recikliranja i to uglavnom otpadna vozila i otpadna električna i elektronička oprema</w:t>
      </w:r>
      <w:r>
        <w:t>.</w:t>
      </w:r>
      <w:r w:rsidRPr="00223644">
        <w:t xml:space="preserve"> </w:t>
      </w:r>
      <w:r>
        <w:t>P</w:t>
      </w:r>
      <w:r w:rsidRPr="00223644">
        <w:t>ostupkom energetske oporabe obrađivala su se uglavnom otpadna ulja i kemijski otpad, dok se u posebno pripremljene kazete odložilo 3.497</w:t>
      </w:r>
      <w:r>
        <w:t xml:space="preserve"> </w:t>
      </w:r>
      <w:r w:rsidRPr="00223644">
        <w:t xml:space="preserve">tona otpada koji sadrži azbest. </w:t>
      </w:r>
    </w:p>
    <w:p w14:paraId="77DE7F60" w14:textId="36D0E4BD" w:rsidR="004D2A7B" w:rsidRPr="00BA1411" w:rsidRDefault="004D2A7B" w:rsidP="00BA1411">
      <w:pPr>
        <w:pStyle w:val="Tablica"/>
        <w:rPr>
          <w:b w:val="0"/>
          <w:bCs/>
        </w:rPr>
      </w:pPr>
      <w:bookmarkStart w:id="32" w:name="_Ref110095149"/>
      <w:bookmarkStart w:id="33" w:name="_Toc125364394"/>
      <w:r w:rsidRPr="00223644">
        <w:t xml:space="preserve">Tablica </w:t>
      </w:r>
      <w:fldSimple w:instr=" SEQ Tablica \* ARABIC ">
        <w:r w:rsidR="00F37B62">
          <w:rPr>
            <w:noProof/>
          </w:rPr>
          <w:t>5</w:t>
        </w:r>
      </w:fldSimple>
      <w:bookmarkEnd w:id="32"/>
      <w:r w:rsidRPr="00223644">
        <w:t xml:space="preserve">. </w:t>
      </w:r>
      <w:r w:rsidRPr="00BA1411">
        <w:rPr>
          <w:b w:val="0"/>
          <w:bCs/>
        </w:rPr>
        <w:t xml:space="preserve">Količine opasnog otpada obrađene </w:t>
      </w:r>
      <w:r w:rsidR="0087705F">
        <w:rPr>
          <w:b w:val="0"/>
          <w:bCs/>
        </w:rPr>
        <w:t>konačnim</w:t>
      </w:r>
      <w:r w:rsidR="0087705F" w:rsidRPr="00BA1411">
        <w:rPr>
          <w:b w:val="0"/>
          <w:bCs/>
        </w:rPr>
        <w:t xml:space="preserve"> </w:t>
      </w:r>
      <w:r w:rsidRPr="00BA1411">
        <w:rPr>
          <w:b w:val="0"/>
          <w:bCs/>
        </w:rPr>
        <w:t>postupcima u RH u 2020. godini, po vrsti otpada</w:t>
      </w:r>
      <w:bookmarkEnd w:id="33"/>
    </w:p>
    <w:tbl>
      <w:tblPr>
        <w:tblW w:w="9060" w:type="dxa"/>
        <w:tblLook w:val="04A0" w:firstRow="1" w:lastRow="0" w:firstColumn="1" w:lastColumn="0" w:noHBand="0" w:noVBand="1"/>
      </w:tblPr>
      <w:tblGrid>
        <w:gridCol w:w="3896"/>
        <w:gridCol w:w="1462"/>
        <w:gridCol w:w="1441"/>
        <w:gridCol w:w="1144"/>
        <w:gridCol w:w="1117"/>
      </w:tblGrid>
      <w:tr w:rsidR="004D2A7B" w:rsidRPr="00BA1411" w14:paraId="0089063A" w14:textId="77777777" w:rsidTr="00CC41BC">
        <w:trPr>
          <w:trHeight w:val="20"/>
        </w:trPr>
        <w:tc>
          <w:tcPr>
            <w:tcW w:w="389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DC974FF" w14:textId="77777777" w:rsidR="004D2A7B" w:rsidRPr="00BA1411" w:rsidRDefault="004D2A7B" w:rsidP="00CC41BC">
            <w:pPr>
              <w:spacing w:after="0" w:line="240" w:lineRule="auto"/>
              <w:rPr>
                <w:rFonts w:eastAsia="Times New Roman" w:cstheme="minorHAnsi"/>
                <w:b/>
                <w:bCs/>
                <w:color w:val="FFFFFF" w:themeColor="background1"/>
                <w:sz w:val="20"/>
                <w:szCs w:val="20"/>
                <w:lang w:eastAsia="hr-HR"/>
              </w:rPr>
            </w:pPr>
            <w:r w:rsidRPr="00BA1411">
              <w:rPr>
                <w:rFonts w:eastAsia="Times New Roman" w:cstheme="minorHAnsi"/>
                <w:b/>
                <w:bCs/>
                <w:color w:val="FFFFFF" w:themeColor="background1"/>
                <w:sz w:val="20"/>
                <w:szCs w:val="20"/>
                <w:lang w:eastAsia="hr-HR"/>
              </w:rPr>
              <w:t>Vrsta otpada</w:t>
            </w:r>
          </w:p>
        </w:tc>
        <w:tc>
          <w:tcPr>
            <w:tcW w:w="1462" w:type="dxa"/>
            <w:tcBorders>
              <w:top w:val="single" w:sz="4" w:space="0" w:color="auto"/>
              <w:left w:val="nil"/>
              <w:bottom w:val="single" w:sz="4" w:space="0" w:color="auto"/>
              <w:right w:val="single" w:sz="4" w:space="0" w:color="auto"/>
            </w:tcBorders>
            <w:shd w:val="clear" w:color="auto" w:fill="002060"/>
            <w:vAlign w:val="center"/>
            <w:hideMark/>
          </w:tcPr>
          <w:p w14:paraId="249A1C80" w14:textId="77777777" w:rsidR="004D2A7B" w:rsidRPr="00BA1411" w:rsidRDefault="004D2A7B" w:rsidP="00CC41BC">
            <w:pPr>
              <w:spacing w:after="0" w:line="240" w:lineRule="auto"/>
              <w:jc w:val="center"/>
              <w:rPr>
                <w:rFonts w:eastAsia="Times New Roman" w:cstheme="minorHAnsi"/>
                <w:b/>
                <w:bCs/>
                <w:color w:val="FFFFFF" w:themeColor="background1"/>
                <w:sz w:val="20"/>
                <w:szCs w:val="20"/>
                <w:lang w:eastAsia="hr-HR"/>
              </w:rPr>
            </w:pPr>
            <w:r w:rsidRPr="00BA1411">
              <w:rPr>
                <w:rFonts w:eastAsia="Times New Roman" w:cstheme="minorHAnsi"/>
                <w:b/>
                <w:bCs/>
                <w:color w:val="FFFFFF" w:themeColor="background1"/>
                <w:sz w:val="20"/>
                <w:szCs w:val="20"/>
                <w:lang w:eastAsia="hr-HR"/>
              </w:rPr>
              <w:t>Energetska oporaba (t)</w:t>
            </w:r>
          </w:p>
        </w:tc>
        <w:tc>
          <w:tcPr>
            <w:tcW w:w="1441" w:type="dxa"/>
            <w:tcBorders>
              <w:top w:val="single" w:sz="4" w:space="0" w:color="auto"/>
              <w:left w:val="nil"/>
              <w:bottom w:val="single" w:sz="4" w:space="0" w:color="auto"/>
              <w:right w:val="single" w:sz="4" w:space="0" w:color="auto"/>
            </w:tcBorders>
            <w:shd w:val="clear" w:color="auto" w:fill="002060"/>
            <w:vAlign w:val="center"/>
            <w:hideMark/>
          </w:tcPr>
          <w:p w14:paraId="47442760" w14:textId="77777777" w:rsidR="004D2A7B" w:rsidRPr="00BA1411" w:rsidRDefault="004D2A7B" w:rsidP="00CC41BC">
            <w:pPr>
              <w:spacing w:after="0" w:line="240" w:lineRule="auto"/>
              <w:jc w:val="center"/>
              <w:rPr>
                <w:rFonts w:eastAsia="Times New Roman" w:cstheme="minorHAnsi"/>
                <w:b/>
                <w:bCs/>
                <w:color w:val="FFFFFF" w:themeColor="background1"/>
                <w:sz w:val="20"/>
                <w:szCs w:val="20"/>
                <w:lang w:eastAsia="hr-HR"/>
              </w:rPr>
            </w:pPr>
            <w:r w:rsidRPr="00BA1411">
              <w:rPr>
                <w:rFonts w:eastAsia="Times New Roman" w:cstheme="minorHAnsi"/>
                <w:b/>
                <w:bCs/>
                <w:color w:val="FFFFFF" w:themeColor="background1"/>
                <w:sz w:val="20"/>
                <w:szCs w:val="20"/>
                <w:lang w:eastAsia="hr-HR"/>
              </w:rPr>
              <w:t>Recikliranje (t)</w:t>
            </w:r>
          </w:p>
        </w:tc>
        <w:tc>
          <w:tcPr>
            <w:tcW w:w="1144" w:type="dxa"/>
            <w:tcBorders>
              <w:top w:val="single" w:sz="4" w:space="0" w:color="auto"/>
              <w:left w:val="nil"/>
              <w:bottom w:val="single" w:sz="4" w:space="0" w:color="auto"/>
              <w:right w:val="single" w:sz="4" w:space="0" w:color="auto"/>
            </w:tcBorders>
            <w:shd w:val="clear" w:color="auto" w:fill="002060"/>
            <w:vAlign w:val="center"/>
            <w:hideMark/>
          </w:tcPr>
          <w:p w14:paraId="1CA775A7" w14:textId="77777777" w:rsidR="004D2A7B" w:rsidRPr="00BA1411" w:rsidRDefault="004D2A7B" w:rsidP="00CC41BC">
            <w:pPr>
              <w:spacing w:after="0" w:line="240" w:lineRule="auto"/>
              <w:jc w:val="center"/>
              <w:rPr>
                <w:rFonts w:eastAsia="Times New Roman" w:cstheme="minorHAnsi"/>
                <w:b/>
                <w:bCs/>
                <w:color w:val="FFFFFF" w:themeColor="background1"/>
                <w:sz w:val="20"/>
                <w:szCs w:val="20"/>
                <w:lang w:eastAsia="hr-HR"/>
              </w:rPr>
            </w:pPr>
            <w:r w:rsidRPr="00BA1411">
              <w:rPr>
                <w:rFonts w:eastAsia="Times New Roman" w:cstheme="minorHAnsi"/>
                <w:b/>
                <w:bCs/>
                <w:color w:val="FFFFFF" w:themeColor="background1"/>
                <w:sz w:val="20"/>
                <w:szCs w:val="20"/>
                <w:lang w:eastAsia="hr-HR"/>
              </w:rPr>
              <w:t>Odlaganje (t)</w:t>
            </w:r>
          </w:p>
        </w:tc>
        <w:tc>
          <w:tcPr>
            <w:tcW w:w="1117" w:type="dxa"/>
            <w:tcBorders>
              <w:top w:val="single" w:sz="4" w:space="0" w:color="auto"/>
              <w:left w:val="nil"/>
              <w:bottom w:val="single" w:sz="4" w:space="0" w:color="auto"/>
              <w:right w:val="single" w:sz="4" w:space="0" w:color="auto"/>
            </w:tcBorders>
            <w:shd w:val="clear" w:color="auto" w:fill="002060"/>
            <w:vAlign w:val="center"/>
            <w:hideMark/>
          </w:tcPr>
          <w:p w14:paraId="5F595119" w14:textId="77777777" w:rsidR="004D2A7B" w:rsidRPr="00BA1411" w:rsidRDefault="004D2A7B" w:rsidP="00CC41BC">
            <w:pPr>
              <w:spacing w:after="0" w:line="240" w:lineRule="auto"/>
              <w:jc w:val="center"/>
              <w:rPr>
                <w:rFonts w:eastAsia="Times New Roman" w:cstheme="minorHAnsi"/>
                <w:b/>
                <w:bCs/>
                <w:color w:val="FFFFFF" w:themeColor="background1"/>
                <w:sz w:val="20"/>
                <w:szCs w:val="20"/>
                <w:lang w:eastAsia="hr-HR"/>
              </w:rPr>
            </w:pPr>
            <w:r w:rsidRPr="00BA1411">
              <w:rPr>
                <w:rFonts w:eastAsia="Times New Roman" w:cstheme="minorHAnsi"/>
                <w:b/>
                <w:bCs/>
                <w:color w:val="FFFFFF" w:themeColor="background1"/>
                <w:sz w:val="20"/>
                <w:szCs w:val="20"/>
                <w:lang w:eastAsia="hr-HR"/>
              </w:rPr>
              <w:t>Ukupno (t)</w:t>
            </w:r>
          </w:p>
        </w:tc>
      </w:tr>
      <w:tr w:rsidR="004D2A7B" w:rsidRPr="00BA1411" w14:paraId="5836E3F8"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auto"/>
            <w:noWrap/>
            <w:vAlign w:val="bottom"/>
            <w:hideMark/>
          </w:tcPr>
          <w:p w14:paraId="23C07FE4"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Otpadna vozila</w:t>
            </w:r>
          </w:p>
        </w:tc>
        <w:tc>
          <w:tcPr>
            <w:tcW w:w="1462" w:type="dxa"/>
            <w:tcBorders>
              <w:top w:val="nil"/>
              <w:left w:val="nil"/>
              <w:bottom w:val="single" w:sz="4" w:space="0" w:color="auto"/>
              <w:right w:val="single" w:sz="4" w:space="0" w:color="auto"/>
            </w:tcBorders>
            <w:shd w:val="clear" w:color="auto" w:fill="auto"/>
            <w:noWrap/>
            <w:vAlign w:val="bottom"/>
            <w:hideMark/>
          </w:tcPr>
          <w:p w14:paraId="2AF716BC"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441" w:type="dxa"/>
            <w:tcBorders>
              <w:top w:val="nil"/>
              <w:left w:val="nil"/>
              <w:bottom w:val="single" w:sz="4" w:space="0" w:color="auto"/>
              <w:right w:val="single" w:sz="4" w:space="0" w:color="auto"/>
            </w:tcBorders>
            <w:shd w:val="clear" w:color="auto" w:fill="auto"/>
            <w:noWrap/>
            <w:vAlign w:val="bottom"/>
            <w:hideMark/>
          </w:tcPr>
          <w:p w14:paraId="64300585"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46.757</w:t>
            </w:r>
          </w:p>
        </w:tc>
        <w:tc>
          <w:tcPr>
            <w:tcW w:w="1144" w:type="dxa"/>
            <w:tcBorders>
              <w:top w:val="nil"/>
              <w:left w:val="nil"/>
              <w:bottom w:val="single" w:sz="4" w:space="0" w:color="auto"/>
              <w:right w:val="single" w:sz="4" w:space="0" w:color="auto"/>
            </w:tcBorders>
            <w:shd w:val="clear" w:color="auto" w:fill="auto"/>
            <w:noWrap/>
            <w:vAlign w:val="bottom"/>
            <w:hideMark/>
          </w:tcPr>
          <w:p w14:paraId="2150B1FF"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117" w:type="dxa"/>
            <w:tcBorders>
              <w:top w:val="nil"/>
              <w:left w:val="nil"/>
              <w:bottom w:val="single" w:sz="4" w:space="0" w:color="auto"/>
              <w:right w:val="single" w:sz="4" w:space="0" w:color="auto"/>
            </w:tcBorders>
            <w:shd w:val="clear" w:color="auto" w:fill="auto"/>
            <w:noWrap/>
            <w:vAlign w:val="bottom"/>
            <w:hideMark/>
          </w:tcPr>
          <w:p w14:paraId="2FC94A5F"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46.757</w:t>
            </w:r>
          </w:p>
        </w:tc>
      </w:tr>
      <w:tr w:rsidR="004D2A7B" w:rsidRPr="00BA1411" w14:paraId="6BB03F05"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auto"/>
            <w:noWrap/>
            <w:vAlign w:val="bottom"/>
            <w:hideMark/>
          </w:tcPr>
          <w:p w14:paraId="4CD4898B"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Odbačena električna i elektronička oprema</w:t>
            </w:r>
          </w:p>
        </w:tc>
        <w:tc>
          <w:tcPr>
            <w:tcW w:w="1462" w:type="dxa"/>
            <w:tcBorders>
              <w:top w:val="nil"/>
              <w:left w:val="nil"/>
              <w:bottom w:val="single" w:sz="4" w:space="0" w:color="auto"/>
              <w:right w:val="single" w:sz="4" w:space="0" w:color="auto"/>
            </w:tcBorders>
            <w:shd w:val="clear" w:color="auto" w:fill="auto"/>
            <w:noWrap/>
            <w:vAlign w:val="bottom"/>
            <w:hideMark/>
          </w:tcPr>
          <w:p w14:paraId="10AD7B48"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22</w:t>
            </w:r>
          </w:p>
        </w:tc>
        <w:tc>
          <w:tcPr>
            <w:tcW w:w="1441" w:type="dxa"/>
            <w:tcBorders>
              <w:top w:val="nil"/>
              <w:left w:val="nil"/>
              <w:bottom w:val="single" w:sz="4" w:space="0" w:color="auto"/>
              <w:right w:val="single" w:sz="4" w:space="0" w:color="auto"/>
            </w:tcBorders>
            <w:shd w:val="clear" w:color="auto" w:fill="auto"/>
            <w:noWrap/>
            <w:vAlign w:val="bottom"/>
            <w:hideMark/>
          </w:tcPr>
          <w:p w14:paraId="6A5F2E34"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28.687</w:t>
            </w:r>
          </w:p>
        </w:tc>
        <w:tc>
          <w:tcPr>
            <w:tcW w:w="1144" w:type="dxa"/>
            <w:tcBorders>
              <w:top w:val="nil"/>
              <w:left w:val="nil"/>
              <w:bottom w:val="single" w:sz="4" w:space="0" w:color="auto"/>
              <w:right w:val="single" w:sz="4" w:space="0" w:color="auto"/>
            </w:tcBorders>
            <w:shd w:val="clear" w:color="auto" w:fill="auto"/>
            <w:noWrap/>
            <w:vAlign w:val="bottom"/>
            <w:hideMark/>
          </w:tcPr>
          <w:p w14:paraId="607C71CE"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117" w:type="dxa"/>
            <w:tcBorders>
              <w:top w:val="nil"/>
              <w:left w:val="nil"/>
              <w:bottom w:val="single" w:sz="4" w:space="0" w:color="auto"/>
              <w:right w:val="single" w:sz="4" w:space="0" w:color="auto"/>
            </w:tcBorders>
            <w:shd w:val="clear" w:color="auto" w:fill="auto"/>
            <w:noWrap/>
            <w:vAlign w:val="bottom"/>
            <w:hideMark/>
          </w:tcPr>
          <w:p w14:paraId="2126E1C6"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28.709</w:t>
            </w:r>
          </w:p>
        </w:tc>
      </w:tr>
      <w:tr w:rsidR="004D2A7B" w:rsidRPr="00BA1411" w14:paraId="089515C4"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auto"/>
            <w:noWrap/>
            <w:vAlign w:val="bottom"/>
            <w:hideMark/>
          </w:tcPr>
          <w:p w14:paraId="636E97B4" w14:textId="77777777" w:rsidR="004D2A7B" w:rsidRPr="00E86259" w:rsidRDefault="004D2A7B" w:rsidP="00CC41BC">
            <w:pPr>
              <w:spacing w:after="0" w:line="240" w:lineRule="auto"/>
              <w:rPr>
                <w:rFonts w:eastAsia="Times New Roman" w:cstheme="minorHAnsi"/>
                <w:color w:val="000000"/>
                <w:sz w:val="20"/>
                <w:szCs w:val="20"/>
                <w:highlight w:val="yellow"/>
                <w:lang w:eastAsia="hr-HR"/>
              </w:rPr>
            </w:pPr>
            <w:r w:rsidRPr="00E86259">
              <w:rPr>
                <w:rFonts w:eastAsia="Times New Roman" w:cstheme="minorHAnsi"/>
                <w:color w:val="000000"/>
                <w:sz w:val="20"/>
                <w:szCs w:val="20"/>
                <w:highlight w:val="yellow"/>
                <w:lang w:eastAsia="hr-HR"/>
              </w:rPr>
              <w:t>Ostaci od sortiranja - sekundarni otpad</w:t>
            </w:r>
          </w:p>
        </w:tc>
        <w:tc>
          <w:tcPr>
            <w:tcW w:w="1462" w:type="dxa"/>
            <w:tcBorders>
              <w:top w:val="nil"/>
              <w:left w:val="nil"/>
              <w:bottom w:val="single" w:sz="4" w:space="0" w:color="auto"/>
              <w:right w:val="single" w:sz="4" w:space="0" w:color="auto"/>
            </w:tcBorders>
            <w:shd w:val="clear" w:color="auto" w:fill="auto"/>
            <w:noWrap/>
            <w:vAlign w:val="bottom"/>
            <w:hideMark/>
          </w:tcPr>
          <w:p w14:paraId="24BEBC05" w14:textId="77777777" w:rsidR="004D2A7B" w:rsidRPr="00E86259" w:rsidRDefault="004D2A7B" w:rsidP="00CC41BC">
            <w:pPr>
              <w:spacing w:after="0" w:line="240" w:lineRule="auto"/>
              <w:jc w:val="right"/>
              <w:rPr>
                <w:rFonts w:eastAsia="Times New Roman" w:cstheme="minorHAnsi"/>
                <w:color w:val="000000"/>
                <w:sz w:val="20"/>
                <w:szCs w:val="20"/>
                <w:highlight w:val="yellow"/>
                <w:lang w:eastAsia="hr-HR"/>
              </w:rPr>
            </w:pPr>
            <w:r w:rsidRPr="00E86259">
              <w:rPr>
                <w:rFonts w:eastAsia="Times New Roman" w:cstheme="minorHAnsi"/>
                <w:color w:val="000000"/>
                <w:sz w:val="20"/>
                <w:szCs w:val="20"/>
                <w:highlight w:val="yellow"/>
                <w:lang w:eastAsia="hr-HR"/>
              </w:rPr>
              <w:t>0</w:t>
            </w:r>
          </w:p>
        </w:tc>
        <w:tc>
          <w:tcPr>
            <w:tcW w:w="1441" w:type="dxa"/>
            <w:tcBorders>
              <w:top w:val="nil"/>
              <w:left w:val="nil"/>
              <w:bottom w:val="single" w:sz="4" w:space="0" w:color="auto"/>
              <w:right w:val="single" w:sz="4" w:space="0" w:color="auto"/>
            </w:tcBorders>
            <w:shd w:val="clear" w:color="auto" w:fill="auto"/>
            <w:noWrap/>
            <w:vAlign w:val="bottom"/>
            <w:hideMark/>
          </w:tcPr>
          <w:p w14:paraId="443FC74F" w14:textId="77777777" w:rsidR="004D2A7B" w:rsidRPr="00E86259" w:rsidRDefault="004D2A7B" w:rsidP="00CC41BC">
            <w:pPr>
              <w:spacing w:after="0" w:line="240" w:lineRule="auto"/>
              <w:jc w:val="right"/>
              <w:rPr>
                <w:rFonts w:eastAsia="Times New Roman" w:cstheme="minorHAnsi"/>
                <w:color w:val="000000"/>
                <w:sz w:val="20"/>
                <w:szCs w:val="20"/>
                <w:highlight w:val="yellow"/>
                <w:lang w:eastAsia="hr-HR"/>
              </w:rPr>
            </w:pPr>
            <w:r w:rsidRPr="00E86259">
              <w:rPr>
                <w:rFonts w:eastAsia="Times New Roman" w:cstheme="minorHAnsi"/>
                <w:color w:val="000000"/>
                <w:sz w:val="20"/>
                <w:szCs w:val="20"/>
                <w:highlight w:val="yellow"/>
                <w:lang w:eastAsia="hr-HR"/>
              </w:rPr>
              <w:t>8.310</w:t>
            </w:r>
          </w:p>
        </w:tc>
        <w:tc>
          <w:tcPr>
            <w:tcW w:w="1144" w:type="dxa"/>
            <w:tcBorders>
              <w:top w:val="nil"/>
              <w:left w:val="nil"/>
              <w:bottom w:val="single" w:sz="4" w:space="0" w:color="auto"/>
              <w:right w:val="single" w:sz="4" w:space="0" w:color="auto"/>
            </w:tcBorders>
            <w:shd w:val="clear" w:color="auto" w:fill="auto"/>
            <w:noWrap/>
            <w:vAlign w:val="bottom"/>
            <w:hideMark/>
          </w:tcPr>
          <w:p w14:paraId="5DCE0414" w14:textId="77777777" w:rsidR="004D2A7B" w:rsidRPr="00E86259" w:rsidRDefault="004D2A7B" w:rsidP="00CC41BC">
            <w:pPr>
              <w:spacing w:after="0" w:line="240" w:lineRule="auto"/>
              <w:jc w:val="right"/>
              <w:rPr>
                <w:rFonts w:eastAsia="Times New Roman" w:cstheme="minorHAnsi"/>
                <w:color w:val="000000"/>
                <w:sz w:val="20"/>
                <w:szCs w:val="20"/>
                <w:highlight w:val="yellow"/>
                <w:lang w:eastAsia="hr-HR"/>
              </w:rPr>
            </w:pPr>
            <w:r w:rsidRPr="00E86259">
              <w:rPr>
                <w:rFonts w:eastAsia="Times New Roman" w:cstheme="minorHAnsi"/>
                <w:color w:val="000000"/>
                <w:sz w:val="20"/>
                <w:szCs w:val="20"/>
                <w:highlight w:val="yellow"/>
                <w:lang w:eastAsia="hr-HR"/>
              </w:rPr>
              <w:t>0</w:t>
            </w:r>
          </w:p>
        </w:tc>
        <w:tc>
          <w:tcPr>
            <w:tcW w:w="1117" w:type="dxa"/>
            <w:tcBorders>
              <w:top w:val="nil"/>
              <w:left w:val="nil"/>
              <w:bottom w:val="single" w:sz="4" w:space="0" w:color="auto"/>
              <w:right w:val="single" w:sz="4" w:space="0" w:color="auto"/>
            </w:tcBorders>
            <w:shd w:val="clear" w:color="auto" w:fill="auto"/>
            <w:noWrap/>
            <w:vAlign w:val="bottom"/>
            <w:hideMark/>
          </w:tcPr>
          <w:p w14:paraId="437F6010" w14:textId="77777777" w:rsidR="004D2A7B" w:rsidRPr="00E86259" w:rsidRDefault="004D2A7B" w:rsidP="00CC41BC">
            <w:pPr>
              <w:spacing w:after="0" w:line="240" w:lineRule="auto"/>
              <w:jc w:val="right"/>
              <w:rPr>
                <w:rFonts w:eastAsia="Times New Roman" w:cstheme="minorHAnsi"/>
                <w:color w:val="000000"/>
                <w:sz w:val="20"/>
                <w:szCs w:val="20"/>
                <w:highlight w:val="yellow"/>
                <w:lang w:eastAsia="hr-HR"/>
              </w:rPr>
            </w:pPr>
            <w:r w:rsidRPr="00E86259">
              <w:rPr>
                <w:rFonts w:eastAsia="Times New Roman" w:cstheme="minorHAnsi"/>
                <w:color w:val="000000"/>
                <w:sz w:val="20"/>
                <w:szCs w:val="20"/>
                <w:highlight w:val="yellow"/>
                <w:lang w:eastAsia="hr-HR"/>
              </w:rPr>
              <w:t>8.</w:t>
            </w:r>
            <w:commentRangeStart w:id="34"/>
            <w:r w:rsidRPr="00E86259">
              <w:rPr>
                <w:rFonts w:eastAsia="Times New Roman" w:cstheme="minorHAnsi"/>
                <w:color w:val="000000"/>
                <w:sz w:val="20"/>
                <w:szCs w:val="20"/>
                <w:highlight w:val="yellow"/>
                <w:lang w:eastAsia="hr-HR"/>
              </w:rPr>
              <w:t>310</w:t>
            </w:r>
            <w:commentRangeEnd w:id="34"/>
            <w:r w:rsidR="00E86259">
              <w:rPr>
                <w:rStyle w:val="Referencakomentara"/>
              </w:rPr>
              <w:commentReference w:id="34"/>
            </w:r>
          </w:p>
        </w:tc>
      </w:tr>
      <w:tr w:rsidR="004D2A7B" w:rsidRPr="00BA1411" w14:paraId="3B2ABB2B"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auto"/>
            <w:noWrap/>
            <w:vAlign w:val="bottom"/>
            <w:hideMark/>
          </w:tcPr>
          <w:p w14:paraId="5A70AC69"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lastRenderedPageBreak/>
              <w:t>Otpadna ulja</w:t>
            </w:r>
          </w:p>
        </w:tc>
        <w:tc>
          <w:tcPr>
            <w:tcW w:w="1462" w:type="dxa"/>
            <w:tcBorders>
              <w:top w:val="nil"/>
              <w:left w:val="nil"/>
              <w:bottom w:val="single" w:sz="4" w:space="0" w:color="auto"/>
              <w:right w:val="single" w:sz="4" w:space="0" w:color="auto"/>
            </w:tcBorders>
            <w:shd w:val="clear" w:color="auto" w:fill="auto"/>
            <w:noWrap/>
            <w:vAlign w:val="bottom"/>
            <w:hideMark/>
          </w:tcPr>
          <w:p w14:paraId="2F93186E"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6.786</w:t>
            </w:r>
          </w:p>
        </w:tc>
        <w:tc>
          <w:tcPr>
            <w:tcW w:w="1441" w:type="dxa"/>
            <w:tcBorders>
              <w:top w:val="nil"/>
              <w:left w:val="nil"/>
              <w:bottom w:val="single" w:sz="4" w:space="0" w:color="auto"/>
              <w:right w:val="single" w:sz="4" w:space="0" w:color="auto"/>
            </w:tcBorders>
            <w:shd w:val="clear" w:color="auto" w:fill="auto"/>
            <w:noWrap/>
            <w:vAlign w:val="bottom"/>
            <w:hideMark/>
          </w:tcPr>
          <w:p w14:paraId="391CF719"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167</w:t>
            </w:r>
          </w:p>
        </w:tc>
        <w:tc>
          <w:tcPr>
            <w:tcW w:w="1144" w:type="dxa"/>
            <w:tcBorders>
              <w:top w:val="nil"/>
              <w:left w:val="nil"/>
              <w:bottom w:val="single" w:sz="4" w:space="0" w:color="auto"/>
              <w:right w:val="single" w:sz="4" w:space="0" w:color="auto"/>
            </w:tcBorders>
            <w:shd w:val="clear" w:color="auto" w:fill="auto"/>
            <w:noWrap/>
            <w:vAlign w:val="bottom"/>
            <w:hideMark/>
          </w:tcPr>
          <w:p w14:paraId="27404A55"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117" w:type="dxa"/>
            <w:tcBorders>
              <w:top w:val="nil"/>
              <w:left w:val="nil"/>
              <w:bottom w:val="single" w:sz="4" w:space="0" w:color="auto"/>
              <w:right w:val="single" w:sz="4" w:space="0" w:color="auto"/>
            </w:tcBorders>
            <w:shd w:val="clear" w:color="auto" w:fill="auto"/>
            <w:noWrap/>
            <w:vAlign w:val="bottom"/>
            <w:hideMark/>
          </w:tcPr>
          <w:p w14:paraId="687066F5"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6.953</w:t>
            </w:r>
          </w:p>
        </w:tc>
      </w:tr>
      <w:tr w:rsidR="004D2A7B" w:rsidRPr="00BA1411" w14:paraId="7A3415EC"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auto"/>
            <w:noWrap/>
            <w:vAlign w:val="bottom"/>
            <w:hideMark/>
          </w:tcPr>
          <w:p w14:paraId="715B2541"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Kemijski otpad</w:t>
            </w:r>
          </w:p>
        </w:tc>
        <w:tc>
          <w:tcPr>
            <w:tcW w:w="1462" w:type="dxa"/>
            <w:tcBorders>
              <w:top w:val="nil"/>
              <w:left w:val="nil"/>
              <w:bottom w:val="single" w:sz="4" w:space="0" w:color="auto"/>
              <w:right w:val="single" w:sz="4" w:space="0" w:color="auto"/>
            </w:tcBorders>
            <w:shd w:val="clear" w:color="auto" w:fill="auto"/>
            <w:noWrap/>
            <w:vAlign w:val="bottom"/>
            <w:hideMark/>
          </w:tcPr>
          <w:p w14:paraId="50B11723"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1.874</w:t>
            </w:r>
          </w:p>
        </w:tc>
        <w:tc>
          <w:tcPr>
            <w:tcW w:w="1441" w:type="dxa"/>
            <w:tcBorders>
              <w:top w:val="nil"/>
              <w:left w:val="nil"/>
              <w:bottom w:val="single" w:sz="4" w:space="0" w:color="auto"/>
              <w:right w:val="single" w:sz="4" w:space="0" w:color="auto"/>
            </w:tcBorders>
            <w:shd w:val="clear" w:color="auto" w:fill="auto"/>
            <w:noWrap/>
            <w:vAlign w:val="bottom"/>
            <w:hideMark/>
          </w:tcPr>
          <w:p w14:paraId="34D1828A"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1.655</w:t>
            </w:r>
          </w:p>
        </w:tc>
        <w:tc>
          <w:tcPr>
            <w:tcW w:w="1144" w:type="dxa"/>
            <w:tcBorders>
              <w:top w:val="nil"/>
              <w:left w:val="nil"/>
              <w:bottom w:val="single" w:sz="4" w:space="0" w:color="auto"/>
              <w:right w:val="single" w:sz="4" w:space="0" w:color="auto"/>
            </w:tcBorders>
            <w:shd w:val="clear" w:color="auto" w:fill="auto"/>
            <w:noWrap/>
            <w:vAlign w:val="bottom"/>
            <w:hideMark/>
          </w:tcPr>
          <w:p w14:paraId="6489C664"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117" w:type="dxa"/>
            <w:tcBorders>
              <w:top w:val="nil"/>
              <w:left w:val="nil"/>
              <w:bottom w:val="single" w:sz="4" w:space="0" w:color="auto"/>
              <w:right w:val="single" w:sz="4" w:space="0" w:color="auto"/>
            </w:tcBorders>
            <w:shd w:val="clear" w:color="auto" w:fill="auto"/>
            <w:noWrap/>
            <w:vAlign w:val="bottom"/>
            <w:hideMark/>
          </w:tcPr>
          <w:p w14:paraId="148CD780"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3.530</w:t>
            </w:r>
          </w:p>
        </w:tc>
      </w:tr>
      <w:tr w:rsidR="004D2A7B" w:rsidRPr="00BA1411" w14:paraId="1EF2A777"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auto"/>
            <w:noWrap/>
            <w:vAlign w:val="bottom"/>
            <w:hideMark/>
          </w:tcPr>
          <w:p w14:paraId="3B3A096D"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Ostali mineralni otpad</w:t>
            </w:r>
          </w:p>
        </w:tc>
        <w:tc>
          <w:tcPr>
            <w:tcW w:w="1462" w:type="dxa"/>
            <w:tcBorders>
              <w:top w:val="nil"/>
              <w:left w:val="nil"/>
              <w:bottom w:val="single" w:sz="4" w:space="0" w:color="auto"/>
              <w:right w:val="single" w:sz="4" w:space="0" w:color="auto"/>
            </w:tcBorders>
            <w:shd w:val="clear" w:color="auto" w:fill="auto"/>
            <w:noWrap/>
            <w:vAlign w:val="bottom"/>
            <w:hideMark/>
          </w:tcPr>
          <w:p w14:paraId="3C887CD4"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w:t>
            </w:r>
          </w:p>
        </w:tc>
        <w:tc>
          <w:tcPr>
            <w:tcW w:w="1441" w:type="dxa"/>
            <w:tcBorders>
              <w:top w:val="nil"/>
              <w:left w:val="nil"/>
              <w:bottom w:val="single" w:sz="4" w:space="0" w:color="auto"/>
              <w:right w:val="single" w:sz="4" w:space="0" w:color="auto"/>
            </w:tcBorders>
            <w:shd w:val="clear" w:color="auto" w:fill="auto"/>
            <w:noWrap/>
            <w:vAlign w:val="bottom"/>
            <w:hideMark/>
          </w:tcPr>
          <w:p w14:paraId="5B29AFE0"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144" w:type="dxa"/>
            <w:tcBorders>
              <w:top w:val="nil"/>
              <w:left w:val="nil"/>
              <w:bottom w:val="single" w:sz="4" w:space="0" w:color="auto"/>
              <w:right w:val="single" w:sz="4" w:space="0" w:color="auto"/>
            </w:tcBorders>
            <w:shd w:val="clear" w:color="auto" w:fill="auto"/>
            <w:noWrap/>
            <w:vAlign w:val="bottom"/>
            <w:hideMark/>
          </w:tcPr>
          <w:p w14:paraId="694CFC90"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3.497</w:t>
            </w:r>
          </w:p>
        </w:tc>
        <w:tc>
          <w:tcPr>
            <w:tcW w:w="1117" w:type="dxa"/>
            <w:tcBorders>
              <w:top w:val="nil"/>
              <w:left w:val="nil"/>
              <w:bottom w:val="single" w:sz="4" w:space="0" w:color="auto"/>
              <w:right w:val="single" w:sz="4" w:space="0" w:color="auto"/>
            </w:tcBorders>
            <w:shd w:val="clear" w:color="auto" w:fill="auto"/>
            <w:noWrap/>
            <w:vAlign w:val="bottom"/>
            <w:hideMark/>
          </w:tcPr>
          <w:p w14:paraId="4982187F"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3.497</w:t>
            </w:r>
          </w:p>
        </w:tc>
      </w:tr>
      <w:tr w:rsidR="004D2A7B" w:rsidRPr="00BA1411" w14:paraId="101B2D56"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auto"/>
            <w:noWrap/>
            <w:vAlign w:val="bottom"/>
            <w:hideMark/>
          </w:tcPr>
          <w:p w14:paraId="5E0F4636"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Mineralni građevinski otpad i otpad od rušenja</w:t>
            </w:r>
            <w:r w:rsidRPr="00BA1411">
              <w:rPr>
                <w:rStyle w:val="Referencafusnote"/>
                <w:rFonts w:eastAsia="Times New Roman" w:cstheme="minorHAnsi"/>
                <w:color w:val="000000"/>
                <w:sz w:val="20"/>
                <w:szCs w:val="20"/>
                <w:lang w:eastAsia="hr-HR"/>
              </w:rPr>
              <w:footnoteReference w:id="11"/>
            </w:r>
          </w:p>
        </w:tc>
        <w:tc>
          <w:tcPr>
            <w:tcW w:w="1462" w:type="dxa"/>
            <w:tcBorders>
              <w:top w:val="nil"/>
              <w:left w:val="nil"/>
              <w:bottom w:val="single" w:sz="4" w:space="0" w:color="auto"/>
              <w:right w:val="single" w:sz="4" w:space="0" w:color="auto"/>
            </w:tcBorders>
            <w:shd w:val="clear" w:color="auto" w:fill="auto"/>
            <w:noWrap/>
            <w:vAlign w:val="bottom"/>
            <w:hideMark/>
          </w:tcPr>
          <w:p w14:paraId="0B05787C"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731</w:t>
            </w:r>
          </w:p>
        </w:tc>
        <w:tc>
          <w:tcPr>
            <w:tcW w:w="1441" w:type="dxa"/>
            <w:tcBorders>
              <w:top w:val="nil"/>
              <w:left w:val="nil"/>
              <w:bottom w:val="single" w:sz="4" w:space="0" w:color="auto"/>
              <w:right w:val="single" w:sz="4" w:space="0" w:color="auto"/>
            </w:tcBorders>
            <w:shd w:val="clear" w:color="auto" w:fill="auto"/>
            <w:noWrap/>
            <w:vAlign w:val="bottom"/>
            <w:hideMark/>
          </w:tcPr>
          <w:p w14:paraId="6BEBF1FB"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144" w:type="dxa"/>
            <w:tcBorders>
              <w:top w:val="nil"/>
              <w:left w:val="nil"/>
              <w:bottom w:val="single" w:sz="4" w:space="0" w:color="auto"/>
              <w:right w:val="single" w:sz="4" w:space="0" w:color="auto"/>
            </w:tcBorders>
            <w:shd w:val="clear" w:color="auto" w:fill="auto"/>
            <w:noWrap/>
            <w:vAlign w:val="bottom"/>
            <w:hideMark/>
          </w:tcPr>
          <w:p w14:paraId="55AF0838"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117" w:type="dxa"/>
            <w:tcBorders>
              <w:top w:val="nil"/>
              <w:left w:val="nil"/>
              <w:bottom w:val="single" w:sz="4" w:space="0" w:color="auto"/>
              <w:right w:val="single" w:sz="4" w:space="0" w:color="auto"/>
            </w:tcBorders>
            <w:shd w:val="clear" w:color="auto" w:fill="auto"/>
            <w:noWrap/>
            <w:vAlign w:val="bottom"/>
            <w:hideMark/>
          </w:tcPr>
          <w:p w14:paraId="36DB24AF"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731</w:t>
            </w:r>
          </w:p>
        </w:tc>
      </w:tr>
      <w:tr w:rsidR="004D2A7B" w:rsidRPr="00BA1411" w14:paraId="3BF94DCD"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auto"/>
            <w:noWrap/>
            <w:vAlign w:val="bottom"/>
            <w:hideMark/>
          </w:tcPr>
          <w:p w14:paraId="7DA6F4F6"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Istrošena otapala</w:t>
            </w:r>
          </w:p>
        </w:tc>
        <w:tc>
          <w:tcPr>
            <w:tcW w:w="1462" w:type="dxa"/>
            <w:tcBorders>
              <w:top w:val="nil"/>
              <w:left w:val="nil"/>
              <w:bottom w:val="single" w:sz="4" w:space="0" w:color="auto"/>
              <w:right w:val="single" w:sz="4" w:space="0" w:color="auto"/>
            </w:tcBorders>
            <w:shd w:val="clear" w:color="auto" w:fill="auto"/>
            <w:noWrap/>
            <w:vAlign w:val="bottom"/>
            <w:hideMark/>
          </w:tcPr>
          <w:p w14:paraId="09106E77"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441" w:type="dxa"/>
            <w:tcBorders>
              <w:top w:val="nil"/>
              <w:left w:val="nil"/>
              <w:bottom w:val="single" w:sz="4" w:space="0" w:color="auto"/>
              <w:right w:val="single" w:sz="4" w:space="0" w:color="auto"/>
            </w:tcBorders>
            <w:shd w:val="clear" w:color="auto" w:fill="auto"/>
            <w:noWrap/>
            <w:vAlign w:val="bottom"/>
            <w:hideMark/>
          </w:tcPr>
          <w:p w14:paraId="566A90B0"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331</w:t>
            </w:r>
          </w:p>
        </w:tc>
        <w:tc>
          <w:tcPr>
            <w:tcW w:w="1144" w:type="dxa"/>
            <w:tcBorders>
              <w:top w:val="nil"/>
              <w:left w:val="nil"/>
              <w:bottom w:val="single" w:sz="4" w:space="0" w:color="auto"/>
              <w:right w:val="single" w:sz="4" w:space="0" w:color="auto"/>
            </w:tcBorders>
            <w:shd w:val="clear" w:color="auto" w:fill="auto"/>
            <w:noWrap/>
            <w:vAlign w:val="bottom"/>
            <w:hideMark/>
          </w:tcPr>
          <w:p w14:paraId="513D9863"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117" w:type="dxa"/>
            <w:tcBorders>
              <w:top w:val="nil"/>
              <w:left w:val="nil"/>
              <w:bottom w:val="single" w:sz="4" w:space="0" w:color="auto"/>
              <w:right w:val="single" w:sz="4" w:space="0" w:color="auto"/>
            </w:tcBorders>
            <w:shd w:val="clear" w:color="auto" w:fill="auto"/>
            <w:noWrap/>
            <w:vAlign w:val="bottom"/>
            <w:hideMark/>
          </w:tcPr>
          <w:p w14:paraId="430BEFBF"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331</w:t>
            </w:r>
          </w:p>
        </w:tc>
      </w:tr>
      <w:tr w:rsidR="004D2A7B" w:rsidRPr="00BA1411" w14:paraId="7FF05D26"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auto"/>
            <w:noWrap/>
            <w:vAlign w:val="bottom"/>
            <w:hideMark/>
          </w:tcPr>
          <w:p w14:paraId="662A7C06"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Miješani i nediferencirani materijali</w:t>
            </w:r>
          </w:p>
        </w:tc>
        <w:tc>
          <w:tcPr>
            <w:tcW w:w="1462" w:type="dxa"/>
            <w:tcBorders>
              <w:top w:val="nil"/>
              <w:left w:val="nil"/>
              <w:bottom w:val="single" w:sz="4" w:space="0" w:color="auto"/>
              <w:right w:val="single" w:sz="4" w:space="0" w:color="auto"/>
            </w:tcBorders>
            <w:shd w:val="clear" w:color="auto" w:fill="auto"/>
            <w:noWrap/>
            <w:vAlign w:val="bottom"/>
            <w:hideMark/>
          </w:tcPr>
          <w:p w14:paraId="06E4E81F"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6</w:t>
            </w:r>
          </w:p>
        </w:tc>
        <w:tc>
          <w:tcPr>
            <w:tcW w:w="1441" w:type="dxa"/>
            <w:tcBorders>
              <w:top w:val="nil"/>
              <w:left w:val="nil"/>
              <w:bottom w:val="single" w:sz="4" w:space="0" w:color="auto"/>
              <w:right w:val="single" w:sz="4" w:space="0" w:color="auto"/>
            </w:tcBorders>
            <w:shd w:val="clear" w:color="auto" w:fill="auto"/>
            <w:noWrap/>
            <w:vAlign w:val="bottom"/>
            <w:hideMark/>
          </w:tcPr>
          <w:p w14:paraId="16A99CFE"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76</w:t>
            </w:r>
          </w:p>
        </w:tc>
        <w:tc>
          <w:tcPr>
            <w:tcW w:w="1144" w:type="dxa"/>
            <w:tcBorders>
              <w:top w:val="nil"/>
              <w:left w:val="nil"/>
              <w:bottom w:val="single" w:sz="4" w:space="0" w:color="auto"/>
              <w:right w:val="single" w:sz="4" w:space="0" w:color="auto"/>
            </w:tcBorders>
            <w:shd w:val="clear" w:color="auto" w:fill="auto"/>
            <w:noWrap/>
            <w:vAlign w:val="bottom"/>
            <w:hideMark/>
          </w:tcPr>
          <w:p w14:paraId="03F88ACD"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117" w:type="dxa"/>
            <w:tcBorders>
              <w:top w:val="nil"/>
              <w:left w:val="nil"/>
              <w:bottom w:val="single" w:sz="4" w:space="0" w:color="auto"/>
              <w:right w:val="single" w:sz="4" w:space="0" w:color="auto"/>
            </w:tcBorders>
            <w:shd w:val="clear" w:color="auto" w:fill="auto"/>
            <w:noWrap/>
            <w:vAlign w:val="bottom"/>
            <w:hideMark/>
          </w:tcPr>
          <w:p w14:paraId="70F19BBC"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82</w:t>
            </w:r>
          </w:p>
        </w:tc>
      </w:tr>
      <w:tr w:rsidR="004D2A7B" w:rsidRPr="00BA1411" w14:paraId="17C07660"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auto"/>
            <w:noWrap/>
            <w:vAlign w:val="bottom"/>
            <w:hideMark/>
          </w:tcPr>
          <w:p w14:paraId="433283B3"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Muljevi od industrijskih otpadnih voda</w:t>
            </w:r>
          </w:p>
        </w:tc>
        <w:tc>
          <w:tcPr>
            <w:tcW w:w="1462" w:type="dxa"/>
            <w:tcBorders>
              <w:top w:val="nil"/>
              <w:left w:val="nil"/>
              <w:bottom w:val="single" w:sz="4" w:space="0" w:color="auto"/>
              <w:right w:val="single" w:sz="4" w:space="0" w:color="auto"/>
            </w:tcBorders>
            <w:shd w:val="clear" w:color="auto" w:fill="auto"/>
            <w:noWrap/>
            <w:vAlign w:val="bottom"/>
            <w:hideMark/>
          </w:tcPr>
          <w:p w14:paraId="03F33E7A"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19</w:t>
            </w:r>
          </w:p>
        </w:tc>
        <w:tc>
          <w:tcPr>
            <w:tcW w:w="1441" w:type="dxa"/>
            <w:tcBorders>
              <w:top w:val="nil"/>
              <w:left w:val="nil"/>
              <w:bottom w:val="single" w:sz="4" w:space="0" w:color="auto"/>
              <w:right w:val="single" w:sz="4" w:space="0" w:color="auto"/>
            </w:tcBorders>
            <w:shd w:val="clear" w:color="auto" w:fill="auto"/>
            <w:noWrap/>
            <w:vAlign w:val="bottom"/>
            <w:hideMark/>
          </w:tcPr>
          <w:p w14:paraId="25B076A2"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52</w:t>
            </w:r>
          </w:p>
        </w:tc>
        <w:tc>
          <w:tcPr>
            <w:tcW w:w="1144" w:type="dxa"/>
            <w:tcBorders>
              <w:top w:val="nil"/>
              <w:left w:val="nil"/>
              <w:bottom w:val="single" w:sz="4" w:space="0" w:color="auto"/>
              <w:right w:val="single" w:sz="4" w:space="0" w:color="auto"/>
            </w:tcBorders>
            <w:shd w:val="clear" w:color="auto" w:fill="auto"/>
            <w:noWrap/>
            <w:vAlign w:val="bottom"/>
            <w:hideMark/>
          </w:tcPr>
          <w:p w14:paraId="7DC3F40C"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117" w:type="dxa"/>
            <w:tcBorders>
              <w:top w:val="nil"/>
              <w:left w:val="nil"/>
              <w:bottom w:val="single" w:sz="4" w:space="0" w:color="auto"/>
              <w:right w:val="single" w:sz="4" w:space="0" w:color="auto"/>
            </w:tcBorders>
            <w:shd w:val="clear" w:color="auto" w:fill="auto"/>
            <w:noWrap/>
            <w:vAlign w:val="bottom"/>
            <w:hideMark/>
          </w:tcPr>
          <w:p w14:paraId="61767056"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71</w:t>
            </w:r>
          </w:p>
        </w:tc>
      </w:tr>
      <w:tr w:rsidR="004D2A7B" w:rsidRPr="00BA1411" w14:paraId="5C34D273"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auto"/>
            <w:noWrap/>
            <w:vAlign w:val="bottom"/>
            <w:hideMark/>
          </w:tcPr>
          <w:p w14:paraId="4D8A0044"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Otpad od drva</w:t>
            </w:r>
          </w:p>
        </w:tc>
        <w:tc>
          <w:tcPr>
            <w:tcW w:w="1462" w:type="dxa"/>
            <w:tcBorders>
              <w:top w:val="nil"/>
              <w:left w:val="nil"/>
              <w:bottom w:val="single" w:sz="4" w:space="0" w:color="auto"/>
              <w:right w:val="single" w:sz="4" w:space="0" w:color="auto"/>
            </w:tcBorders>
            <w:shd w:val="clear" w:color="auto" w:fill="auto"/>
            <w:noWrap/>
            <w:vAlign w:val="bottom"/>
            <w:hideMark/>
          </w:tcPr>
          <w:p w14:paraId="4238FDCE"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441" w:type="dxa"/>
            <w:tcBorders>
              <w:top w:val="nil"/>
              <w:left w:val="nil"/>
              <w:bottom w:val="single" w:sz="4" w:space="0" w:color="auto"/>
              <w:right w:val="single" w:sz="4" w:space="0" w:color="auto"/>
            </w:tcBorders>
            <w:shd w:val="clear" w:color="auto" w:fill="auto"/>
            <w:noWrap/>
            <w:vAlign w:val="bottom"/>
            <w:hideMark/>
          </w:tcPr>
          <w:p w14:paraId="1F6D9E28"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34</w:t>
            </w:r>
          </w:p>
        </w:tc>
        <w:tc>
          <w:tcPr>
            <w:tcW w:w="1144" w:type="dxa"/>
            <w:tcBorders>
              <w:top w:val="nil"/>
              <w:left w:val="nil"/>
              <w:bottom w:val="single" w:sz="4" w:space="0" w:color="auto"/>
              <w:right w:val="single" w:sz="4" w:space="0" w:color="auto"/>
            </w:tcBorders>
            <w:shd w:val="clear" w:color="auto" w:fill="auto"/>
            <w:noWrap/>
            <w:vAlign w:val="bottom"/>
            <w:hideMark/>
          </w:tcPr>
          <w:p w14:paraId="4B592199"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117" w:type="dxa"/>
            <w:tcBorders>
              <w:top w:val="nil"/>
              <w:left w:val="nil"/>
              <w:bottom w:val="single" w:sz="4" w:space="0" w:color="auto"/>
              <w:right w:val="single" w:sz="4" w:space="0" w:color="auto"/>
            </w:tcBorders>
            <w:shd w:val="clear" w:color="auto" w:fill="auto"/>
            <w:noWrap/>
            <w:vAlign w:val="bottom"/>
            <w:hideMark/>
          </w:tcPr>
          <w:p w14:paraId="356AC5D8"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34</w:t>
            </w:r>
          </w:p>
        </w:tc>
      </w:tr>
      <w:tr w:rsidR="004D2A7B" w:rsidRPr="00BA1411" w14:paraId="340C2DE6"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auto"/>
            <w:noWrap/>
            <w:vAlign w:val="bottom"/>
            <w:hideMark/>
          </w:tcPr>
          <w:p w14:paraId="717A5D97"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Otpad od izgaranja</w:t>
            </w:r>
          </w:p>
        </w:tc>
        <w:tc>
          <w:tcPr>
            <w:tcW w:w="1462" w:type="dxa"/>
            <w:tcBorders>
              <w:top w:val="nil"/>
              <w:left w:val="nil"/>
              <w:bottom w:val="single" w:sz="4" w:space="0" w:color="auto"/>
              <w:right w:val="single" w:sz="4" w:space="0" w:color="auto"/>
            </w:tcBorders>
            <w:shd w:val="clear" w:color="auto" w:fill="auto"/>
            <w:noWrap/>
            <w:vAlign w:val="bottom"/>
            <w:hideMark/>
          </w:tcPr>
          <w:p w14:paraId="7E65658F"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441" w:type="dxa"/>
            <w:tcBorders>
              <w:top w:val="nil"/>
              <w:left w:val="nil"/>
              <w:bottom w:val="single" w:sz="4" w:space="0" w:color="auto"/>
              <w:right w:val="single" w:sz="4" w:space="0" w:color="auto"/>
            </w:tcBorders>
            <w:shd w:val="clear" w:color="auto" w:fill="auto"/>
            <w:noWrap/>
            <w:vAlign w:val="bottom"/>
            <w:hideMark/>
          </w:tcPr>
          <w:p w14:paraId="12F61AF5"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20</w:t>
            </w:r>
          </w:p>
        </w:tc>
        <w:tc>
          <w:tcPr>
            <w:tcW w:w="1144" w:type="dxa"/>
            <w:tcBorders>
              <w:top w:val="nil"/>
              <w:left w:val="nil"/>
              <w:bottom w:val="single" w:sz="4" w:space="0" w:color="auto"/>
              <w:right w:val="single" w:sz="4" w:space="0" w:color="auto"/>
            </w:tcBorders>
            <w:shd w:val="clear" w:color="auto" w:fill="auto"/>
            <w:noWrap/>
            <w:vAlign w:val="bottom"/>
            <w:hideMark/>
          </w:tcPr>
          <w:p w14:paraId="0674F429"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117" w:type="dxa"/>
            <w:tcBorders>
              <w:top w:val="nil"/>
              <w:left w:val="nil"/>
              <w:bottom w:val="single" w:sz="4" w:space="0" w:color="auto"/>
              <w:right w:val="single" w:sz="4" w:space="0" w:color="auto"/>
            </w:tcBorders>
            <w:shd w:val="clear" w:color="auto" w:fill="auto"/>
            <w:noWrap/>
            <w:vAlign w:val="bottom"/>
            <w:hideMark/>
          </w:tcPr>
          <w:p w14:paraId="4FC7837D"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20</w:t>
            </w:r>
          </w:p>
        </w:tc>
      </w:tr>
      <w:tr w:rsidR="004D2A7B" w:rsidRPr="00BA1411" w14:paraId="128CB1AE"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auto"/>
            <w:noWrap/>
            <w:vAlign w:val="bottom"/>
            <w:hideMark/>
          </w:tcPr>
          <w:p w14:paraId="5249A213"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Kiseline, lužine i soli</w:t>
            </w:r>
          </w:p>
        </w:tc>
        <w:tc>
          <w:tcPr>
            <w:tcW w:w="1462" w:type="dxa"/>
            <w:tcBorders>
              <w:top w:val="nil"/>
              <w:left w:val="nil"/>
              <w:bottom w:val="single" w:sz="4" w:space="0" w:color="auto"/>
              <w:right w:val="single" w:sz="4" w:space="0" w:color="auto"/>
            </w:tcBorders>
            <w:shd w:val="clear" w:color="auto" w:fill="auto"/>
            <w:noWrap/>
            <w:vAlign w:val="bottom"/>
            <w:hideMark/>
          </w:tcPr>
          <w:p w14:paraId="6DDBA4B7"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441" w:type="dxa"/>
            <w:tcBorders>
              <w:top w:val="nil"/>
              <w:left w:val="nil"/>
              <w:bottom w:val="single" w:sz="4" w:space="0" w:color="auto"/>
              <w:right w:val="single" w:sz="4" w:space="0" w:color="auto"/>
            </w:tcBorders>
            <w:shd w:val="clear" w:color="auto" w:fill="auto"/>
            <w:noWrap/>
            <w:vAlign w:val="bottom"/>
            <w:hideMark/>
          </w:tcPr>
          <w:p w14:paraId="1E4AFD50"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11</w:t>
            </w:r>
          </w:p>
        </w:tc>
        <w:tc>
          <w:tcPr>
            <w:tcW w:w="1144" w:type="dxa"/>
            <w:tcBorders>
              <w:top w:val="nil"/>
              <w:left w:val="nil"/>
              <w:bottom w:val="single" w:sz="4" w:space="0" w:color="auto"/>
              <w:right w:val="single" w:sz="4" w:space="0" w:color="auto"/>
            </w:tcBorders>
            <w:shd w:val="clear" w:color="auto" w:fill="auto"/>
            <w:noWrap/>
            <w:vAlign w:val="bottom"/>
            <w:hideMark/>
          </w:tcPr>
          <w:p w14:paraId="3DE4B137"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117" w:type="dxa"/>
            <w:tcBorders>
              <w:top w:val="nil"/>
              <w:left w:val="nil"/>
              <w:bottom w:val="single" w:sz="4" w:space="0" w:color="auto"/>
              <w:right w:val="single" w:sz="4" w:space="0" w:color="auto"/>
            </w:tcBorders>
            <w:shd w:val="clear" w:color="auto" w:fill="auto"/>
            <w:noWrap/>
            <w:vAlign w:val="bottom"/>
            <w:hideMark/>
          </w:tcPr>
          <w:p w14:paraId="096F6BF1"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11</w:t>
            </w:r>
          </w:p>
        </w:tc>
      </w:tr>
      <w:tr w:rsidR="004D2A7B" w:rsidRPr="00BA1411" w14:paraId="66016C53"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14:paraId="3A890B5F" w14:textId="77777777" w:rsidR="004D2A7B" w:rsidRPr="00BA1411" w:rsidRDefault="004D2A7B" w:rsidP="00CC41BC">
            <w:pPr>
              <w:spacing w:after="0" w:line="240" w:lineRule="auto"/>
              <w:rPr>
                <w:rFonts w:eastAsia="Times New Roman" w:cstheme="minorHAnsi"/>
                <w:b/>
                <w:color w:val="000000"/>
                <w:sz w:val="20"/>
                <w:szCs w:val="20"/>
                <w:lang w:eastAsia="hr-HR"/>
              </w:rPr>
            </w:pPr>
            <w:r w:rsidRPr="00BA1411">
              <w:rPr>
                <w:rFonts w:eastAsia="Times New Roman" w:cstheme="minorHAnsi"/>
                <w:b/>
                <w:color w:val="000000"/>
                <w:sz w:val="20"/>
                <w:szCs w:val="20"/>
                <w:lang w:eastAsia="hr-HR"/>
              </w:rPr>
              <w:t>Ukupno obrađeno finalnim postupcima u RH</w:t>
            </w:r>
          </w:p>
        </w:tc>
        <w:tc>
          <w:tcPr>
            <w:tcW w:w="1462" w:type="dxa"/>
            <w:tcBorders>
              <w:top w:val="nil"/>
              <w:left w:val="nil"/>
              <w:bottom w:val="single" w:sz="4" w:space="0" w:color="auto"/>
              <w:right w:val="single" w:sz="4" w:space="0" w:color="auto"/>
            </w:tcBorders>
            <w:shd w:val="clear" w:color="auto" w:fill="D5DCE4" w:themeFill="text2" w:themeFillTint="33"/>
            <w:noWrap/>
            <w:vAlign w:val="bottom"/>
            <w:hideMark/>
          </w:tcPr>
          <w:p w14:paraId="368606F7" w14:textId="77777777" w:rsidR="004D2A7B" w:rsidRPr="00BA1411" w:rsidRDefault="004D2A7B" w:rsidP="00CC41BC">
            <w:pPr>
              <w:spacing w:after="0" w:line="240" w:lineRule="auto"/>
              <w:jc w:val="right"/>
              <w:rPr>
                <w:rFonts w:eastAsia="Times New Roman" w:cstheme="minorHAnsi"/>
                <w:b/>
                <w:bCs/>
                <w:color w:val="000000"/>
                <w:sz w:val="20"/>
                <w:szCs w:val="20"/>
                <w:lang w:eastAsia="hr-HR"/>
              </w:rPr>
            </w:pPr>
            <w:r w:rsidRPr="00BA1411">
              <w:rPr>
                <w:rFonts w:eastAsia="Times New Roman" w:cstheme="minorHAnsi"/>
                <w:b/>
                <w:bCs/>
                <w:color w:val="000000"/>
                <w:sz w:val="20"/>
                <w:szCs w:val="20"/>
                <w:lang w:eastAsia="hr-HR"/>
              </w:rPr>
              <w:t>9.440</w:t>
            </w:r>
          </w:p>
        </w:tc>
        <w:tc>
          <w:tcPr>
            <w:tcW w:w="1441" w:type="dxa"/>
            <w:tcBorders>
              <w:top w:val="nil"/>
              <w:left w:val="nil"/>
              <w:bottom w:val="single" w:sz="4" w:space="0" w:color="auto"/>
              <w:right w:val="single" w:sz="4" w:space="0" w:color="auto"/>
            </w:tcBorders>
            <w:shd w:val="clear" w:color="auto" w:fill="D5DCE4" w:themeFill="text2" w:themeFillTint="33"/>
            <w:noWrap/>
            <w:vAlign w:val="bottom"/>
            <w:hideMark/>
          </w:tcPr>
          <w:p w14:paraId="4EC60832" w14:textId="77777777" w:rsidR="004D2A7B" w:rsidRPr="00BA1411" w:rsidRDefault="004D2A7B" w:rsidP="00CC41BC">
            <w:pPr>
              <w:spacing w:after="0" w:line="240" w:lineRule="auto"/>
              <w:jc w:val="right"/>
              <w:rPr>
                <w:rFonts w:eastAsia="Times New Roman" w:cstheme="minorHAnsi"/>
                <w:b/>
                <w:bCs/>
                <w:color w:val="000000"/>
                <w:sz w:val="20"/>
                <w:szCs w:val="20"/>
                <w:lang w:eastAsia="hr-HR"/>
              </w:rPr>
            </w:pPr>
            <w:r w:rsidRPr="00BA1411">
              <w:rPr>
                <w:rFonts w:eastAsia="Times New Roman" w:cstheme="minorHAnsi"/>
                <w:b/>
                <w:bCs/>
                <w:color w:val="000000"/>
                <w:sz w:val="20"/>
                <w:szCs w:val="20"/>
                <w:lang w:eastAsia="hr-HR"/>
              </w:rPr>
              <w:t>86.100</w:t>
            </w:r>
          </w:p>
        </w:tc>
        <w:tc>
          <w:tcPr>
            <w:tcW w:w="1144" w:type="dxa"/>
            <w:tcBorders>
              <w:top w:val="nil"/>
              <w:left w:val="nil"/>
              <w:bottom w:val="single" w:sz="4" w:space="0" w:color="auto"/>
              <w:right w:val="single" w:sz="4" w:space="0" w:color="auto"/>
            </w:tcBorders>
            <w:shd w:val="clear" w:color="auto" w:fill="D5DCE4" w:themeFill="text2" w:themeFillTint="33"/>
            <w:noWrap/>
            <w:vAlign w:val="bottom"/>
            <w:hideMark/>
          </w:tcPr>
          <w:p w14:paraId="1E355788" w14:textId="77777777" w:rsidR="004D2A7B" w:rsidRPr="00BA1411" w:rsidRDefault="004D2A7B" w:rsidP="00CC41BC">
            <w:pPr>
              <w:spacing w:after="0" w:line="240" w:lineRule="auto"/>
              <w:jc w:val="right"/>
              <w:rPr>
                <w:rFonts w:eastAsia="Times New Roman" w:cstheme="minorHAnsi"/>
                <w:b/>
                <w:bCs/>
                <w:color w:val="000000"/>
                <w:sz w:val="20"/>
                <w:szCs w:val="20"/>
                <w:lang w:eastAsia="hr-HR"/>
              </w:rPr>
            </w:pPr>
            <w:r w:rsidRPr="00BA1411">
              <w:rPr>
                <w:rFonts w:eastAsia="Times New Roman" w:cstheme="minorHAnsi"/>
                <w:b/>
                <w:bCs/>
                <w:color w:val="000000"/>
                <w:sz w:val="20"/>
                <w:szCs w:val="20"/>
                <w:lang w:eastAsia="hr-HR"/>
              </w:rPr>
              <w:t>3.497</w:t>
            </w:r>
          </w:p>
        </w:tc>
        <w:tc>
          <w:tcPr>
            <w:tcW w:w="1117" w:type="dxa"/>
            <w:tcBorders>
              <w:top w:val="nil"/>
              <w:left w:val="nil"/>
              <w:bottom w:val="single" w:sz="4" w:space="0" w:color="auto"/>
              <w:right w:val="single" w:sz="4" w:space="0" w:color="auto"/>
            </w:tcBorders>
            <w:shd w:val="clear" w:color="auto" w:fill="D5DCE4" w:themeFill="text2" w:themeFillTint="33"/>
            <w:noWrap/>
            <w:vAlign w:val="bottom"/>
            <w:hideMark/>
          </w:tcPr>
          <w:p w14:paraId="7F6BCF6C" w14:textId="77777777" w:rsidR="004D2A7B" w:rsidRPr="00BA1411" w:rsidRDefault="004D2A7B" w:rsidP="00CC41BC">
            <w:pPr>
              <w:spacing w:after="0" w:line="240" w:lineRule="auto"/>
              <w:jc w:val="right"/>
              <w:rPr>
                <w:rFonts w:eastAsia="Times New Roman" w:cstheme="minorHAnsi"/>
                <w:b/>
                <w:color w:val="000000"/>
                <w:sz w:val="20"/>
                <w:szCs w:val="20"/>
                <w:lang w:eastAsia="hr-HR"/>
              </w:rPr>
            </w:pPr>
            <w:r w:rsidRPr="00BA1411">
              <w:rPr>
                <w:rFonts w:eastAsia="Times New Roman" w:cstheme="minorHAnsi"/>
                <w:b/>
                <w:color w:val="000000"/>
                <w:sz w:val="20"/>
                <w:szCs w:val="20"/>
                <w:lang w:eastAsia="hr-HR"/>
              </w:rPr>
              <w:t>99.037</w:t>
            </w:r>
          </w:p>
        </w:tc>
      </w:tr>
      <w:tr w:rsidR="004D2A7B" w:rsidRPr="00BA1411" w14:paraId="6A4C191E" w14:textId="77777777" w:rsidTr="00CC41BC">
        <w:trPr>
          <w:trHeight w:val="20"/>
        </w:trPr>
        <w:tc>
          <w:tcPr>
            <w:tcW w:w="3896"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tcPr>
          <w:p w14:paraId="5FA5A35D" w14:textId="77777777" w:rsidR="004D2A7B" w:rsidRPr="00BA1411" w:rsidRDefault="004D2A7B" w:rsidP="00CC41BC">
            <w:pPr>
              <w:spacing w:after="0" w:line="240" w:lineRule="auto"/>
              <w:rPr>
                <w:rFonts w:eastAsia="Times New Roman" w:cstheme="minorHAnsi"/>
                <w:b/>
                <w:color w:val="000000"/>
                <w:sz w:val="20"/>
                <w:szCs w:val="20"/>
                <w:lang w:eastAsia="hr-HR"/>
              </w:rPr>
            </w:pPr>
            <w:r w:rsidRPr="00BA1411">
              <w:rPr>
                <w:rFonts w:eastAsia="Times New Roman" w:cstheme="minorHAnsi"/>
                <w:b/>
                <w:color w:val="000000"/>
                <w:sz w:val="20"/>
                <w:szCs w:val="20"/>
                <w:lang w:eastAsia="hr-HR"/>
              </w:rPr>
              <w:t xml:space="preserve">Obrađeno postupcima </w:t>
            </w:r>
            <w:proofErr w:type="spellStart"/>
            <w:r w:rsidRPr="00BA1411">
              <w:rPr>
                <w:rFonts w:eastAsia="Times New Roman" w:cstheme="minorHAnsi"/>
                <w:b/>
                <w:color w:val="000000"/>
                <w:sz w:val="20"/>
                <w:szCs w:val="20"/>
                <w:lang w:eastAsia="hr-HR"/>
              </w:rPr>
              <w:t>predobrade</w:t>
            </w:r>
            <w:proofErr w:type="spellEnd"/>
            <w:r w:rsidRPr="00BA1411">
              <w:rPr>
                <w:rFonts w:eastAsia="Times New Roman" w:cstheme="minorHAnsi"/>
                <w:b/>
                <w:color w:val="000000"/>
                <w:sz w:val="20"/>
                <w:szCs w:val="20"/>
                <w:lang w:eastAsia="hr-HR"/>
              </w:rPr>
              <w:t xml:space="preserve"> u RH (nakon čega slijedi izvoz)</w:t>
            </w:r>
          </w:p>
        </w:tc>
        <w:tc>
          <w:tcPr>
            <w:tcW w:w="4047" w:type="dxa"/>
            <w:gridSpan w:val="3"/>
            <w:tcBorders>
              <w:top w:val="single" w:sz="4" w:space="0" w:color="auto"/>
              <w:left w:val="nil"/>
              <w:bottom w:val="single" w:sz="4" w:space="0" w:color="auto"/>
              <w:right w:val="single" w:sz="4" w:space="0" w:color="auto"/>
            </w:tcBorders>
            <w:shd w:val="clear" w:color="auto" w:fill="D5DCE4" w:themeFill="text2" w:themeFillTint="33"/>
            <w:noWrap/>
            <w:vAlign w:val="bottom"/>
          </w:tcPr>
          <w:p w14:paraId="7079003F" w14:textId="77777777" w:rsidR="004D2A7B" w:rsidRPr="00BA1411" w:rsidRDefault="004D2A7B" w:rsidP="00CC41BC">
            <w:pPr>
              <w:spacing w:after="0" w:line="240" w:lineRule="auto"/>
              <w:jc w:val="right"/>
              <w:rPr>
                <w:rFonts w:eastAsia="Times New Roman" w:cstheme="minorHAnsi"/>
                <w:color w:val="000000"/>
                <w:sz w:val="20"/>
                <w:szCs w:val="20"/>
                <w:lang w:eastAsia="hr-HR"/>
              </w:rPr>
            </w:pPr>
          </w:p>
        </w:tc>
        <w:tc>
          <w:tcPr>
            <w:tcW w:w="1117" w:type="dxa"/>
            <w:tcBorders>
              <w:top w:val="single" w:sz="4" w:space="0" w:color="auto"/>
              <w:left w:val="nil"/>
              <w:bottom w:val="single" w:sz="4" w:space="0" w:color="auto"/>
              <w:right w:val="single" w:sz="4" w:space="0" w:color="auto"/>
            </w:tcBorders>
            <w:shd w:val="clear" w:color="auto" w:fill="D5DCE4" w:themeFill="text2" w:themeFillTint="33"/>
            <w:noWrap/>
            <w:vAlign w:val="bottom"/>
          </w:tcPr>
          <w:p w14:paraId="6D0B6C71" w14:textId="77777777" w:rsidR="004D2A7B" w:rsidRPr="00BA1411" w:rsidRDefault="004D2A7B" w:rsidP="00CC41BC">
            <w:pPr>
              <w:spacing w:after="0" w:line="240" w:lineRule="auto"/>
              <w:jc w:val="right"/>
              <w:rPr>
                <w:rFonts w:eastAsia="Times New Roman" w:cstheme="minorHAnsi"/>
                <w:b/>
                <w:color w:val="000000"/>
                <w:sz w:val="20"/>
                <w:szCs w:val="20"/>
                <w:lang w:eastAsia="hr-HR"/>
              </w:rPr>
            </w:pPr>
            <w:r w:rsidRPr="00BA1411">
              <w:rPr>
                <w:rFonts w:eastAsia="Times New Roman" w:cstheme="minorHAnsi"/>
                <w:b/>
                <w:color w:val="000000"/>
                <w:sz w:val="20"/>
                <w:szCs w:val="20"/>
                <w:lang w:eastAsia="hr-HR"/>
              </w:rPr>
              <w:t xml:space="preserve">69.159 </w:t>
            </w:r>
          </w:p>
        </w:tc>
      </w:tr>
      <w:tr w:rsidR="004D2A7B" w:rsidRPr="00BA1411" w14:paraId="6DCB7EAB" w14:textId="77777777" w:rsidTr="00CC41BC">
        <w:trPr>
          <w:trHeight w:val="20"/>
        </w:trPr>
        <w:tc>
          <w:tcPr>
            <w:tcW w:w="3896"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tcPr>
          <w:p w14:paraId="046C8DA9" w14:textId="77777777" w:rsidR="004D2A7B" w:rsidRPr="00BA1411" w:rsidRDefault="004D2A7B" w:rsidP="00CC41BC">
            <w:pPr>
              <w:spacing w:after="0" w:line="240" w:lineRule="auto"/>
              <w:rPr>
                <w:rFonts w:eastAsia="Times New Roman" w:cstheme="minorHAnsi"/>
                <w:b/>
                <w:color w:val="000000"/>
                <w:sz w:val="20"/>
                <w:szCs w:val="20"/>
                <w:lang w:eastAsia="hr-HR"/>
              </w:rPr>
            </w:pPr>
            <w:r w:rsidRPr="00BA1411">
              <w:rPr>
                <w:rFonts w:eastAsia="Times New Roman" w:cstheme="minorHAnsi"/>
                <w:b/>
                <w:color w:val="000000"/>
                <w:sz w:val="20"/>
                <w:szCs w:val="20"/>
                <w:lang w:eastAsia="hr-HR"/>
              </w:rPr>
              <w:t xml:space="preserve">Direktno izvezeno </w:t>
            </w:r>
          </w:p>
        </w:tc>
        <w:tc>
          <w:tcPr>
            <w:tcW w:w="4047" w:type="dxa"/>
            <w:gridSpan w:val="3"/>
            <w:tcBorders>
              <w:top w:val="single" w:sz="4" w:space="0" w:color="auto"/>
              <w:left w:val="nil"/>
              <w:bottom w:val="single" w:sz="4" w:space="0" w:color="auto"/>
              <w:right w:val="single" w:sz="4" w:space="0" w:color="auto"/>
            </w:tcBorders>
            <w:shd w:val="clear" w:color="auto" w:fill="D5DCE4" w:themeFill="text2" w:themeFillTint="33"/>
            <w:noWrap/>
            <w:vAlign w:val="bottom"/>
          </w:tcPr>
          <w:p w14:paraId="5383463D" w14:textId="77777777" w:rsidR="004D2A7B" w:rsidRPr="00BA1411" w:rsidRDefault="004D2A7B" w:rsidP="00CC41BC">
            <w:pPr>
              <w:spacing w:after="0" w:line="240" w:lineRule="auto"/>
              <w:jc w:val="right"/>
              <w:rPr>
                <w:rFonts w:eastAsia="Times New Roman" w:cstheme="minorHAnsi"/>
                <w:color w:val="000000"/>
                <w:sz w:val="20"/>
                <w:szCs w:val="20"/>
                <w:lang w:eastAsia="hr-HR"/>
              </w:rPr>
            </w:pPr>
          </w:p>
        </w:tc>
        <w:tc>
          <w:tcPr>
            <w:tcW w:w="1117" w:type="dxa"/>
            <w:tcBorders>
              <w:top w:val="single" w:sz="4" w:space="0" w:color="auto"/>
              <w:left w:val="nil"/>
              <w:bottom w:val="single" w:sz="4" w:space="0" w:color="auto"/>
              <w:right w:val="single" w:sz="4" w:space="0" w:color="auto"/>
            </w:tcBorders>
            <w:shd w:val="clear" w:color="auto" w:fill="D5DCE4" w:themeFill="text2" w:themeFillTint="33"/>
            <w:noWrap/>
            <w:vAlign w:val="bottom"/>
          </w:tcPr>
          <w:p w14:paraId="6E2A74B0" w14:textId="77777777" w:rsidR="004D2A7B" w:rsidRPr="00BA1411" w:rsidRDefault="004D2A7B" w:rsidP="00CC41BC">
            <w:pPr>
              <w:spacing w:after="0" w:line="240" w:lineRule="auto"/>
              <w:jc w:val="right"/>
              <w:rPr>
                <w:rFonts w:eastAsia="Times New Roman" w:cstheme="minorHAnsi"/>
                <w:b/>
                <w:color w:val="000000"/>
                <w:sz w:val="20"/>
                <w:szCs w:val="20"/>
                <w:lang w:eastAsia="hr-HR"/>
              </w:rPr>
            </w:pPr>
            <w:r w:rsidRPr="00BA1411">
              <w:rPr>
                <w:rFonts w:eastAsia="Times New Roman" w:cstheme="minorHAnsi"/>
                <w:b/>
                <w:color w:val="000000"/>
                <w:sz w:val="20"/>
                <w:szCs w:val="20"/>
                <w:lang w:eastAsia="hr-HR"/>
              </w:rPr>
              <w:t>18.760</w:t>
            </w:r>
          </w:p>
        </w:tc>
      </w:tr>
      <w:tr w:rsidR="004D2A7B" w:rsidRPr="00BA1411" w14:paraId="2D274C73" w14:textId="77777777" w:rsidTr="00CC41BC">
        <w:trPr>
          <w:trHeight w:val="20"/>
        </w:trPr>
        <w:tc>
          <w:tcPr>
            <w:tcW w:w="3896"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tcPr>
          <w:p w14:paraId="32C75457" w14:textId="77777777" w:rsidR="004D2A7B" w:rsidRPr="00BA1411" w:rsidRDefault="004D2A7B" w:rsidP="00CC41BC">
            <w:pPr>
              <w:spacing w:after="0" w:line="240" w:lineRule="auto"/>
              <w:rPr>
                <w:rFonts w:eastAsia="Times New Roman" w:cstheme="minorHAnsi"/>
                <w:b/>
                <w:color w:val="000000"/>
                <w:sz w:val="20"/>
                <w:szCs w:val="20"/>
                <w:lang w:eastAsia="hr-HR"/>
              </w:rPr>
            </w:pPr>
            <w:r w:rsidRPr="00BA1411">
              <w:rPr>
                <w:rFonts w:eastAsia="Times New Roman" w:cstheme="minorHAnsi"/>
                <w:b/>
                <w:color w:val="000000"/>
                <w:sz w:val="20"/>
                <w:szCs w:val="20"/>
                <w:lang w:eastAsia="hr-HR"/>
              </w:rPr>
              <w:t>Ukupno</w:t>
            </w:r>
          </w:p>
        </w:tc>
        <w:tc>
          <w:tcPr>
            <w:tcW w:w="4047" w:type="dxa"/>
            <w:gridSpan w:val="3"/>
            <w:tcBorders>
              <w:top w:val="single" w:sz="4" w:space="0" w:color="auto"/>
              <w:left w:val="nil"/>
              <w:bottom w:val="single" w:sz="4" w:space="0" w:color="auto"/>
              <w:right w:val="single" w:sz="4" w:space="0" w:color="auto"/>
            </w:tcBorders>
            <w:shd w:val="clear" w:color="auto" w:fill="D5DCE4" w:themeFill="text2" w:themeFillTint="33"/>
            <w:noWrap/>
            <w:vAlign w:val="bottom"/>
          </w:tcPr>
          <w:p w14:paraId="23FB6EF0" w14:textId="77777777" w:rsidR="004D2A7B" w:rsidRPr="00BA1411" w:rsidRDefault="004D2A7B" w:rsidP="00CC41BC">
            <w:pPr>
              <w:spacing w:after="0" w:line="240" w:lineRule="auto"/>
              <w:jc w:val="right"/>
              <w:rPr>
                <w:rFonts w:eastAsia="Times New Roman" w:cstheme="minorHAnsi"/>
                <w:color w:val="000000"/>
                <w:sz w:val="20"/>
                <w:szCs w:val="20"/>
                <w:lang w:eastAsia="hr-HR"/>
              </w:rPr>
            </w:pPr>
          </w:p>
        </w:tc>
        <w:tc>
          <w:tcPr>
            <w:tcW w:w="1117" w:type="dxa"/>
            <w:tcBorders>
              <w:top w:val="single" w:sz="4" w:space="0" w:color="auto"/>
              <w:left w:val="nil"/>
              <w:bottom w:val="single" w:sz="4" w:space="0" w:color="auto"/>
              <w:right w:val="single" w:sz="4" w:space="0" w:color="auto"/>
            </w:tcBorders>
            <w:shd w:val="clear" w:color="auto" w:fill="D5DCE4" w:themeFill="text2" w:themeFillTint="33"/>
            <w:noWrap/>
            <w:vAlign w:val="bottom"/>
          </w:tcPr>
          <w:p w14:paraId="7FDBC526" w14:textId="77777777" w:rsidR="004D2A7B" w:rsidRPr="00BA1411" w:rsidRDefault="004D2A7B" w:rsidP="00CC41BC">
            <w:pPr>
              <w:spacing w:after="0" w:line="240" w:lineRule="auto"/>
              <w:jc w:val="right"/>
              <w:rPr>
                <w:rFonts w:eastAsia="Times New Roman" w:cstheme="minorHAnsi"/>
                <w:b/>
                <w:color w:val="000000"/>
                <w:sz w:val="20"/>
                <w:szCs w:val="20"/>
                <w:lang w:eastAsia="hr-HR"/>
              </w:rPr>
            </w:pPr>
            <w:r w:rsidRPr="00BA1411">
              <w:rPr>
                <w:rFonts w:eastAsia="Times New Roman" w:cstheme="minorHAnsi"/>
                <w:b/>
                <w:color w:val="000000"/>
                <w:sz w:val="20"/>
                <w:szCs w:val="20"/>
                <w:lang w:eastAsia="hr-HR"/>
              </w:rPr>
              <w:t>186.956</w:t>
            </w:r>
          </w:p>
        </w:tc>
      </w:tr>
    </w:tbl>
    <w:p w14:paraId="57ACA52D" w14:textId="77777777" w:rsidR="004D2A7B" w:rsidRPr="00BA1411" w:rsidRDefault="004D2A7B" w:rsidP="00BA1411">
      <w:pPr>
        <w:spacing w:after="240"/>
        <w:jc w:val="right"/>
        <w:rPr>
          <w:i/>
          <w:iCs/>
          <w:sz w:val="18"/>
          <w:szCs w:val="20"/>
        </w:rPr>
      </w:pPr>
      <w:r w:rsidRPr="00BA1411">
        <w:rPr>
          <w:i/>
          <w:iCs/>
          <w:sz w:val="18"/>
          <w:szCs w:val="20"/>
        </w:rPr>
        <w:t xml:space="preserve">        Izvor: MINGOR</w:t>
      </w:r>
    </w:p>
    <w:p w14:paraId="05FD5178" w14:textId="1D366C57" w:rsidR="000444C4" w:rsidRPr="00460193" w:rsidRDefault="000444C4" w:rsidP="00A22739">
      <w:pPr>
        <w:pStyle w:val="IRNaslov3"/>
        <w:numPr>
          <w:ilvl w:val="2"/>
          <w:numId w:val="22"/>
        </w:numPr>
        <w:rPr>
          <w:rStyle w:val="zadanifontodlomka-000023"/>
          <w:rFonts w:asciiTheme="minorHAnsi" w:hAnsiTheme="minorHAnsi"/>
          <w:color w:val="auto"/>
          <w:szCs w:val="26"/>
        </w:rPr>
      </w:pPr>
      <w:bookmarkStart w:id="35" w:name="_Toc123211637"/>
      <w:bookmarkEnd w:id="22"/>
      <w:r w:rsidRPr="00A22739">
        <w:rPr>
          <w:rStyle w:val="zadanifontodlomka-000023"/>
          <w:rFonts w:asciiTheme="minorHAnsi" w:hAnsiTheme="minorHAnsi"/>
          <w:color w:val="auto"/>
          <w:szCs w:val="26"/>
        </w:rPr>
        <w:t>Komunalni</w:t>
      </w:r>
      <w:r w:rsidRPr="00460193">
        <w:rPr>
          <w:rStyle w:val="zadanifontodlomka-000023"/>
          <w:rFonts w:asciiTheme="minorHAnsi" w:hAnsiTheme="minorHAnsi"/>
          <w:color w:val="auto"/>
          <w:szCs w:val="26"/>
        </w:rPr>
        <w:t xml:space="preserve"> otpad</w:t>
      </w:r>
      <w:bookmarkEnd w:id="35"/>
    </w:p>
    <w:p w14:paraId="16DA5E08" w14:textId="6CB83C24" w:rsidR="00BA1411" w:rsidRPr="00223644" w:rsidRDefault="00BA1411" w:rsidP="00BA1411">
      <w:pPr>
        <w:rPr>
          <w:i/>
          <w:iCs/>
        </w:rPr>
      </w:pPr>
      <w:r w:rsidRPr="006405AF">
        <w:rPr>
          <w:i/>
          <w:iCs/>
        </w:rPr>
        <w:t>Statistika komunalnog otpada temelji se najvećim dijelom na podacima davatelja javne usluge sakupljanja komunalnog otpada</w:t>
      </w:r>
      <w:r w:rsidR="005A368E">
        <w:rPr>
          <w:i/>
          <w:iCs/>
        </w:rPr>
        <w:t xml:space="preserve"> </w:t>
      </w:r>
      <w:r w:rsidR="00906E7F" w:rsidRPr="006405AF">
        <w:rPr>
          <w:i/>
          <w:iCs/>
        </w:rPr>
        <w:t>(u daljnjem tekstu: javna usluga)</w:t>
      </w:r>
      <w:r w:rsidR="00906E7F" w:rsidRPr="00906E7F">
        <w:rPr>
          <w:i/>
          <w:iCs/>
        </w:rPr>
        <w:t xml:space="preserve"> </w:t>
      </w:r>
      <w:r w:rsidR="00906E7F">
        <w:rPr>
          <w:i/>
          <w:iCs/>
        </w:rPr>
        <w:t xml:space="preserve">uključujući i </w:t>
      </w:r>
      <w:r w:rsidR="00906E7F" w:rsidRPr="006405AF">
        <w:rPr>
          <w:i/>
          <w:iCs/>
        </w:rPr>
        <w:t>poda</w:t>
      </w:r>
      <w:r w:rsidR="00906E7F">
        <w:rPr>
          <w:i/>
          <w:iCs/>
        </w:rPr>
        <w:t>tke</w:t>
      </w:r>
      <w:r w:rsidR="00906E7F" w:rsidRPr="006405AF">
        <w:rPr>
          <w:i/>
          <w:iCs/>
        </w:rPr>
        <w:t xml:space="preserve"> </w:t>
      </w:r>
      <w:proofErr w:type="spellStart"/>
      <w:r w:rsidR="00906E7F" w:rsidRPr="006405AF">
        <w:rPr>
          <w:i/>
          <w:iCs/>
        </w:rPr>
        <w:t>reciklažnih</w:t>
      </w:r>
      <w:proofErr w:type="spellEnd"/>
      <w:r w:rsidR="00906E7F" w:rsidRPr="006405AF">
        <w:rPr>
          <w:i/>
          <w:iCs/>
        </w:rPr>
        <w:t xml:space="preserve"> dvorišta (mobilnih i stacionarnih)</w:t>
      </w:r>
      <w:r w:rsidRPr="006405AF">
        <w:rPr>
          <w:i/>
          <w:iCs/>
        </w:rPr>
        <w:t>, poda</w:t>
      </w:r>
      <w:r w:rsidR="005A368E">
        <w:rPr>
          <w:i/>
          <w:iCs/>
        </w:rPr>
        <w:t>tke</w:t>
      </w:r>
      <w:r w:rsidRPr="006405AF">
        <w:rPr>
          <w:i/>
          <w:iCs/>
        </w:rPr>
        <w:t xml:space="preserve"> trgovaca na malo te </w:t>
      </w:r>
      <w:r w:rsidR="005A368E" w:rsidRPr="006405AF">
        <w:rPr>
          <w:i/>
          <w:iCs/>
        </w:rPr>
        <w:t>pod</w:t>
      </w:r>
      <w:r w:rsidR="005A368E">
        <w:rPr>
          <w:i/>
          <w:iCs/>
        </w:rPr>
        <w:t>atke</w:t>
      </w:r>
      <w:r w:rsidR="005A368E" w:rsidRPr="006405AF">
        <w:rPr>
          <w:i/>
          <w:iCs/>
        </w:rPr>
        <w:t xml:space="preserve"> </w:t>
      </w:r>
      <w:r w:rsidRPr="006405AF">
        <w:rPr>
          <w:i/>
          <w:iCs/>
        </w:rPr>
        <w:t>obrađivača otpada (uključujući i odlagališta otpada) koji se na godišnjoj razini prijavljuju u Informacijski sustav gospodarenja otpadom</w:t>
      </w:r>
      <w:r w:rsidRPr="006405AF">
        <w:rPr>
          <w:rStyle w:val="Referencafusnote"/>
          <w:i/>
          <w:iCs/>
        </w:rPr>
        <w:footnoteReference w:id="12"/>
      </w:r>
      <w:r w:rsidRPr="006405AF">
        <w:rPr>
          <w:i/>
          <w:iCs/>
        </w:rPr>
        <w:t>. Uz navedene podatke korišteni su i godišnji podaci izvoznika otpada te je izrađena procjena količina</w:t>
      </w:r>
      <w:r w:rsidR="0087705F">
        <w:rPr>
          <w:i/>
          <w:iCs/>
        </w:rPr>
        <w:t xml:space="preserve"> komunalnog otpada</w:t>
      </w:r>
      <w:r w:rsidRPr="006405AF">
        <w:rPr>
          <w:i/>
          <w:iCs/>
        </w:rPr>
        <w:t xml:space="preserve"> za stanovništv</w:t>
      </w:r>
      <w:r w:rsidR="0087705F">
        <w:rPr>
          <w:i/>
          <w:iCs/>
        </w:rPr>
        <w:t xml:space="preserve">o </w:t>
      </w:r>
      <w:r w:rsidR="0087705F" w:rsidRPr="006405AF">
        <w:rPr>
          <w:i/>
          <w:iCs/>
        </w:rPr>
        <w:t>neobuhvaćen</w:t>
      </w:r>
      <w:r w:rsidR="0087705F">
        <w:rPr>
          <w:i/>
          <w:iCs/>
        </w:rPr>
        <w:t>o</w:t>
      </w:r>
      <w:r w:rsidR="0087705F" w:rsidRPr="006405AF">
        <w:rPr>
          <w:i/>
          <w:iCs/>
        </w:rPr>
        <w:t xml:space="preserve"> </w:t>
      </w:r>
      <w:r w:rsidRPr="006405AF">
        <w:rPr>
          <w:i/>
          <w:iCs/>
        </w:rPr>
        <w:t>javnom uslugom.</w:t>
      </w:r>
    </w:p>
    <w:p w14:paraId="52561107" w14:textId="7A94EF7A" w:rsidR="00BA1411" w:rsidRDefault="00BA1411" w:rsidP="00BA1411">
      <w:r w:rsidRPr="00223644">
        <w:t xml:space="preserve">Komunalni otpad definiran je </w:t>
      </w:r>
      <w:r w:rsidR="006405AF">
        <w:t>ZGO-om</w:t>
      </w:r>
      <w:r w:rsidRPr="00223644">
        <w:t xml:space="preserve"> kao </w:t>
      </w:r>
      <w:r w:rsidRPr="00E86259">
        <w:rPr>
          <w:highlight w:val="yellow"/>
        </w:rPr>
        <w:t xml:space="preserve">miješani komunalni otpad i odvojeno sakupljeni otpad iz </w:t>
      </w:r>
      <w:commentRangeStart w:id="36"/>
      <w:r w:rsidRPr="00E86259">
        <w:rPr>
          <w:highlight w:val="yellow"/>
        </w:rPr>
        <w:t>kućanstava</w:t>
      </w:r>
      <w:commentRangeEnd w:id="36"/>
      <w:r w:rsidR="00E86259">
        <w:rPr>
          <w:rStyle w:val="Referencakomentara"/>
        </w:rPr>
        <w:commentReference w:id="36"/>
      </w:r>
      <w:r w:rsidRPr="00223644">
        <w:t>, uključujući papir i karton, staklo, metal, plastiku, biootpad, drvo, tekstil, ambalažu, otpadnu električnu i elektroničku opremu, otpadne baterije i akumulatore te glomazni otpad, uključujući madrace i namještaj te miješani komunalni otpad i odvojeno sakupljeni otpad iz drugih izvora, ako je taj otpad sličan po prirodi i sastavu otpadu iz kućanstva, ali ne uključuje otpad iz proizvodnje, poljoprivrede, šumarstva, ribarstva i akvakulture, septičkih jama i kanalizacije i uređaja za obradu otpadnih voda, uključujući kanalizacijski mulj, otpadna vozila i građevni otpad, pri čemu se ovom definicijom ne dovodi u pitanje raspodjela odgovornosti za gospodarenje otpadom između javnih i privatnih subjekata. Navedena definicija usklađena je s točkom 2.b članka 3. Direktive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p w14:paraId="6382B7D8" w14:textId="35169EA7" w:rsidR="00877B12" w:rsidRPr="00460193" w:rsidRDefault="00877B12" w:rsidP="00700671">
      <w:pPr>
        <w:pStyle w:val="IRNaslov4"/>
      </w:pPr>
      <w:r w:rsidRPr="00460193">
        <w:t>Nastali komunalni otpad</w:t>
      </w:r>
    </w:p>
    <w:p w14:paraId="28D3CB70" w14:textId="4651EFE9" w:rsidR="00877B12" w:rsidRPr="00223644" w:rsidRDefault="00877B12" w:rsidP="00877B12">
      <w:r w:rsidRPr="008C5FC0">
        <w:t>Od 2016. godine sve općine/gradovi (u daljnjem tekstu: JLS) obuhvaćene su javnom uslugom</w:t>
      </w:r>
      <w:r w:rsidRPr="00223644">
        <w:t xml:space="preserve"> sakupljanja komunalnog otpada. </w:t>
      </w:r>
      <w:r w:rsidR="006B2BF6" w:rsidRPr="006B2BF6">
        <w:t>U 2021. javnom uslugom</w:t>
      </w:r>
      <w:r w:rsidR="006B2BF6">
        <w:t xml:space="preserve"> bilo</w:t>
      </w:r>
      <w:r w:rsidR="006B2BF6" w:rsidRPr="006B2BF6">
        <w:t xml:space="preserve"> je obuhvaćeno 99,8% stanovništva odnosno 0,2% stanovništva nije bilo obuhvaćeno</w:t>
      </w:r>
      <w:r w:rsidRPr="00223644">
        <w:t xml:space="preserve">. </w:t>
      </w:r>
    </w:p>
    <w:p w14:paraId="603045BA" w14:textId="65EE5614" w:rsidR="00877B12" w:rsidRPr="00223644" w:rsidRDefault="00877B12" w:rsidP="00877B12">
      <w:r w:rsidRPr="00223644">
        <w:lastRenderedPageBreak/>
        <w:t xml:space="preserve">U razdoblju od 1995. do 2008. godine količine komunalnog otpada u RH su u porastu, nakon čega se do 2010. godine evidentira smanjenje nastalih količina kao posljedica gospodarske krize. Od 2011. do 2019. godine </w:t>
      </w:r>
      <w:r w:rsidR="00114AAF">
        <w:t xml:space="preserve">godišnje </w:t>
      </w:r>
      <w:r w:rsidRPr="00223644">
        <w:t>količine nastalog komunalnog otpada lagano osciliraju, te se kreću između 1,6 i 1,8 milijuna tona. U 2020. godini, kao posljedica pandemij</w:t>
      </w:r>
      <w:r>
        <w:t>e</w:t>
      </w:r>
      <w:r w:rsidRPr="00223644">
        <w:t xml:space="preserve"> COVID-19 uslijed koje je došlo do značajnog smanjenja rada uslužnog sektora (</w:t>
      </w:r>
      <w:r>
        <w:t xml:space="preserve">ograničenja rada i </w:t>
      </w:r>
      <w:r w:rsidRPr="00223644">
        <w:t>zatvaranje ugostiteljskih objekata,</w:t>
      </w:r>
      <w:r>
        <w:t xml:space="preserve"> </w:t>
      </w:r>
      <w:r w:rsidRPr="00320DAD">
        <w:t>rada kulturnih djelatnosti</w:t>
      </w:r>
      <w:r w:rsidRPr="00223644">
        <w:t xml:space="preserve"> </w:t>
      </w:r>
      <w:r>
        <w:t xml:space="preserve">te posljedično </w:t>
      </w:r>
      <w:r w:rsidRPr="00223644">
        <w:t xml:space="preserve">smanjen broj turističkih noćenja) količine komunalnog otpada </w:t>
      </w:r>
      <w:r w:rsidR="00F36AD2">
        <w:t xml:space="preserve">bile </w:t>
      </w:r>
      <w:r w:rsidRPr="00223644">
        <w:t>su na vrijednost</w:t>
      </w:r>
      <w:r w:rsidR="00CA13B5">
        <w:t>i</w:t>
      </w:r>
      <w:r w:rsidRPr="00223644">
        <w:t xml:space="preserve"> iz 2014. godine. </w:t>
      </w:r>
      <w:r>
        <w:t>Ublažavanjem epidemioloških mjera i intenziviranjem aktivnosti</w:t>
      </w:r>
      <w:r w:rsidRPr="00223644">
        <w:t xml:space="preserve"> uslužnog sektora u 2021. godini</w:t>
      </w:r>
      <w:r>
        <w:t xml:space="preserve"> dolazi do porasta</w:t>
      </w:r>
      <w:r w:rsidRPr="00223644">
        <w:t xml:space="preserve"> količin</w:t>
      </w:r>
      <w:r>
        <w:t>e</w:t>
      </w:r>
      <w:r w:rsidRPr="00223644">
        <w:t xml:space="preserve"> </w:t>
      </w:r>
      <w:r>
        <w:t xml:space="preserve">nastalog </w:t>
      </w:r>
      <w:r w:rsidRPr="00223644">
        <w:t>komunalnog</w:t>
      </w:r>
      <w:r w:rsidR="000E0F98">
        <w:t xml:space="preserve"> otpada</w:t>
      </w:r>
      <w:r w:rsidRPr="00223644">
        <w:t xml:space="preserve"> </w:t>
      </w:r>
      <w:r>
        <w:t>(</w:t>
      </w:r>
      <w:r w:rsidRPr="00223644">
        <w:t>1.766.560 t</w:t>
      </w:r>
      <w:r>
        <w:t>)</w:t>
      </w:r>
      <w:r w:rsidR="00F36AD2">
        <w:t xml:space="preserve"> </w:t>
      </w:r>
      <w:r w:rsidR="00F36AD2" w:rsidRPr="00F36AD2">
        <w:t>na razinu iz 2018</w:t>
      </w:r>
      <w:r w:rsidR="00F36AD2">
        <w:t>. godine</w:t>
      </w:r>
      <w:r w:rsidRPr="00223644">
        <w:t xml:space="preserve">. </w:t>
      </w:r>
    </w:p>
    <w:p w14:paraId="36EFD9B2" w14:textId="036939CD" w:rsidR="00877B12" w:rsidRPr="00223644" w:rsidRDefault="00877B12" w:rsidP="00877B12">
      <w:r w:rsidRPr="00E86259">
        <w:rPr>
          <w:highlight w:val="yellow"/>
        </w:rPr>
        <w:t xml:space="preserve">Godišnja količina komunalnog otpada koja je nastala po stanovniku, u 2021. godini iznosila je 454 kg što je najveća vrijednost </w:t>
      </w:r>
      <w:r w:rsidR="00F36AD2" w:rsidRPr="00E86259">
        <w:rPr>
          <w:highlight w:val="yellow"/>
        </w:rPr>
        <w:t>od 1995. godine</w:t>
      </w:r>
      <w:r w:rsidRPr="00223644">
        <w:t xml:space="preserve">. Navedeno se može pripisati korištenju </w:t>
      </w:r>
      <w:r>
        <w:t>podataka P</w:t>
      </w:r>
      <w:r w:rsidRPr="00223644">
        <w:t>opisa stanovn</w:t>
      </w:r>
      <w:r>
        <w:t>ištva</w:t>
      </w:r>
      <w:r w:rsidRPr="00223644">
        <w:t xml:space="preserve"> 2021. godine koji je rezultirao značajno nižim vrijednostima od procjena stanovnika EUROSTAT-a</w:t>
      </w:r>
      <w:r>
        <w:t>,</w:t>
      </w:r>
      <w:r w:rsidRPr="00223644">
        <w:t xml:space="preserve"> </w:t>
      </w:r>
      <w:r>
        <w:t xml:space="preserve">a </w:t>
      </w:r>
      <w:r w:rsidRPr="00223644">
        <w:t xml:space="preserve">koje su se koristile </w:t>
      </w:r>
      <w:r>
        <w:t>prilikom</w:t>
      </w:r>
      <w:r w:rsidRPr="00223644">
        <w:t xml:space="preserve"> izračuna </w:t>
      </w:r>
      <w:r>
        <w:t>tijekom</w:t>
      </w:r>
      <w:r w:rsidRPr="00223644">
        <w:t xml:space="preserve"> prethodni</w:t>
      </w:r>
      <w:r>
        <w:t>h</w:t>
      </w:r>
      <w:r w:rsidRPr="00223644">
        <w:t xml:space="preserve"> godi</w:t>
      </w:r>
      <w:r>
        <w:t>na</w:t>
      </w:r>
      <w:r w:rsidRPr="00223644">
        <w:t>. Godišnja količina koja nast</w:t>
      </w:r>
      <w:r>
        <w:t>a</w:t>
      </w:r>
      <w:r w:rsidRPr="00223644">
        <w:t xml:space="preserve">je po stanovniku u RH još uvijek je značajno </w:t>
      </w:r>
      <w:r w:rsidRPr="00E86259">
        <w:rPr>
          <w:highlight w:val="yellow"/>
        </w:rPr>
        <w:t>niža od prosjeka EU 27 koji je prema posljednjim raspoloživim podacima za 2020. iznosio 505 kg/stanovnik</w:t>
      </w:r>
      <w:r w:rsidRPr="00223644">
        <w:t xml:space="preserve">. </w:t>
      </w:r>
    </w:p>
    <w:p w14:paraId="3D625790" w14:textId="77777777" w:rsidR="00E62ECA" w:rsidRDefault="00E62ECA" w:rsidP="00877B12">
      <w:pPr>
        <w:spacing w:after="0"/>
        <w:jc w:val="right"/>
        <w:rPr>
          <w:i/>
          <w:iCs/>
          <w:sz w:val="18"/>
          <w:szCs w:val="20"/>
        </w:rPr>
      </w:pPr>
    </w:p>
    <w:p w14:paraId="71FD6002" w14:textId="50F76173" w:rsidR="00877B12" w:rsidRPr="00877B12" w:rsidRDefault="00877B12" w:rsidP="00877B12">
      <w:pPr>
        <w:spacing w:after="0"/>
        <w:jc w:val="right"/>
        <w:rPr>
          <w:i/>
          <w:iCs/>
          <w:sz w:val="18"/>
          <w:szCs w:val="20"/>
        </w:rPr>
      </w:pPr>
      <w:r w:rsidRPr="00877B12">
        <w:rPr>
          <w:i/>
          <w:iCs/>
          <w:sz w:val="18"/>
          <w:szCs w:val="20"/>
        </w:rPr>
        <w:t>*zadnji raspoloživ podatak za EU 27 je 2020. godina</w:t>
      </w:r>
    </w:p>
    <w:p w14:paraId="20592104" w14:textId="77777777" w:rsidR="00877B12" w:rsidRPr="00877B12" w:rsidRDefault="00877B12" w:rsidP="00877B12">
      <w:pPr>
        <w:spacing w:after="0"/>
        <w:jc w:val="right"/>
        <w:rPr>
          <w:i/>
          <w:iCs/>
          <w:sz w:val="18"/>
          <w:szCs w:val="20"/>
        </w:rPr>
      </w:pPr>
      <w:r w:rsidRPr="00877B12">
        <w:rPr>
          <w:i/>
          <w:iCs/>
          <w:sz w:val="18"/>
          <w:szCs w:val="20"/>
        </w:rPr>
        <w:t>Izvor: MINGOR</w:t>
      </w:r>
    </w:p>
    <w:p w14:paraId="16546CB3" w14:textId="0330131E" w:rsidR="00877B12" w:rsidRPr="00223644" w:rsidRDefault="00877B12" w:rsidP="00877B12">
      <w:pPr>
        <w:pStyle w:val="Slika"/>
      </w:pPr>
      <w:bookmarkStart w:id="37" w:name="_Toc125363914"/>
      <w:r w:rsidRPr="00223644">
        <w:t xml:space="preserve">Slika </w:t>
      </w:r>
      <w:fldSimple w:instr=" SEQ Slika \* ARABIC ">
        <w:r w:rsidR="00F37B62">
          <w:rPr>
            <w:noProof/>
          </w:rPr>
          <w:t>9</w:t>
        </w:r>
      </w:fldSimple>
      <w:r w:rsidRPr="00223644">
        <w:t xml:space="preserve">. </w:t>
      </w:r>
      <w:r w:rsidRPr="00877B12">
        <w:rPr>
          <w:b w:val="0"/>
          <w:bCs/>
        </w:rPr>
        <w:t>Godišnje količine komunalnog otpada nastale u razdoblju od 1995. do 2021. u RH</w:t>
      </w:r>
      <w:bookmarkEnd w:id="37"/>
    </w:p>
    <w:p w14:paraId="3FDAC520" w14:textId="76DB1C99" w:rsidR="00877B12" w:rsidRPr="00223644" w:rsidRDefault="00877B12" w:rsidP="00877B12">
      <w:r w:rsidRPr="00223644">
        <w:t xml:space="preserve">Godišnje količine komunalnog otpada koje su nastale po stanovniku u 2021. godini na županijskoj razini kreću se između 253 kg i 672 kg, a </w:t>
      </w:r>
      <w:r w:rsidR="00F36AD2" w:rsidRPr="00B74915">
        <w:rPr>
          <w:highlight w:val="yellow"/>
        </w:rPr>
        <w:t>odstupanja</w:t>
      </w:r>
      <w:r w:rsidRPr="00B74915">
        <w:rPr>
          <w:highlight w:val="yellow"/>
        </w:rPr>
        <w:t xml:space="preserve"> od prosječne vrijednosti za nacionalnu razinu (454 kg) bilježe se uglavnom kod priobalnih županija što se pripisuje utjecaju turizma</w:t>
      </w:r>
      <w:r w:rsidRPr="00223644">
        <w:t>.</w:t>
      </w:r>
    </w:p>
    <w:p w14:paraId="7F21EEB5" w14:textId="77777777" w:rsidR="00E62ECA" w:rsidRDefault="00E62ECA" w:rsidP="00877B12">
      <w:pPr>
        <w:spacing w:after="0"/>
        <w:jc w:val="right"/>
        <w:rPr>
          <w:i/>
          <w:iCs/>
          <w:sz w:val="18"/>
          <w:szCs w:val="20"/>
        </w:rPr>
      </w:pPr>
    </w:p>
    <w:p w14:paraId="310FFB55" w14:textId="0F605ECF" w:rsidR="00877B12" w:rsidRPr="00877B12" w:rsidRDefault="00877B12" w:rsidP="00877B12">
      <w:pPr>
        <w:spacing w:after="0"/>
        <w:jc w:val="right"/>
        <w:rPr>
          <w:i/>
          <w:iCs/>
          <w:sz w:val="18"/>
          <w:szCs w:val="20"/>
        </w:rPr>
      </w:pPr>
      <w:r w:rsidRPr="00877B12">
        <w:rPr>
          <w:i/>
          <w:iCs/>
          <w:sz w:val="18"/>
          <w:szCs w:val="20"/>
        </w:rPr>
        <w:t>Izvor: MINGOR</w:t>
      </w:r>
    </w:p>
    <w:p w14:paraId="4D29C737" w14:textId="231E9AC3" w:rsidR="00877B12" w:rsidRPr="00223644" w:rsidRDefault="00877B12" w:rsidP="00877B12">
      <w:pPr>
        <w:pStyle w:val="Slika"/>
      </w:pPr>
      <w:bookmarkStart w:id="38" w:name="_Toc125363915"/>
      <w:r w:rsidRPr="00223644">
        <w:t xml:space="preserve">Slika </w:t>
      </w:r>
      <w:fldSimple w:instr=" SEQ Slika \* ARABIC ">
        <w:r w:rsidR="00F37B62">
          <w:rPr>
            <w:noProof/>
          </w:rPr>
          <w:t>10</w:t>
        </w:r>
      </w:fldSimple>
      <w:r w:rsidRPr="00223644">
        <w:t xml:space="preserve">. </w:t>
      </w:r>
      <w:r w:rsidRPr="00877B12">
        <w:rPr>
          <w:b w:val="0"/>
          <w:bCs/>
        </w:rPr>
        <w:t>Godišnja količina nastalog komunalnog otpada po stanovniku u 2021. godini, po županijama</w:t>
      </w:r>
      <w:bookmarkEnd w:id="38"/>
    </w:p>
    <w:p w14:paraId="56CC72EE" w14:textId="12CCEB2F" w:rsidR="00877B12" w:rsidRPr="00223644" w:rsidRDefault="00877B12" w:rsidP="00877B12">
      <w:pPr>
        <w:rPr>
          <w:lang w:eastAsia="hr-HR"/>
        </w:rPr>
      </w:pPr>
      <w:r w:rsidRPr="00223644">
        <w:rPr>
          <w:lang w:eastAsia="hr-HR"/>
        </w:rPr>
        <w:t>S porastom broja turističkih noćenja,</w:t>
      </w:r>
      <w:r w:rsidRPr="00223644" w:rsidDel="00F35874">
        <w:rPr>
          <w:lang w:eastAsia="hr-HR"/>
        </w:rPr>
        <w:t xml:space="preserve"> </w:t>
      </w:r>
      <w:r w:rsidRPr="00223644">
        <w:rPr>
          <w:lang w:eastAsia="hr-HR"/>
        </w:rPr>
        <w:t xml:space="preserve">u razdoblju od 2015. do 2019. godine količine komunalnog otpada koji nastaje u turizmu </w:t>
      </w:r>
      <w:r>
        <w:rPr>
          <w:lang w:eastAsia="hr-HR"/>
        </w:rPr>
        <w:t xml:space="preserve">porasle su </w:t>
      </w:r>
      <w:r w:rsidRPr="00223644">
        <w:rPr>
          <w:lang w:eastAsia="hr-HR"/>
        </w:rPr>
        <w:t xml:space="preserve">za 93 %. U 2020. godini, kao posljedica značajnog pada turističkih noćenja uzorkovanog pandemijom </w:t>
      </w:r>
      <w:r>
        <w:rPr>
          <w:lang w:eastAsia="hr-HR"/>
        </w:rPr>
        <w:t xml:space="preserve">virusa </w:t>
      </w:r>
      <w:r w:rsidRPr="00223644">
        <w:rPr>
          <w:lang w:eastAsia="hr-HR"/>
        </w:rPr>
        <w:t xml:space="preserve">COVID-19 dolazi </w:t>
      </w:r>
      <w:r>
        <w:rPr>
          <w:lang w:eastAsia="hr-HR"/>
        </w:rPr>
        <w:t xml:space="preserve">i </w:t>
      </w:r>
      <w:r w:rsidRPr="00223644">
        <w:rPr>
          <w:lang w:eastAsia="hr-HR"/>
        </w:rPr>
        <w:t xml:space="preserve">do značajnog pada količina komunalnog otpada iz turizma </w:t>
      </w:r>
      <w:r>
        <w:rPr>
          <w:lang w:eastAsia="hr-HR"/>
        </w:rPr>
        <w:t xml:space="preserve">i to </w:t>
      </w:r>
      <w:r w:rsidRPr="00223644">
        <w:rPr>
          <w:lang w:eastAsia="hr-HR"/>
        </w:rPr>
        <w:t xml:space="preserve">na vrijednosti prije 2015. godine. U 2021. godini s porastom broja turističkih noćenja povećava se i količina komunalnog otpada iz turizma te iznosi 136.512 t (tablica 1). U uspješnim turističkim godinama </w:t>
      </w:r>
      <w:r>
        <w:rPr>
          <w:lang w:eastAsia="hr-HR"/>
        </w:rPr>
        <w:t>(poput 2017., 201</w:t>
      </w:r>
      <w:r w:rsidR="000E0F98">
        <w:rPr>
          <w:lang w:eastAsia="hr-HR"/>
        </w:rPr>
        <w:t>8</w:t>
      </w:r>
      <w:r>
        <w:rPr>
          <w:lang w:eastAsia="hr-HR"/>
        </w:rPr>
        <w:t xml:space="preserve">. i 2019.) prosječni </w:t>
      </w:r>
      <w:r w:rsidRPr="00223644">
        <w:rPr>
          <w:lang w:eastAsia="hr-HR"/>
        </w:rPr>
        <w:t xml:space="preserve">udio komunalnog otpada iz turizma u ukupnoj godišnjoj količini komunalnog otpada iznosi 9,3 %. </w:t>
      </w:r>
    </w:p>
    <w:p w14:paraId="7C61E827" w14:textId="21716086" w:rsidR="00877B12" w:rsidRPr="00877B12" w:rsidRDefault="00877B12" w:rsidP="00877B12">
      <w:pPr>
        <w:pStyle w:val="Tablica"/>
        <w:rPr>
          <w:b w:val="0"/>
          <w:bCs/>
          <w:noProof/>
        </w:rPr>
      </w:pPr>
      <w:bookmarkStart w:id="39" w:name="_Toc109398083"/>
      <w:bookmarkStart w:id="40" w:name="_Toc125364395"/>
      <w:r w:rsidRPr="002D6187">
        <w:t xml:space="preserve">Tablica </w:t>
      </w:r>
      <w:fldSimple w:instr=" SEQ Tablica \* ARABIC ">
        <w:r w:rsidR="00F37B62">
          <w:rPr>
            <w:noProof/>
          </w:rPr>
          <w:t>6</w:t>
        </w:r>
      </w:fldSimple>
      <w:r w:rsidRPr="002D6187">
        <w:t>.</w:t>
      </w:r>
      <w:r w:rsidRPr="002D6187">
        <w:rPr>
          <w:noProof/>
        </w:rPr>
        <w:t xml:space="preserve"> </w:t>
      </w:r>
      <w:r w:rsidRPr="00877B12">
        <w:rPr>
          <w:b w:val="0"/>
          <w:bCs/>
          <w:noProof/>
        </w:rPr>
        <w:t>Količina komunalnog otpada iz turizma, 2015.-2021.</w:t>
      </w:r>
      <w:bookmarkEnd w:id="39"/>
      <w:bookmarkEnd w:id="40"/>
      <w:r w:rsidRPr="00877B12">
        <w:rPr>
          <w:b w:val="0"/>
          <w:bCs/>
          <w:noProof/>
        </w:rPr>
        <w:t xml:space="preserve"> </w:t>
      </w:r>
    </w:p>
    <w:tbl>
      <w:tblPr>
        <w:tblStyle w:val="Svijetlareetkatablic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148"/>
        <w:gridCol w:w="3849"/>
        <w:gridCol w:w="4043"/>
      </w:tblGrid>
      <w:tr w:rsidR="00877B12" w:rsidRPr="00877B12" w14:paraId="1BC3DA4E" w14:textId="77777777" w:rsidTr="00CC41BC">
        <w:trPr>
          <w:tblHeader/>
        </w:trPr>
        <w:tc>
          <w:tcPr>
            <w:tcW w:w="635" w:type="pct"/>
            <w:shd w:val="clear" w:color="auto" w:fill="002060"/>
          </w:tcPr>
          <w:p w14:paraId="53141C40" w14:textId="77777777" w:rsidR="00877B12" w:rsidRPr="00877B12" w:rsidRDefault="00877B12" w:rsidP="00CC41BC">
            <w:pPr>
              <w:jc w:val="center"/>
              <w:rPr>
                <w:rFonts w:asciiTheme="minorHAnsi" w:hAnsiTheme="minorHAnsi" w:cstheme="minorHAnsi"/>
                <w:b/>
                <w:bCs/>
              </w:rPr>
            </w:pPr>
            <w:r w:rsidRPr="00877B12">
              <w:rPr>
                <w:rFonts w:asciiTheme="minorHAnsi" w:hAnsiTheme="minorHAnsi" w:cstheme="minorHAnsi"/>
                <w:b/>
                <w:bCs/>
              </w:rPr>
              <w:t>Godina</w:t>
            </w:r>
          </w:p>
        </w:tc>
        <w:tc>
          <w:tcPr>
            <w:tcW w:w="2129" w:type="pct"/>
            <w:shd w:val="clear" w:color="auto" w:fill="002060"/>
          </w:tcPr>
          <w:p w14:paraId="458C954C" w14:textId="77777777" w:rsidR="00877B12" w:rsidRPr="00877B12" w:rsidRDefault="00877B12" w:rsidP="00CC41BC">
            <w:pPr>
              <w:jc w:val="center"/>
              <w:rPr>
                <w:rFonts w:asciiTheme="minorHAnsi" w:hAnsiTheme="minorHAnsi" w:cstheme="minorHAnsi"/>
                <w:b/>
                <w:bCs/>
              </w:rPr>
            </w:pPr>
            <w:r w:rsidRPr="00877B12">
              <w:rPr>
                <w:rFonts w:asciiTheme="minorHAnsi" w:hAnsiTheme="minorHAnsi" w:cstheme="minorHAnsi"/>
                <w:b/>
                <w:bCs/>
              </w:rPr>
              <w:t>Količina komunalnog otpada iz turizma (t)</w:t>
            </w:r>
            <w:r w:rsidRPr="00877B12">
              <w:rPr>
                <w:rFonts w:asciiTheme="minorHAnsi" w:hAnsiTheme="minorHAnsi" w:cstheme="minorHAnsi"/>
                <w:b/>
                <w:bCs/>
                <w:vertAlign w:val="superscript"/>
              </w:rPr>
              <w:footnoteReference w:id="13"/>
            </w:r>
          </w:p>
        </w:tc>
        <w:tc>
          <w:tcPr>
            <w:tcW w:w="2236" w:type="pct"/>
            <w:shd w:val="clear" w:color="auto" w:fill="002060"/>
          </w:tcPr>
          <w:p w14:paraId="3D485A7A" w14:textId="77777777" w:rsidR="00877B12" w:rsidRPr="00877B12" w:rsidRDefault="00877B12" w:rsidP="00CC41BC">
            <w:pPr>
              <w:jc w:val="center"/>
              <w:rPr>
                <w:rFonts w:asciiTheme="minorHAnsi" w:hAnsiTheme="minorHAnsi" w:cstheme="minorHAnsi"/>
                <w:b/>
                <w:bCs/>
              </w:rPr>
            </w:pPr>
            <w:r w:rsidRPr="00877B12">
              <w:rPr>
                <w:rFonts w:asciiTheme="minorHAnsi" w:hAnsiTheme="minorHAnsi" w:cstheme="minorHAnsi"/>
                <w:b/>
                <w:bCs/>
              </w:rPr>
              <w:t>Udio u ukupnom komunalnom otpadu (%)</w:t>
            </w:r>
          </w:p>
        </w:tc>
      </w:tr>
      <w:tr w:rsidR="00877B12" w:rsidRPr="00877B12" w14:paraId="26B5FF6E" w14:textId="77777777" w:rsidTr="00CC41BC">
        <w:tc>
          <w:tcPr>
            <w:tcW w:w="635" w:type="pct"/>
          </w:tcPr>
          <w:p w14:paraId="439AAFF6" w14:textId="77777777" w:rsidR="00877B12" w:rsidRPr="00877B12" w:rsidRDefault="00877B12" w:rsidP="00CC41BC">
            <w:pPr>
              <w:rPr>
                <w:rFonts w:asciiTheme="minorHAnsi" w:hAnsiTheme="minorHAnsi" w:cstheme="minorHAnsi"/>
              </w:rPr>
            </w:pPr>
            <w:r w:rsidRPr="00877B12">
              <w:rPr>
                <w:rFonts w:asciiTheme="minorHAnsi" w:hAnsiTheme="minorHAnsi" w:cstheme="minorHAnsi"/>
              </w:rPr>
              <w:t>2015.</w:t>
            </w:r>
          </w:p>
        </w:tc>
        <w:tc>
          <w:tcPr>
            <w:tcW w:w="2129" w:type="pct"/>
          </w:tcPr>
          <w:p w14:paraId="205D511A"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rPr>
              <w:t>98.960</w:t>
            </w:r>
          </w:p>
        </w:tc>
        <w:tc>
          <w:tcPr>
            <w:tcW w:w="2236" w:type="pct"/>
          </w:tcPr>
          <w:p w14:paraId="36FD1907"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rPr>
              <w:t>6,0</w:t>
            </w:r>
          </w:p>
        </w:tc>
      </w:tr>
      <w:tr w:rsidR="00877B12" w:rsidRPr="00877B12" w14:paraId="263865A2" w14:textId="77777777" w:rsidTr="00CC41BC">
        <w:tc>
          <w:tcPr>
            <w:tcW w:w="635" w:type="pct"/>
          </w:tcPr>
          <w:p w14:paraId="2F14E94B" w14:textId="77777777" w:rsidR="00877B12" w:rsidRPr="00877B12" w:rsidRDefault="00877B12" w:rsidP="00CC41BC">
            <w:pPr>
              <w:rPr>
                <w:rFonts w:asciiTheme="minorHAnsi" w:hAnsiTheme="minorHAnsi" w:cstheme="minorHAnsi"/>
              </w:rPr>
            </w:pPr>
            <w:r w:rsidRPr="00877B12">
              <w:rPr>
                <w:rFonts w:asciiTheme="minorHAnsi" w:hAnsiTheme="minorHAnsi" w:cstheme="minorHAnsi"/>
              </w:rPr>
              <w:t>2016.</w:t>
            </w:r>
          </w:p>
        </w:tc>
        <w:tc>
          <w:tcPr>
            <w:tcW w:w="2129" w:type="pct"/>
          </w:tcPr>
          <w:p w14:paraId="50469CEA"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rPr>
              <w:t>139.535</w:t>
            </w:r>
          </w:p>
        </w:tc>
        <w:tc>
          <w:tcPr>
            <w:tcW w:w="2236" w:type="pct"/>
          </w:tcPr>
          <w:p w14:paraId="3FFE9F77"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rPr>
              <w:t>8,3</w:t>
            </w:r>
          </w:p>
        </w:tc>
      </w:tr>
      <w:tr w:rsidR="00877B12" w:rsidRPr="00877B12" w14:paraId="3943064A" w14:textId="77777777" w:rsidTr="00CC41BC">
        <w:tc>
          <w:tcPr>
            <w:tcW w:w="635" w:type="pct"/>
          </w:tcPr>
          <w:p w14:paraId="5C9FC3AD" w14:textId="77777777" w:rsidR="00877B12" w:rsidRPr="00877B12" w:rsidRDefault="00877B12" w:rsidP="00CC41BC">
            <w:pPr>
              <w:rPr>
                <w:rFonts w:asciiTheme="minorHAnsi" w:hAnsiTheme="minorHAnsi" w:cstheme="minorHAnsi"/>
              </w:rPr>
            </w:pPr>
            <w:r w:rsidRPr="00877B12">
              <w:rPr>
                <w:rFonts w:asciiTheme="minorHAnsi" w:hAnsiTheme="minorHAnsi" w:cstheme="minorHAnsi"/>
              </w:rPr>
              <w:t>2017.</w:t>
            </w:r>
          </w:p>
        </w:tc>
        <w:tc>
          <w:tcPr>
            <w:tcW w:w="2129" w:type="pct"/>
          </w:tcPr>
          <w:p w14:paraId="7822BD27"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rPr>
              <w:t>155.958</w:t>
            </w:r>
          </w:p>
        </w:tc>
        <w:tc>
          <w:tcPr>
            <w:tcW w:w="2236" w:type="pct"/>
          </w:tcPr>
          <w:p w14:paraId="67BF844A"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rPr>
              <w:t>9,1</w:t>
            </w:r>
          </w:p>
        </w:tc>
      </w:tr>
      <w:tr w:rsidR="00877B12" w:rsidRPr="00877B12" w14:paraId="2F105E0B" w14:textId="77777777" w:rsidTr="00CC41BC">
        <w:tc>
          <w:tcPr>
            <w:tcW w:w="635" w:type="pct"/>
          </w:tcPr>
          <w:p w14:paraId="5B5524F1" w14:textId="77777777" w:rsidR="00877B12" w:rsidRPr="00877B12" w:rsidRDefault="00877B12" w:rsidP="00CC41BC">
            <w:pPr>
              <w:rPr>
                <w:rFonts w:asciiTheme="minorHAnsi" w:hAnsiTheme="minorHAnsi" w:cstheme="minorHAnsi"/>
              </w:rPr>
            </w:pPr>
            <w:r w:rsidRPr="00877B12">
              <w:rPr>
                <w:rFonts w:asciiTheme="minorHAnsi" w:hAnsiTheme="minorHAnsi" w:cstheme="minorHAnsi"/>
              </w:rPr>
              <w:t>2018.</w:t>
            </w:r>
          </w:p>
        </w:tc>
        <w:tc>
          <w:tcPr>
            <w:tcW w:w="2129" w:type="pct"/>
          </w:tcPr>
          <w:p w14:paraId="6C770624"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rPr>
              <w:t>165.251</w:t>
            </w:r>
          </w:p>
        </w:tc>
        <w:tc>
          <w:tcPr>
            <w:tcW w:w="2236" w:type="pct"/>
          </w:tcPr>
          <w:p w14:paraId="2D33960E"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rPr>
              <w:t>9,3</w:t>
            </w:r>
          </w:p>
        </w:tc>
      </w:tr>
      <w:tr w:rsidR="00877B12" w:rsidRPr="00877B12" w14:paraId="6FFBDA32" w14:textId="77777777" w:rsidTr="00CC41BC">
        <w:tc>
          <w:tcPr>
            <w:tcW w:w="635" w:type="pct"/>
          </w:tcPr>
          <w:p w14:paraId="21F4A65D" w14:textId="77777777" w:rsidR="00877B12" w:rsidRPr="00877B12" w:rsidRDefault="00877B12" w:rsidP="00CC41BC">
            <w:pPr>
              <w:rPr>
                <w:rFonts w:asciiTheme="minorHAnsi" w:hAnsiTheme="minorHAnsi" w:cstheme="minorHAnsi"/>
              </w:rPr>
            </w:pPr>
            <w:r w:rsidRPr="00877B12">
              <w:rPr>
                <w:rFonts w:asciiTheme="minorHAnsi" w:hAnsiTheme="minorHAnsi" w:cstheme="minorHAnsi"/>
              </w:rPr>
              <w:t>2019.</w:t>
            </w:r>
          </w:p>
        </w:tc>
        <w:tc>
          <w:tcPr>
            <w:tcW w:w="2129" w:type="pct"/>
          </w:tcPr>
          <w:p w14:paraId="419EF382"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rPr>
              <w:t>171.505</w:t>
            </w:r>
          </w:p>
        </w:tc>
        <w:tc>
          <w:tcPr>
            <w:tcW w:w="2236" w:type="pct"/>
          </w:tcPr>
          <w:p w14:paraId="09F0A523"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rPr>
              <w:t>9,5</w:t>
            </w:r>
          </w:p>
        </w:tc>
      </w:tr>
      <w:tr w:rsidR="00877B12" w:rsidRPr="00877B12" w14:paraId="3D29605B" w14:textId="77777777" w:rsidTr="00CC41BC">
        <w:tc>
          <w:tcPr>
            <w:tcW w:w="635" w:type="pct"/>
          </w:tcPr>
          <w:p w14:paraId="2BEEAFFE" w14:textId="77777777" w:rsidR="00877B12" w:rsidRPr="00877B12" w:rsidRDefault="00877B12" w:rsidP="00CC41BC">
            <w:pPr>
              <w:rPr>
                <w:rFonts w:asciiTheme="minorHAnsi" w:hAnsiTheme="minorHAnsi" w:cstheme="minorHAnsi"/>
              </w:rPr>
            </w:pPr>
            <w:r w:rsidRPr="00877B12">
              <w:rPr>
                <w:rFonts w:asciiTheme="minorHAnsi" w:hAnsiTheme="minorHAnsi" w:cstheme="minorHAnsi"/>
              </w:rPr>
              <w:t>2020.</w:t>
            </w:r>
          </w:p>
        </w:tc>
        <w:tc>
          <w:tcPr>
            <w:tcW w:w="2129" w:type="pct"/>
          </w:tcPr>
          <w:p w14:paraId="7EE2789D"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rPr>
              <w:t>83.794</w:t>
            </w:r>
          </w:p>
        </w:tc>
        <w:tc>
          <w:tcPr>
            <w:tcW w:w="2236" w:type="pct"/>
          </w:tcPr>
          <w:p w14:paraId="513A1AF7"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rPr>
              <w:t>5,0</w:t>
            </w:r>
          </w:p>
        </w:tc>
      </w:tr>
      <w:tr w:rsidR="00877B12" w:rsidRPr="00877B12" w14:paraId="6611556B" w14:textId="77777777" w:rsidTr="00CC41BC">
        <w:tc>
          <w:tcPr>
            <w:tcW w:w="635" w:type="pct"/>
          </w:tcPr>
          <w:p w14:paraId="776248BD" w14:textId="77777777" w:rsidR="00877B12" w:rsidRPr="00877B12" w:rsidRDefault="00877B12" w:rsidP="00CC41BC">
            <w:pPr>
              <w:rPr>
                <w:rFonts w:asciiTheme="minorHAnsi" w:hAnsiTheme="minorHAnsi" w:cstheme="minorHAnsi"/>
              </w:rPr>
            </w:pPr>
            <w:r w:rsidRPr="00877B12">
              <w:rPr>
                <w:rFonts w:asciiTheme="minorHAnsi" w:hAnsiTheme="minorHAnsi" w:cstheme="minorHAnsi"/>
              </w:rPr>
              <w:t>2021.</w:t>
            </w:r>
          </w:p>
        </w:tc>
        <w:tc>
          <w:tcPr>
            <w:tcW w:w="2129" w:type="pct"/>
            <w:vAlign w:val="center"/>
          </w:tcPr>
          <w:p w14:paraId="108D7805"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color w:val="000000"/>
              </w:rPr>
              <w:t>136.512</w:t>
            </w:r>
          </w:p>
        </w:tc>
        <w:tc>
          <w:tcPr>
            <w:tcW w:w="2236" w:type="pct"/>
            <w:vAlign w:val="center"/>
          </w:tcPr>
          <w:p w14:paraId="1E4206F3"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color w:val="000000"/>
              </w:rPr>
              <w:t>7,7</w:t>
            </w:r>
          </w:p>
        </w:tc>
      </w:tr>
    </w:tbl>
    <w:p w14:paraId="4206CC1A" w14:textId="69299DAF" w:rsidR="00877B12" w:rsidRPr="00877B12" w:rsidRDefault="00877B12" w:rsidP="00877B12">
      <w:pPr>
        <w:spacing w:after="240"/>
        <w:jc w:val="right"/>
        <w:rPr>
          <w:i/>
          <w:iCs/>
          <w:sz w:val="18"/>
          <w:szCs w:val="20"/>
        </w:rPr>
      </w:pPr>
      <w:r w:rsidRPr="00877B12">
        <w:rPr>
          <w:i/>
          <w:iCs/>
          <w:sz w:val="18"/>
          <w:szCs w:val="20"/>
        </w:rPr>
        <w:lastRenderedPageBreak/>
        <w:t>Izvor: MINGOR</w:t>
      </w:r>
    </w:p>
    <w:p w14:paraId="19D0E04F" w14:textId="77777777" w:rsidR="00877B12" w:rsidRPr="00460193" w:rsidRDefault="00877B12" w:rsidP="0018450E">
      <w:pPr>
        <w:pStyle w:val="IRNaslov4"/>
      </w:pPr>
      <w:r w:rsidRPr="00460193">
        <w:t>Odvojeno sakupljanje komunalnog otpada</w:t>
      </w:r>
    </w:p>
    <w:p w14:paraId="7D39E886" w14:textId="318A2705" w:rsidR="00877B12" w:rsidRPr="00223644" w:rsidRDefault="00877B12" w:rsidP="00877B12">
      <w:r w:rsidRPr="00223644">
        <w:t>Odvojeno sakupljanje pojedinih vrsta komunalnog otpada (prvenstveno papir, staklo, plastika, metal, biootpad) provodi se sakupljanjem</w:t>
      </w:r>
      <w:r w:rsidR="00F36AD2">
        <w:t xml:space="preserve"> putem spremnika na</w:t>
      </w:r>
      <w:r w:rsidRPr="00223644">
        <w:t xml:space="preserve"> „kućno</w:t>
      </w:r>
      <w:r w:rsidR="00F36AD2">
        <w:t>m</w:t>
      </w:r>
      <w:r w:rsidRPr="00223644">
        <w:t xml:space="preserve"> prag</w:t>
      </w:r>
      <w:r w:rsidR="00F36AD2">
        <w:t>u</w:t>
      </w:r>
      <w:r w:rsidRPr="00223644">
        <w:t xml:space="preserve">“, </w:t>
      </w:r>
      <w:r w:rsidRPr="00B74915">
        <w:rPr>
          <w:highlight w:val="yellow"/>
        </w:rPr>
        <w:t xml:space="preserve">putem spremnika na javnim </w:t>
      </w:r>
      <w:commentRangeStart w:id="41"/>
      <w:r w:rsidRPr="00B74915">
        <w:rPr>
          <w:highlight w:val="yellow"/>
        </w:rPr>
        <w:t>površinama</w:t>
      </w:r>
      <w:commentRangeEnd w:id="41"/>
      <w:r w:rsidR="00B74915">
        <w:rPr>
          <w:rStyle w:val="Referencakomentara"/>
        </w:rPr>
        <w:commentReference w:id="41"/>
      </w:r>
      <w:r w:rsidRPr="00223644">
        <w:t xml:space="preserve">, </w:t>
      </w:r>
      <w:proofErr w:type="spellStart"/>
      <w:r w:rsidRPr="00223644">
        <w:t>reciklažnih</w:t>
      </w:r>
      <w:proofErr w:type="spellEnd"/>
      <w:r w:rsidRPr="00223644">
        <w:t xml:space="preserve"> dvorišta, trgovine na malo te </w:t>
      </w:r>
      <w:r w:rsidR="00F36AD2" w:rsidRPr="00F36AD2">
        <w:t xml:space="preserve">kroz uspostavljene nacionalne sustave </w:t>
      </w:r>
      <w:r w:rsidRPr="00223644">
        <w:t>za posebne kategorije otpada.</w:t>
      </w:r>
    </w:p>
    <w:p w14:paraId="319A54DE" w14:textId="57E30D32" w:rsidR="00877B12" w:rsidRPr="00223644" w:rsidRDefault="00877B12" w:rsidP="00877B12">
      <w:r w:rsidRPr="00223644">
        <w:t xml:space="preserve">Od 2010. godine udio odvojeno sakupljenog </w:t>
      </w:r>
      <w:r w:rsidR="000D07E8">
        <w:t xml:space="preserve">komunalnog </w:t>
      </w:r>
      <w:r w:rsidRPr="00223644">
        <w:t xml:space="preserve">otpada je u stalnom porastu. Najveći </w:t>
      </w:r>
      <w:r>
        <w:t>porast</w:t>
      </w:r>
      <w:r w:rsidRPr="00223644">
        <w:t xml:space="preserve"> udjela odvojenog sakupljanja komunalnog otpada evidentiran je u razdoblju od 2017. do 2021. godine i to za 15 postotnih bodova (</w:t>
      </w:r>
      <w:r w:rsidRPr="00223644">
        <w:fldChar w:fldCharType="begin"/>
      </w:r>
      <w:r w:rsidRPr="00223644">
        <w:instrText xml:space="preserve"> REF _Ref110187358 \h </w:instrText>
      </w:r>
      <w:r w:rsidRPr="00223644">
        <w:fldChar w:fldCharType="separate"/>
      </w:r>
      <w:r w:rsidR="00F37B62" w:rsidRPr="00877B12">
        <w:t xml:space="preserve">Slika </w:t>
      </w:r>
      <w:r w:rsidR="00F37B62">
        <w:rPr>
          <w:noProof/>
        </w:rPr>
        <w:t>11</w:t>
      </w:r>
      <w:r w:rsidRPr="00223644">
        <w:fldChar w:fldCharType="end"/>
      </w:r>
      <w:r w:rsidRPr="00223644">
        <w:t xml:space="preserve">). </w:t>
      </w:r>
      <w:r w:rsidRPr="00E81E1B">
        <w:t xml:space="preserve">Navedeno je rezultat kontinuiranog ulaganja u infrastrukturu za odvojeno prikupljanje komunalnog otpada „s kućnog praga“ poput spremnika za odvojeno prikupljanje s „kućnog praga“, </w:t>
      </w:r>
      <w:proofErr w:type="spellStart"/>
      <w:r w:rsidRPr="00E81E1B">
        <w:t>reciklažnih</w:t>
      </w:r>
      <w:proofErr w:type="spellEnd"/>
      <w:r w:rsidRPr="00E81E1B">
        <w:t xml:space="preserve"> dvorišta, vozila i opreme za odvojeno prikupljanje kao i intenziviranja jačanja svijesti javnosti o načinima i važnosti odvojenog sakupljanja otpada. </w:t>
      </w:r>
      <w:r w:rsidRPr="00223644">
        <w:t>Broj JLS koje su provodile odvojeno sakupljanje „s kućnog praga“ porastao je s 457 JLS u 2017. na 519 JLS u 2021. godini. Time odvojeno sakupljanje „s kućnog praga“ u 2021. nije uspostavljeno još u 37 JLS (7 %).</w:t>
      </w:r>
    </w:p>
    <w:p w14:paraId="54382485" w14:textId="77777777" w:rsidR="00E62ECA" w:rsidRDefault="00E62ECA" w:rsidP="00877B12">
      <w:pPr>
        <w:spacing w:after="0"/>
        <w:jc w:val="right"/>
        <w:rPr>
          <w:i/>
          <w:iCs/>
          <w:sz w:val="18"/>
          <w:szCs w:val="20"/>
        </w:rPr>
      </w:pPr>
    </w:p>
    <w:p w14:paraId="5DCA1204" w14:textId="04D0AAE1" w:rsidR="00877B12" w:rsidRPr="00877B12" w:rsidRDefault="00877B12" w:rsidP="00877B12">
      <w:pPr>
        <w:spacing w:after="0"/>
        <w:jc w:val="right"/>
        <w:rPr>
          <w:i/>
          <w:iCs/>
          <w:sz w:val="18"/>
          <w:szCs w:val="20"/>
        </w:rPr>
      </w:pPr>
      <w:r w:rsidRPr="00877B12">
        <w:rPr>
          <w:i/>
          <w:iCs/>
          <w:sz w:val="18"/>
          <w:szCs w:val="20"/>
        </w:rPr>
        <w:t>Izvor: MINGOR</w:t>
      </w:r>
    </w:p>
    <w:p w14:paraId="2C221652" w14:textId="3353D3E8" w:rsidR="00877B12" w:rsidRPr="00877B12" w:rsidRDefault="00877B12" w:rsidP="00877B12">
      <w:pPr>
        <w:pStyle w:val="Slika"/>
      </w:pPr>
      <w:bookmarkStart w:id="42" w:name="_Ref110187358"/>
      <w:bookmarkStart w:id="43" w:name="_Toc125363916"/>
      <w:r w:rsidRPr="00877B12">
        <w:t xml:space="preserve">Slika </w:t>
      </w:r>
      <w:fldSimple w:instr=" SEQ Slika \* ARABIC ">
        <w:r w:rsidR="00F37B62">
          <w:rPr>
            <w:noProof/>
          </w:rPr>
          <w:t>11</w:t>
        </w:r>
      </w:fldSimple>
      <w:bookmarkEnd w:id="42"/>
      <w:r w:rsidRPr="00877B12">
        <w:t xml:space="preserve">. </w:t>
      </w:r>
      <w:r w:rsidRPr="00877B12">
        <w:rPr>
          <w:b w:val="0"/>
          <w:bCs/>
        </w:rPr>
        <w:t>Udio odvojeno sakupljenog komunalnog otpada i miješanog komunalnog otpada u razdoblju od 2010. do 2021. u RH</w:t>
      </w:r>
      <w:bookmarkEnd w:id="43"/>
    </w:p>
    <w:p w14:paraId="32BF0CB9" w14:textId="6E925FC0" w:rsidR="00877B12" w:rsidRPr="00CF311C" w:rsidRDefault="00877B12" w:rsidP="00877B12">
      <w:r w:rsidRPr="00CF311C">
        <w:t xml:space="preserve">Unatoč značajnom porastu broja </w:t>
      </w:r>
      <w:proofErr w:type="spellStart"/>
      <w:r w:rsidRPr="00CF311C">
        <w:t>reciklažnih</w:t>
      </w:r>
      <w:proofErr w:type="spellEnd"/>
      <w:r w:rsidRPr="00CF311C">
        <w:t xml:space="preserve"> dvorišta (2015. – 34, 2021 – 348), količin</w:t>
      </w:r>
      <w:r w:rsidR="000E0F98">
        <w:t>e</w:t>
      </w:r>
      <w:r w:rsidRPr="00CF311C">
        <w:t xml:space="preserve"> komunalnog otpada odvojeno sakupljen</w:t>
      </w:r>
      <w:r w:rsidR="000E0F98">
        <w:t>og</w:t>
      </w:r>
      <w:r w:rsidRPr="00CF311C">
        <w:t xml:space="preserve"> putem </w:t>
      </w:r>
      <w:proofErr w:type="spellStart"/>
      <w:r w:rsidRPr="00CF311C">
        <w:t>reciklažnih</w:t>
      </w:r>
      <w:proofErr w:type="spellEnd"/>
      <w:r w:rsidRPr="00CF311C">
        <w:t xml:space="preserve"> dvorišta na godišnjoj razini su još uvijek niske, te su iste u 2021. godini iznosile 63.173 tona što</w:t>
      </w:r>
      <w:r w:rsidR="00A85B00">
        <w:t xml:space="preserve"> predstavlja</w:t>
      </w:r>
      <w:r w:rsidRPr="00CF311C">
        <w:t xml:space="preserve"> povećanje od tek 5 % u odnosu na prethodnu godinu. </w:t>
      </w:r>
    </w:p>
    <w:p w14:paraId="6657F33D" w14:textId="49714926" w:rsidR="00877B12" w:rsidRPr="00CF311C" w:rsidRDefault="00877B12" w:rsidP="00877B12">
      <w:r w:rsidRPr="00CF311C">
        <w:t>Ukupna količina odvojeno sakupljenog komunalnog otpada u 2021. godini iznosila je 761.683 tona od čega je u okviru javne usluge prikupljeno tek 300.079 tona, dok se ostatak</w:t>
      </w:r>
      <w:r w:rsidR="00A85B00">
        <w:t xml:space="preserve"> koji nije sakupljen putem javne usluge</w:t>
      </w:r>
      <w:r w:rsidRPr="00CF311C">
        <w:t xml:space="preserve"> odnosi</w:t>
      </w:r>
      <w:r w:rsidR="00A85B00">
        <w:t>o</w:t>
      </w:r>
      <w:r w:rsidRPr="00CF311C">
        <w:t xml:space="preserve"> na </w:t>
      </w:r>
      <w:proofErr w:type="spellStart"/>
      <w:r w:rsidRPr="00CF311C">
        <w:t>reciklabilni</w:t>
      </w:r>
      <w:proofErr w:type="spellEnd"/>
      <w:r w:rsidRPr="00CF311C">
        <w:t xml:space="preserve"> otpad </w:t>
      </w:r>
      <w:r w:rsidR="00A85B00">
        <w:t>sakupljen</w:t>
      </w:r>
      <w:r w:rsidR="00A85B00" w:rsidRPr="00CF311C">
        <w:t xml:space="preserve"> </w:t>
      </w:r>
      <w:r w:rsidR="00A85B00">
        <w:t xml:space="preserve">iz </w:t>
      </w:r>
      <w:r w:rsidRPr="00CF311C">
        <w:t xml:space="preserve">uslužnog sektora (škole, restorani, bolnice i dr.) te otpad </w:t>
      </w:r>
      <w:r w:rsidR="00A85B00">
        <w:t>sakupljen</w:t>
      </w:r>
      <w:r w:rsidR="00A85B00" w:rsidRPr="00CF311C">
        <w:t xml:space="preserve"> </w:t>
      </w:r>
      <w:r w:rsidRPr="00CF311C">
        <w:t xml:space="preserve">putem nacionalnih sustava za posebne kategorije otpada. Time je </w:t>
      </w:r>
      <w:r w:rsidRPr="00B74915">
        <w:rPr>
          <w:highlight w:val="yellow"/>
        </w:rPr>
        <w:t xml:space="preserve">ukupna stopa odvojenog sakupljanja za RH u 2021. iznosila 43 %, dok je stopa odvojenog sakupljanja u okviru javne usluge iznosila tek </w:t>
      </w:r>
      <w:commentRangeStart w:id="44"/>
      <w:r w:rsidRPr="00B74915">
        <w:rPr>
          <w:highlight w:val="yellow"/>
        </w:rPr>
        <w:t>23</w:t>
      </w:r>
      <w:commentRangeEnd w:id="44"/>
      <w:r w:rsidR="00B74915">
        <w:rPr>
          <w:rStyle w:val="Referencakomentara"/>
        </w:rPr>
        <w:commentReference w:id="44"/>
      </w:r>
      <w:r w:rsidRPr="00B74915">
        <w:rPr>
          <w:highlight w:val="yellow"/>
        </w:rPr>
        <w:t xml:space="preserve"> %.</w:t>
      </w:r>
      <w:r w:rsidRPr="00CF311C">
        <w:t xml:space="preserve"> </w:t>
      </w:r>
    </w:p>
    <w:p w14:paraId="571B69CA" w14:textId="1A1022DB" w:rsidR="00877B12" w:rsidRPr="00CF311C" w:rsidRDefault="00877B12" w:rsidP="00877B12">
      <w:r w:rsidRPr="00CF311C">
        <w:t xml:space="preserve">Slijedom svega navedenoga potrebna su dodatna značajna ulaganja u informativno – obrazovne aktivnosti usmjerene na poticanje odvojenog sakupljanja otpada u okviru javne usluge te u izgradnju i opremanje dodatnih </w:t>
      </w:r>
      <w:proofErr w:type="spellStart"/>
      <w:r w:rsidRPr="00CF311C">
        <w:t>reciklažnih</w:t>
      </w:r>
      <w:proofErr w:type="spellEnd"/>
      <w:r w:rsidRPr="00CF311C">
        <w:t xml:space="preserve"> dvorišta i nabave opreme i vozila za prijevoz otpada uključujući i plovila. </w:t>
      </w:r>
    </w:p>
    <w:p w14:paraId="51B6432C" w14:textId="4B8D22F7" w:rsidR="00877B12" w:rsidRDefault="00877B12" w:rsidP="00877B12">
      <w:r w:rsidRPr="00223644">
        <w:t>U količinama odvojeno sakupljenog komunalnog otpadu najveći udio čini otpadni papir i karton, glomazni otpad i biootpad (</w:t>
      </w:r>
      <w:r w:rsidRPr="00223644">
        <w:fldChar w:fldCharType="begin"/>
      </w:r>
      <w:r w:rsidRPr="00223644">
        <w:instrText xml:space="preserve"> REF _Ref110187954 \h </w:instrText>
      </w:r>
      <w:r w:rsidRPr="00223644">
        <w:fldChar w:fldCharType="separate"/>
      </w:r>
      <w:r w:rsidR="00F37B62" w:rsidRPr="00223644">
        <w:t xml:space="preserve">Slika </w:t>
      </w:r>
      <w:r w:rsidR="00F37B62">
        <w:rPr>
          <w:noProof/>
        </w:rPr>
        <w:t>12</w:t>
      </w:r>
      <w:r w:rsidRPr="00223644">
        <w:fldChar w:fldCharType="end"/>
      </w:r>
      <w:r w:rsidRPr="00223644">
        <w:t>).</w:t>
      </w:r>
    </w:p>
    <w:p w14:paraId="620CDB99" w14:textId="77777777" w:rsidR="00877B12" w:rsidRPr="00223644" w:rsidRDefault="00877B12" w:rsidP="00877B12"/>
    <w:p w14:paraId="09FB6829" w14:textId="77777777" w:rsidR="00877B12" w:rsidRPr="00877B12" w:rsidRDefault="00877B12" w:rsidP="00877B12">
      <w:pPr>
        <w:spacing w:after="0"/>
        <w:jc w:val="right"/>
        <w:rPr>
          <w:i/>
          <w:iCs/>
          <w:sz w:val="18"/>
          <w:szCs w:val="20"/>
        </w:rPr>
      </w:pPr>
      <w:r w:rsidRPr="00877B12">
        <w:rPr>
          <w:i/>
          <w:iCs/>
          <w:sz w:val="18"/>
          <w:szCs w:val="20"/>
        </w:rPr>
        <w:t>Izvor: MINGOR</w:t>
      </w:r>
    </w:p>
    <w:p w14:paraId="0CD7B5E1" w14:textId="5AEFC39F" w:rsidR="00877B12" w:rsidRPr="00223644" w:rsidRDefault="00877B12" w:rsidP="00877B12">
      <w:pPr>
        <w:pStyle w:val="Slika"/>
      </w:pPr>
      <w:bookmarkStart w:id="45" w:name="_Ref110187954"/>
      <w:bookmarkStart w:id="46" w:name="_Toc125363917"/>
      <w:r w:rsidRPr="00223644">
        <w:t xml:space="preserve">Slika </w:t>
      </w:r>
      <w:fldSimple w:instr=" SEQ Slika \* ARABIC ">
        <w:r w:rsidR="00F37B62">
          <w:rPr>
            <w:noProof/>
          </w:rPr>
          <w:t>12</w:t>
        </w:r>
      </w:fldSimple>
      <w:bookmarkEnd w:id="45"/>
      <w:r w:rsidRPr="00223644">
        <w:t xml:space="preserve">. </w:t>
      </w:r>
      <w:r w:rsidRPr="00877B12">
        <w:rPr>
          <w:b w:val="0"/>
          <w:bCs/>
        </w:rPr>
        <w:t>Odvojeno sakupljeni komunalni otpad u 2021., po vrstama</w:t>
      </w:r>
      <w:bookmarkEnd w:id="46"/>
    </w:p>
    <w:p w14:paraId="4A692911" w14:textId="79ACF2DA" w:rsidR="00877B12" w:rsidRDefault="00877B12" w:rsidP="00877B12">
      <w:r w:rsidRPr="00223644">
        <w:t xml:space="preserve">Količina </w:t>
      </w:r>
      <w:r>
        <w:t xml:space="preserve">nastalog </w:t>
      </w:r>
      <w:r w:rsidRPr="00223644">
        <w:t xml:space="preserve">miješanog komunalnog otpada u 2021. godini iznosila je 1.004.877 tona odnosno 57 % ukupne količine komunalnog otpada. </w:t>
      </w:r>
      <w:r w:rsidRPr="0005141D">
        <w:t xml:space="preserve">Evidentna je </w:t>
      </w:r>
      <w:r w:rsidR="00AA347C">
        <w:t>veza</w:t>
      </w:r>
      <w:r w:rsidR="00AA347C" w:rsidRPr="0005141D">
        <w:t xml:space="preserve"> </w:t>
      </w:r>
      <w:r w:rsidRPr="0005141D">
        <w:t xml:space="preserve">između povećanja odvojenog sakupljanja komunalnog otpada, provođenja mjera koje potiču odvojeno sakupljanje i smanjenja nastanka </w:t>
      </w:r>
      <w:r w:rsidRPr="0005141D">
        <w:lastRenderedPageBreak/>
        <w:t>miješanog komunalnog otpada odnosno njegova udjela u ukupnim proizvedenim količinama komunalnog otpada</w:t>
      </w:r>
      <w:r>
        <w:t>.</w:t>
      </w:r>
    </w:p>
    <w:p w14:paraId="4ACD46B0" w14:textId="77777777" w:rsidR="00E62ECA" w:rsidRDefault="00E62ECA" w:rsidP="00877B12">
      <w:pPr>
        <w:pStyle w:val="Slika"/>
      </w:pPr>
      <w:bookmarkStart w:id="47" w:name="_Toc125363918"/>
    </w:p>
    <w:p w14:paraId="60887FA6" w14:textId="5804CA2F" w:rsidR="00877B12" w:rsidRPr="00223644" w:rsidRDefault="00877B12" w:rsidP="00877B12">
      <w:pPr>
        <w:pStyle w:val="Slika"/>
      </w:pPr>
      <w:r>
        <w:t xml:space="preserve">Slika </w:t>
      </w:r>
      <w:fldSimple w:instr=" SEQ Slika \* ARABIC ">
        <w:r w:rsidR="00F37B62">
          <w:rPr>
            <w:noProof/>
          </w:rPr>
          <w:t>13</w:t>
        </w:r>
      </w:fldSimple>
      <w:r>
        <w:t xml:space="preserve">. </w:t>
      </w:r>
      <w:r w:rsidRPr="00877B12">
        <w:rPr>
          <w:b w:val="0"/>
          <w:bCs/>
        </w:rPr>
        <w:t>Količine miješanog otpada u odnosu na ukupno nastalu količinu komunalnog otpada i stopu odvojenog sakupljanja komunalnog otpada u razdoblju od 2015. do 2021. godine</w:t>
      </w:r>
      <w:bookmarkEnd w:id="47"/>
    </w:p>
    <w:p w14:paraId="6F95E828" w14:textId="60C34014" w:rsidR="00877B12" w:rsidRDefault="00877B12" w:rsidP="00877B12">
      <w:r w:rsidRPr="00223644">
        <w:t xml:space="preserve">Procijenjeni sastav miješanog komunalnog otpada izrađen je 2015. godine u </w:t>
      </w:r>
      <w:r w:rsidR="00AA347C">
        <w:t>okviru</w:t>
      </w:r>
      <w:r w:rsidR="00AA347C" w:rsidRPr="00223644">
        <w:t xml:space="preserve"> </w:t>
      </w:r>
      <w:r w:rsidRPr="00223644">
        <w:t>projekta „Izrada jedinstvene metodologije za analize sastava komunalnog otpada, određivanje prosječnog sastava komunalnog otpada u Republici Hrvatskoj i projekcija količina komunalnog otpada“</w:t>
      </w:r>
      <w:r w:rsidRPr="00223644">
        <w:rPr>
          <w:rStyle w:val="Referencafusnote"/>
        </w:rPr>
        <w:footnoteReference w:id="14"/>
      </w:r>
      <w:r w:rsidRPr="00223644">
        <w:t xml:space="preserve"> (</w:t>
      </w:r>
      <w:r w:rsidRPr="00223644">
        <w:fldChar w:fldCharType="begin"/>
      </w:r>
      <w:r w:rsidRPr="00223644">
        <w:instrText xml:space="preserve"> REF _Ref110250332 \h </w:instrText>
      </w:r>
      <w:r w:rsidRPr="00223644">
        <w:fldChar w:fldCharType="separate"/>
      </w:r>
      <w:r w:rsidR="00F37B62" w:rsidRPr="00223644">
        <w:t xml:space="preserve">Slika </w:t>
      </w:r>
      <w:r w:rsidR="00F37B62">
        <w:rPr>
          <w:noProof/>
        </w:rPr>
        <w:t>14</w:t>
      </w:r>
      <w:r w:rsidRPr="00223644">
        <w:fldChar w:fldCharType="end"/>
      </w:r>
      <w:r w:rsidRPr="00223644">
        <w:t xml:space="preserve">). </w:t>
      </w:r>
      <w:r w:rsidR="00AA347C">
        <w:t>S</w:t>
      </w:r>
      <w:r w:rsidRPr="00223644">
        <w:t xml:space="preserve">astav je utvrđen temeljem provedenih analiza sastava </w:t>
      </w:r>
      <w:r w:rsidR="00AA347C">
        <w:t xml:space="preserve">otpada </w:t>
      </w:r>
      <w:r w:rsidRPr="00223644">
        <w:t xml:space="preserve">pojedinih </w:t>
      </w:r>
      <w:r w:rsidRPr="00CF311C">
        <w:t xml:space="preserve">županija i JLS u razdoblju od 2008. do 2014. godine. Obzirom da se od tog razdoblja promijenio sastav miješanog komunalnog otpada, u narednom razdoblju potrebno je utvrditi novi sastav miješanog komunalnog otpada, te isto periodički </w:t>
      </w:r>
      <w:commentRangeStart w:id="48"/>
      <w:r w:rsidRPr="00CF311C">
        <w:t>ponavljati</w:t>
      </w:r>
      <w:commentRangeEnd w:id="48"/>
      <w:r w:rsidR="00B74915">
        <w:rPr>
          <w:rStyle w:val="Referencakomentara"/>
        </w:rPr>
        <w:commentReference w:id="48"/>
      </w:r>
      <w:r w:rsidRPr="00CF311C">
        <w:t xml:space="preserve">. </w:t>
      </w:r>
    </w:p>
    <w:p w14:paraId="3D7E39C6" w14:textId="77777777" w:rsidR="00E62ECA" w:rsidRPr="00CF311C" w:rsidRDefault="00E62ECA" w:rsidP="00877B12"/>
    <w:p w14:paraId="20CD4DEE" w14:textId="5D9227E4" w:rsidR="00877B12" w:rsidRPr="00223644" w:rsidRDefault="00877B12" w:rsidP="00877B12">
      <w:pPr>
        <w:pStyle w:val="Slika"/>
      </w:pPr>
      <w:bookmarkStart w:id="49" w:name="_Ref110250332"/>
      <w:bookmarkStart w:id="50" w:name="_Toc125363919"/>
      <w:r w:rsidRPr="00223644">
        <w:t xml:space="preserve">Slika </w:t>
      </w:r>
      <w:fldSimple w:instr=" SEQ Slika \* ARABIC ">
        <w:r w:rsidR="00F37B62">
          <w:rPr>
            <w:noProof/>
          </w:rPr>
          <w:t>14</w:t>
        </w:r>
      </w:fldSimple>
      <w:bookmarkEnd w:id="49"/>
      <w:r w:rsidRPr="00223644">
        <w:t>.</w:t>
      </w:r>
      <w:r w:rsidRPr="00877B12">
        <w:rPr>
          <w:b w:val="0"/>
          <w:bCs/>
        </w:rPr>
        <w:t>Procijenjeni sastav miješanog komunalnog otpada u RH u 2015. godini</w:t>
      </w:r>
      <w:r w:rsidRPr="00877B12">
        <w:rPr>
          <w:rStyle w:val="Referencafusnote"/>
          <w:b w:val="0"/>
          <w:bCs/>
        </w:rPr>
        <w:footnoteReference w:id="15"/>
      </w:r>
      <w:bookmarkEnd w:id="50"/>
    </w:p>
    <w:p w14:paraId="7F3362FF" w14:textId="77777777" w:rsidR="00877B12" w:rsidRPr="00460193" w:rsidRDefault="00877B12" w:rsidP="0018450E">
      <w:pPr>
        <w:pStyle w:val="IRNaslov4"/>
      </w:pPr>
      <w:r w:rsidRPr="00460193">
        <w:t>Gospodarenje komunalnim otpadom</w:t>
      </w:r>
    </w:p>
    <w:p w14:paraId="7169D209" w14:textId="7A16F987" w:rsidR="00877B12" w:rsidRPr="00223644" w:rsidRDefault="00877B12" w:rsidP="00877B12">
      <w:r w:rsidRPr="00223644">
        <w:t xml:space="preserve">Količine kao i udio </w:t>
      </w:r>
      <w:proofErr w:type="spellStart"/>
      <w:r w:rsidRPr="00223644">
        <w:t>oporabljenog</w:t>
      </w:r>
      <w:proofErr w:type="spellEnd"/>
      <w:r w:rsidRPr="00223644">
        <w:t>/recikliranog komunalnog otpada su u kontinuiranom porastu</w:t>
      </w:r>
      <w:r>
        <w:t xml:space="preserve"> (</w:t>
      </w:r>
      <w:r>
        <w:fldChar w:fldCharType="begin"/>
      </w:r>
      <w:r>
        <w:instrText xml:space="preserve"> REF _Ref110249753 \h </w:instrText>
      </w:r>
      <w:r>
        <w:fldChar w:fldCharType="separate"/>
      </w:r>
      <w:r w:rsidR="00F37B62" w:rsidRPr="00223644">
        <w:t xml:space="preserve">Slika </w:t>
      </w:r>
      <w:r w:rsidR="00F37B62">
        <w:rPr>
          <w:noProof/>
        </w:rPr>
        <w:t>15</w:t>
      </w:r>
      <w:r>
        <w:fldChar w:fldCharType="end"/>
      </w:r>
      <w:r>
        <w:t>)</w:t>
      </w:r>
      <w:r w:rsidRPr="00223644">
        <w:t xml:space="preserve">. </w:t>
      </w:r>
      <w:r w:rsidR="00D10FEA">
        <w:t>Od ukupne količine odvojeno sakupljenog otpada u</w:t>
      </w:r>
      <w:r w:rsidRPr="00223644">
        <w:t xml:space="preserve"> 2021. godini 74 % </w:t>
      </w:r>
      <w:r w:rsidR="00D10FEA">
        <w:t>(</w:t>
      </w:r>
      <w:r w:rsidR="00D10FEA" w:rsidRPr="00223644">
        <w:t>560.153 tona</w:t>
      </w:r>
      <w:r w:rsidR="00D10FEA">
        <w:t xml:space="preserve">) je </w:t>
      </w:r>
      <w:proofErr w:type="spellStart"/>
      <w:r w:rsidR="00D10FEA">
        <w:t>oporabljeno</w:t>
      </w:r>
      <w:proofErr w:type="spellEnd"/>
      <w:r w:rsidRPr="00223644">
        <w:t xml:space="preserve">, dok je preostala količina uglavnom </w:t>
      </w:r>
      <w:r>
        <w:t>odložena na</w:t>
      </w:r>
      <w:r w:rsidRPr="00223644">
        <w:t xml:space="preserve"> odlagalištima </w:t>
      </w:r>
      <w:r>
        <w:t xml:space="preserve">otpada </w:t>
      </w:r>
      <w:r w:rsidRPr="00223644">
        <w:t xml:space="preserve">(direktno ili kao izdvojeni </w:t>
      </w:r>
      <w:proofErr w:type="spellStart"/>
      <w:r w:rsidRPr="00223644">
        <w:t>neciljani</w:t>
      </w:r>
      <w:proofErr w:type="spellEnd"/>
      <w:r w:rsidRPr="00223644">
        <w:t xml:space="preserve"> materijali i nečistoće</w:t>
      </w:r>
      <w:r w:rsidR="009C172F">
        <w:t xml:space="preserve"> nakon obrade otpada</w:t>
      </w:r>
      <w:r w:rsidRPr="00223644">
        <w:t xml:space="preserve">) ili u manjem udjelu privremeno uskladištena. Time je stopa oporabe iznosila 32 %. Stopa recikliranja iznosila je 31 % što je za 2 postotna boda više od 2020. godine. Propisani </w:t>
      </w:r>
      <w:r>
        <w:t xml:space="preserve">EU </w:t>
      </w:r>
      <w:r w:rsidRPr="00223644">
        <w:t>cilj prema koje</w:t>
      </w:r>
      <w:r>
        <w:t>m</w:t>
      </w:r>
      <w:r w:rsidRPr="00223644">
        <w:t xml:space="preserve"> je do 2020. bilo potrebno</w:t>
      </w:r>
      <w:r w:rsidR="009C172F">
        <w:t xml:space="preserve"> najmanje </w:t>
      </w:r>
      <w:r w:rsidRPr="00223644">
        <w:t xml:space="preserve">50% ukupne mase otpada proizvedenog u kućanstvima i otpada iz drugih izvora čiji tokovi otpada su slični toku otpada iz kućanstva, uključujući barem papir, metal, plastiku i staklo, </w:t>
      </w:r>
      <w:proofErr w:type="spellStart"/>
      <w:r w:rsidRPr="00223644">
        <w:t>oporabiti</w:t>
      </w:r>
      <w:proofErr w:type="spellEnd"/>
      <w:r w:rsidRPr="00223644">
        <w:t xml:space="preserve"> recikliranjem i pripremom za ponovnu uporabu (PU) nije ostvaren (</w:t>
      </w:r>
      <w:r w:rsidRPr="00223644">
        <w:fldChar w:fldCharType="begin"/>
      </w:r>
      <w:r w:rsidRPr="00223644">
        <w:instrText xml:space="preserve"> REF _Ref110249753 \h </w:instrText>
      </w:r>
      <w:r w:rsidRPr="00223644">
        <w:fldChar w:fldCharType="separate"/>
      </w:r>
      <w:r w:rsidR="00F37B62" w:rsidRPr="00223644">
        <w:t xml:space="preserve">Slika </w:t>
      </w:r>
      <w:r w:rsidR="00F37B62">
        <w:rPr>
          <w:noProof/>
        </w:rPr>
        <w:t>15</w:t>
      </w:r>
      <w:r w:rsidRPr="00223644">
        <w:fldChar w:fldCharType="end"/>
      </w:r>
      <w:r w:rsidRPr="00223644">
        <w:t xml:space="preserve">). </w:t>
      </w:r>
    </w:p>
    <w:p w14:paraId="68EABEE0" w14:textId="77777777" w:rsidR="00877B12" w:rsidRPr="00877B12" w:rsidRDefault="00877B12" w:rsidP="00877B12">
      <w:pPr>
        <w:spacing w:after="0"/>
        <w:jc w:val="right"/>
        <w:rPr>
          <w:i/>
          <w:iCs/>
          <w:sz w:val="18"/>
          <w:szCs w:val="20"/>
        </w:rPr>
      </w:pPr>
      <w:r w:rsidRPr="00877B12">
        <w:rPr>
          <w:i/>
          <w:iCs/>
          <w:sz w:val="18"/>
          <w:szCs w:val="20"/>
        </w:rPr>
        <w:t xml:space="preserve">         Izvor: MINGOR</w:t>
      </w:r>
    </w:p>
    <w:p w14:paraId="10A994CF" w14:textId="3299C07C" w:rsidR="00877B12" w:rsidRPr="00223644" w:rsidRDefault="00877B12" w:rsidP="00877B12">
      <w:pPr>
        <w:pStyle w:val="Slika"/>
      </w:pPr>
      <w:bookmarkStart w:id="51" w:name="_Ref110249753"/>
      <w:bookmarkStart w:id="52" w:name="_Toc125363920"/>
      <w:r w:rsidRPr="00223644">
        <w:t xml:space="preserve">Slika </w:t>
      </w:r>
      <w:fldSimple w:instr=" SEQ Slika \* ARABIC ">
        <w:r w:rsidR="00F37B62">
          <w:rPr>
            <w:noProof/>
          </w:rPr>
          <w:t>15</w:t>
        </w:r>
      </w:fldSimple>
      <w:bookmarkEnd w:id="51"/>
      <w:r w:rsidRPr="00223644">
        <w:t>.</w:t>
      </w:r>
      <w:r>
        <w:t xml:space="preserve"> </w:t>
      </w:r>
      <w:r w:rsidRPr="00877B12">
        <w:rPr>
          <w:b w:val="0"/>
          <w:bCs/>
        </w:rPr>
        <w:t>Stopa recikliranja i stopa odlaganja u razdoblju od 2010. do 2021. godine u odnosu na propisane ciljeve, RH</w:t>
      </w:r>
      <w:bookmarkEnd w:id="52"/>
    </w:p>
    <w:p w14:paraId="54BE7F39" w14:textId="2AD34B80" w:rsidR="00877B12" w:rsidRPr="00223644" w:rsidRDefault="009C172F" w:rsidP="00877B12">
      <w:r>
        <w:t>Za</w:t>
      </w:r>
      <w:r w:rsidRPr="00223644">
        <w:t xml:space="preserve"> utvrđivanj</w:t>
      </w:r>
      <w:r>
        <w:t>e</w:t>
      </w:r>
      <w:r w:rsidRPr="00223644">
        <w:t xml:space="preserve"> mase recikliranog otpada </w:t>
      </w:r>
      <w:r>
        <w:t>o</w:t>
      </w:r>
      <w:r w:rsidR="00877B12" w:rsidRPr="00223644">
        <w:t>d izvještajne godine 2020.</w:t>
      </w:r>
      <w:r>
        <w:t xml:space="preserve"> primjenjuje </w:t>
      </w:r>
      <w:r w:rsidR="00877B12" w:rsidRPr="00223644">
        <w:t xml:space="preserve">se metodologija propisana Provedbenom odlukom Komisije (EU) 2019/1004 </w:t>
      </w:r>
      <w:proofErr w:type="spellStart"/>
      <w:r w:rsidR="00877B12" w:rsidRPr="00223644">
        <w:t>оd</w:t>
      </w:r>
      <w:proofErr w:type="spellEnd"/>
      <w:r w:rsidR="00877B12" w:rsidRPr="00223644">
        <w:t xml:space="preserve"> 7. lipnja 2019. o utvrđivanju pravila za izračun, provjeru i dostavu podataka o otpadu u skladu s Direktivom 2008/98/EZ Europskog parlamenta i Vijeća te o stavljanju izvan snage Provedbene odluke Komisije C(2012) 2384.</w:t>
      </w:r>
    </w:p>
    <w:p w14:paraId="2B238620" w14:textId="317FFAAA" w:rsidR="00877B12" w:rsidRPr="00223644" w:rsidRDefault="009C172F" w:rsidP="00877B12">
      <w:r>
        <w:t>Prema</w:t>
      </w:r>
      <w:r w:rsidRPr="00223644">
        <w:t xml:space="preserve"> </w:t>
      </w:r>
      <w:r w:rsidR="00877B12" w:rsidRPr="00223644">
        <w:t>navedenoj metodologiji masa recikliranog komunalnog otpada računa se kao masa komunalnog otpada koja ulazi u postupak recikliranja, a koja uključuje samo količine komunalnog otpada koje se u određenom postupku recikliranja prerađuju u proizvode, materijale ili tvari koj</w:t>
      </w:r>
      <w:r w:rsidR="00877B12">
        <w:t>e</w:t>
      </w:r>
      <w:r w:rsidR="00877B12" w:rsidRPr="00223644">
        <w:t xml:space="preserve"> nisu otpad odnosno količine u koje se ne ubrajaju izdvojene primjese iz otpada koje nisu željeni materijal za daljnje </w:t>
      </w:r>
      <w:r w:rsidR="00877B12" w:rsidRPr="00223644">
        <w:lastRenderedPageBreak/>
        <w:t xml:space="preserve">recikliranje. Prosječni udio </w:t>
      </w:r>
      <w:proofErr w:type="spellStart"/>
      <w:r w:rsidR="00877B12" w:rsidRPr="00223644">
        <w:t>neciljanih</w:t>
      </w:r>
      <w:proofErr w:type="spellEnd"/>
      <w:r w:rsidR="00877B12" w:rsidRPr="00223644">
        <w:t xml:space="preserve"> materijala i nečistoća</w:t>
      </w:r>
      <w:r w:rsidR="00027B68">
        <w:t xml:space="preserve"> izdvojenih iz</w:t>
      </w:r>
      <w:r w:rsidR="00877B12" w:rsidRPr="00223644">
        <w:t xml:space="preserve"> odvojeno </w:t>
      </w:r>
      <w:r w:rsidR="00027B68" w:rsidRPr="00223644">
        <w:t>sakupljen</w:t>
      </w:r>
      <w:r w:rsidR="00027B68">
        <w:t>og</w:t>
      </w:r>
      <w:r w:rsidR="00027B68" w:rsidRPr="00223644">
        <w:t xml:space="preserve"> </w:t>
      </w:r>
      <w:r w:rsidR="00877B12" w:rsidRPr="00223644">
        <w:t>komunalnog otpada iznosio je u 2020. godini 14 %, a u 2021. 13 %</w:t>
      </w:r>
      <w:r w:rsidR="00877B12" w:rsidRPr="00223644">
        <w:rPr>
          <w:rStyle w:val="Referencafusnote"/>
        </w:rPr>
        <w:footnoteReference w:id="16"/>
      </w:r>
      <w:r w:rsidR="00877B12" w:rsidRPr="00223644">
        <w:t>.</w:t>
      </w:r>
    </w:p>
    <w:p w14:paraId="0CDD39FE" w14:textId="7A6DB939" w:rsidR="00877B12" w:rsidRPr="00223644" w:rsidRDefault="00027B68" w:rsidP="00877B12">
      <w:r w:rsidRPr="00027B68">
        <w:t>Po stopi oporabe najuspješnije su županije sjeverozapadne RH</w:t>
      </w:r>
      <w:r>
        <w:t xml:space="preserve">, </w:t>
      </w:r>
      <w:r w:rsidR="00877B12" w:rsidRPr="00223644">
        <w:t>Međimurska županija (55 %), Varaždinska županija(48%) i Koprivničko-križevačk</w:t>
      </w:r>
      <w:r w:rsidR="00877B12">
        <w:t xml:space="preserve">a </w:t>
      </w:r>
      <w:r w:rsidR="00877B12" w:rsidRPr="00223644">
        <w:t>županija (4</w:t>
      </w:r>
      <w:r w:rsidR="00440250">
        <w:t>5</w:t>
      </w:r>
      <w:r w:rsidR="00877B12" w:rsidRPr="00223644">
        <w:t>%), dok su županije s najnižim vrijednostima stope oporabe smještene u priobalju: Ličko-senjska županija (19%) i Zadarska županija (20 %)</w:t>
      </w:r>
      <w:r w:rsidR="00877B12">
        <w:t xml:space="preserve"> (</w:t>
      </w:r>
      <w:r w:rsidR="00877B12">
        <w:fldChar w:fldCharType="begin"/>
      </w:r>
      <w:r w:rsidR="00877B12">
        <w:instrText xml:space="preserve"> REF _Ref111192487 \h </w:instrText>
      </w:r>
      <w:r w:rsidR="00877B12">
        <w:fldChar w:fldCharType="separate"/>
      </w:r>
      <w:r w:rsidR="00F37B62" w:rsidRPr="00223644">
        <w:t xml:space="preserve">Slika </w:t>
      </w:r>
      <w:r w:rsidR="00F37B62">
        <w:rPr>
          <w:noProof/>
        </w:rPr>
        <w:t>16</w:t>
      </w:r>
      <w:r w:rsidR="00877B12">
        <w:fldChar w:fldCharType="end"/>
      </w:r>
      <w:r w:rsidR="00877B12">
        <w:t>)</w:t>
      </w:r>
      <w:r w:rsidR="00877B12" w:rsidRPr="00223644">
        <w:t xml:space="preserve"> . </w:t>
      </w:r>
    </w:p>
    <w:p w14:paraId="797E4D7B" w14:textId="77777777" w:rsidR="00877B12" w:rsidRPr="00440250" w:rsidRDefault="00877B12" w:rsidP="00440250">
      <w:pPr>
        <w:spacing w:after="0"/>
        <w:jc w:val="right"/>
        <w:rPr>
          <w:i/>
          <w:iCs/>
          <w:sz w:val="18"/>
          <w:szCs w:val="20"/>
        </w:rPr>
      </w:pPr>
      <w:r w:rsidRPr="00440250">
        <w:rPr>
          <w:i/>
          <w:iCs/>
          <w:sz w:val="18"/>
          <w:szCs w:val="20"/>
        </w:rPr>
        <w:t>Izvor: MINGOR</w:t>
      </w:r>
    </w:p>
    <w:p w14:paraId="7D6F4FFB" w14:textId="423229E0" w:rsidR="00877B12" w:rsidRPr="00440250" w:rsidRDefault="00877B12" w:rsidP="00440250">
      <w:pPr>
        <w:pStyle w:val="Slika"/>
        <w:rPr>
          <w:b w:val="0"/>
          <w:bCs/>
        </w:rPr>
      </w:pPr>
      <w:bookmarkStart w:id="53" w:name="_Ref111192487"/>
      <w:bookmarkStart w:id="54" w:name="_Toc125363921"/>
      <w:r w:rsidRPr="00223644">
        <w:t xml:space="preserve">Slika </w:t>
      </w:r>
      <w:fldSimple w:instr=" SEQ Slika \* ARABIC ">
        <w:r w:rsidR="00F37B62">
          <w:rPr>
            <w:noProof/>
          </w:rPr>
          <w:t>16</w:t>
        </w:r>
      </w:fldSimple>
      <w:bookmarkEnd w:id="53"/>
      <w:r w:rsidRPr="00440250">
        <w:rPr>
          <w:b w:val="0"/>
          <w:bCs/>
        </w:rPr>
        <w:t>. Procijenjene stope oporabe komunalnog otpada po županijama u 2021.</w:t>
      </w:r>
      <w:bookmarkEnd w:id="54"/>
    </w:p>
    <w:p w14:paraId="325C4A65" w14:textId="72524E2B" w:rsidR="00877B12" w:rsidRPr="00223644" w:rsidRDefault="00877B12" w:rsidP="00877B12">
      <w:r>
        <w:t>P</w:t>
      </w:r>
      <w:r w:rsidRPr="00223644">
        <w:t xml:space="preserve">orast stope oporabe komunalnog otpada </w:t>
      </w:r>
      <w:r>
        <w:t xml:space="preserve">rezultira </w:t>
      </w:r>
      <w:r w:rsidRPr="00223644">
        <w:t>smanj</w:t>
      </w:r>
      <w:r>
        <w:t>enjem</w:t>
      </w:r>
      <w:r w:rsidRPr="00223644">
        <w:t xml:space="preserve"> količine komunalnog otpada</w:t>
      </w:r>
      <w:r w:rsidR="00B97B8D" w:rsidRPr="00B97B8D">
        <w:t xml:space="preserve"> </w:t>
      </w:r>
      <w:r w:rsidR="00B97B8D" w:rsidRPr="00223644">
        <w:t>odloženog</w:t>
      </w:r>
      <w:r w:rsidR="00B97B8D">
        <w:t xml:space="preserve"> na odlagališta otpada</w:t>
      </w:r>
      <w:r w:rsidRPr="00223644">
        <w:t xml:space="preserve">. U 2021. godini odloženo je ukupno 1.029.725 tona komunalnog otpada, od čega 4.290 tona u </w:t>
      </w:r>
      <w:r>
        <w:t>Bosni i Hercegovini (</w:t>
      </w:r>
      <w:r w:rsidRPr="00223644">
        <w:t>BiH</w:t>
      </w:r>
      <w:r>
        <w:t>)</w:t>
      </w:r>
      <w:r w:rsidRPr="00223644">
        <w:t xml:space="preserve">. Stopa odlaganja iznosila je 58 %. </w:t>
      </w:r>
    </w:p>
    <w:p w14:paraId="199EC20F" w14:textId="4DD8385A" w:rsidR="00877B12" w:rsidRPr="00223644" w:rsidRDefault="00877B12" w:rsidP="00877B12">
      <w:r w:rsidRPr="00223644">
        <w:t xml:space="preserve">Pored 32 % </w:t>
      </w:r>
      <w:proofErr w:type="spellStart"/>
      <w:r w:rsidRPr="00223644">
        <w:t>oporabljenog</w:t>
      </w:r>
      <w:proofErr w:type="spellEnd"/>
      <w:r w:rsidRPr="00223644">
        <w:t xml:space="preserve"> i 58 % odloženog komunalnog otpada, preostalih 10 % upućeno je na ostale postupke obrade i to uglavnom u postrojenja na mehaničko-biološku obradu otpada (MBO), dok se zanemarivi dio odnosi na druge postupke </w:t>
      </w:r>
      <w:proofErr w:type="spellStart"/>
      <w:r w:rsidRPr="00223644">
        <w:t>predobrade</w:t>
      </w:r>
      <w:proofErr w:type="spellEnd"/>
      <w:r w:rsidRPr="00223644">
        <w:t xml:space="preserve">, privremeno skladištenje i procijene za neobuhvaćeni dio stanovništva za koje nije moguće utvrditi postupanje. Na </w:t>
      </w:r>
      <w:r w:rsidR="00FC25A7" w:rsidRPr="00223644">
        <w:fldChar w:fldCharType="begin"/>
      </w:r>
      <w:r w:rsidR="00FC25A7" w:rsidRPr="00223644">
        <w:instrText xml:space="preserve"> REF _Ref110254073 \h </w:instrText>
      </w:r>
      <w:r w:rsidR="00FC25A7" w:rsidRPr="00223644">
        <w:fldChar w:fldCharType="separate"/>
      </w:r>
      <w:r w:rsidR="00F37B62" w:rsidRPr="00223644">
        <w:t xml:space="preserve">Slika </w:t>
      </w:r>
      <w:r w:rsidR="00F37B62">
        <w:rPr>
          <w:noProof/>
        </w:rPr>
        <w:t>17</w:t>
      </w:r>
      <w:r w:rsidR="00FC25A7" w:rsidRPr="00223644">
        <w:fldChar w:fldCharType="end"/>
      </w:r>
      <w:r w:rsidRPr="00223644">
        <w:t xml:space="preserve"> </w:t>
      </w:r>
      <w:r>
        <w:t>dat</w:t>
      </w:r>
      <w:r w:rsidRPr="00223644">
        <w:t xml:space="preserve"> </w:t>
      </w:r>
      <w:r>
        <w:t>je</w:t>
      </w:r>
      <w:r w:rsidRPr="00223644">
        <w:t xml:space="preserve"> prikaz gospodarenja s komunalnim otpadom u razdoblju od 2010. do 2021. godine.</w:t>
      </w:r>
    </w:p>
    <w:p w14:paraId="7A878A38" w14:textId="77777777" w:rsidR="00877B12" w:rsidRPr="00223644" w:rsidRDefault="00877B12" w:rsidP="00877B12"/>
    <w:p w14:paraId="58F2C747" w14:textId="77777777" w:rsidR="00877B12" w:rsidRPr="00440250" w:rsidRDefault="00877B12" w:rsidP="00440250">
      <w:pPr>
        <w:spacing w:after="0"/>
        <w:jc w:val="right"/>
        <w:rPr>
          <w:i/>
          <w:iCs/>
          <w:sz w:val="18"/>
          <w:szCs w:val="20"/>
        </w:rPr>
      </w:pPr>
      <w:r w:rsidRPr="00440250">
        <w:rPr>
          <w:i/>
          <w:iCs/>
          <w:sz w:val="18"/>
          <w:szCs w:val="20"/>
        </w:rPr>
        <w:t>Izvor: MINGOR</w:t>
      </w:r>
    </w:p>
    <w:p w14:paraId="74D3E361" w14:textId="22A47EAA" w:rsidR="00877B12" w:rsidRPr="00223644" w:rsidRDefault="00877B12" w:rsidP="00440250">
      <w:pPr>
        <w:pStyle w:val="Slika"/>
      </w:pPr>
      <w:bookmarkStart w:id="55" w:name="_Ref110254073"/>
      <w:bookmarkStart w:id="56" w:name="_Toc125363922"/>
      <w:r w:rsidRPr="00223644">
        <w:t xml:space="preserve">Slika </w:t>
      </w:r>
      <w:fldSimple w:instr=" SEQ Slika \* ARABIC ">
        <w:r w:rsidR="00F37B62">
          <w:rPr>
            <w:noProof/>
          </w:rPr>
          <w:t>17</w:t>
        </w:r>
      </w:fldSimple>
      <w:bookmarkEnd w:id="55"/>
      <w:r w:rsidRPr="00223644">
        <w:t xml:space="preserve">. </w:t>
      </w:r>
      <w:r w:rsidRPr="00440250">
        <w:rPr>
          <w:b w:val="0"/>
          <w:bCs/>
        </w:rPr>
        <w:t>Gospodarenje s komunalnim otpadom u razdoblju od 2010. do 2021. godine, RH</w:t>
      </w:r>
      <w:bookmarkEnd w:id="56"/>
      <w:r w:rsidRPr="00223644">
        <w:t xml:space="preserve"> </w:t>
      </w:r>
    </w:p>
    <w:p w14:paraId="7FC6F25A" w14:textId="77777777" w:rsidR="00877B12" w:rsidRPr="00223644" w:rsidRDefault="00877B12" w:rsidP="00877B12"/>
    <w:p w14:paraId="0E4C591D" w14:textId="77777777" w:rsidR="00877B12" w:rsidRPr="00460193" w:rsidRDefault="00877B12" w:rsidP="00700671">
      <w:pPr>
        <w:pStyle w:val="IRNaslov4"/>
      </w:pPr>
      <w:r w:rsidRPr="00460193">
        <w:t>Biorazgradivi komunalni otpad</w:t>
      </w:r>
    </w:p>
    <w:p w14:paraId="22036F19" w14:textId="2AEE080F" w:rsidR="00877B12" w:rsidRPr="00223644" w:rsidRDefault="00877B12" w:rsidP="00877B12">
      <w:r w:rsidRPr="006405AF">
        <w:t xml:space="preserve">Biorazgradivi otpad je svaki otpad ili dio otpada koji podliježe anaerobnoj ili aerobnoj razgradnji, kao što je otpad iz vrtova, otpad od hrane te papir i karton. </w:t>
      </w:r>
      <w:r w:rsidR="006405AF" w:rsidRPr="006405AF">
        <w:t>ZGO definira</w:t>
      </w:r>
      <w:r w:rsidR="006405AF">
        <w:t xml:space="preserve"> </w:t>
      </w:r>
      <w:r w:rsidRPr="008C5FC0">
        <w:t>cilj prema kojem najveća dopuštena masa biorazgradivog komunalnog otpada čije</w:t>
      </w:r>
      <w:r w:rsidRPr="00223644">
        <w:t xml:space="preserve"> odlaganje u kalendarskoj godini se može dopustiti svim dozvolama za gospodarenje otpadom u RH iznosi 264.661 tona, što je 35% mase biorazgradivog komunalnog otpada proizvedenog u 1997. godini. Navedeno je u skladu s Direktivom Vijeća 1999/31/EZ od 26. travnja 1999. o odlagalištima otpada (SL L 182, 16. 7. 1999.) kako je posljednji put izmijenjena Direktivom (EU) 2018/850 Europskog parlamenta i Vijeća od 30. svibnja 2018. o izmjeni Direktive 1999/31/EZ o odlagalištima otpada (SL L 150, 14. 6. 2018.)</w:t>
      </w:r>
    </w:p>
    <w:p w14:paraId="78C9E972" w14:textId="671F1215" w:rsidR="00877B12" w:rsidRPr="00CF311C" w:rsidRDefault="00877B12" w:rsidP="00877B12">
      <w:r w:rsidRPr="00223644">
        <w:t xml:space="preserve">U razdoblju od 1997. do 2010. godine </w:t>
      </w:r>
      <w:r>
        <w:t>trend količina</w:t>
      </w:r>
      <w:r w:rsidRPr="00223644">
        <w:t xml:space="preserve"> odloženog biorazgradivog komunalnog otpada prat</w:t>
      </w:r>
      <w:r>
        <w:t>i</w:t>
      </w:r>
      <w:r w:rsidRPr="00223644">
        <w:t xml:space="preserve"> trend nastajanja biorazgradivog komunalnog otpada, nakon čega dolazi do razdvajanja veze između nastalih i odloženih količina (</w:t>
      </w:r>
      <w:r w:rsidRPr="00223644">
        <w:fldChar w:fldCharType="begin"/>
      </w:r>
      <w:r w:rsidRPr="00223644">
        <w:instrText xml:space="preserve"> REF _Ref110256530 \h </w:instrText>
      </w:r>
      <w:r w:rsidRPr="00223644">
        <w:fldChar w:fldCharType="separate"/>
      </w:r>
      <w:r w:rsidR="00F37B62" w:rsidRPr="00223644">
        <w:t xml:space="preserve">Slika </w:t>
      </w:r>
      <w:r w:rsidR="00F37B62">
        <w:rPr>
          <w:noProof/>
        </w:rPr>
        <w:t>18</w:t>
      </w:r>
      <w:r w:rsidRPr="00223644">
        <w:fldChar w:fldCharType="end"/>
      </w:r>
      <w:r w:rsidRPr="00223644">
        <w:t>)</w:t>
      </w:r>
      <w:r w:rsidR="00D758C7">
        <w:t xml:space="preserve"> odnosno nastale količine rastu, dok se količine odloženog  </w:t>
      </w:r>
      <w:r w:rsidR="00D758C7" w:rsidRPr="00D758C7">
        <w:t xml:space="preserve">biorazgradivog komunalnog </w:t>
      </w:r>
      <w:r w:rsidR="00D758C7">
        <w:t>smanjuju</w:t>
      </w:r>
      <w:r w:rsidRPr="00223644">
        <w:t xml:space="preserve">. </w:t>
      </w:r>
      <w:r w:rsidRPr="00CF311C">
        <w:t xml:space="preserve">Navedeno je rezultat provođenja mjera odvojenog sakupljanja komunalnog otpada i porasta stope oporabe. Također su u </w:t>
      </w:r>
      <w:r w:rsidRPr="00B74915">
        <w:rPr>
          <w:highlight w:val="yellow"/>
        </w:rPr>
        <w:t xml:space="preserve">2018. godini puštena u rad dva centra za gospodarenje otpadom (postrojenja za MBO) što je dodatno pridonijelo smanjenju odloženog biorazgradivog komunalnog </w:t>
      </w:r>
      <w:commentRangeStart w:id="57"/>
      <w:r w:rsidRPr="00B74915">
        <w:rPr>
          <w:highlight w:val="yellow"/>
        </w:rPr>
        <w:t>otpada</w:t>
      </w:r>
      <w:commentRangeEnd w:id="57"/>
      <w:r w:rsidR="00B74915">
        <w:rPr>
          <w:rStyle w:val="Referencakomentara"/>
        </w:rPr>
        <w:commentReference w:id="57"/>
      </w:r>
      <w:r w:rsidRPr="00B74915">
        <w:rPr>
          <w:highlight w:val="yellow"/>
        </w:rPr>
        <w:t>.</w:t>
      </w:r>
    </w:p>
    <w:p w14:paraId="10A2FDEB" w14:textId="77777777" w:rsidR="00563C46" w:rsidRDefault="00563C46" w:rsidP="00440250">
      <w:pPr>
        <w:spacing w:after="0"/>
        <w:jc w:val="right"/>
        <w:rPr>
          <w:i/>
          <w:iCs/>
          <w:sz w:val="18"/>
          <w:szCs w:val="20"/>
        </w:rPr>
      </w:pPr>
    </w:p>
    <w:p w14:paraId="298C5EDB" w14:textId="4B1F739C" w:rsidR="00877B12" w:rsidRPr="00440250" w:rsidRDefault="00877B12" w:rsidP="00440250">
      <w:pPr>
        <w:spacing w:after="0"/>
        <w:jc w:val="right"/>
        <w:rPr>
          <w:i/>
          <w:iCs/>
          <w:sz w:val="18"/>
          <w:szCs w:val="20"/>
        </w:rPr>
      </w:pPr>
      <w:r w:rsidRPr="00440250">
        <w:rPr>
          <w:i/>
          <w:iCs/>
          <w:sz w:val="18"/>
          <w:szCs w:val="20"/>
        </w:rPr>
        <w:t>Izvor: MINGOR</w:t>
      </w:r>
    </w:p>
    <w:p w14:paraId="091FC078" w14:textId="1A6F92BD" w:rsidR="00877B12" w:rsidRPr="00223644" w:rsidRDefault="00877B12" w:rsidP="00440250">
      <w:pPr>
        <w:pStyle w:val="Slika"/>
      </w:pPr>
      <w:bookmarkStart w:id="58" w:name="_Ref110256530"/>
      <w:bookmarkStart w:id="59" w:name="_Toc125363923"/>
      <w:r w:rsidRPr="00223644">
        <w:lastRenderedPageBreak/>
        <w:t xml:space="preserve">Slika </w:t>
      </w:r>
      <w:fldSimple w:instr=" SEQ Slika \* ARABIC ">
        <w:r w:rsidR="00F37B62">
          <w:rPr>
            <w:noProof/>
          </w:rPr>
          <w:t>18</w:t>
        </w:r>
      </w:fldSimple>
      <w:bookmarkEnd w:id="58"/>
      <w:r w:rsidRPr="00223644">
        <w:t xml:space="preserve">. </w:t>
      </w:r>
      <w:r w:rsidRPr="00440250">
        <w:rPr>
          <w:b w:val="0"/>
          <w:bCs/>
        </w:rPr>
        <w:t>Nastali i odloženi biorazgradivi komunalni otpad za razdoblje od 1997. do 2021. u odnosu na ciljanu količinu</w:t>
      </w:r>
      <w:bookmarkEnd w:id="59"/>
      <w:r w:rsidRPr="00223644">
        <w:t xml:space="preserve"> </w:t>
      </w:r>
    </w:p>
    <w:p w14:paraId="222764F5" w14:textId="10B8FB7A" w:rsidR="00877B12" w:rsidRDefault="00877B12" w:rsidP="00877B12">
      <w:r w:rsidRPr="008C5FC0">
        <w:t xml:space="preserve">U 2021. godini odloženo je 594.107 tona biorazgradivog komunalnog otpada čime je ciljana vrijednost propisana </w:t>
      </w:r>
      <w:r w:rsidR="006405AF">
        <w:t xml:space="preserve">ZGO-om </w:t>
      </w:r>
      <w:r w:rsidRPr="008C5FC0">
        <w:t>premašena za 331.352 tona.</w:t>
      </w:r>
      <w:r w:rsidR="00EE6636">
        <w:t xml:space="preserve"> </w:t>
      </w:r>
      <w:r w:rsidR="00EE6636" w:rsidRPr="00EE6636">
        <w:t>U nastavku se daje tablični pregled količina nastalog i odloženog biorazgradivog komunalnog otpada u razdoblju od 1997. do 2021. godine.</w:t>
      </w:r>
    </w:p>
    <w:p w14:paraId="2E67BB29" w14:textId="0320929C" w:rsidR="00EE6636" w:rsidRPr="000E6FB8" w:rsidRDefault="00EE6636" w:rsidP="00EE6636">
      <w:pPr>
        <w:pStyle w:val="Tablica"/>
        <w:rPr>
          <w:bCs/>
        </w:rPr>
      </w:pPr>
      <w:bookmarkStart w:id="60" w:name="_Toc125364396"/>
      <w:r w:rsidRPr="00A74704">
        <w:t xml:space="preserve">Tablica </w:t>
      </w:r>
      <w:fldSimple w:instr=" SEQ Tablica \* ARABIC ">
        <w:r w:rsidR="00F37B62">
          <w:rPr>
            <w:noProof/>
          </w:rPr>
          <w:t>7</w:t>
        </w:r>
      </w:fldSimple>
      <w:r w:rsidRPr="00A74704">
        <w:t xml:space="preserve">. </w:t>
      </w:r>
      <w:r w:rsidRPr="006E4AAD">
        <w:rPr>
          <w:b w:val="0"/>
          <w:bCs/>
        </w:rPr>
        <w:t>Količine nastalog i odloženog biorazgradivog komunalnog otpada u razdoblju od 1997. do 2021. godine</w:t>
      </w:r>
      <w:bookmarkEnd w:id="60"/>
    </w:p>
    <w:tbl>
      <w:tblPr>
        <w:tblW w:w="5000" w:type="pct"/>
        <w:tblLook w:val="04A0" w:firstRow="1" w:lastRow="0" w:firstColumn="1" w:lastColumn="0" w:noHBand="0" w:noVBand="1"/>
      </w:tblPr>
      <w:tblGrid>
        <w:gridCol w:w="1212"/>
        <w:gridCol w:w="4047"/>
        <w:gridCol w:w="3781"/>
      </w:tblGrid>
      <w:tr w:rsidR="00776655" w:rsidRPr="00A74704" w14:paraId="7962EF3A" w14:textId="77777777" w:rsidTr="00CC41BC">
        <w:trPr>
          <w:trHeight w:val="20"/>
          <w:tblHeader/>
        </w:trPr>
        <w:tc>
          <w:tcPr>
            <w:tcW w:w="737" w:type="pct"/>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5C83E065" w14:textId="77777777" w:rsidR="00EE6636" w:rsidRPr="006E4AAD" w:rsidRDefault="00EE6636" w:rsidP="00CC41BC">
            <w:pPr>
              <w:spacing w:after="0" w:line="240" w:lineRule="auto"/>
              <w:jc w:val="left"/>
              <w:rPr>
                <w:rFonts w:eastAsia="Times New Roman" w:cstheme="minorHAnsi"/>
                <w:b/>
                <w:bCs/>
                <w:color w:val="FFFFFF" w:themeColor="background1"/>
                <w:sz w:val="20"/>
                <w:szCs w:val="20"/>
                <w:lang w:eastAsia="hr-HR"/>
              </w:rPr>
            </w:pPr>
            <w:r w:rsidRPr="006E4AAD">
              <w:rPr>
                <w:rFonts w:eastAsia="Times New Roman" w:cstheme="minorHAnsi"/>
                <w:b/>
                <w:bCs/>
                <w:color w:val="FFFFFF" w:themeColor="background1"/>
                <w:sz w:val="20"/>
                <w:szCs w:val="20"/>
                <w:lang w:eastAsia="hr-HR"/>
              </w:rPr>
              <w:t> </w:t>
            </w:r>
          </w:p>
        </w:tc>
        <w:tc>
          <w:tcPr>
            <w:tcW w:w="2305" w:type="pct"/>
            <w:tcBorders>
              <w:top w:val="single" w:sz="4" w:space="0" w:color="auto"/>
              <w:left w:val="nil"/>
              <w:bottom w:val="single" w:sz="4" w:space="0" w:color="auto"/>
              <w:right w:val="single" w:sz="4" w:space="0" w:color="auto"/>
            </w:tcBorders>
            <w:shd w:val="clear" w:color="auto" w:fill="002060"/>
            <w:noWrap/>
            <w:vAlign w:val="center"/>
            <w:hideMark/>
          </w:tcPr>
          <w:p w14:paraId="4A446DFD" w14:textId="77777777" w:rsidR="00EE6636" w:rsidRPr="006E4AAD" w:rsidRDefault="00EE6636" w:rsidP="00CC41BC">
            <w:pPr>
              <w:spacing w:after="0" w:line="240" w:lineRule="auto"/>
              <w:jc w:val="left"/>
              <w:rPr>
                <w:rFonts w:eastAsia="Times New Roman" w:cstheme="minorHAnsi"/>
                <w:b/>
                <w:bCs/>
                <w:color w:val="FFFFFF" w:themeColor="background1"/>
                <w:sz w:val="20"/>
                <w:szCs w:val="20"/>
                <w:lang w:eastAsia="hr-HR"/>
              </w:rPr>
            </w:pPr>
            <w:r w:rsidRPr="006E4AAD">
              <w:rPr>
                <w:rFonts w:eastAsia="Times New Roman" w:cstheme="minorHAnsi"/>
                <w:b/>
                <w:bCs/>
                <w:color w:val="FFFFFF" w:themeColor="background1"/>
                <w:sz w:val="20"/>
                <w:szCs w:val="20"/>
                <w:lang w:eastAsia="hr-HR"/>
              </w:rPr>
              <w:t>Nastali biorazgradivi komunalni otpad</w:t>
            </w:r>
            <w:r>
              <w:rPr>
                <w:rFonts w:eastAsia="Times New Roman" w:cstheme="minorHAnsi"/>
                <w:b/>
                <w:bCs/>
                <w:color w:val="FFFFFF" w:themeColor="background1"/>
                <w:sz w:val="20"/>
                <w:szCs w:val="20"/>
                <w:lang w:eastAsia="hr-HR"/>
              </w:rPr>
              <w:t xml:space="preserve"> (t)</w:t>
            </w:r>
          </w:p>
        </w:tc>
        <w:tc>
          <w:tcPr>
            <w:tcW w:w="1958" w:type="pct"/>
            <w:tcBorders>
              <w:top w:val="single" w:sz="4" w:space="0" w:color="auto"/>
              <w:left w:val="nil"/>
              <w:bottom w:val="single" w:sz="4" w:space="0" w:color="auto"/>
              <w:right w:val="single" w:sz="4" w:space="0" w:color="auto"/>
            </w:tcBorders>
            <w:shd w:val="clear" w:color="auto" w:fill="002060"/>
            <w:noWrap/>
            <w:vAlign w:val="center"/>
            <w:hideMark/>
          </w:tcPr>
          <w:p w14:paraId="3E3C60F2" w14:textId="77777777" w:rsidR="00EE6636" w:rsidRPr="006E4AAD" w:rsidRDefault="00EE6636" w:rsidP="00CC41BC">
            <w:pPr>
              <w:spacing w:after="0" w:line="240" w:lineRule="auto"/>
              <w:jc w:val="left"/>
              <w:rPr>
                <w:rFonts w:eastAsia="Times New Roman" w:cstheme="minorHAnsi"/>
                <w:b/>
                <w:bCs/>
                <w:color w:val="FFFFFF" w:themeColor="background1"/>
                <w:sz w:val="20"/>
                <w:szCs w:val="20"/>
                <w:lang w:eastAsia="hr-HR"/>
              </w:rPr>
            </w:pPr>
            <w:r w:rsidRPr="006E4AAD">
              <w:rPr>
                <w:rFonts w:eastAsia="Times New Roman" w:cstheme="minorHAnsi"/>
                <w:b/>
                <w:bCs/>
                <w:color w:val="FFFFFF" w:themeColor="background1"/>
                <w:sz w:val="20"/>
                <w:szCs w:val="20"/>
                <w:lang w:eastAsia="hr-HR"/>
              </w:rPr>
              <w:t>Odloženi biorazgradivi komunalni otpad</w:t>
            </w:r>
            <w:r>
              <w:rPr>
                <w:rFonts w:eastAsia="Times New Roman" w:cstheme="minorHAnsi"/>
                <w:b/>
                <w:bCs/>
                <w:color w:val="FFFFFF" w:themeColor="background1"/>
                <w:sz w:val="20"/>
                <w:szCs w:val="20"/>
                <w:lang w:eastAsia="hr-HR"/>
              </w:rPr>
              <w:t xml:space="preserve"> (t)</w:t>
            </w:r>
          </w:p>
        </w:tc>
      </w:tr>
      <w:tr w:rsidR="00776655" w:rsidRPr="00A74704" w14:paraId="17B230BE"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565A4980"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1997.</w:t>
            </w:r>
          </w:p>
        </w:tc>
        <w:tc>
          <w:tcPr>
            <w:tcW w:w="2305" w:type="pct"/>
            <w:tcBorders>
              <w:top w:val="nil"/>
              <w:left w:val="nil"/>
              <w:bottom w:val="single" w:sz="4" w:space="0" w:color="auto"/>
              <w:right w:val="single" w:sz="4" w:space="0" w:color="auto"/>
            </w:tcBorders>
            <w:shd w:val="clear" w:color="auto" w:fill="auto"/>
            <w:noWrap/>
            <w:vAlign w:val="center"/>
            <w:hideMark/>
          </w:tcPr>
          <w:p w14:paraId="60C296B4"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756.175</w:t>
            </w:r>
          </w:p>
        </w:tc>
        <w:tc>
          <w:tcPr>
            <w:tcW w:w="1958" w:type="pct"/>
            <w:tcBorders>
              <w:top w:val="nil"/>
              <w:left w:val="nil"/>
              <w:bottom w:val="single" w:sz="4" w:space="0" w:color="auto"/>
              <w:right w:val="single" w:sz="4" w:space="0" w:color="auto"/>
            </w:tcBorders>
            <w:shd w:val="clear" w:color="auto" w:fill="auto"/>
            <w:noWrap/>
            <w:vAlign w:val="center"/>
            <w:hideMark/>
          </w:tcPr>
          <w:p w14:paraId="241C641D"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756.175</w:t>
            </w:r>
          </w:p>
        </w:tc>
      </w:tr>
      <w:tr w:rsidR="00776655" w:rsidRPr="00A74704" w14:paraId="66052B64"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675E1FA5"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2000.</w:t>
            </w:r>
          </w:p>
        </w:tc>
        <w:tc>
          <w:tcPr>
            <w:tcW w:w="2305" w:type="pct"/>
            <w:tcBorders>
              <w:top w:val="nil"/>
              <w:left w:val="nil"/>
              <w:bottom w:val="single" w:sz="4" w:space="0" w:color="auto"/>
              <w:right w:val="single" w:sz="4" w:space="0" w:color="auto"/>
            </w:tcBorders>
            <w:shd w:val="clear" w:color="auto" w:fill="auto"/>
            <w:noWrap/>
            <w:vAlign w:val="center"/>
            <w:hideMark/>
          </w:tcPr>
          <w:p w14:paraId="20F0DCED"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873.538</w:t>
            </w:r>
          </w:p>
        </w:tc>
        <w:tc>
          <w:tcPr>
            <w:tcW w:w="1958" w:type="pct"/>
            <w:tcBorders>
              <w:top w:val="nil"/>
              <w:left w:val="nil"/>
              <w:bottom w:val="single" w:sz="4" w:space="0" w:color="auto"/>
              <w:right w:val="single" w:sz="4" w:space="0" w:color="auto"/>
            </w:tcBorders>
            <w:shd w:val="clear" w:color="auto" w:fill="auto"/>
            <w:noWrap/>
            <w:vAlign w:val="center"/>
            <w:hideMark/>
          </w:tcPr>
          <w:p w14:paraId="53583DB9"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863.538</w:t>
            </w:r>
          </w:p>
        </w:tc>
      </w:tr>
      <w:tr w:rsidR="00776655" w:rsidRPr="00A74704" w14:paraId="62540525"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17F75E23"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2004.</w:t>
            </w:r>
          </w:p>
        </w:tc>
        <w:tc>
          <w:tcPr>
            <w:tcW w:w="2305" w:type="pct"/>
            <w:tcBorders>
              <w:top w:val="nil"/>
              <w:left w:val="nil"/>
              <w:bottom w:val="single" w:sz="4" w:space="0" w:color="auto"/>
              <w:right w:val="single" w:sz="4" w:space="0" w:color="auto"/>
            </w:tcBorders>
            <w:shd w:val="clear" w:color="auto" w:fill="auto"/>
            <w:noWrap/>
            <w:vAlign w:val="center"/>
            <w:hideMark/>
          </w:tcPr>
          <w:p w14:paraId="07E31C64"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878.131</w:t>
            </w:r>
          </w:p>
        </w:tc>
        <w:tc>
          <w:tcPr>
            <w:tcW w:w="1958" w:type="pct"/>
            <w:tcBorders>
              <w:top w:val="nil"/>
              <w:left w:val="nil"/>
              <w:bottom w:val="single" w:sz="4" w:space="0" w:color="auto"/>
              <w:right w:val="single" w:sz="4" w:space="0" w:color="auto"/>
            </w:tcBorders>
            <w:shd w:val="clear" w:color="auto" w:fill="auto"/>
            <w:noWrap/>
            <w:vAlign w:val="center"/>
            <w:hideMark/>
          </w:tcPr>
          <w:p w14:paraId="2EC4DA3B"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863.131</w:t>
            </w:r>
          </w:p>
        </w:tc>
      </w:tr>
      <w:tr w:rsidR="00776655" w:rsidRPr="00A74704" w14:paraId="3FABBA03"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5D9787E9"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2005.</w:t>
            </w:r>
          </w:p>
        </w:tc>
        <w:tc>
          <w:tcPr>
            <w:tcW w:w="2305" w:type="pct"/>
            <w:tcBorders>
              <w:top w:val="nil"/>
              <w:left w:val="nil"/>
              <w:bottom w:val="single" w:sz="4" w:space="0" w:color="auto"/>
              <w:right w:val="single" w:sz="4" w:space="0" w:color="auto"/>
            </w:tcBorders>
            <w:shd w:val="clear" w:color="auto" w:fill="auto"/>
            <w:noWrap/>
            <w:vAlign w:val="center"/>
            <w:hideMark/>
          </w:tcPr>
          <w:p w14:paraId="1945E25E"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971.085</w:t>
            </w:r>
          </w:p>
        </w:tc>
        <w:tc>
          <w:tcPr>
            <w:tcW w:w="1958" w:type="pct"/>
            <w:tcBorders>
              <w:top w:val="nil"/>
              <w:left w:val="nil"/>
              <w:bottom w:val="single" w:sz="4" w:space="0" w:color="auto"/>
              <w:right w:val="single" w:sz="4" w:space="0" w:color="auto"/>
            </w:tcBorders>
            <w:shd w:val="clear" w:color="auto" w:fill="auto"/>
            <w:noWrap/>
            <w:vAlign w:val="center"/>
            <w:hideMark/>
          </w:tcPr>
          <w:p w14:paraId="2909F921"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952.969</w:t>
            </w:r>
          </w:p>
        </w:tc>
      </w:tr>
      <w:tr w:rsidR="00776655" w:rsidRPr="00A74704" w14:paraId="164AD5B3"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70F61C1E"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2006.</w:t>
            </w:r>
          </w:p>
        </w:tc>
        <w:tc>
          <w:tcPr>
            <w:tcW w:w="2305" w:type="pct"/>
            <w:tcBorders>
              <w:top w:val="nil"/>
              <w:left w:val="nil"/>
              <w:bottom w:val="single" w:sz="4" w:space="0" w:color="auto"/>
              <w:right w:val="single" w:sz="4" w:space="0" w:color="auto"/>
            </w:tcBorders>
            <w:shd w:val="clear" w:color="auto" w:fill="auto"/>
            <w:noWrap/>
            <w:vAlign w:val="center"/>
            <w:hideMark/>
          </w:tcPr>
          <w:p w14:paraId="2CA197EC"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1.048.667</w:t>
            </w:r>
          </w:p>
        </w:tc>
        <w:tc>
          <w:tcPr>
            <w:tcW w:w="1958" w:type="pct"/>
            <w:tcBorders>
              <w:top w:val="nil"/>
              <w:left w:val="nil"/>
              <w:bottom w:val="single" w:sz="4" w:space="0" w:color="auto"/>
              <w:right w:val="single" w:sz="4" w:space="0" w:color="auto"/>
            </w:tcBorders>
            <w:shd w:val="clear" w:color="auto" w:fill="auto"/>
            <w:noWrap/>
            <w:vAlign w:val="center"/>
            <w:hideMark/>
          </w:tcPr>
          <w:p w14:paraId="4E4DF74D"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1.024.323</w:t>
            </w:r>
          </w:p>
        </w:tc>
      </w:tr>
      <w:tr w:rsidR="00776655" w:rsidRPr="00A74704" w14:paraId="57505C9A"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63661917"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2007.</w:t>
            </w:r>
          </w:p>
        </w:tc>
        <w:tc>
          <w:tcPr>
            <w:tcW w:w="2305" w:type="pct"/>
            <w:tcBorders>
              <w:top w:val="nil"/>
              <w:left w:val="nil"/>
              <w:bottom w:val="single" w:sz="4" w:space="0" w:color="auto"/>
              <w:right w:val="single" w:sz="4" w:space="0" w:color="auto"/>
            </w:tcBorders>
            <w:shd w:val="clear" w:color="auto" w:fill="auto"/>
            <w:noWrap/>
            <w:vAlign w:val="center"/>
            <w:hideMark/>
          </w:tcPr>
          <w:p w14:paraId="5EDD66AA"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1.084.016</w:t>
            </w:r>
          </w:p>
        </w:tc>
        <w:tc>
          <w:tcPr>
            <w:tcW w:w="1958" w:type="pct"/>
            <w:tcBorders>
              <w:top w:val="nil"/>
              <w:left w:val="nil"/>
              <w:bottom w:val="single" w:sz="4" w:space="0" w:color="auto"/>
              <w:right w:val="single" w:sz="4" w:space="0" w:color="auto"/>
            </w:tcBorders>
            <w:shd w:val="clear" w:color="auto" w:fill="auto"/>
            <w:noWrap/>
            <w:vAlign w:val="center"/>
            <w:hideMark/>
          </w:tcPr>
          <w:p w14:paraId="6EB86365"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1.053.336</w:t>
            </w:r>
          </w:p>
        </w:tc>
      </w:tr>
      <w:tr w:rsidR="00776655" w:rsidRPr="00A74704" w14:paraId="35AF2F88"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09681088"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2008.</w:t>
            </w:r>
          </w:p>
        </w:tc>
        <w:tc>
          <w:tcPr>
            <w:tcW w:w="2305" w:type="pct"/>
            <w:tcBorders>
              <w:top w:val="nil"/>
              <w:left w:val="nil"/>
              <w:bottom w:val="single" w:sz="4" w:space="0" w:color="auto"/>
              <w:right w:val="single" w:sz="4" w:space="0" w:color="auto"/>
            </w:tcBorders>
            <w:shd w:val="clear" w:color="auto" w:fill="auto"/>
            <w:noWrap/>
            <w:vAlign w:val="center"/>
            <w:hideMark/>
          </w:tcPr>
          <w:p w14:paraId="784EF031"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1.126.899</w:t>
            </w:r>
          </w:p>
        </w:tc>
        <w:tc>
          <w:tcPr>
            <w:tcW w:w="1958" w:type="pct"/>
            <w:tcBorders>
              <w:top w:val="nil"/>
              <w:left w:val="nil"/>
              <w:bottom w:val="single" w:sz="4" w:space="0" w:color="auto"/>
              <w:right w:val="single" w:sz="4" w:space="0" w:color="auto"/>
            </w:tcBorders>
            <w:shd w:val="clear" w:color="auto" w:fill="auto"/>
            <w:noWrap/>
            <w:vAlign w:val="center"/>
            <w:hideMark/>
          </w:tcPr>
          <w:p w14:paraId="07619040"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1.088.196</w:t>
            </w:r>
          </w:p>
        </w:tc>
      </w:tr>
      <w:tr w:rsidR="00776655" w:rsidRPr="00A74704" w14:paraId="45BF2284"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02D47282"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2009.</w:t>
            </w:r>
          </w:p>
        </w:tc>
        <w:tc>
          <w:tcPr>
            <w:tcW w:w="2305" w:type="pct"/>
            <w:tcBorders>
              <w:top w:val="nil"/>
              <w:left w:val="nil"/>
              <w:bottom w:val="single" w:sz="4" w:space="0" w:color="auto"/>
              <w:right w:val="single" w:sz="4" w:space="0" w:color="auto"/>
            </w:tcBorders>
            <w:shd w:val="clear" w:color="auto" w:fill="auto"/>
            <w:noWrap/>
            <w:vAlign w:val="center"/>
            <w:hideMark/>
          </w:tcPr>
          <w:p w14:paraId="2B398BD1"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1.104.126</w:t>
            </w:r>
          </w:p>
        </w:tc>
        <w:tc>
          <w:tcPr>
            <w:tcW w:w="1958" w:type="pct"/>
            <w:tcBorders>
              <w:top w:val="nil"/>
              <w:left w:val="nil"/>
              <w:bottom w:val="single" w:sz="4" w:space="0" w:color="auto"/>
              <w:right w:val="single" w:sz="4" w:space="0" w:color="auto"/>
            </w:tcBorders>
            <w:shd w:val="clear" w:color="auto" w:fill="auto"/>
            <w:noWrap/>
            <w:vAlign w:val="center"/>
            <w:hideMark/>
          </w:tcPr>
          <w:p w14:paraId="59B5994F"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1.068.825</w:t>
            </w:r>
          </w:p>
        </w:tc>
      </w:tr>
      <w:tr w:rsidR="00776655" w:rsidRPr="00A74704" w14:paraId="6FC457B9"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46226C89"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2010.</w:t>
            </w:r>
          </w:p>
        </w:tc>
        <w:tc>
          <w:tcPr>
            <w:tcW w:w="2305" w:type="pct"/>
            <w:tcBorders>
              <w:top w:val="nil"/>
              <w:left w:val="nil"/>
              <w:bottom w:val="single" w:sz="4" w:space="0" w:color="auto"/>
              <w:right w:val="single" w:sz="4" w:space="0" w:color="auto"/>
            </w:tcBorders>
            <w:shd w:val="clear" w:color="auto" w:fill="auto"/>
            <w:noWrap/>
            <w:vAlign w:val="center"/>
            <w:hideMark/>
          </w:tcPr>
          <w:p w14:paraId="31AAAE9E"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1.012.651</w:t>
            </w:r>
          </w:p>
        </w:tc>
        <w:tc>
          <w:tcPr>
            <w:tcW w:w="1958" w:type="pct"/>
            <w:tcBorders>
              <w:top w:val="nil"/>
              <w:left w:val="nil"/>
              <w:bottom w:val="single" w:sz="4" w:space="0" w:color="auto"/>
              <w:right w:val="single" w:sz="4" w:space="0" w:color="auto"/>
            </w:tcBorders>
            <w:shd w:val="clear" w:color="auto" w:fill="auto"/>
            <w:noWrap/>
            <w:vAlign w:val="center"/>
            <w:hideMark/>
          </w:tcPr>
          <w:p w14:paraId="7BF9BDFC"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963.889</w:t>
            </w:r>
          </w:p>
        </w:tc>
      </w:tr>
      <w:tr w:rsidR="00776655" w:rsidRPr="00A74704" w14:paraId="63EA6D3A"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3DE34DAD"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2011.</w:t>
            </w:r>
          </w:p>
        </w:tc>
        <w:tc>
          <w:tcPr>
            <w:tcW w:w="2305" w:type="pct"/>
            <w:tcBorders>
              <w:top w:val="nil"/>
              <w:left w:val="nil"/>
              <w:bottom w:val="single" w:sz="4" w:space="0" w:color="auto"/>
              <w:right w:val="single" w:sz="4" w:space="0" w:color="auto"/>
            </w:tcBorders>
            <w:shd w:val="clear" w:color="auto" w:fill="auto"/>
            <w:noWrap/>
            <w:vAlign w:val="center"/>
            <w:hideMark/>
          </w:tcPr>
          <w:p w14:paraId="5427B7D1"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1.017.519</w:t>
            </w:r>
          </w:p>
        </w:tc>
        <w:tc>
          <w:tcPr>
            <w:tcW w:w="1958" w:type="pct"/>
            <w:tcBorders>
              <w:top w:val="nil"/>
              <w:left w:val="nil"/>
              <w:bottom w:val="single" w:sz="4" w:space="0" w:color="auto"/>
              <w:right w:val="single" w:sz="4" w:space="0" w:color="auto"/>
            </w:tcBorders>
            <w:shd w:val="clear" w:color="auto" w:fill="auto"/>
            <w:noWrap/>
            <w:vAlign w:val="center"/>
            <w:hideMark/>
          </w:tcPr>
          <w:p w14:paraId="12C3C231"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937.375</w:t>
            </w:r>
          </w:p>
        </w:tc>
      </w:tr>
      <w:tr w:rsidR="00776655" w:rsidRPr="00A74704" w14:paraId="0C47A49D"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6C7894BF"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2012.</w:t>
            </w:r>
          </w:p>
        </w:tc>
        <w:tc>
          <w:tcPr>
            <w:tcW w:w="2305" w:type="pct"/>
            <w:tcBorders>
              <w:top w:val="nil"/>
              <w:left w:val="nil"/>
              <w:bottom w:val="single" w:sz="4" w:space="0" w:color="auto"/>
              <w:right w:val="single" w:sz="4" w:space="0" w:color="auto"/>
            </w:tcBorders>
            <w:shd w:val="clear" w:color="auto" w:fill="auto"/>
            <w:noWrap/>
            <w:vAlign w:val="center"/>
            <w:hideMark/>
          </w:tcPr>
          <w:p w14:paraId="68EF47B7"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1.078.696</w:t>
            </w:r>
          </w:p>
        </w:tc>
        <w:tc>
          <w:tcPr>
            <w:tcW w:w="1958" w:type="pct"/>
            <w:tcBorders>
              <w:top w:val="nil"/>
              <w:left w:val="nil"/>
              <w:bottom w:val="single" w:sz="4" w:space="0" w:color="auto"/>
              <w:right w:val="single" w:sz="4" w:space="0" w:color="auto"/>
            </w:tcBorders>
            <w:shd w:val="clear" w:color="auto" w:fill="auto"/>
            <w:noWrap/>
            <w:vAlign w:val="center"/>
            <w:hideMark/>
          </w:tcPr>
          <w:p w14:paraId="3E9F19B6"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892.049</w:t>
            </w:r>
          </w:p>
        </w:tc>
      </w:tr>
      <w:tr w:rsidR="00776655" w:rsidRPr="00A74704" w14:paraId="411F264F"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357F0403"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2013.</w:t>
            </w:r>
          </w:p>
        </w:tc>
        <w:tc>
          <w:tcPr>
            <w:tcW w:w="2305" w:type="pct"/>
            <w:tcBorders>
              <w:top w:val="nil"/>
              <w:left w:val="nil"/>
              <w:bottom w:val="single" w:sz="4" w:space="0" w:color="auto"/>
              <w:right w:val="single" w:sz="4" w:space="0" w:color="auto"/>
            </w:tcBorders>
            <w:shd w:val="clear" w:color="auto" w:fill="auto"/>
            <w:noWrap/>
            <w:vAlign w:val="center"/>
            <w:hideMark/>
          </w:tcPr>
          <w:p w14:paraId="64C9B8FC"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1.103.593</w:t>
            </w:r>
          </w:p>
        </w:tc>
        <w:tc>
          <w:tcPr>
            <w:tcW w:w="1958" w:type="pct"/>
            <w:tcBorders>
              <w:top w:val="nil"/>
              <w:left w:val="nil"/>
              <w:bottom w:val="single" w:sz="4" w:space="0" w:color="auto"/>
              <w:right w:val="single" w:sz="4" w:space="0" w:color="auto"/>
            </w:tcBorders>
            <w:shd w:val="clear" w:color="auto" w:fill="auto"/>
            <w:noWrap/>
            <w:vAlign w:val="center"/>
            <w:hideMark/>
          </w:tcPr>
          <w:p w14:paraId="29CA89D8"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870.434</w:t>
            </w:r>
          </w:p>
        </w:tc>
      </w:tr>
      <w:tr w:rsidR="00776655" w:rsidRPr="00A74704" w14:paraId="621CD202"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3B68BAC2"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2014.</w:t>
            </w:r>
          </w:p>
        </w:tc>
        <w:tc>
          <w:tcPr>
            <w:tcW w:w="2305" w:type="pct"/>
            <w:tcBorders>
              <w:top w:val="nil"/>
              <w:left w:val="nil"/>
              <w:bottom w:val="single" w:sz="4" w:space="0" w:color="auto"/>
              <w:right w:val="single" w:sz="4" w:space="0" w:color="auto"/>
            </w:tcBorders>
            <w:shd w:val="clear" w:color="auto" w:fill="auto"/>
            <w:noWrap/>
            <w:vAlign w:val="center"/>
            <w:hideMark/>
          </w:tcPr>
          <w:p w14:paraId="3BD165E4"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1.083.596</w:t>
            </w:r>
          </w:p>
        </w:tc>
        <w:tc>
          <w:tcPr>
            <w:tcW w:w="1958" w:type="pct"/>
            <w:tcBorders>
              <w:top w:val="nil"/>
              <w:left w:val="nil"/>
              <w:bottom w:val="single" w:sz="4" w:space="0" w:color="auto"/>
              <w:right w:val="single" w:sz="4" w:space="0" w:color="auto"/>
            </w:tcBorders>
            <w:shd w:val="clear" w:color="auto" w:fill="auto"/>
            <w:noWrap/>
            <w:vAlign w:val="center"/>
            <w:hideMark/>
          </w:tcPr>
          <w:p w14:paraId="6B3EA541"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819.757</w:t>
            </w:r>
          </w:p>
        </w:tc>
      </w:tr>
      <w:tr w:rsidR="00776655" w:rsidRPr="00A74704" w14:paraId="4BE89FCC"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6188D927"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2015.</w:t>
            </w:r>
          </w:p>
        </w:tc>
        <w:tc>
          <w:tcPr>
            <w:tcW w:w="2305" w:type="pct"/>
            <w:tcBorders>
              <w:top w:val="nil"/>
              <w:left w:val="nil"/>
              <w:bottom w:val="single" w:sz="4" w:space="0" w:color="auto"/>
              <w:right w:val="single" w:sz="4" w:space="0" w:color="auto"/>
            </w:tcBorders>
            <w:shd w:val="clear" w:color="auto" w:fill="auto"/>
            <w:noWrap/>
            <w:vAlign w:val="center"/>
            <w:hideMark/>
          </w:tcPr>
          <w:p w14:paraId="59FFA367"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1.070.783</w:t>
            </w:r>
          </w:p>
        </w:tc>
        <w:tc>
          <w:tcPr>
            <w:tcW w:w="1958" w:type="pct"/>
            <w:tcBorders>
              <w:top w:val="nil"/>
              <w:left w:val="nil"/>
              <w:bottom w:val="single" w:sz="4" w:space="0" w:color="auto"/>
              <w:right w:val="single" w:sz="4" w:space="0" w:color="auto"/>
            </w:tcBorders>
            <w:shd w:val="clear" w:color="auto" w:fill="auto"/>
            <w:noWrap/>
            <w:vAlign w:val="center"/>
            <w:hideMark/>
          </w:tcPr>
          <w:p w14:paraId="3F2C9862"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828.564</w:t>
            </w:r>
          </w:p>
        </w:tc>
      </w:tr>
      <w:tr w:rsidR="00776655" w:rsidRPr="00A74704" w14:paraId="7A38F49C"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7A452B7C"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2016.</w:t>
            </w:r>
          </w:p>
        </w:tc>
        <w:tc>
          <w:tcPr>
            <w:tcW w:w="2305" w:type="pct"/>
            <w:tcBorders>
              <w:top w:val="nil"/>
              <w:left w:val="nil"/>
              <w:bottom w:val="single" w:sz="4" w:space="0" w:color="auto"/>
              <w:right w:val="single" w:sz="4" w:space="0" w:color="auto"/>
            </w:tcBorders>
            <w:shd w:val="clear" w:color="auto" w:fill="auto"/>
            <w:noWrap/>
            <w:vAlign w:val="center"/>
            <w:hideMark/>
          </w:tcPr>
          <w:p w14:paraId="4AA22E2E"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1.071.788</w:t>
            </w:r>
          </w:p>
        </w:tc>
        <w:tc>
          <w:tcPr>
            <w:tcW w:w="1958" w:type="pct"/>
            <w:tcBorders>
              <w:top w:val="nil"/>
              <w:left w:val="nil"/>
              <w:bottom w:val="single" w:sz="4" w:space="0" w:color="auto"/>
              <w:right w:val="single" w:sz="4" w:space="0" w:color="auto"/>
            </w:tcBorders>
            <w:shd w:val="clear" w:color="auto" w:fill="auto"/>
            <w:noWrap/>
            <w:vAlign w:val="center"/>
            <w:hideMark/>
          </w:tcPr>
          <w:p w14:paraId="4AD2778C"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831.977</w:t>
            </w:r>
          </w:p>
        </w:tc>
      </w:tr>
      <w:tr w:rsidR="00776655" w:rsidRPr="00A74704" w14:paraId="051CE1DF"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6651B435"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2017.</w:t>
            </w:r>
          </w:p>
        </w:tc>
        <w:tc>
          <w:tcPr>
            <w:tcW w:w="2305" w:type="pct"/>
            <w:tcBorders>
              <w:top w:val="nil"/>
              <w:left w:val="nil"/>
              <w:bottom w:val="single" w:sz="4" w:space="0" w:color="auto"/>
              <w:right w:val="single" w:sz="4" w:space="0" w:color="auto"/>
            </w:tcBorders>
            <w:shd w:val="clear" w:color="auto" w:fill="auto"/>
            <w:noWrap/>
            <w:vAlign w:val="center"/>
            <w:hideMark/>
          </w:tcPr>
          <w:p w14:paraId="677B3276"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1.091.066</w:t>
            </w:r>
          </w:p>
        </w:tc>
        <w:tc>
          <w:tcPr>
            <w:tcW w:w="1958" w:type="pct"/>
            <w:tcBorders>
              <w:top w:val="nil"/>
              <w:left w:val="nil"/>
              <w:bottom w:val="single" w:sz="4" w:space="0" w:color="auto"/>
              <w:right w:val="single" w:sz="4" w:space="0" w:color="auto"/>
            </w:tcBorders>
            <w:shd w:val="clear" w:color="auto" w:fill="auto"/>
            <w:noWrap/>
            <w:vAlign w:val="center"/>
            <w:hideMark/>
          </w:tcPr>
          <w:p w14:paraId="7C4BD791"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801.238</w:t>
            </w:r>
          </w:p>
        </w:tc>
      </w:tr>
      <w:tr w:rsidR="00776655" w:rsidRPr="00A74704" w14:paraId="04D810AD"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1D920058"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2018.</w:t>
            </w:r>
          </w:p>
        </w:tc>
        <w:tc>
          <w:tcPr>
            <w:tcW w:w="2305" w:type="pct"/>
            <w:tcBorders>
              <w:top w:val="nil"/>
              <w:left w:val="nil"/>
              <w:bottom w:val="single" w:sz="4" w:space="0" w:color="auto"/>
              <w:right w:val="single" w:sz="4" w:space="0" w:color="auto"/>
            </w:tcBorders>
            <w:shd w:val="clear" w:color="auto" w:fill="auto"/>
            <w:noWrap/>
            <w:vAlign w:val="center"/>
            <w:hideMark/>
          </w:tcPr>
          <w:p w14:paraId="052404A4"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1.109.011</w:t>
            </w:r>
          </w:p>
        </w:tc>
        <w:tc>
          <w:tcPr>
            <w:tcW w:w="1958" w:type="pct"/>
            <w:tcBorders>
              <w:top w:val="nil"/>
              <w:left w:val="nil"/>
              <w:bottom w:val="single" w:sz="4" w:space="0" w:color="auto"/>
              <w:right w:val="single" w:sz="4" w:space="0" w:color="auto"/>
            </w:tcBorders>
            <w:shd w:val="clear" w:color="auto" w:fill="auto"/>
            <w:noWrap/>
            <w:vAlign w:val="center"/>
            <w:hideMark/>
          </w:tcPr>
          <w:p w14:paraId="51D2C4CB"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744.506</w:t>
            </w:r>
          </w:p>
        </w:tc>
      </w:tr>
      <w:tr w:rsidR="00776655" w:rsidRPr="00A74704" w14:paraId="7EE96D4B"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7D9686A6"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2019.</w:t>
            </w:r>
          </w:p>
        </w:tc>
        <w:tc>
          <w:tcPr>
            <w:tcW w:w="2305" w:type="pct"/>
            <w:tcBorders>
              <w:top w:val="nil"/>
              <w:left w:val="nil"/>
              <w:bottom w:val="single" w:sz="4" w:space="0" w:color="auto"/>
              <w:right w:val="single" w:sz="4" w:space="0" w:color="auto"/>
            </w:tcBorders>
            <w:shd w:val="clear" w:color="auto" w:fill="auto"/>
            <w:noWrap/>
            <w:vAlign w:val="center"/>
            <w:hideMark/>
          </w:tcPr>
          <w:p w14:paraId="12B88D3C"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1.132.614</w:t>
            </w:r>
          </w:p>
        </w:tc>
        <w:tc>
          <w:tcPr>
            <w:tcW w:w="1958" w:type="pct"/>
            <w:tcBorders>
              <w:top w:val="nil"/>
              <w:left w:val="nil"/>
              <w:bottom w:val="single" w:sz="4" w:space="0" w:color="auto"/>
              <w:right w:val="single" w:sz="4" w:space="0" w:color="auto"/>
            </w:tcBorders>
            <w:shd w:val="clear" w:color="auto" w:fill="auto"/>
            <w:noWrap/>
            <w:vAlign w:val="center"/>
            <w:hideMark/>
          </w:tcPr>
          <w:p w14:paraId="4D0F053F"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679.080</w:t>
            </w:r>
          </w:p>
        </w:tc>
      </w:tr>
      <w:tr w:rsidR="00776655" w:rsidRPr="00A74704" w14:paraId="10C77D58"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14BF147A"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2020.</w:t>
            </w:r>
          </w:p>
        </w:tc>
        <w:tc>
          <w:tcPr>
            <w:tcW w:w="2305" w:type="pct"/>
            <w:tcBorders>
              <w:top w:val="nil"/>
              <w:left w:val="nil"/>
              <w:bottom w:val="single" w:sz="4" w:space="0" w:color="auto"/>
              <w:right w:val="single" w:sz="4" w:space="0" w:color="auto"/>
            </w:tcBorders>
            <w:shd w:val="clear" w:color="auto" w:fill="auto"/>
            <w:noWrap/>
            <w:vAlign w:val="center"/>
            <w:hideMark/>
          </w:tcPr>
          <w:p w14:paraId="018147F8"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1.058.703</w:t>
            </w:r>
          </w:p>
        </w:tc>
        <w:tc>
          <w:tcPr>
            <w:tcW w:w="1958" w:type="pct"/>
            <w:tcBorders>
              <w:top w:val="nil"/>
              <w:left w:val="nil"/>
              <w:bottom w:val="single" w:sz="4" w:space="0" w:color="auto"/>
              <w:right w:val="single" w:sz="4" w:space="0" w:color="auto"/>
            </w:tcBorders>
            <w:shd w:val="clear" w:color="auto" w:fill="auto"/>
            <w:noWrap/>
            <w:vAlign w:val="center"/>
            <w:hideMark/>
          </w:tcPr>
          <w:p w14:paraId="57B298AF"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596.013</w:t>
            </w:r>
          </w:p>
        </w:tc>
      </w:tr>
      <w:tr w:rsidR="00776655" w:rsidRPr="00A74704" w14:paraId="53A99794"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642D0C26"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2021.</w:t>
            </w:r>
          </w:p>
        </w:tc>
        <w:tc>
          <w:tcPr>
            <w:tcW w:w="2305" w:type="pct"/>
            <w:tcBorders>
              <w:top w:val="nil"/>
              <w:left w:val="nil"/>
              <w:bottom w:val="single" w:sz="4" w:space="0" w:color="auto"/>
              <w:right w:val="single" w:sz="4" w:space="0" w:color="auto"/>
            </w:tcBorders>
            <w:shd w:val="clear" w:color="auto" w:fill="auto"/>
            <w:noWrap/>
            <w:vAlign w:val="center"/>
            <w:hideMark/>
          </w:tcPr>
          <w:p w14:paraId="2F37F7D4"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1.101.925</w:t>
            </w:r>
          </w:p>
        </w:tc>
        <w:tc>
          <w:tcPr>
            <w:tcW w:w="1958" w:type="pct"/>
            <w:tcBorders>
              <w:top w:val="nil"/>
              <w:left w:val="nil"/>
              <w:bottom w:val="single" w:sz="4" w:space="0" w:color="auto"/>
              <w:right w:val="single" w:sz="4" w:space="0" w:color="auto"/>
            </w:tcBorders>
            <w:shd w:val="clear" w:color="auto" w:fill="auto"/>
            <w:noWrap/>
            <w:vAlign w:val="center"/>
            <w:hideMark/>
          </w:tcPr>
          <w:p w14:paraId="112B5AAF"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594.107</w:t>
            </w:r>
          </w:p>
        </w:tc>
      </w:tr>
    </w:tbl>
    <w:p w14:paraId="23942148" w14:textId="04CD9636" w:rsidR="00EE6636" w:rsidRDefault="00EE6636" w:rsidP="00877B12"/>
    <w:p w14:paraId="5E083AEE" w14:textId="77777777" w:rsidR="00EE6636" w:rsidRPr="00223644" w:rsidRDefault="00EE6636" w:rsidP="00877B12"/>
    <w:p w14:paraId="68FD6761" w14:textId="7B0EEFB0" w:rsidR="000444C4" w:rsidRPr="00460193" w:rsidRDefault="000444C4">
      <w:pPr>
        <w:pStyle w:val="IRNaslov3"/>
        <w:numPr>
          <w:ilvl w:val="2"/>
          <w:numId w:val="22"/>
        </w:numPr>
        <w:ind w:left="1418"/>
        <w:rPr>
          <w:rStyle w:val="zadanifontodlomka-000023"/>
          <w:rFonts w:asciiTheme="minorHAnsi" w:hAnsiTheme="minorHAnsi"/>
          <w:color w:val="auto"/>
          <w:szCs w:val="26"/>
        </w:rPr>
      </w:pPr>
      <w:bookmarkStart w:id="61" w:name="_Toc123211638"/>
      <w:r w:rsidRPr="00460193">
        <w:rPr>
          <w:rStyle w:val="zadanifontodlomka-000023"/>
          <w:rFonts w:asciiTheme="minorHAnsi" w:hAnsiTheme="minorHAnsi"/>
          <w:color w:val="auto"/>
          <w:szCs w:val="26"/>
        </w:rPr>
        <w:t>Biootpad</w:t>
      </w:r>
      <w:bookmarkEnd w:id="61"/>
    </w:p>
    <w:p w14:paraId="4A746C72" w14:textId="77777777" w:rsidR="00773FCC" w:rsidRPr="00223644" w:rsidRDefault="00773FCC" w:rsidP="00773FCC">
      <w:r w:rsidRPr="00223644">
        <w:t xml:space="preserve">Biootpad je biološki razgradiv otpad iz vrtova i parkova, hrana i kuhinjski otpad iz kućanstava, restorana, ugostiteljskih i maloprodajnih objekata i slični otpad iz prehrambene industrije. </w:t>
      </w:r>
    </w:p>
    <w:p w14:paraId="6F712974" w14:textId="28F2AA2D" w:rsidR="00773FCC" w:rsidRPr="00CF311C" w:rsidRDefault="00773FCC" w:rsidP="00773FCC">
      <w:r w:rsidRPr="00223644">
        <w:t xml:space="preserve">Nakon ustaljenih godišnjih vrijednosti količina nastalog biootpada </w:t>
      </w:r>
      <w:r w:rsidR="005A64EC" w:rsidRPr="00223644">
        <w:t xml:space="preserve">koje su </w:t>
      </w:r>
      <w:r w:rsidRPr="00223644">
        <w:t xml:space="preserve">u razdoblju od 2017. do 2019. godine </w:t>
      </w:r>
      <w:r w:rsidR="005A64EC" w:rsidRPr="00223644">
        <w:t>iznosile</w:t>
      </w:r>
      <w:r w:rsidR="005A64EC" w:rsidRPr="00223644" w:rsidDel="005A64EC">
        <w:t xml:space="preserve"> </w:t>
      </w:r>
      <w:r w:rsidRPr="00223644">
        <w:t xml:space="preserve">u prosjeku 597.467 tona, u 2020. i 2021. godini evidentira </w:t>
      </w:r>
      <w:r w:rsidR="005A64EC" w:rsidRPr="00223644">
        <w:t xml:space="preserve">se </w:t>
      </w:r>
      <w:r w:rsidRPr="00223644">
        <w:t>pad na vrijednosti od 558.872 tone i 584.536 tona (</w:t>
      </w:r>
      <w:r w:rsidRPr="00223644">
        <w:fldChar w:fldCharType="begin"/>
      </w:r>
      <w:r w:rsidRPr="00223644">
        <w:instrText xml:space="preserve"> REF _Ref110950980 \h </w:instrText>
      </w:r>
      <w:r w:rsidRPr="00223644">
        <w:fldChar w:fldCharType="separate"/>
      </w:r>
      <w:r w:rsidR="00F37B62" w:rsidRPr="00223644">
        <w:t xml:space="preserve">Slika </w:t>
      </w:r>
      <w:r w:rsidR="00F37B62">
        <w:rPr>
          <w:noProof/>
        </w:rPr>
        <w:t>19</w:t>
      </w:r>
      <w:r w:rsidRPr="00223644">
        <w:fldChar w:fldCharType="end"/>
      </w:r>
      <w:r w:rsidRPr="00223644">
        <w:t>)</w:t>
      </w:r>
      <w:r>
        <w:t xml:space="preserve">. </w:t>
      </w:r>
      <w:r w:rsidRPr="00CF311C">
        <w:t xml:space="preserve">Spomenuti pad je djelomično posljedica smanjene aktivnosti gospodarskog sektora uslijed pandemije virusom COVID-19, a djelomično i rezultat provedbe informativno- </w:t>
      </w:r>
      <w:proofErr w:type="spellStart"/>
      <w:r w:rsidRPr="00CF311C">
        <w:t>izobraznih</w:t>
      </w:r>
      <w:proofErr w:type="spellEnd"/>
      <w:r w:rsidRPr="00CF311C">
        <w:t xml:space="preserve"> aktivnosti građana usmjerenih na sprječavanje nastanka otpada te podjele kućnih </w:t>
      </w:r>
      <w:proofErr w:type="spellStart"/>
      <w:r w:rsidRPr="00CF311C">
        <w:t>kompostera</w:t>
      </w:r>
      <w:proofErr w:type="spellEnd"/>
      <w:r w:rsidRPr="00CF311C">
        <w:t xml:space="preserve">. Do kraja 2020. godine podijeljeno je ukupno 58.960 </w:t>
      </w:r>
      <w:proofErr w:type="spellStart"/>
      <w:r w:rsidRPr="00CF311C">
        <w:t>kompostera</w:t>
      </w:r>
      <w:proofErr w:type="spellEnd"/>
      <w:r w:rsidRPr="00CF311C">
        <w:t xml:space="preserve"> na području 98 JLS (18 %). Također, evidentiran je i pozitivan pomak u odvojenom sakupljanju biootpada. Stopa odvojenog sakupljanja biootpada je u razdoblju 2017.-2021. porasla za 13 postotnih bodova odnosno s 23 % u 2017. godini na 36 % u 2021. godini. Unatoč značajnom porastu odvojenog sakupljanja, postignuta stopa </w:t>
      </w:r>
      <w:r w:rsidR="00294FB7">
        <w:t xml:space="preserve">je </w:t>
      </w:r>
      <w:r w:rsidRPr="00CF311C">
        <w:t xml:space="preserve">još uvijek </w:t>
      </w:r>
      <w:r w:rsidR="00294FB7">
        <w:t>niska</w:t>
      </w:r>
      <w:r w:rsidRPr="00CF311C">
        <w:t>, te je potrebno intenzivirati gore navedene postojeće aktivnosti.</w:t>
      </w:r>
    </w:p>
    <w:p w14:paraId="63503163" w14:textId="77777777" w:rsidR="00773FCC" w:rsidRPr="00CF311C" w:rsidRDefault="00773FCC" w:rsidP="00773FCC"/>
    <w:p w14:paraId="509F16BE" w14:textId="3B71059B" w:rsidR="00773FCC" w:rsidRPr="00773FCC" w:rsidRDefault="00773FCC" w:rsidP="00773FCC">
      <w:pPr>
        <w:spacing w:after="0"/>
        <w:jc w:val="right"/>
        <w:rPr>
          <w:i/>
          <w:iCs/>
          <w:sz w:val="18"/>
          <w:szCs w:val="20"/>
        </w:rPr>
      </w:pPr>
      <w:r w:rsidRPr="00773FCC">
        <w:rPr>
          <w:i/>
          <w:iCs/>
          <w:sz w:val="18"/>
          <w:szCs w:val="20"/>
        </w:rPr>
        <w:t>Izvor:</w:t>
      </w:r>
      <w:r>
        <w:rPr>
          <w:i/>
          <w:iCs/>
          <w:sz w:val="18"/>
          <w:szCs w:val="20"/>
        </w:rPr>
        <w:t xml:space="preserve"> </w:t>
      </w:r>
      <w:r w:rsidRPr="00773FCC">
        <w:rPr>
          <w:i/>
          <w:iCs/>
          <w:sz w:val="18"/>
          <w:szCs w:val="20"/>
        </w:rPr>
        <w:t xml:space="preserve">MINGOR </w:t>
      </w:r>
    </w:p>
    <w:p w14:paraId="023868B2" w14:textId="56DEC940" w:rsidR="00773FCC" w:rsidRPr="00773FCC" w:rsidRDefault="00773FCC" w:rsidP="00773FCC">
      <w:pPr>
        <w:pStyle w:val="Slika"/>
        <w:rPr>
          <w:b w:val="0"/>
          <w:bCs/>
        </w:rPr>
      </w:pPr>
      <w:bookmarkStart w:id="62" w:name="_Ref110950980"/>
      <w:bookmarkStart w:id="63" w:name="_Toc125363924"/>
      <w:r w:rsidRPr="00223644">
        <w:t xml:space="preserve">Slika </w:t>
      </w:r>
      <w:fldSimple w:instr=" SEQ Slika \* ARABIC ">
        <w:r w:rsidR="00F37B62">
          <w:rPr>
            <w:noProof/>
          </w:rPr>
          <w:t>19</w:t>
        </w:r>
      </w:fldSimple>
      <w:bookmarkEnd w:id="62"/>
      <w:r w:rsidRPr="00223644">
        <w:t xml:space="preserve">. </w:t>
      </w:r>
      <w:r w:rsidRPr="00773FCC">
        <w:rPr>
          <w:b w:val="0"/>
          <w:bCs/>
        </w:rPr>
        <w:t>Količine nastalog biootpada i udio odvojenog sakupljanja u razdoblju od 2017. do 2021. godine</w:t>
      </w:r>
      <w:bookmarkEnd w:id="63"/>
      <w:r w:rsidRPr="00773FCC">
        <w:rPr>
          <w:b w:val="0"/>
          <w:bCs/>
        </w:rPr>
        <w:t xml:space="preserve"> </w:t>
      </w:r>
    </w:p>
    <w:p w14:paraId="491516D5" w14:textId="65E8AD99" w:rsidR="00773FCC" w:rsidRPr="00223644" w:rsidRDefault="00773FCC" w:rsidP="00773FCC">
      <w:r w:rsidRPr="006D72C3">
        <w:rPr>
          <w:highlight w:val="yellow"/>
        </w:rPr>
        <w:lastRenderedPageBreak/>
        <w:t>U ukupnim nastalim količinama biootpada</w:t>
      </w:r>
      <w:r w:rsidR="00294FB7" w:rsidRPr="006D72C3">
        <w:rPr>
          <w:highlight w:val="yellow"/>
        </w:rPr>
        <w:t>,</w:t>
      </w:r>
      <w:r w:rsidRPr="006D72C3">
        <w:rPr>
          <w:highlight w:val="yellow"/>
        </w:rPr>
        <w:t xml:space="preserve"> biootpad</w:t>
      </w:r>
      <w:r w:rsidR="00294FB7" w:rsidRPr="006D72C3">
        <w:rPr>
          <w:highlight w:val="yellow"/>
        </w:rPr>
        <w:t xml:space="preserve"> iz</w:t>
      </w:r>
      <w:r w:rsidRPr="006D72C3">
        <w:rPr>
          <w:highlight w:val="yellow"/>
        </w:rPr>
        <w:t xml:space="preserve"> </w:t>
      </w:r>
      <w:r w:rsidR="00294FB7" w:rsidRPr="006D72C3">
        <w:rPr>
          <w:highlight w:val="yellow"/>
        </w:rPr>
        <w:t xml:space="preserve">komunalnog otpada </w:t>
      </w:r>
      <w:r w:rsidRPr="006D72C3">
        <w:rPr>
          <w:highlight w:val="yellow"/>
        </w:rPr>
        <w:t>čini znatan udio od oko 87 %.</w:t>
      </w:r>
      <w:r>
        <w:t xml:space="preserve"> </w:t>
      </w:r>
      <w:r w:rsidRPr="00223644">
        <w:t>U razdoblju od 2012. do 2019. godine količine komunalnog biootpad iznosile su oko 530.000 tona, dok se kao i kod ukupnih količina u 2020. i 2021. godini evidentira pad na prosječnu vrijednost od oko 490.000 tona odnosno za 7,5%.</w:t>
      </w:r>
    </w:p>
    <w:p w14:paraId="4919BCA0" w14:textId="77777777" w:rsidR="00773FCC" w:rsidRPr="00223644" w:rsidRDefault="00773FCC" w:rsidP="00773FCC">
      <w:r w:rsidRPr="00223644">
        <w:t xml:space="preserve">U 2021. godini nastalo je 494.583 tona biootpada. Odvojeno sakupljanje provodilo se u svim županijama, ali na području </w:t>
      </w:r>
      <w:r>
        <w:t xml:space="preserve">svega </w:t>
      </w:r>
      <w:r w:rsidRPr="00223644">
        <w:t xml:space="preserve">215 JLS (39 % svih JLS). Riječ je o povećanju za 23 JLS u odnosu na prethodnu godinu (192 JLS). Odvojeno je sakupljeno 122.175 tona biootpada iz komunalnog otpada odnosno 25 % nastalih količina, što je porast za 1 postotni bod u odnosu na 2020. godinu. </w:t>
      </w:r>
    </w:p>
    <w:p w14:paraId="7B662F65" w14:textId="29C94A76" w:rsidR="00773FCC" w:rsidRPr="00CF311C" w:rsidRDefault="00773FCC" w:rsidP="00773FCC">
      <w:r w:rsidRPr="00CF311C">
        <w:t xml:space="preserve">Navedena stopa odvojeno sakupljenog komunalnog otpada koja se izdvoji na mjestu nastanka je vrlo niska kao i broj JLS koje provode odvojeno sakupljanje te frakcije komunalnog otpada. Potrebna su daljnja ulaganja u </w:t>
      </w:r>
      <w:r w:rsidR="00422AEE">
        <w:t xml:space="preserve">provedbu </w:t>
      </w:r>
      <w:r w:rsidRPr="00CF311C">
        <w:t>edukacij</w:t>
      </w:r>
      <w:r w:rsidR="00422AEE">
        <w:t>e</w:t>
      </w:r>
      <w:r w:rsidRPr="00CF311C">
        <w:t xml:space="preserve"> </w:t>
      </w:r>
      <w:r w:rsidR="00422AEE">
        <w:t>o</w:t>
      </w:r>
      <w:r w:rsidRPr="00CF311C">
        <w:t xml:space="preserve"> važnosti odvojenog sakupljanja biootpada te u infrastrukturu za odvojeno sakupljanje i obradu </w:t>
      </w:r>
      <w:commentRangeStart w:id="64"/>
      <w:r w:rsidRPr="00CF311C">
        <w:t>biootpada</w:t>
      </w:r>
      <w:commentRangeEnd w:id="64"/>
      <w:r w:rsidR="006D72C3">
        <w:rPr>
          <w:rStyle w:val="Referencakomentara"/>
        </w:rPr>
        <w:commentReference w:id="64"/>
      </w:r>
      <w:r w:rsidRPr="00CF311C">
        <w:t xml:space="preserve">. </w:t>
      </w:r>
    </w:p>
    <w:p w14:paraId="1A353DC4" w14:textId="4BC5B676" w:rsidR="00773FCC" w:rsidRDefault="00773FCC" w:rsidP="00773FCC">
      <w:proofErr w:type="spellStart"/>
      <w:r w:rsidRPr="00223644">
        <w:t>Oporabljeno</w:t>
      </w:r>
      <w:proofErr w:type="spellEnd"/>
      <w:r w:rsidRPr="00223644">
        <w:t xml:space="preserve"> je (</w:t>
      </w:r>
      <w:r>
        <w:t xml:space="preserve">uglavnom </w:t>
      </w:r>
      <w:r w:rsidRPr="00223644">
        <w:t>kompostiranje</w:t>
      </w:r>
      <w:r>
        <w:t xml:space="preserve"> i</w:t>
      </w:r>
      <w:r w:rsidRPr="00223644">
        <w:t xml:space="preserve"> anaerobna digestija) </w:t>
      </w:r>
      <w:r>
        <w:t xml:space="preserve">oko </w:t>
      </w:r>
      <w:r w:rsidRPr="00223644">
        <w:t>20% nastalog biootpada</w:t>
      </w:r>
      <w:r w:rsidR="00422AEE">
        <w:t xml:space="preserve"> iz komunalnog otpada</w:t>
      </w:r>
      <w:r w:rsidRPr="00223644">
        <w:t xml:space="preserve"> (97.198 tona) što je jednako udjelu iz prethodne godine (</w:t>
      </w:r>
      <w:r w:rsidRPr="00223644">
        <w:fldChar w:fldCharType="begin"/>
      </w:r>
      <w:r w:rsidRPr="00223644">
        <w:instrText xml:space="preserve"> REF _Ref110282019 \h </w:instrText>
      </w:r>
      <w:r w:rsidRPr="00223644">
        <w:fldChar w:fldCharType="separate"/>
      </w:r>
      <w:r w:rsidR="00F37B62" w:rsidRPr="00223644">
        <w:t xml:space="preserve">Slika </w:t>
      </w:r>
      <w:r w:rsidR="00F37B62">
        <w:rPr>
          <w:noProof/>
        </w:rPr>
        <w:t>20</w:t>
      </w:r>
      <w:r w:rsidRPr="00223644">
        <w:fldChar w:fldCharType="end"/>
      </w:r>
      <w:r w:rsidRPr="00223644">
        <w:t>) .</w:t>
      </w:r>
    </w:p>
    <w:p w14:paraId="7AF59E50" w14:textId="77777777" w:rsidR="00563C46" w:rsidRPr="00223644" w:rsidRDefault="00563C46" w:rsidP="00773FCC"/>
    <w:p w14:paraId="6D5E165C" w14:textId="77777777" w:rsidR="00773FCC" w:rsidRPr="00773FCC" w:rsidRDefault="00773FCC" w:rsidP="00773FCC">
      <w:pPr>
        <w:spacing w:after="0"/>
        <w:jc w:val="right"/>
        <w:rPr>
          <w:i/>
          <w:iCs/>
          <w:sz w:val="18"/>
          <w:szCs w:val="20"/>
        </w:rPr>
      </w:pPr>
      <w:r w:rsidRPr="00773FCC">
        <w:rPr>
          <w:i/>
          <w:iCs/>
          <w:sz w:val="18"/>
          <w:szCs w:val="20"/>
        </w:rPr>
        <w:t>Izvor: MINGOR</w:t>
      </w:r>
    </w:p>
    <w:p w14:paraId="4D8CC766" w14:textId="3C80222E" w:rsidR="00773FCC" w:rsidRPr="00773FCC" w:rsidRDefault="00773FCC" w:rsidP="00773FCC">
      <w:pPr>
        <w:pStyle w:val="Slika"/>
        <w:rPr>
          <w:b w:val="0"/>
          <w:bCs/>
        </w:rPr>
      </w:pPr>
      <w:bookmarkStart w:id="65" w:name="_Ref110282019"/>
      <w:bookmarkStart w:id="66" w:name="_Toc125363925"/>
      <w:r w:rsidRPr="00223644">
        <w:t xml:space="preserve">Slika </w:t>
      </w:r>
      <w:fldSimple w:instr=" SEQ Slika \* ARABIC ">
        <w:r w:rsidR="00F37B62">
          <w:rPr>
            <w:noProof/>
          </w:rPr>
          <w:t>20</w:t>
        </w:r>
      </w:fldSimple>
      <w:bookmarkEnd w:id="65"/>
      <w:r w:rsidRPr="00223644">
        <w:t xml:space="preserve">. </w:t>
      </w:r>
      <w:r w:rsidRPr="00773FCC">
        <w:rPr>
          <w:b w:val="0"/>
          <w:bCs/>
        </w:rPr>
        <w:t>Nastali komunalni biootpad i gospodarenje s istim u razdoblju od 2012.-2021.</w:t>
      </w:r>
      <w:bookmarkEnd w:id="66"/>
    </w:p>
    <w:p w14:paraId="2CCA7730" w14:textId="253CE938" w:rsidR="00773FCC" w:rsidRPr="00223644" w:rsidRDefault="00773FCC" w:rsidP="00773FCC">
      <w:r w:rsidRPr="00223644">
        <w:t>Procjenjuje se da je u 2021. godini na odlagalištima završilo 328.847 t biootpada</w:t>
      </w:r>
      <w:r w:rsidR="00422AEE">
        <w:t xml:space="preserve"> iz komunalnog otpada</w:t>
      </w:r>
      <w:r w:rsidRPr="00223644">
        <w:t xml:space="preserve"> (odvojeno sakupljeni i kao sastavni dio miješanog komunalnog otpada) tj. oko 66 % nastale količine. Preostale količine su uglavnom </w:t>
      </w:r>
      <w:r>
        <w:t>obrađene</w:t>
      </w:r>
      <w:r w:rsidRPr="00223644">
        <w:t xml:space="preserve"> u centrima za gospodarenje otpadom</w:t>
      </w:r>
      <w:r>
        <w:t xml:space="preserve"> kao sastavni dio miješanog komunalnog otpada</w:t>
      </w:r>
      <w:r w:rsidRPr="00223644">
        <w:t xml:space="preserve"> mehaničko – biološk</w:t>
      </w:r>
      <w:r>
        <w:t>im postupkom</w:t>
      </w:r>
      <w:r w:rsidRPr="00223644">
        <w:t xml:space="preserve"> obrad</w:t>
      </w:r>
      <w:r>
        <w:t>e, a</w:t>
      </w:r>
      <w:r w:rsidRPr="00223644">
        <w:t xml:space="preserve"> manji dio </w:t>
      </w:r>
      <w:r>
        <w:t>je privremeno uskladišten</w:t>
      </w:r>
      <w:r w:rsidRPr="00223644">
        <w:t>.</w:t>
      </w:r>
    </w:p>
    <w:p w14:paraId="2FB0785B" w14:textId="4DF878C6" w:rsidR="00773FCC" w:rsidRPr="00460193" w:rsidRDefault="00773FCC">
      <w:pPr>
        <w:pStyle w:val="IRNaslov3"/>
        <w:numPr>
          <w:ilvl w:val="2"/>
          <w:numId w:val="22"/>
        </w:numPr>
        <w:ind w:left="1418"/>
        <w:rPr>
          <w:rStyle w:val="zadanifontodlomka-000023"/>
          <w:rFonts w:asciiTheme="minorHAnsi" w:hAnsiTheme="minorHAnsi"/>
          <w:color w:val="auto"/>
          <w:szCs w:val="26"/>
        </w:rPr>
      </w:pPr>
      <w:bookmarkStart w:id="67" w:name="_Toc123211639"/>
      <w:r w:rsidRPr="00460193">
        <w:rPr>
          <w:rStyle w:val="zadanifontodlomka-000023"/>
          <w:rFonts w:asciiTheme="minorHAnsi" w:hAnsiTheme="minorHAnsi"/>
          <w:color w:val="auto"/>
          <w:szCs w:val="26"/>
        </w:rPr>
        <w:t>Mulj iz uređaja za pročišćavanje komunalnih otpadnih voda</w:t>
      </w:r>
      <w:bookmarkEnd w:id="67"/>
    </w:p>
    <w:p w14:paraId="26287814" w14:textId="497B575B" w:rsidR="00773FCC" w:rsidRDefault="00773FCC" w:rsidP="00773FCC">
      <w:r w:rsidRPr="00E01B5D">
        <w:t>U razdoblju od 2012. do 2021. godine količine otpadnog mulja</w:t>
      </w:r>
      <w:r w:rsidR="002977B2">
        <w:rPr>
          <w:rStyle w:val="Referencafusnote"/>
        </w:rPr>
        <w:footnoteReference w:id="17"/>
      </w:r>
      <w:r w:rsidRPr="00E01B5D">
        <w:t xml:space="preserve"> koji nastaje na uređajima za pročišćavanje otpadnih komunalnih voda porasle su za 39 %, odnosno s 17.987 tona suhe tvari </w:t>
      </w:r>
      <w:r w:rsidR="00404F6E">
        <w:t xml:space="preserve">u 2021. godini </w:t>
      </w:r>
      <w:r w:rsidRPr="00E01B5D">
        <w:t>na 25.074 tona suhe tvari</w:t>
      </w:r>
      <w:r w:rsidR="00404F6E">
        <w:t xml:space="preserve"> u 2021. godini</w:t>
      </w:r>
      <w:r w:rsidRPr="00E01B5D">
        <w:t xml:space="preserve">. Navedeni porast može se pripisati izgradnji sustava vodoopskrbe i odvodnje, uključujući i uređaje za pročišćavanje otpadnih komunalnih voda. </w:t>
      </w:r>
      <w:r w:rsidR="00422AEE">
        <w:t>U</w:t>
      </w:r>
      <w:r w:rsidR="00422AEE" w:rsidRPr="00E01B5D">
        <w:t xml:space="preserve"> 2021. godini</w:t>
      </w:r>
      <w:r w:rsidR="00422AEE">
        <w:t>,</w:t>
      </w:r>
      <w:r w:rsidR="00422AEE" w:rsidRPr="00E01B5D">
        <w:t xml:space="preserve"> </w:t>
      </w:r>
      <w:r w:rsidR="00422AEE">
        <w:t>u</w:t>
      </w:r>
      <w:r w:rsidR="00422AEE" w:rsidRPr="00E01B5D">
        <w:t xml:space="preserve"> </w:t>
      </w:r>
      <w:r w:rsidRPr="00E01B5D">
        <w:t xml:space="preserve">ukupno nastaloj količini mulja </w:t>
      </w:r>
      <w:r w:rsidR="00422AEE">
        <w:t xml:space="preserve">iz </w:t>
      </w:r>
      <w:r w:rsidR="00422AEE" w:rsidRPr="00422AEE">
        <w:t xml:space="preserve">uređaja za pročišćavanje otpadnih komunalnih voda </w:t>
      </w:r>
      <w:r w:rsidRPr="00E01B5D">
        <w:t>63 % činio je mulj sa uređaja za pročišćavanje otpadnih komunalnih voda grada Zagreba.</w:t>
      </w:r>
    </w:p>
    <w:p w14:paraId="260585E6" w14:textId="77777777" w:rsidR="00773FCC" w:rsidRDefault="00773FCC" w:rsidP="00773FCC"/>
    <w:p w14:paraId="225639D7" w14:textId="4174B13B" w:rsidR="000E0F98" w:rsidRDefault="000E0F98" w:rsidP="000E0F98">
      <w:pPr>
        <w:jc w:val="center"/>
      </w:pPr>
    </w:p>
    <w:p w14:paraId="0939DBC6" w14:textId="424F0DD1" w:rsidR="00EE6636" w:rsidRDefault="00EE6636" w:rsidP="000E0F98">
      <w:pPr>
        <w:jc w:val="center"/>
      </w:pPr>
    </w:p>
    <w:p w14:paraId="4C6FFC4B" w14:textId="5FFAF138" w:rsidR="00773FCC" w:rsidRPr="000E0F98" w:rsidRDefault="00773FCC" w:rsidP="000E0F98">
      <w:pPr>
        <w:pStyle w:val="Slika"/>
        <w:rPr>
          <w:b w:val="0"/>
          <w:bCs/>
          <w:szCs w:val="20"/>
        </w:rPr>
      </w:pPr>
      <w:bookmarkStart w:id="68" w:name="_Toc125363926"/>
      <w:r>
        <w:t xml:space="preserve">Slika </w:t>
      </w:r>
      <w:fldSimple w:instr=" SEQ Slika \* ARABIC ">
        <w:r w:rsidR="00F37B62">
          <w:rPr>
            <w:noProof/>
          </w:rPr>
          <w:t>21</w:t>
        </w:r>
      </w:fldSimple>
      <w:r>
        <w:t xml:space="preserve">. </w:t>
      </w:r>
      <w:r w:rsidRPr="000E0F98">
        <w:rPr>
          <w:b w:val="0"/>
          <w:bCs/>
        </w:rPr>
        <w:t>Nastale količine mulja iz uređaja za pročišćavanje komunalnih otpadnih voda od 2012. do 2021.</w:t>
      </w:r>
      <w:bookmarkEnd w:id="68"/>
      <w:r w:rsidRPr="000E0F98">
        <w:rPr>
          <w:b w:val="0"/>
          <w:bCs/>
        </w:rPr>
        <w:t xml:space="preserve"> </w:t>
      </w:r>
    </w:p>
    <w:p w14:paraId="43BB2FB0" w14:textId="26379750" w:rsidR="00267D2B" w:rsidRDefault="00267D2B" w:rsidP="00773FCC">
      <w:r>
        <w:t>U razdoblju</w:t>
      </w:r>
      <w:r w:rsidR="00773FCC" w:rsidRPr="00E01B5D">
        <w:t xml:space="preserve"> od </w:t>
      </w:r>
      <w:r>
        <w:t xml:space="preserve">2012. do </w:t>
      </w:r>
      <w:r w:rsidR="00773FCC" w:rsidRPr="00E01B5D">
        <w:t>2020. godine najveća količina</w:t>
      </w:r>
      <w:r w:rsidR="002977B2">
        <w:t xml:space="preserve"> ove vrste</w:t>
      </w:r>
      <w:r w:rsidR="00773FCC" w:rsidRPr="00E01B5D">
        <w:t xml:space="preserve"> mulja uglavnom</w:t>
      </w:r>
      <w:r>
        <w:t xml:space="preserve"> se</w:t>
      </w:r>
      <w:r w:rsidR="00773FCC" w:rsidRPr="00E01B5D">
        <w:t xml:space="preserve"> skladištila na lokacijama uređaja za pročišćavanje otpadnih voda i odlagala na odlagališta otpada</w:t>
      </w:r>
      <w:r>
        <w:t>.</w:t>
      </w:r>
    </w:p>
    <w:p w14:paraId="1B411BD0" w14:textId="1AC5D6C2" w:rsidR="00773FCC" w:rsidRDefault="00267D2B" w:rsidP="00267D2B">
      <w:r>
        <w:lastRenderedPageBreak/>
        <w:t>U</w:t>
      </w:r>
      <w:r w:rsidR="00773FCC" w:rsidRPr="00E01B5D">
        <w:t xml:space="preserve"> 2021. godini </w:t>
      </w:r>
      <w:r w:rsidR="00773FCC" w:rsidRPr="007F2F60">
        <w:t>oko 6</w:t>
      </w:r>
      <w:r w:rsidR="00773FCC">
        <w:t>3</w:t>
      </w:r>
      <w:r w:rsidR="00773FCC" w:rsidRPr="007F2F60">
        <w:t xml:space="preserve"> % (</w:t>
      </w:r>
      <w:r w:rsidR="00773FCC" w:rsidRPr="00E7136F">
        <w:t>15.815</w:t>
      </w:r>
      <w:r w:rsidR="00773FCC">
        <w:t xml:space="preserve"> </w:t>
      </w:r>
      <w:r w:rsidR="00773FCC" w:rsidRPr="007F2F60">
        <w:t xml:space="preserve">tona suhe tvari) </w:t>
      </w:r>
      <w:r>
        <w:t xml:space="preserve">nastalog mulja iz uređaja za pročišćavanje komunalnih otpadnih voda </w:t>
      </w:r>
      <w:r w:rsidR="00773FCC">
        <w:t xml:space="preserve">je nakon miješanja sa zemljom i kamenjem iskorišteno kao </w:t>
      </w:r>
      <w:proofErr w:type="spellStart"/>
      <w:r w:rsidR="00773FCC">
        <w:t>prekrivka</w:t>
      </w:r>
      <w:proofErr w:type="spellEnd"/>
      <w:r w:rsidR="00773FCC">
        <w:t xml:space="preserve"> i </w:t>
      </w:r>
      <w:proofErr w:type="spellStart"/>
      <w:r w:rsidR="00773FCC">
        <w:t>rekultivirajući</w:t>
      </w:r>
      <w:proofErr w:type="spellEnd"/>
      <w:r w:rsidR="00773FCC">
        <w:t xml:space="preserve"> materijal na odlagalištima otpada</w:t>
      </w:r>
      <w:r w:rsidR="00773FCC" w:rsidRPr="007F2F60">
        <w:t xml:space="preserve">. Oko 12 % (3.034 tona suhe tvari) je reciklirano postupkom miješanja u određenom omjeru s pepelom u svrhu dobivanja stabiliziranog materijala za daljnju uporabu u građevinske ili neke druge svrhe. U </w:t>
      </w:r>
      <w:proofErr w:type="spellStart"/>
      <w:r w:rsidR="00773FCC" w:rsidRPr="007F2F60">
        <w:t>kompostanama</w:t>
      </w:r>
      <w:proofErr w:type="spellEnd"/>
      <w:r w:rsidR="00773FCC" w:rsidRPr="007F2F60">
        <w:t xml:space="preserve"> je obrađeno 9 %</w:t>
      </w:r>
      <w:r w:rsidR="00773FCC">
        <w:t xml:space="preserve"> (2.216 tona suhe tvari)</w:t>
      </w:r>
      <w:r w:rsidR="00773FCC" w:rsidRPr="007F2F60">
        <w:t xml:space="preserve">, a u bioplinskim postrojenjima oko 8 % </w:t>
      </w:r>
      <w:r w:rsidR="00773FCC">
        <w:t>(1.972 tona suhe tvari)</w:t>
      </w:r>
      <w:r w:rsidR="00773FCC" w:rsidRPr="007F2F60">
        <w:t>,</w:t>
      </w:r>
      <w:r w:rsidR="00773FCC">
        <w:t xml:space="preserve"> dok se u poljoprivredi iskoristilo oko 3 % (698 tona suhe tvari) nastalih količina. N</w:t>
      </w:r>
      <w:r w:rsidR="00773FCC" w:rsidRPr="007F2F60">
        <w:t xml:space="preserve">a odlagalištima </w:t>
      </w:r>
      <w:r w:rsidR="00773FCC">
        <w:t xml:space="preserve">je </w:t>
      </w:r>
      <w:r w:rsidR="00773FCC" w:rsidRPr="007F2F60">
        <w:t xml:space="preserve">završilo oko </w:t>
      </w:r>
      <w:r w:rsidR="00773FCC">
        <w:t xml:space="preserve">2 </w:t>
      </w:r>
      <w:r w:rsidR="00773FCC" w:rsidRPr="007F2F60">
        <w:t xml:space="preserve">% </w:t>
      </w:r>
      <w:r w:rsidR="00773FCC">
        <w:t>(625 tona suhe tvari)</w:t>
      </w:r>
      <w:r w:rsidR="00773FCC" w:rsidRPr="007F2F60">
        <w:t xml:space="preserve"> nastale količine mulja</w:t>
      </w:r>
      <w:r w:rsidR="00773FCC">
        <w:t xml:space="preserve">, a energetski je </w:t>
      </w:r>
      <w:proofErr w:type="spellStart"/>
      <w:r w:rsidR="00773FCC">
        <w:t>oporabljeno</w:t>
      </w:r>
      <w:proofErr w:type="spellEnd"/>
      <w:r w:rsidR="00773FCC">
        <w:t xml:space="preserve"> svega 0,1 % (32 tona suhe tvari). </w:t>
      </w:r>
      <w:r w:rsidR="00773FCC" w:rsidRPr="007F2F60">
        <w:t>Ostale količine nastalog mulja (</w:t>
      </w:r>
      <w:r w:rsidR="00773FCC">
        <w:t>manje od 3</w:t>
      </w:r>
      <w:r w:rsidR="00773FCC" w:rsidRPr="007F2F60">
        <w:t xml:space="preserve"> %</w:t>
      </w:r>
      <w:r w:rsidR="00773FCC">
        <w:t>, 682 tona suhe tvari</w:t>
      </w:r>
      <w:r w:rsidR="00773FCC" w:rsidRPr="007F2F60">
        <w:t>) su bile uglavnom privremeno uskladištene na lokacijama uređaja za pročišćavanje otpadnih voda</w:t>
      </w:r>
      <w:r w:rsidR="00773FCC">
        <w:t xml:space="preserve"> (</w:t>
      </w:r>
      <w:r w:rsidR="00773FCC">
        <w:fldChar w:fldCharType="begin"/>
      </w:r>
      <w:r w:rsidR="00773FCC">
        <w:instrText xml:space="preserve"> REF _Ref111741241 \h </w:instrText>
      </w:r>
      <w:r w:rsidR="00773FCC">
        <w:fldChar w:fldCharType="separate"/>
      </w:r>
      <w:r w:rsidR="00F37B62">
        <w:t xml:space="preserve">Slika </w:t>
      </w:r>
      <w:r w:rsidR="00F37B62">
        <w:rPr>
          <w:noProof/>
        </w:rPr>
        <w:t>22</w:t>
      </w:r>
      <w:r w:rsidR="00773FCC">
        <w:fldChar w:fldCharType="end"/>
      </w:r>
      <w:r w:rsidR="00773FCC">
        <w:t>)</w:t>
      </w:r>
      <w:r w:rsidR="00773FCC" w:rsidRPr="007F2F60">
        <w:t>.</w:t>
      </w:r>
    </w:p>
    <w:p w14:paraId="32CCA11A" w14:textId="77777777" w:rsidR="00563C46" w:rsidRPr="007F2F60" w:rsidRDefault="00563C46" w:rsidP="00267D2B"/>
    <w:p w14:paraId="1C0E05D0" w14:textId="77777777" w:rsidR="00773FCC" w:rsidRPr="00773FCC" w:rsidRDefault="00773FCC" w:rsidP="00773FCC">
      <w:pPr>
        <w:spacing w:after="0"/>
        <w:jc w:val="right"/>
        <w:rPr>
          <w:i/>
          <w:iCs/>
          <w:sz w:val="18"/>
          <w:szCs w:val="20"/>
        </w:rPr>
      </w:pPr>
      <w:r w:rsidRPr="00773FCC">
        <w:rPr>
          <w:i/>
          <w:iCs/>
          <w:sz w:val="18"/>
          <w:szCs w:val="20"/>
        </w:rPr>
        <w:t>Izvor: MINGOR</w:t>
      </w:r>
    </w:p>
    <w:p w14:paraId="6101B668" w14:textId="714358F7" w:rsidR="00773FCC" w:rsidRDefault="00773FCC" w:rsidP="00773FCC">
      <w:pPr>
        <w:pStyle w:val="Slika"/>
      </w:pPr>
      <w:bookmarkStart w:id="69" w:name="_Ref111741241"/>
      <w:bookmarkStart w:id="70" w:name="_Toc125363927"/>
      <w:r>
        <w:t xml:space="preserve">Slika </w:t>
      </w:r>
      <w:fldSimple w:instr=" SEQ Slika \* ARABIC ">
        <w:r w:rsidR="00F37B62">
          <w:rPr>
            <w:noProof/>
          </w:rPr>
          <w:t>22</w:t>
        </w:r>
      </w:fldSimple>
      <w:bookmarkEnd w:id="69"/>
      <w:r w:rsidRPr="006B00D5">
        <w:t xml:space="preserve">. </w:t>
      </w:r>
      <w:r w:rsidRPr="00773FCC">
        <w:rPr>
          <w:b w:val="0"/>
          <w:bCs/>
        </w:rPr>
        <w:t>Postupanje s muljem iz uređaja za pročišćavanje komunalnih otpadnih voda u 2021. godini</w:t>
      </w:r>
      <w:bookmarkEnd w:id="70"/>
    </w:p>
    <w:p w14:paraId="65F64F6E" w14:textId="08DE91AF" w:rsidR="00773FCC" w:rsidRPr="007F2F60" w:rsidRDefault="002977B2" w:rsidP="00773FCC">
      <w:r w:rsidRPr="00CA41D0">
        <w:t>U razdoblju od 2015. do 2018. godine količine obrađenog mulja od komunalnih otpadnih voda i industrijski</w:t>
      </w:r>
      <w:r w:rsidR="009A060C">
        <w:t>h</w:t>
      </w:r>
      <w:r w:rsidRPr="00CA41D0">
        <w:t xml:space="preserve"> otpadnih voda, korištene u poljoprivredi su bile u porastu, a u razdoblju od 2019. do 2021. godine bilježi se trend smanjenja za 62% u odnosu na 2018. godinu.</w:t>
      </w:r>
      <w:r>
        <w:t xml:space="preserve"> </w:t>
      </w:r>
      <w:r w:rsidRPr="00CA41D0">
        <w:t xml:space="preserve">U 2021. godini količina mulja od komunalnih otpadnih voda činila je 85 % ukupne količine mulja koji se koristio u </w:t>
      </w:r>
      <w:proofErr w:type="spellStart"/>
      <w:r w:rsidRPr="00CA41D0">
        <w:t>poljoprivredi</w:t>
      </w:r>
      <w:r>
        <w:t>.</w:t>
      </w:r>
      <w:r w:rsidR="00267D2B" w:rsidRPr="00267D2B">
        <w:t>Posljedica</w:t>
      </w:r>
      <w:proofErr w:type="spellEnd"/>
      <w:r w:rsidR="00267D2B" w:rsidRPr="00267D2B">
        <w:t xml:space="preserve"> smanjenja korištenja mulja u poljoprivredi je stupanje na snagu Pravilnika o zaštiti poljoprivrednog zemljišta od onečišćenja (NN 71/19), kojim se, sukladno članku 6. ne dopušta korištenje muljeva u poljoprivredi na površinama za proizvodnju hrane</w:t>
      </w:r>
      <w:r w:rsidR="00D26CCE">
        <w:t xml:space="preserve"> te</w:t>
      </w:r>
      <w:r w:rsidR="00D26CCE" w:rsidRPr="00D26CCE">
        <w:t xml:space="preserve"> Uredb</w:t>
      </w:r>
      <w:r w:rsidR="00D26CCE">
        <w:t>e</w:t>
      </w:r>
      <w:r w:rsidR="00D26CCE" w:rsidRPr="00D26CCE">
        <w:t xml:space="preserve"> (EU) 2019/1009 EUROPSKOG PARLAMENTA I VIJEĆA od 5. lipnja 2019. o utvrđivanju pravila o stavljanju </w:t>
      </w:r>
      <w:proofErr w:type="spellStart"/>
      <w:r w:rsidR="00D26CCE" w:rsidRPr="00D26CCE">
        <w:t>gnojidbenih</w:t>
      </w:r>
      <w:proofErr w:type="spellEnd"/>
      <w:r w:rsidR="00D26CCE" w:rsidRPr="00D26CCE">
        <w:t xml:space="preserve"> proizvoda EU-a kojom je zabranjena uporaba aerobno obrađenog mulja u poljoprivredi kao </w:t>
      </w:r>
      <w:proofErr w:type="spellStart"/>
      <w:r w:rsidR="00D26CCE" w:rsidRPr="00D26CCE">
        <w:t>gnojidbenog</w:t>
      </w:r>
      <w:proofErr w:type="spellEnd"/>
      <w:r w:rsidR="00D26CCE" w:rsidRPr="00D26CCE">
        <w:t xml:space="preserve"> </w:t>
      </w:r>
      <w:commentRangeStart w:id="71"/>
      <w:r w:rsidR="00D26CCE" w:rsidRPr="00D26CCE">
        <w:t>proizvoda</w:t>
      </w:r>
      <w:commentRangeEnd w:id="71"/>
      <w:r w:rsidR="006D72C3">
        <w:rPr>
          <w:rStyle w:val="Referencakomentara"/>
        </w:rPr>
        <w:commentReference w:id="71"/>
      </w:r>
      <w:r w:rsidR="00267D2B" w:rsidRPr="00267D2B">
        <w:t>.</w:t>
      </w:r>
      <w:r w:rsidR="00773FCC" w:rsidRPr="007F2F60">
        <w:t xml:space="preserve"> </w:t>
      </w:r>
    </w:p>
    <w:p w14:paraId="35521D08" w14:textId="28BFCDCD" w:rsidR="00773FCC" w:rsidRPr="00460193" w:rsidRDefault="00773FCC">
      <w:pPr>
        <w:pStyle w:val="IRNaslov3"/>
        <w:numPr>
          <w:ilvl w:val="2"/>
          <w:numId w:val="22"/>
        </w:numPr>
        <w:ind w:left="1418"/>
        <w:rPr>
          <w:rStyle w:val="zadanifontodlomka-000023"/>
          <w:rFonts w:asciiTheme="minorHAnsi" w:hAnsiTheme="minorHAnsi"/>
          <w:color w:val="auto"/>
          <w:szCs w:val="26"/>
        </w:rPr>
      </w:pPr>
      <w:bookmarkStart w:id="72" w:name="_Toc123211640"/>
      <w:r w:rsidRPr="00460193">
        <w:rPr>
          <w:rStyle w:val="zadanifontodlomka-000023"/>
          <w:rFonts w:asciiTheme="minorHAnsi" w:hAnsiTheme="minorHAnsi"/>
          <w:color w:val="auto"/>
          <w:szCs w:val="26"/>
        </w:rPr>
        <w:t>Morski otpad</w:t>
      </w:r>
      <w:bookmarkEnd w:id="72"/>
    </w:p>
    <w:p w14:paraId="3AD0DD91" w14:textId="794662A6" w:rsidR="00773FCC" w:rsidRPr="003704FA" w:rsidRDefault="00773FCC" w:rsidP="00773FCC">
      <w:r w:rsidRPr="003704FA">
        <w:t xml:space="preserve">Projektom </w:t>
      </w:r>
      <w:r w:rsidRPr="003704FA">
        <w:rPr>
          <w:shd w:val="clear" w:color="auto" w:fill="FFFFFF"/>
        </w:rPr>
        <w:t xml:space="preserve">IPA Adriatic CBC programa 2007 – 2013 </w:t>
      </w:r>
      <w:r w:rsidRPr="003704FA">
        <w:t xml:space="preserve">pod nazivom „Sustav gospodarenja morskim otpadom u Jadranskoj regiji“ (engl. </w:t>
      </w:r>
      <w:proofErr w:type="spellStart"/>
      <w:r w:rsidRPr="00773FCC">
        <w:rPr>
          <w:i/>
          <w:iCs/>
        </w:rPr>
        <w:t>Derelict</w:t>
      </w:r>
      <w:proofErr w:type="spellEnd"/>
      <w:r w:rsidRPr="00773FCC">
        <w:rPr>
          <w:i/>
          <w:iCs/>
        </w:rPr>
        <w:t xml:space="preserve"> </w:t>
      </w:r>
      <w:proofErr w:type="spellStart"/>
      <w:r w:rsidRPr="00773FCC">
        <w:rPr>
          <w:i/>
          <w:iCs/>
        </w:rPr>
        <w:t>Fishing</w:t>
      </w:r>
      <w:proofErr w:type="spellEnd"/>
      <w:r w:rsidRPr="00773FCC">
        <w:rPr>
          <w:i/>
          <w:iCs/>
        </w:rPr>
        <w:t xml:space="preserve"> </w:t>
      </w:r>
      <w:proofErr w:type="spellStart"/>
      <w:r w:rsidRPr="00773FCC">
        <w:rPr>
          <w:i/>
          <w:iCs/>
        </w:rPr>
        <w:t>Gear</w:t>
      </w:r>
      <w:proofErr w:type="spellEnd"/>
      <w:r w:rsidRPr="00773FCC">
        <w:rPr>
          <w:i/>
          <w:iCs/>
        </w:rPr>
        <w:t xml:space="preserve"> Management System </w:t>
      </w:r>
      <w:proofErr w:type="spellStart"/>
      <w:r w:rsidRPr="00773FCC">
        <w:rPr>
          <w:i/>
          <w:iCs/>
        </w:rPr>
        <w:t>in</w:t>
      </w:r>
      <w:proofErr w:type="spellEnd"/>
      <w:r w:rsidRPr="00773FCC">
        <w:rPr>
          <w:i/>
          <w:iCs/>
        </w:rPr>
        <w:t xml:space="preserve"> </w:t>
      </w:r>
      <w:proofErr w:type="spellStart"/>
      <w:r w:rsidRPr="00773FCC">
        <w:rPr>
          <w:i/>
          <w:iCs/>
        </w:rPr>
        <w:t>the</w:t>
      </w:r>
      <w:proofErr w:type="spellEnd"/>
      <w:r w:rsidRPr="00773FCC">
        <w:rPr>
          <w:i/>
          <w:iCs/>
        </w:rPr>
        <w:t xml:space="preserve"> Adriatic </w:t>
      </w:r>
      <w:proofErr w:type="spellStart"/>
      <w:r w:rsidRPr="00773FCC">
        <w:rPr>
          <w:i/>
          <w:iCs/>
        </w:rPr>
        <w:t>Region</w:t>
      </w:r>
      <w:proofErr w:type="spellEnd"/>
      <w:r w:rsidRPr="003704FA">
        <w:t xml:space="preserve">, skraćenica projekta: </w:t>
      </w:r>
      <w:proofErr w:type="spellStart"/>
      <w:r w:rsidRPr="003704FA">
        <w:t>DeFishGear</w:t>
      </w:r>
      <w:proofErr w:type="spellEnd"/>
      <w:r w:rsidRPr="003704FA">
        <w:t xml:space="preserve">) započela su sustavna </w:t>
      </w:r>
      <w:r w:rsidR="00D26CCE">
        <w:t>praćenja</w:t>
      </w:r>
      <w:r w:rsidR="00D26CCE" w:rsidRPr="003704FA">
        <w:t xml:space="preserve"> </w:t>
      </w:r>
      <w:r w:rsidRPr="003704FA">
        <w:t>morskog otpada na području hrvatskog dijela Jadranskog mora. Projekt je pokrenuo pronalaženje područja i testiranje metodologije koja bi odgovarala specifičnim zahtjevima prikupljanja podataka o morskom otpadu.</w:t>
      </w:r>
    </w:p>
    <w:p w14:paraId="79D0D0EC" w14:textId="61303C75" w:rsidR="00773FCC" w:rsidRDefault="00773FCC" w:rsidP="00773FCC">
      <w:r w:rsidRPr="003704FA">
        <w:t xml:space="preserve">U </w:t>
      </w:r>
      <w:r>
        <w:t>RH</w:t>
      </w:r>
      <w:r w:rsidRPr="003704FA">
        <w:t xml:space="preserve"> se od sredine 2017. godine primjenjuje model praćenja svih elemenata morskog otpada, od onog naplavljenog na plažama, preko plutajućeg na površini mora, potonuloga na morskom dnu, do </w:t>
      </w:r>
      <w:proofErr w:type="spellStart"/>
      <w:r w:rsidRPr="003704FA">
        <w:t>mikroplastike</w:t>
      </w:r>
      <w:proofErr w:type="spellEnd"/>
      <w:r w:rsidRPr="003704FA">
        <w:t xml:space="preserve"> u pješčanom sedimentu na plažama, površini mora i u probavnom traktu morskih životinja</w:t>
      </w:r>
      <w:r w:rsidR="00B75D5C">
        <w:t>,</w:t>
      </w:r>
      <w:r w:rsidRPr="003704FA">
        <w:t xml:space="preserve"> </w:t>
      </w:r>
      <w:r w:rsidR="00B75D5C">
        <w:t>u okviru</w:t>
      </w:r>
      <w:r w:rsidRPr="003704FA">
        <w:t xml:space="preserve"> </w:t>
      </w:r>
      <w:bookmarkStart w:id="73" w:name="_Hlk119170929"/>
      <w:r w:rsidRPr="003704FA">
        <w:t>Akcijskog programa strategije upravljanja morskim okolišem i obalnim područjem: Sustava praćenja i promatranja za stalnu procjenu stanja Jadranskog mora (</w:t>
      </w:r>
      <w:r>
        <w:t xml:space="preserve">NN </w:t>
      </w:r>
      <w:r w:rsidRPr="003704FA">
        <w:t>153/14).</w:t>
      </w:r>
      <w:bookmarkEnd w:id="73"/>
      <w:r w:rsidRPr="003704FA">
        <w:t xml:space="preserve"> Svi </w:t>
      </w:r>
      <w:r w:rsidR="00B75D5C">
        <w:t xml:space="preserve">definirani </w:t>
      </w:r>
      <w:r w:rsidRPr="003704FA">
        <w:t xml:space="preserve">parametri prate se na za to određenim lokacijama provođenjem specifične metodologije koja ovisi o pojedinoj skupini otpada koji se promatra/prati te obuhvaćaju određivanje i analizu stanja predviđenih pokazatelja. </w:t>
      </w:r>
    </w:p>
    <w:p w14:paraId="5AEBF85A" w14:textId="370220E7" w:rsidR="00773FCC" w:rsidRPr="003704FA" w:rsidRDefault="00773FCC" w:rsidP="00773FCC">
      <w:r w:rsidRPr="003704FA">
        <w:t xml:space="preserve">Tijekom monitoringa količine i sastava krupnog otpada naplavljenog na obali u 2018. godini na </w:t>
      </w:r>
      <w:r w:rsidR="006E5FA5">
        <w:t>lokacijama</w:t>
      </w:r>
      <w:r w:rsidRPr="003704FA">
        <w:t xml:space="preserve"> (plaže Nin, </w:t>
      </w:r>
      <w:proofErr w:type="spellStart"/>
      <w:r w:rsidRPr="003704FA">
        <w:t>Stončica</w:t>
      </w:r>
      <w:proofErr w:type="spellEnd"/>
      <w:r w:rsidRPr="003704FA">
        <w:t xml:space="preserve"> na otoku Visu, te </w:t>
      </w:r>
      <w:proofErr w:type="spellStart"/>
      <w:r w:rsidRPr="003704FA">
        <w:t>Prapratno</w:t>
      </w:r>
      <w:proofErr w:type="spellEnd"/>
      <w:r w:rsidRPr="003704FA">
        <w:t xml:space="preserve"> kod Stona na poluotoku Pelješcu) </w:t>
      </w:r>
      <w:r w:rsidR="00B75D5C">
        <w:t>prikupljeno</w:t>
      </w:r>
      <w:r w:rsidR="00B75D5C" w:rsidRPr="003704FA">
        <w:t xml:space="preserve"> </w:t>
      </w:r>
      <w:r w:rsidRPr="003704FA">
        <w:t>je, klasificirano i uklonjeno ukupno 1.889 različitih komada morskog otpada. Na svim istraživanim područjima većina zabilježenih predmeta bila je izrađena od umjetnih polimernih materijala (</w:t>
      </w:r>
      <w:r w:rsidRPr="006D72C3">
        <w:rPr>
          <w:highlight w:val="yellow"/>
        </w:rPr>
        <w:t>plastika – 98 % ukupno zabilježenih predmeta</w:t>
      </w:r>
      <w:r w:rsidRPr="003704FA">
        <w:t xml:space="preserve">). U drugoj kategoriji po zastupljenosti su predmeti od drva (1,6 %), te predmeti od stakla/keramike (1 %), predmeti od metala (1 %), gume (0,6 </w:t>
      </w:r>
      <w:r w:rsidRPr="003704FA">
        <w:lastRenderedPageBreak/>
        <w:t xml:space="preserve">%), tekstila (0,4 %) te papira (0,3 %). Od ukupno </w:t>
      </w:r>
      <w:r w:rsidR="00C63642">
        <w:t>prikupljenih</w:t>
      </w:r>
      <w:r w:rsidR="00C63642" w:rsidRPr="003704FA">
        <w:t xml:space="preserve"> </w:t>
      </w:r>
      <w:r w:rsidRPr="003704FA">
        <w:t>predmeta samo je oko 0,1 % klasificirano kao neidentificirano i/ili kao kemikalije.</w:t>
      </w:r>
    </w:p>
    <w:p w14:paraId="29A37009" w14:textId="1CD569B6" w:rsidR="00773FCC" w:rsidRPr="002509F7" w:rsidRDefault="00773FCC" w:rsidP="00773FCC">
      <w:r w:rsidRPr="003704FA">
        <w:t xml:space="preserve">Za potrebe monitoringa plutajućeg otpada na površini mora </w:t>
      </w:r>
      <w:r>
        <w:t>u</w:t>
      </w:r>
      <w:r w:rsidRPr="00724BD7">
        <w:t xml:space="preserve"> 2020. godini </w:t>
      </w:r>
      <w:r w:rsidRPr="003704FA">
        <w:t xml:space="preserve">provedena su istraživanja na tri lokacije (Hvarski kanal, Mljet, Dugi otok). </w:t>
      </w:r>
      <w:r>
        <w:t>P</w:t>
      </w:r>
      <w:r w:rsidRPr="00724BD7">
        <w:t xml:space="preserve">lastika je </w:t>
      </w:r>
      <w:r>
        <w:t xml:space="preserve">bila </w:t>
      </w:r>
      <w:r w:rsidRPr="00724BD7">
        <w:t xml:space="preserve">najzastupljenija kategorija plutajućeg otpada, kako na pojedinačnim </w:t>
      </w:r>
      <w:r w:rsidR="008B7D0A">
        <w:t>lokacijama</w:t>
      </w:r>
      <w:r w:rsidRPr="00724BD7">
        <w:t>, tako i u ukupnom udjelu (95,89 % - 100 %)</w:t>
      </w:r>
      <w:r>
        <w:t>. U</w:t>
      </w:r>
      <w:r w:rsidRPr="00724BD7">
        <w:t xml:space="preserve">glavnom prevladavaju predmeti veličine od 2,5-10 cm. </w:t>
      </w:r>
      <w:r>
        <w:t>U</w:t>
      </w:r>
      <w:r w:rsidRPr="00724BD7">
        <w:t xml:space="preserve">kupni sastav različitih kategorija krutog otpada na tri </w:t>
      </w:r>
      <w:r w:rsidR="006E5FA5">
        <w:t>lokacije</w:t>
      </w:r>
      <w:r w:rsidR="006E5FA5" w:rsidRPr="00724BD7">
        <w:t xml:space="preserve"> </w:t>
      </w:r>
      <w:r w:rsidRPr="00724BD7">
        <w:t>praćenja</w:t>
      </w:r>
      <w:r>
        <w:t xml:space="preserve"> u 2020. godini </w:t>
      </w:r>
      <w:r w:rsidR="006E5FA5">
        <w:t xml:space="preserve">prikazan </w:t>
      </w:r>
      <w:r>
        <w:t xml:space="preserve">je na </w:t>
      </w:r>
      <w:r w:rsidR="006E5FA5" w:rsidRPr="002509F7">
        <w:fldChar w:fldCharType="begin"/>
      </w:r>
      <w:r w:rsidR="006E5FA5" w:rsidRPr="002509F7">
        <w:instrText xml:space="preserve"> REF _Ref111716674 \h  \* MERGEFORMAT </w:instrText>
      </w:r>
      <w:r w:rsidR="006E5FA5" w:rsidRPr="002509F7">
        <w:fldChar w:fldCharType="separate"/>
      </w:r>
      <w:r w:rsidR="00F37B62" w:rsidRPr="00724BD7">
        <w:t xml:space="preserve">Slika </w:t>
      </w:r>
      <w:r w:rsidR="00F37B62">
        <w:rPr>
          <w:noProof/>
        </w:rPr>
        <w:t>23</w:t>
      </w:r>
      <w:r w:rsidR="006E5FA5" w:rsidRPr="002509F7">
        <w:fldChar w:fldCharType="end"/>
      </w:r>
      <w:r w:rsidRPr="002509F7">
        <w:t>.</w:t>
      </w:r>
    </w:p>
    <w:p w14:paraId="7278C140" w14:textId="77777777" w:rsidR="00773FCC" w:rsidRPr="00773FCC" w:rsidRDefault="00773FCC" w:rsidP="00773FCC">
      <w:pPr>
        <w:spacing w:after="0"/>
        <w:jc w:val="right"/>
        <w:rPr>
          <w:i/>
          <w:iCs/>
          <w:sz w:val="18"/>
          <w:szCs w:val="20"/>
        </w:rPr>
      </w:pPr>
      <w:r w:rsidRPr="00773FCC">
        <w:rPr>
          <w:i/>
          <w:iCs/>
          <w:sz w:val="18"/>
          <w:szCs w:val="20"/>
        </w:rPr>
        <w:t xml:space="preserve">                Izvor: IOR, MINGOR</w:t>
      </w:r>
    </w:p>
    <w:p w14:paraId="1D9AB069" w14:textId="4A143881" w:rsidR="00773FCC" w:rsidRPr="00724BD7" w:rsidRDefault="00773FCC" w:rsidP="00773FCC">
      <w:pPr>
        <w:pStyle w:val="Slika"/>
      </w:pPr>
      <w:bookmarkStart w:id="74" w:name="_Ref111716674"/>
      <w:bookmarkStart w:id="75" w:name="_Toc125363928"/>
      <w:r w:rsidRPr="00724BD7">
        <w:t xml:space="preserve">Slika </w:t>
      </w:r>
      <w:fldSimple w:instr=" SEQ Slika \* ARABIC ">
        <w:r w:rsidR="00F37B62">
          <w:rPr>
            <w:noProof/>
          </w:rPr>
          <w:t>23</w:t>
        </w:r>
      </w:fldSimple>
      <w:bookmarkEnd w:id="74"/>
      <w:r w:rsidRPr="00724BD7">
        <w:t xml:space="preserve">. </w:t>
      </w:r>
      <w:r w:rsidRPr="00773FCC">
        <w:rPr>
          <w:b w:val="0"/>
          <w:bCs/>
        </w:rPr>
        <w:t>Ukupni sastav različitih kategorija krutog otpada na površini mora prema sezoni uzorkovanja tijekom monitoringa 2020. godine</w:t>
      </w:r>
      <w:bookmarkEnd w:id="75"/>
    </w:p>
    <w:p w14:paraId="4F02DFBE" w14:textId="77777777" w:rsidR="00F37B62" w:rsidRPr="006F70C8" w:rsidRDefault="00773FCC" w:rsidP="006F70C8">
      <w:r w:rsidRPr="003704FA">
        <w:t>Monitoring otpada nataloženog na morskom dnu proveden je 20</w:t>
      </w:r>
      <w:r>
        <w:t>20</w:t>
      </w:r>
      <w:r w:rsidRPr="003704FA">
        <w:t>. godine na ukupno 3 lokacije (sjeverni Jadran, srednji Jadran i južni Jadran)</w:t>
      </w:r>
      <w:r>
        <w:t xml:space="preserve">.  </w:t>
      </w:r>
      <w:r w:rsidRPr="002509F7">
        <w:fldChar w:fldCharType="begin"/>
      </w:r>
      <w:r w:rsidRPr="002509F7">
        <w:instrText xml:space="preserve"> REF _Ref111716937 \h  \* MERGEFORMAT </w:instrText>
      </w:r>
      <w:r w:rsidRPr="002509F7">
        <w:fldChar w:fldCharType="separate"/>
      </w:r>
    </w:p>
    <w:p w14:paraId="6F3A69B9" w14:textId="5DEE4DA6" w:rsidR="00773FCC" w:rsidRPr="002509F7" w:rsidRDefault="00F37B62" w:rsidP="00773FCC">
      <w:r w:rsidRPr="00A37B4E">
        <w:rPr>
          <w:noProof/>
        </w:rPr>
        <w:t xml:space="preserve">Slika </w:t>
      </w:r>
      <w:r w:rsidRPr="006F70C8">
        <w:rPr>
          <w:noProof/>
          <w:sz w:val="20"/>
          <w:szCs w:val="20"/>
        </w:rPr>
        <w:t>24</w:t>
      </w:r>
      <w:r w:rsidR="00773FCC" w:rsidRPr="002509F7">
        <w:fldChar w:fldCharType="end"/>
      </w:r>
      <w:r w:rsidR="00773FCC" w:rsidRPr="002509F7">
        <w:t xml:space="preserve"> daje prikaz brojnosti otpada </w:t>
      </w:r>
      <w:r w:rsidR="00E7384D" w:rsidRPr="00CA35F5">
        <w:t>(komad po km</w:t>
      </w:r>
      <w:r w:rsidR="00E7384D" w:rsidRPr="00CA35F5">
        <w:rPr>
          <w:vertAlign w:val="superscript"/>
        </w:rPr>
        <w:t>2</w:t>
      </w:r>
      <w:r w:rsidR="00E7384D" w:rsidRPr="00CA35F5">
        <w:t>)</w:t>
      </w:r>
      <w:r w:rsidR="00E7384D" w:rsidRPr="002509F7">
        <w:t xml:space="preserve"> </w:t>
      </w:r>
      <w:r w:rsidR="00773FCC" w:rsidRPr="002509F7">
        <w:t>u morskom dnu prema vrstama otpada.</w:t>
      </w:r>
    </w:p>
    <w:p w14:paraId="3E03CEB0" w14:textId="77777777" w:rsidR="00773FCC" w:rsidRPr="00773FCC" w:rsidRDefault="00773FCC" w:rsidP="00773FCC">
      <w:pPr>
        <w:spacing w:after="0"/>
        <w:jc w:val="right"/>
        <w:rPr>
          <w:i/>
          <w:iCs/>
          <w:sz w:val="18"/>
          <w:szCs w:val="20"/>
        </w:rPr>
      </w:pPr>
      <w:r w:rsidRPr="00773FCC">
        <w:rPr>
          <w:i/>
          <w:iCs/>
          <w:sz w:val="18"/>
          <w:szCs w:val="20"/>
        </w:rPr>
        <w:t>Izvor: IOR, MINGOR</w:t>
      </w:r>
      <w:bookmarkStart w:id="76" w:name="_Ref111716937"/>
    </w:p>
    <w:p w14:paraId="331D0C08" w14:textId="746A446A" w:rsidR="00773FCC" w:rsidRPr="00A37B4E" w:rsidRDefault="00773FCC" w:rsidP="00773FCC">
      <w:pPr>
        <w:pStyle w:val="Slika"/>
      </w:pPr>
      <w:bookmarkStart w:id="77" w:name="_Toc125363929"/>
      <w:r w:rsidRPr="00A37B4E">
        <w:t xml:space="preserve">Slika </w:t>
      </w:r>
      <w:fldSimple w:instr=" SEQ Slika \* ARABIC ">
        <w:r w:rsidR="00F37B62">
          <w:rPr>
            <w:noProof/>
          </w:rPr>
          <w:t>24</w:t>
        </w:r>
      </w:fldSimple>
      <w:bookmarkEnd w:id="76"/>
      <w:r w:rsidRPr="00A37B4E">
        <w:t xml:space="preserve">. </w:t>
      </w:r>
      <w:r w:rsidRPr="00773FCC">
        <w:rPr>
          <w:b w:val="0"/>
          <w:bCs/>
        </w:rPr>
        <w:t xml:space="preserve">Brojnost otpada </w:t>
      </w:r>
      <w:r w:rsidR="00E7384D" w:rsidRPr="00CA35F5">
        <w:rPr>
          <w:b w:val="0"/>
          <w:bCs/>
        </w:rPr>
        <w:t>(komad po km</w:t>
      </w:r>
      <w:r w:rsidR="00E7384D" w:rsidRPr="00CA35F5">
        <w:rPr>
          <w:b w:val="0"/>
          <w:bCs/>
          <w:vertAlign w:val="superscript"/>
        </w:rPr>
        <w:t>2</w:t>
      </w:r>
      <w:r w:rsidR="00E7384D" w:rsidRPr="00CA35F5">
        <w:rPr>
          <w:b w:val="0"/>
          <w:bCs/>
        </w:rPr>
        <w:t>)</w:t>
      </w:r>
      <w:r w:rsidR="00E7384D" w:rsidRPr="002509F7">
        <w:t xml:space="preserve"> </w:t>
      </w:r>
      <w:r w:rsidRPr="00773FCC">
        <w:rPr>
          <w:b w:val="0"/>
          <w:bCs/>
        </w:rPr>
        <w:t>u morskom dnu u 2020. godini</w:t>
      </w:r>
      <w:r w:rsidR="00E7384D">
        <w:rPr>
          <w:b w:val="0"/>
          <w:bCs/>
        </w:rPr>
        <w:t xml:space="preserve"> </w:t>
      </w:r>
      <w:r w:rsidR="00E7384D" w:rsidRPr="00E7384D">
        <w:rPr>
          <w:b w:val="0"/>
          <w:bCs/>
        </w:rPr>
        <w:t>prema vrstama otpada</w:t>
      </w:r>
      <w:bookmarkEnd w:id="77"/>
    </w:p>
    <w:p w14:paraId="7C635D6E" w14:textId="77777777" w:rsidR="00773FCC" w:rsidRPr="003704FA" w:rsidRDefault="00773FCC" w:rsidP="00773FCC">
      <w:r w:rsidRPr="003704FA">
        <w:t xml:space="preserve">Uzorci </w:t>
      </w:r>
      <w:proofErr w:type="spellStart"/>
      <w:r w:rsidRPr="003704FA">
        <w:t>mikrootpada</w:t>
      </w:r>
      <w:proofErr w:type="spellEnd"/>
      <w:r w:rsidRPr="003704FA">
        <w:t>/</w:t>
      </w:r>
      <w:proofErr w:type="spellStart"/>
      <w:r w:rsidRPr="003704FA">
        <w:t>mikroplastike</w:t>
      </w:r>
      <w:proofErr w:type="spellEnd"/>
      <w:r w:rsidRPr="003704FA">
        <w:t xml:space="preserve"> iz sedimenta na pješčanim plažama uzeti su </w:t>
      </w:r>
      <w:r>
        <w:t xml:space="preserve">u 2018. </w:t>
      </w:r>
      <w:r w:rsidRPr="003704FA">
        <w:t xml:space="preserve">sa četiri lokacije duž istočne obale Jadranskog mora: plaže Nin, Zaglava na otoku Visu, ušća Neretve i </w:t>
      </w:r>
      <w:proofErr w:type="spellStart"/>
      <w:r w:rsidRPr="003704FA">
        <w:t>Prapratnog</w:t>
      </w:r>
      <w:proofErr w:type="spellEnd"/>
      <w:r w:rsidRPr="003704FA">
        <w:t xml:space="preserve"> na Pelješcu. Iz sedimenta sa četiriju istraživanih plaža ukupno je izdvojeno 85 komada otpada većeg od 5 mm, od čega 53 komada plastičnog otpada, 27 komada stakla i keramike, 3 komada metala i 2 komada tekstila.</w:t>
      </w:r>
      <w:r w:rsidRPr="00E6661B">
        <w:t xml:space="preserve"> </w:t>
      </w:r>
      <w:r>
        <w:t xml:space="preserve">Obzirom da </w:t>
      </w:r>
      <w:r w:rsidRPr="00E6661B">
        <w:t xml:space="preserve"> su plaže </w:t>
      </w:r>
      <w:proofErr w:type="spellStart"/>
      <w:r w:rsidRPr="00E6661B">
        <w:t>Prapratno</w:t>
      </w:r>
      <w:proofErr w:type="spellEnd"/>
      <w:r w:rsidRPr="00E6661B">
        <w:t xml:space="preserve"> i </w:t>
      </w:r>
      <w:proofErr w:type="spellStart"/>
      <w:r w:rsidRPr="00E6661B">
        <w:t>Zaglav</w:t>
      </w:r>
      <w:proofErr w:type="spellEnd"/>
      <w:r w:rsidRPr="00E6661B">
        <w:t xml:space="preserve"> smještene s južne strane Pelješca, odnosno otoka Visa, te su izložene intenzivnijem donosu otpada morskim strujama i južnim vjetrovima očituje </w:t>
      </w:r>
      <w:r>
        <w:t xml:space="preserve">se </w:t>
      </w:r>
      <w:r w:rsidRPr="00E6661B">
        <w:t>već</w:t>
      </w:r>
      <w:r>
        <w:t>a</w:t>
      </w:r>
      <w:r w:rsidRPr="00E6661B">
        <w:t xml:space="preserve"> koncentracija</w:t>
      </w:r>
      <w:r>
        <w:t xml:space="preserve"> </w:t>
      </w:r>
      <w:r w:rsidRPr="00E6661B">
        <w:t xml:space="preserve">čestica </w:t>
      </w:r>
      <w:proofErr w:type="spellStart"/>
      <w:r w:rsidRPr="00E6661B">
        <w:t>mikroplastike</w:t>
      </w:r>
      <w:proofErr w:type="spellEnd"/>
      <w:r w:rsidRPr="00E6661B">
        <w:t xml:space="preserve"> u sedimentu, kao i njenom sastavu</w:t>
      </w:r>
      <w:r>
        <w:t xml:space="preserve"> od lokacija </w:t>
      </w:r>
      <w:r w:rsidRPr="00E6661B">
        <w:t>Nin i ušće Neretve</w:t>
      </w:r>
      <w:r>
        <w:t>.</w:t>
      </w:r>
      <w:r w:rsidRPr="00E6661B">
        <w:t xml:space="preserve"> </w:t>
      </w:r>
      <w:r w:rsidRPr="003704FA">
        <w:t xml:space="preserve">U uzorcima sedimenta zabilježeno je ukupno 167 čestica </w:t>
      </w:r>
      <w:proofErr w:type="spellStart"/>
      <w:r w:rsidRPr="003704FA">
        <w:t>mikroplastike</w:t>
      </w:r>
      <w:proofErr w:type="spellEnd"/>
      <w:r w:rsidRPr="003704FA">
        <w:t xml:space="preserve"> veličine 1 – 5 mm. Na svim su lokacijama najbrojniji uglati plastični fragmenti (50 – 56 %), a prisutni su i filmovi i </w:t>
      </w:r>
      <w:proofErr w:type="spellStart"/>
      <w:r w:rsidRPr="003704FA">
        <w:t>filamenti</w:t>
      </w:r>
      <w:proofErr w:type="spellEnd"/>
      <w:r w:rsidRPr="003704FA">
        <w:t>.</w:t>
      </w:r>
    </w:p>
    <w:p w14:paraId="0B042C97" w14:textId="5F32E733" w:rsidR="00773FCC" w:rsidRDefault="00773FCC" w:rsidP="00773FCC">
      <w:r w:rsidRPr="003704FA">
        <w:t xml:space="preserve">Uzorci </w:t>
      </w:r>
      <w:proofErr w:type="spellStart"/>
      <w:r w:rsidRPr="003704FA">
        <w:t>mikroplastike</w:t>
      </w:r>
      <w:proofErr w:type="spellEnd"/>
      <w:r w:rsidRPr="003704FA">
        <w:t xml:space="preserve"> s površine mora prikupljani su </w:t>
      </w:r>
      <w:r>
        <w:t>od 2017. do 2020.</w:t>
      </w:r>
      <w:r w:rsidRPr="003704FA">
        <w:t xml:space="preserve"> godine na tri </w:t>
      </w:r>
      <w:proofErr w:type="spellStart"/>
      <w:r w:rsidRPr="003704FA">
        <w:t>transekta</w:t>
      </w:r>
      <w:proofErr w:type="spellEnd"/>
      <w:r w:rsidRPr="003704FA">
        <w:t xml:space="preserve">: u Hvarskom kanalu, uz južnu stranu otoka Mljeta i uz južnu stranu Dugog otoka. </w:t>
      </w:r>
      <w:r w:rsidRPr="00031E89">
        <w:t xml:space="preserve">Na svim </w:t>
      </w:r>
      <w:r w:rsidR="006E5FA5">
        <w:t>lokacijama</w:t>
      </w:r>
      <w:r w:rsidR="006E5FA5" w:rsidRPr="00031E89">
        <w:t xml:space="preserve"> </w:t>
      </w:r>
      <w:r w:rsidRPr="00031E89">
        <w:t xml:space="preserve">zabilježene su uglavnom ujednačene koncentracije čestica i to </w:t>
      </w:r>
      <w:r w:rsidR="00883E50">
        <w:t>manje od</w:t>
      </w:r>
      <w:r w:rsidR="00883E50" w:rsidRPr="00031E89">
        <w:t xml:space="preserve"> </w:t>
      </w:r>
      <w:r w:rsidRPr="00031E89">
        <w:t>50.000 N/km</w:t>
      </w:r>
      <w:r w:rsidRPr="00CA35F5">
        <w:rPr>
          <w:vertAlign w:val="superscript"/>
        </w:rPr>
        <w:t>2</w:t>
      </w:r>
      <w:r w:rsidRPr="00031E89">
        <w:t xml:space="preserve">. Iznimno je u rujnu 2018. godine s južne strane otoka Mljeta zabilježena povišena koncentracija </w:t>
      </w:r>
      <w:proofErr w:type="spellStart"/>
      <w:r w:rsidRPr="00031E89">
        <w:t>mikroplastike</w:t>
      </w:r>
      <w:proofErr w:type="spellEnd"/>
      <w:r w:rsidRPr="00031E89">
        <w:t xml:space="preserve"> (84</w:t>
      </w:r>
      <w:r>
        <w:t>.</w:t>
      </w:r>
      <w:r w:rsidRPr="00031E89">
        <w:t>615 N/km</w:t>
      </w:r>
      <w:r w:rsidRPr="00612DE8">
        <w:rPr>
          <w:vertAlign w:val="superscript"/>
        </w:rPr>
        <w:t>2</w:t>
      </w:r>
      <w:r w:rsidRPr="00031E89">
        <w:t>) te u lipnju 2019. godine u Hvarskom kanalu (koncentracija od 208</w:t>
      </w:r>
      <w:r>
        <w:t>.</w:t>
      </w:r>
      <w:r w:rsidRPr="00031E89">
        <w:t>854 N/km</w:t>
      </w:r>
      <w:r w:rsidRPr="00612DE8">
        <w:rPr>
          <w:vertAlign w:val="superscript"/>
        </w:rPr>
        <w:t>2</w:t>
      </w:r>
      <w:r w:rsidRPr="00031E89">
        <w:t xml:space="preserve">). Sastav </w:t>
      </w:r>
      <w:proofErr w:type="spellStart"/>
      <w:r w:rsidRPr="00031E89">
        <w:t>mikroplastike</w:t>
      </w:r>
      <w:proofErr w:type="spellEnd"/>
      <w:r w:rsidRPr="00031E89">
        <w:t xml:space="preserve"> se razlikovao </w:t>
      </w:r>
      <w:r w:rsidR="00BE4334">
        <w:t>iz</w:t>
      </w:r>
      <w:r w:rsidRPr="00031E89">
        <w:t xml:space="preserve">među godina prema udjelu pojedinih čestica. Ukupno gledano, fragmenti su najzastupljenija kategorija </w:t>
      </w:r>
      <w:proofErr w:type="spellStart"/>
      <w:r w:rsidRPr="00031E89">
        <w:t>mikroplastike</w:t>
      </w:r>
      <w:proofErr w:type="spellEnd"/>
      <w:r w:rsidRPr="00031E89">
        <w:t xml:space="preserve"> te se njihov udio kreće od 29 - 92 %. Njihov je udio bio najizraženiji tijekom rujna 2017. godine i to na svim </w:t>
      </w:r>
      <w:r w:rsidR="008B7D0A">
        <w:t>lokacijama</w:t>
      </w:r>
      <w:r w:rsidR="008B7D0A" w:rsidRPr="00031E89">
        <w:t xml:space="preserve"> </w:t>
      </w:r>
      <w:r w:rsidRPr="00031E89">
        <w:t xml:space="preserve">(80 - 92 %), dok je istovremeno zabilježen najmanji </w:t>
      </w:r>
      <w:r w:rsidRPr="005C75DE">
        <w:t xml:space="preserve">udio filmova (&lt; 8 %). Tijekom ostalih uzorkovanja, dominacija u ukupnom broju izmjenjivala se između fragmenata i filmova, kojima se udio kretao između 17-58 %. Ipak najveći udio filmova zabilježen je tijekom srpnja 2020. godine (&gt; 50 %). </w:t>
      </w:r>
      <w:proofErr w:type="spellStart"/>
      <w:r w:rsidRPr="005C75DE">
        <w:t>Filamenti</w:t>
      </w:r>
      <w:proofErr w:type="spellEnd"/>
      <w:r w:rsidRPr="005C75DE">
        <w:t xml:space="preserve"> su treća</w:t>
      </w:r>
      <w:r w:rsidRPr="00031E89">
        <w:t xml:space="preserve"> kategorija </w:t>
      </w:r>
      <w:proofErr w:type="spellStart"/>
      <w:r w:rsidRPr="00031E89">
        <w:t>mikroplastike</w:t>
      </w:r>
      <w:proofErr w:type="spellEnd"/>
      <w:r w:rsidRPr="00031E89">
        <w:t xml:space="preserve"> koja je zabilježena u gotovo svim uzorcima, a udio im se kretao od 1-27 %.</w:t>
      </w:r>
    </w:p>
    <w:p w14:paraId="3A2F586D" w14:textId="77777777" w:rsidR="00773FCC" w:rsidRDefault="00773FCC" w:rsidP="00773FCC">
      <w:r>
        <w:t xml:space="preserve">S </w:t>
      </w:r>
      <w:r w:rsidRPr="003704FA">
        <w:t>obzirom na to da se ra</w:t>
      </w:r>
      <w:r>
        <w:t>di o relativno novim pokazateljima</w:t>
      </w:r>
      <w:r w:rsidRPr="003704FA">
        <w:t>, ekološki status nije moguće odrediti jer nisu određene klase stanja okoliša dok su spoznaje o ovom pokazatelju još uvijek vrlo oskudne. Jedan od glavnih nedostataka vrednovanja u odnosu na utjecaj na okoliš jest i još uvijek nerazrađeni sustav graničnih vrijednosti, što je izraženo i na razini EU. Također, budući da se tek 2017. godine po prvi put krenulo s provedbom monitoringa, procjenu stanja nije moguće izvršiti zbog nepostoj</w:t>
      </w:r>
      <w:r>
        <w:t xml:space="preserve">anja dugotrajnije baze podataka, a time ni </w:t>
      </w:r>
      <w:r w:rsidRPr="00C1462F">
        <w:t>predložiti kvantitativne ciljeve koji bi upućivali na postizanje dobrog stanja okoliša.</w:t>
      </w:r>
    </w:p>
    <w:p w14:paraId="6D2B9AC0" w14:textId="21DCDC75" w:rsidR="000444C4" w:rsidRPr="00460193" w:rsidRDefault="000444C4">
      <w:pPr>
        <w:pStyle w:val="IRNaslov3"/>
        <w:numPr>
          <w:ilvl w:val="2"/>
          <w:numId w:val="22"/>
        </w:numPr>
        <w:ind w:left="1418"/>
        <w:rPr>
          <w:rStyle w:val="zadanifontodlomka-000023"/>
          <w:rFonts w:asciiTheme="minorHAnsi" w:hAnsiTheme="minorHAnsi"/>
          <w:color w:val="auto"/>
          <w:szCs w:val="26"/>
        </w:rPr>
      </w:pPr>
      <w:bookmarkStart w:id="78" w:name="_Toc123211641"/>
      <w:r w:rsidRPr="00460193">
        <w:rPr>
          <w:rStyle w:val="zadanifontodlomka-000023"/>
          <w:rFonts w:asciiTheme="minorHAnsi" w:hAnsiTheme="minorHAnsi"/>
          <w:color w:val="auto"/>
          <w:szCs w:val="26"/>
        </w:rPr>
        <w:lastRenderedPageBreak/>
        <w:t>Posebne kategorije otpada</w:t>
      </w:r>
      <w:bookmarkEnd w:id="78"/>
    </w:p>
    <w:p w14:paraId="1D7D5108" w14:textId="77777777" w:rsidR="00612DE8" w:rsidRPr="00730E99" w:rsidRDefault="00612DE8" w:rsidP="00612DE8">
      <w:pPr>
        <w:rPr>
          <w:i/>
          <w:iCs/>
        </w:rPr>
      </w:pPr>
      <w:r>
        <w:rPr>
          <w:i/>
          <w:iCs/>
        </w:rPr>
        <w:t xml:space="preserve">Osim podataka sadržanih u Informacijskom sustavu gospodarenja otpadom, za analizu stanja gospodarenja posebnim kategorijama otpada, korišteni su i podaci FZOEU prikupljeni putem evidencije vezane za sustav </w:t>
      </w:r>
      <w:r w:rsidRPr="00730E99">
        <w:rPr>
          <w:i/>
          <w:iCs/>
        </w:rPr>
        <w:t>proširene odgovornosti proizvođača proizvoda</w:t>
      </w:r>
      <w:r>
        <w:rPr>
          <w:i/>
          <w:iCs/>
        </w:rPr>
        <w:t>.</w:t>
      </w:r>
    </w:p>
    <w:p w14:paraId="6B9A607E" w14:textId="536A7FB1" w:rsidR="00612DE8" w:rsidRPr="00223644" w:rsidRDefault="006405AF" w:rsidP="00612DE8">
      <w:r>
        <w:t>ZGO</w:t>
      </w:r>
      <w:r w:rsidR="00612DE8" w:rsidRPr="00F50AE4">
        <w:t xml:space="preserve"> definira posebne kategorije otpada kao tokove otpada za koje se</w:t>
      </w:r>
      <w:r w:rsidR="00612DE8" w:rsidRPr="00223644">
        <w:t xml:space="preserve"> propisuju posebni uvjeti gospodarenja. Sljedeće vrste otpada proglašene su posebnim kategorijama otpada:</w:t>
      </w:r>
    </w:p>
    <w:p w14:paraId="1C74B1A5" w14:textId="77777777" w:rsidR="00612DE8" w:rsidRPr="00897E9C" w:rsidRDefault="00612DE8">
      <w:pPr>
        <w:pStyle w:val="Odlomakpopisa"/>
        <w:numPr>
          <w:ilvl w:val="0"/>
          <w:numId w:val="5"/>
        </w:numPr>
      </w:pPr>
      <w:r w:rsidRPr="00897E9C">
        <w:t xml:space="preserve">otpadni tekstil i obuća, </w:t>
      </w:r>
    </w:p>
    <w:p w14:paraId="43CFC1C3" w14:textId="77777777" w:rsidR="00612DE8" w:rsidRPr="00897E9C" w:rsidRDefault="00612DE8">
      <w:pPr>
        <w:pStyle w:val="Odlomakpopisa"/>
        <w:numPr>
          <w:ilvl w:val="0"/>
          <w:numId w:val="5"/>
        </w:numPr>
      </w:pPr>
      <w:r w:rsidRPr="00897E9C">
        <w:t xml:space="preserve">otpadna ambalaža, </w:t>
      </w:r>
    </w:p>
    <w:p w14:paraId="14491FDF" w14:textId="77777777" w:rsidR="00612DE8" w:rsidRPr="00131271" w:rsidRDefault="00612DE8">
      <w:pPr>
        <w:pStyle w:val="Odlomakpopisa"/>
        <w:numPr>
          <w:ilvl w:val="0"/>
          <w:numId w:val="5"/>
        </w:numPr>
      </w:pPr>
      <w:r w:rsidRPr="00131271">
        <w:t xml:space="preserve">otpadne gume, </w:t>
      </w:r>
    </w:p>
    <w:p w14:paraId="5458732B" w14:textId="77777777" w:rsidR="00612DE8" w:rsidRPr="00131271" w:rsidRDefault="00612DE8">
      <w:pPr>
        <w:pStyle w:val="Odlomakpopisa"/>
        <w:numPr>
          <w:ilvl w:val="0"/>
          <w:numId w:val="5"/>
        </w:numPr>
      </w:pPr>
      <w:r w:rsidRPr="00131271">
        <w:t xml:space="preserve">otpadna ulja, </w:t>
      </w:r>
    </w:p>
    <w:p w14:paraId="60472B8F" w14:textId="77777777" w:rsidR="00612DE8" w:rsidRPr="00131271" w:rsidRDefault="00612DE8">
      <w:pPr>
        <w:pStyle w:val="Odlomakpopisa"/>
        <w:numPr>
          <w:ilvl w:val="0"/>
          <w:numId w:val="5"/>
        </w:numPr>
      </w:pPr>
      <w:r w:rsidRPr="00131271">
        <w:t xml:space="preserve">otpadne baterije i akumulatori, </w:t>
      </w:r>
    </w:p>
    <w:p w14:paraId="255EFF38" w14:textId="77777777" w:rsidR="00612DE8" w:rsidRPr="00131271" w:rsidRDefault="00612DE8">
      <w:pPr>
        <w:pStyle w:val="Odlomakpopisa"/>
        <w:numPr>
          <w:ilvl w:val="0"/>
          <w:numId w:val="5"/>
        </w:numPr>
      </w:pPr>
      <w:r w:rsidRPr="00131271">
        <w:t>otpadna vozila,</w:t>
      </w:r>
    </w:p>
    <w:p w14:paraId="4871BAE5" w14:textId="77777777" w:rsidR="00612DE8" w:rsidRPr="00131271" w:rsidRDefault="00612DE8">
      <w:pPr>
        <w:pStyle w:val="Odlomakpopisa"/>
        <w:numPr>
          <w:ilvl w:val="0"/>
          <w:numId w:val="5"/>
        </w:numPr>
      </w:pPr>
      <w:r w:rsidRPr="00131271">
        <w:t xml:space="preserve">građevni otpad i otpad koji sadrži azbest, </w:t>
      </w:r>
    </w:p>
    <w:p w14:paraId="4E1BBBD5" w14:textId="77777777" w:rsidR="00612DE8" w:rsidRPr="00131271" w:rsidRDefault="00612DE8">
      <w:pPr>
        <w:pStyle w:val="Odlomakpopisa"/>
        <w:numPr>
          <w:ilvl w:val="0"/>
          <w:numId w:val="5"/>
        </w:numPr>
      </w:pPr>
      <w:r w:rsidRPr="00131271">
        <w:t xml:space="preserve">medicinski otpad, </w:t>
      </w:r>
    </w:p>
    <w:p w14:paraId="1901AFA6" w14:textId="77777777" w:rsidR="00612DE8" w:rsidRPr="00131271" w:rsidRDefault="00612DE8">
      <w:pPr>
        <w:pStyle w:val="Odlomakpopisa"/>
        <w:numPr>
          <w:ilvl w:val="0"/>
          <w:numId w:val="5"/>
        </w:numPr>
      </w:pPr>
      <w:r w:rsidRPr="00131271">
        <w:t xml:space="preserve">otpadna električna i elektronička oprema, </w:t>
      </w:r>
    </w:p>
    <w:p w14:paraId="70BC41E7" w14:textId="77777777" w:rsidR="00612DE8" w:rsidRPr="00131271" w:rsidRDefault="00612DE8">
      <w:pPr>
        <w:pStyle w:val="Odlomakpopisa"/>
        <w:numPr>
          <w:ilvl w:val="0"/>
          <w:numId w:val="5"/>
        </w:numPr>
      </w:pPr>
      <w:r w:rsidRPr="00131271">
        <w:t>otpad iz proizvodnje titan dioksida,</w:t>
      </w:r>
    </w:p>
    <w:p w14:paraId="01392984" w14:textId="77777777" w:rsidR="00612DE8" w:rsidRPr="00131271" w:rsidRDefault="00612DE8">
      <w:pPr>
        <w:pStyle w:val="Odlomakpopisa"/>
        <w:numPr>
          <w:ilvl w:val="0"/>
          <w:numId w:val="5"/>
        </w:numPr>
      </w:pPr>
      <w:r w:rsidRPr="00131271">
        <w:t xml:space="preserve">otpadni </w:t>
      </w:r>
      <w:proofErr w:type="spellStart"/>
      <w:r w:rsidRPr="00131271">
        <w:t>poliklorirani</w:t>
      </w:r>
      <w:proofErr w:type="spellEnd"/>
      <w:r w:rsidRPr="00131271">
        <w:t xml:space="preserve"> </w:t>
      </w:r>
      <w:proofErr w:type="spellStart"/>
      <w:r w:rsidRPr="00131271">
        <w:t>bifenili</w:t>
      </w:r>
      <w:proofErr w:type="spellEnd"/>
      <w:r w:rsidRPr="00131271">
        <w:t xml:space="preserve"> i </w:t>
      </w:r>
      <w:proofErr w:type="spellStart"/>
      <w:r w:rsidRPr="00131271">
        <w:t>poliklorirani</w:t>
      </w:r>
      <w:proofErr w:type="spellEnd"/>
      <w:r w:rsidRPr="00131271">
        <w:t xml:space="preserve"> </w:t>
      </w:r>
      <w:proofErr w:type="spellStart"/>
      <w:r w:rsidRPr="00131271">
        <w:t>terfenili</w:t>
      </w:r>
      <w:proofErr w:type="spellEnd"/>
      <w:r w:rsidRPr="00131271">
        <w:t xml:space="preserve">, </w:t>
      </w:r>
    </w:p>
    <w:p w14:paraId="08FA6454" w14:textId="77777777" w:rsidR="00612DE8" w:rsidRPr="00131271" w:rsidRDefault="00612DE8">
      <w:pPr>
        <w:pStyle w:val="Odlomakpopisa"/>
        <w:numPr>
          <w:ilvl w:val="0"/>
          <w:numId w:val="5"/>
        </w:numPr>
      </w:pPr>
      <w:r w:rsidRPr="00131271">
        <w:t>plastika za jednokratnu uporabu i ribolovni alati koji sadrže plastiku.</w:t>
      </w:r>
    </w:p>
    <w:p w14:paraId="08E7A6EA" w14:textId="7755BB12" w:rsidR="00612DE8" w:rsidRPr="00223644" w:rsidRDefault="00BE4334" w:rsidP="00612DE8">
      <w:r w:rsidRPr="00BE4334">
        <w:t>Za šest posebnih kategorija otpada (otpadna ambalaža, otpadne gume, otpadna ulja, otpadne baterije i akumulatori, otpadna vozila, otpadna električna i elektronička oprema) organiziran je sustav proširene odgovornosti proizvođača proizvoda u obliku naknade koja se naplaćuje proizvođačima za stavljanje proizvoda na tržište RH od kojih na kraju životnog vijeka proizvoda nastaje posebna kategorija otpada za koju je uspostavljen sustav odvojenog sakupljanja i obrade otpada</w:t>
      </w:r>
      <w:r>
        <w:t xml:space="preserve">. </w:t>
      </w:r>
    </w:p>
    <w:p w14:paraId="39FB070F" w14:textId="069A0051" w:rsidR="00612DE8" w:rsidRPr="00E81E1B" w:rsidRDefault="00BE4334" w:rsidP="00612DE8">
      <w:r w:rsidRPr="00BE4334">
        <w:t>Nakon uspostave sustava proširene odgovornosti proizvođača proizvoda bilježi se intenzivan razvoj i značajan rast sakupljenih i obrađenih količina posebnih kategorija otpada</w:t>
      </w:r>
      <w:r w:rsidR="00612DE8" w:rsidRPr="00223644">
        <w:t>.</w:t>
      </w:r>
      <w:r w:rsidR="00612DE8">
        <w:rPr>
          <w:rStyle w:val="Referencafusnote"/>
        </w:rPr>
        <w:footnoteReference w:id="18"/>
      </w:r>
      <w:r w:rsidR="00612DE8" w:rsidRPr="00223644">
        <w:t xml:space="preserve"> Od 2015. godine nadalje dolazi do stagnacije sakupljenih i </w:t>
      </w:r>
      <w:proofErr w:type="spellStart"/>
      <w:r w:rsidR="00612DE8" w:rsidRPr="00223644">
        <w:t>oporabljenih</w:t>
      </w:r>
      <w:proofErr w:type="spellEnd"/>
      <w:r w:rsidR="00612DE8" w:rsidRPr="00223644">
        <w:t xml:space="preserve"> količina kod svih </w:t>
      </w:r>
      <w:r>
        <w:t>posebnih</w:t>
      </w:r>
      <w:r w:rsidRPr="00223644">
        <w:t xml:space="preserve"> </w:t>
      </w:r>
      <w:r w:rsidR="00612DE8" w:rsidRPr="00223644">
        <w:t>kategorija</w:t>
      </w:r>
      <w:r w:rsidR="00612DE8">
        <w:t xml:space="preserve"> otpada</w:t>
      </w:r>
      <w:r w:rsidR="00612DE8" w:rsidRPr="00223644">
        <w:t xml:space="preserve">, izuzev u sustavu otpadnih vozila koji bilježi konstantan i značajan rast sakupljenih količina do 2020. godine. </w:t>
      </w:r>
      <w:r w:rsidR="00612DE8" w:rsidRPr="00E81E1B">
        <w:t>Stagnaciju je tijekom 2020. i 2021. godine djelomično uzrokovala i pandemija bolesti uzrokovane COVID-19 virusom, koja je utjecala na smanjenje gospodarske aktivnosti, ali općenito bi ista mogla ukazivati i na dostizanje maksimuma u okviru postojećih kapaciteta i načina organizacije sustava.</w:t>
      </w:r>
    </w:p>
    <w:p w14:paraId="3E2D87DF" w14:textId="60F78E42" w:rsidR="00612DE8" w:rsidRPr="00E81E1B" w:rsidRDefault="00411045" w:rsidP="00612DE8">
      <w:r w:rsidRPr="00411045">
        <w:t>Uspostavom okvira za kružno gospodarstvo, za određene posebne kategorije otpada (ambalažni otpad, građevni otpad, otpadne baterije i akumulatori, otpadna električna i elektronička oprema i otpadna vozila) postavljeni su ambiciozni ciljevi skupljanja i/ili oporabe/recikliranja što zahtjeva unaprjeđenje postojećih sustava odvojenog sakupljanja otpada, i poticanje novih naprednih tehnologija sakupljanja, oporabe i recikliranja</w:t>
      </w:r>
      <w:r>
        <w:t xml:space="preserve">. Navedeno uključuje </w:t>
      </w:r>
      <w:r w:rsidRPr="00411045">
        <w:t>osiguravanje novih učinkovitijih modela odvojenog sakupljanja, poticanje širenja i modernizacije postojećih kapaciteta za oporabu</w:t>
      </w:r>
      <w:r w:rsidR="00CA35F5">
        <w:t xml:space="preserve"> </w:t>
      </w:r>
      <w:r w:rsidRPr="00411045">
        <w:t>i/ili recikliranje te izgradnj</w:t>
      </w:r>
      <w:r>
        <w:t>u</w:t>
      </w:r>
      <w:r w:rsidRPr="00411045">
        <w:t xml:space="preserve"> novih postrojenja za vrste otpada i materijale za koje trenutno ne postoje nikakva postrojenja za obradu</w:t>
      </w:r>
      <w:r>
        <w:t>.</w:t>
      </w:r>
    </w:p>
    <w:p w14:paraId="73C24129" w14:textId="2CD09228" w:rsidR="00612DE8" w:rsidRPr="00223644" w:rsidRDefault="00612DE8" w:rsidP="00612DE8">
      <w:r w:rsidRPr="00223644">
        <w:t xml:space="preserve">Prikaz sakupljenih količina posebnih kategorija otpada od 2015. do 2021. godine </w:t>
      </w:r>
      <w:r w:rsidR="00411045">
        <w:t xml:space="preserve">prikazan je </w:t>
      </w:r>
      <w:r w:rsidRPr="00223644">
        <w:t xml:space="preserve">u </w:t>
      </w:r>
      <w:r w:rsidRPr="00730E99">
        <w:t>tablici</w:t>
      </w:r>
      <w:r w:rsidRPr="00223644">
        <w:t xml:space="preserve"> u nastavku. </w:t>
      </w:r>
    </w:p>
    <w:p w14:paraId="7E4AC936" w14:textId="4A5ABC3D" w:rsidR="00612DE8" w:rsidRPr="00612DE8" w:rsidRDefault="00612DE8" w:rsidP="00612DE8">
      <w:pPr>
        <w:pStyle w:val="Tablica"/>
      </w:pPr>
      <w:bookmarkStart w:id="79" w:name="_Toc125364397"/>
      <w:r w:rsidRPr="00612DE8">
        <w:lastRenderedPageBreak/>
        <w:t xml:space="preserve">Tablica </w:t>
      </w:r>
      <w:fldSimple w:instr=" SEQ Tablica \* ARABIC ">
        <w:r w:rsidR="00F37B62">
          <w:rPr>
            <w:noProof/>
          </w:rPr>
          <w:t>8</w:t>
        </w:r>
      </w:fldSimple>
      <w:r w:rsidRPr="00612DE8">
        <w:t xml:space="preserve">. </w:t>
      </w:r>
      <w:r w:rsidRPr="00612DE8">
        <w:rPr>
          <w:rStyle w:val="zadanifontodlomka-000010"/>
          <w:rFonts w:asciiTheme="minorHAnsi" w:hAnsiTheme="minorHAnsi" w:cstheme="minorHAnsi"/>
          <w:b w:val="0"/>
          <w:bCs/>
          <w:sz w:val="20"/>
        </w:rPr>
        <w:t>Količine posebnih kategorija otpada sakupljenih u razdoblju od 2015. do 2021. godine</w:t>
      </w:r>
      <w:bookmarkEnd w:id="79"/>
      <w:r w:rsidRPr="00612DE8">
        <w:t xml:space="preserve"> </w:t>
      </w:r>
    </w:p>
    <w:tbl>
      <w:tblPr>
        <w:tblW w:w="9040" w:type="dxa"/>
        <w:tblLook w:val="04A0" w:firstRow="1" w:lastRow="0" w:firstColumn="1" w:lastColumn="0" w:noHBand="0" w:noVBand="1"/>
      </w:tblPr>
      <w:tblGrid>
        <w:gridCol w:w="1552"/>
        <w:gridCol w:w="1131"/>
        <w:gridCol w:w="1055"/>
        <w:gridCol w:w="1055"/>
        <w:gridCol w:w="1055"/>
        <w:gridCol w:w="1140"/>
        <w:gridCol w:w="1026"/>
        <w:gridCol w:w="1026"/>
      </w:tblGrid>
      <w:tr w:rsidR="00612DE8" w:rsidRPr="00612DE8" w14:paraId="69A172EE" w14:textId="77777777" w:rsidTr="00F00704">
        <w:trPr>
          <w:trHeight w:val="20"/>
          <w:tblHeader/>
        </w:trPr>
        <w:tc>
          <w:tcPr>
            <w:tcW w:w="9040" w:type="dxa"/>
            <w:gridSpan w:val="8"/>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6161E9F" w14:textId="77777777" w:rsidR="00612DE8" w:rsidRPr="00612DE8" w:rsidRDefault="00612DE8" w:rsidP="00CC41BC">
            <w:pPr>
              <w:spacing w:after="0" w:line="240" w:lineRule="auto"/>
              <w:jc w:val="center"/>
              <w:rPr>
                <w:rFonts w:eastAsia="Times New Roman" w:cstheme="minorHAnsi"/>
                <w:b/>
                <w:bCs/>
                <w:color w:val="FFFFFF" w:themeColor="background1"/>
                <w:sz w:val="20"/>
                <w:szCs w:val="20"/>
                <w:lang w:eastAsia="hr-HR"/>
              </w:rPr>
            </w:pPr>
            <w:r w:rsidRPr="00612DE8">
              <w:rPr>
                <w:rFonts w:eastAsia="Times New Roman" w:cstheme="minorHAnsi"/>
                <w:b/>
                <w:bCs/>
                <w:color w:val="FFFFFF" w:themeColor="background1"/>
                <w:sz w:val="20"/>
                <w:szCs w:val="20"/>
                <w:lang w:eastAsia="hr-HR"/>
              </w:rPr>
              <w:t>Sakupljeno</w:t>
            </w:r>
          </w:p>
        </w:tc>
      </w:tr>
      <w:tr w:rsidR="00612DE8" w:rsidRPr="00612DE8" w14:paraId="6F8157BE" w14:textId="77777777" w:rsidTr="00F00704">
        <w:trPr>
          <w:trHeight w:val="20"/>
          <w:tblHeader/>
        </w:trPr>
        <w:tc>
          <w:tcPr>
            <w:tcW w:w="1552" w:type="dxa"/>
            <w:tcBorders>
              <w:top w:val="nil"/>
              <w:left w:val="single" w:sz="4" w:space="0" w:color="auto"/>
              <w:bottom w:val="single" w:sz="4" w:space="0" w:color="auto"/>
              <w:right w:val="single" w:sz="4" w:space="0" w:color="auto"/>
            </w:tcBorders>
            <w:shd w:val="clear" w:color="auto" w:fill="002060"/>
            <w:noWrap/>
            <w:vAlign w:val="center"/>
            <w:hideMark/>
          </w:tcPr>
          <w:p w14:paraId="71C30500" w14:textId="77777777" w:rsidR="00612DE8" w:rsidRPr="00612DE8" w:rsidRDefault="00612DE8" w:rsidP="00CC41BC">
            <w:pPr>
              <w:spacing w:after="0" w:line="240" w:lineRule="auto"/>
              <w:jc w:val="center"/>
              <w:rPr>
                <w:rFonts w:eastAsia="Times New Roman" w:cstheme="minorHAnsi"/>
                <w:b/>
                <w:bCs/>
                <w:color w:val="FFFFFF" w:themeColor="background1"/>
                <w:sz w:val="20"/>
                <w:szCs w:val="20"/>
                <w:lang w:eastAsia="hr-HR"/>
              </w:rPr>
            </w:pPr>
            <w:r w:rsidRPr="00612DE8">
              <w:rPr>
                <w:rFonts w:eastAsia="Times New Roman" w:cstheme="minorHAnsi"/>
                <w:b/>
                <w:bCs/>
                <w:color w:val="FFFFFF" w:themeColor="background1"/>
                <w:sz w:val="20"/>
                <w:szCs w:val="20"/>
                <w:lang w:eastAsia="hr-HR"/>
              </w:rPr>
              <w:t>Posebna kategorija otpada</w:t>
            </w:r>
          </w:p>
        </w:tc>
        <w:tc>
          <w:tcPr>
            <w:tcW w:w="1131" w:type="dxa"/>
            <w:tcBorders>
              <w:top w:val="nil"/>
              <w:left w:val="nil"/>
              <w:bottom w:val="single" w:sz="4" w:space="0" w:color="auto"/>
              <w:right w:val="single" w:sz="4" w:space="0" w:color="auto"/>
            </w:tcBorders>
            <w:shd w:val="clear" w:color="auto" w:fill="002060"/>
            <w:noWrap/>
            <w:vAlign w:val="center"/>
            <w:hideMark/>
          </w:tcPr>
          <w:p w14:paraId="61A3CA75" w14:textId="77777777" w:rsidR="00612DE8" w:rsidRPr="00612DE8" w:rsidRDefault="00612DE8" w:rsidP="00CC41BC">
            <w:pPr>
              <w:spacing w:after="0" w:line="240" w:lineRule="auto"/>
              <w:jc w:val="center"/>
              <w:rPr>
                <w:rFonts w:eastAsia="Times New Roman" w:cstheme="minorHAnsi"/>
                <w:b/>
                <w:bCs/>
                <w:color w:val="FFFFFF" w:themeColor="background1"/>
                <w:sz w:val="20"/>
                <w:szCs w:val="20"/>
                <w:lang w:eastAsia="hr-HR"/>
              </w:rPr>
            </w:pPr>
            <w:r w:rsidRPr="00612DE8">
              <w:rPr>
                <w:rFonts w:eastAsia="Times New Roman" w:cstheme="minorHAnsi"/>
                <w:b/>
                <w:bCs/>
                <w:color w:val="FFFFFF" w:themeColor="background1"/>
                <w:sz w:val="20"/>
                <w:szCs w:val="20"/>
                <w:lang w:eastAsia="hr-HR"/>
              </w:rPr>
              <w:t>2015.</w:t>
            </w:r>
          </w:p>
        </w:tc>
        <w:tc>
          <w:tcPr>
            <w:tcW w:w="1056" w:type="dxa"/>
            <w:tcBorders>
              <w:top w:val="nil"/>
              <w:left w:val="nil"/>
              <w:bottom w:val="single" w:sz="4" w:space="0" w:color="auto"/>
              <w:right w:val="single" w:sz="4" w:space="0" w:color="auto"/>
            </w:tcBorders>
            <w:shd w:val="clear" w:color="auto" w:fill="002060"/>
            <w:noWrap/>
            <w:vAlign w:val="center"/>
            <w:hideMark/>
          </w:tcPr>
          <w:p w14:paraId="639AD546" w14:textId="77777777" w:rsidR="00612DE8" w:rsidRPr="00612DE8" w:rsidRDefault="00612DE8" w:rsidP="00CC41BC">
            <w:pPr>
              <w:spacing w:after="0" w:line="240" w:lineRule="auto"/>
              <w:jc w:val="center"/>
              <w:rPr>
                <w:rFonts w:eastAsia="Times New Roman" w:cstheme="minorHAnsi"/>
                <w:b/>
                <w:bCs/>
                <w:color w:val="FFFFFF" w:themeColor="background1"/>
                <w:sz w:val="20"/>
                <w:szCs w:val="20"/>
                <w:lang w:eastAsia="hr-HR"/>
              </w:rPr>
            </w:pPr>
            <w:r w:rsidRPr="00612DE8">
              <w:rPr>
                <w:rFonts w:eastAsia="Times New Roman" w:cstheme="minorHAnsi"/>
                <w:b/>
                <w:bCs/>
                <w:color w:val="FFFFFF" w:themeColor="background1"/>
                <w:sz w:val="20"/>
                <w:szCs w:val="20"/>
                <w:lang w:eastAsia="hr-HR"/>
              </w:rPr>
              <w:t>2016.</w:t>
            </w:r>
          </w:p>
        </w:tc>
        <w:tc>
          <w:tcPr>
            <w:tcW w:w="1056" w:type="dxa"/>
            <w:tcBorders>
              <w:top w:val="nil"/>
              <w:left w:val="nil"/>
              <w:bottom w:val="single" w:sz="4" w:space="0" w:color="auto"/>
              <w:right w:val="single" w:sz="4" w:space="0" w:color="auto"/>
            </w:tcBorders>
            <w:shd w:val="clear" w:color="auto" w:fill="002060"/>
            <w:noWrap/>
            <w:vAlign w:val="center"/>
            <w:hideMark/>
          </w:tcPr>
          <w:p w14:paraId="45F4D86A" w14:textId="77777777" w:rsidR="00612DE8" w:rsidRPr="00612DE8" w:rsidRDefault="00612DE8" w:rsidP="00CC41BC">
            <w:pPr>
              <w:spacing w:after="0" w:line="240" w:lineRule="auto"/>
              <w:jc w:val="center"/>
              <w:rPr>
                <w:rFonts w:eastAsia="Times New Roman" w:cstheme="minorHAnsi"/>
                <w:b/>
                <w:bCs/>
                <w:color w:val="FFFFFF" w:themeColor="background1"/>
                <w:sz w:val="20"/>
                <w:szCs w:val="20"/>
                <w:lang w:eastAsia="hr-HR"/>
              </w:rPr>
            </w:pPr>
            <w:r w:rsidRPr="00612DE8">
              <w:rPr>
                <w:rFonts w:eastAsia="Times New Roman" w:cstheme="minorHAnsi"/>
                <w:b/>
                <w:bCs/>
                <w:color w:val="FFFFFF" w:themeColor="background1"/>
                <w:sz w:val="20"/>
                <w:szCs w:val="20"/>
                <w:lang w:eastAsia="hr-HR"/>
              </w:rPr>
              <w:t>2017.</w:t>
            </w:r>
          </w:p>
        </w:tc>
        <w:tc>
          <w:tcPr>
            <w:tcW w:w="1056" w:type="dxa"/>
            <w:tcBorders>
              <w:top w:val="nil"/>
              <w:left w:val="nil"/>
              <w:bottom w:val="single" w:sz="4" w:space="0" w:color="auto"/>
              <w:right w:val="single" w:sz="4" w:space="0" w:color="auto"/>
            </w:tcBorders>
            <w:shd w:val="clear" w:color="auto" w:fill="002060"/>
            <w:noWrap/>
            <w:vAlign w:val="center"/>
            <w:hideMark/>
          </w:tcPr>
          <w:p w14:paraId="5D1F2942" w14:textId="77777777" w:rsidR="00612DE8" w:rsidRPr="00612DE8" w:rsidRDefault="00612DE8" w:rsidP="00CC41BC">
            <w:pPr>
              <w:spacing w:after="0" w:line="240" w:lineRule="auto"/>
              <w:jc w:val="center"/>
              <w:rPr>
                <w:rFonts w:eastAsia="Times New Roman" w:cstheme="minorHAnsi"/>
                <w:b/>
                <w:bCs/>
                <w:color w:val="FFFFFF" w:themeColor="background1"/>
                <w:sz w:val="20"/>
                <w:szCs w:val="20"/>
                <w:lang w:eastAsia="hr-HR"/>
              </w:rPr>
            </w:pPr>
            <w:r w:rsidRPr="00612DE8">
              <w:rPr>
                <w:rFonts w:eastAsia="Times New Roman" w:cstheme="minorHAnsi"/>
                <w:b/>
                <w:bCs/>
                <w:color w:val="FFFFFF" w:themeColor="background1"/>
                <w:sz w:val="20"/>
                <w:szCs w:val="20"/>
                <w:lang w:eastAsia="hr-HR"/>
              </w:rPr>
              <w:t>2018.</w:t>
            </w:r>
          </w:p>
        </w:tc>
        <w:tc>
          <w:tcPr>
            <w:tcW w:w="1141" w:type="dxa"/>
            <w:tcBorders>
              <w:top w:val="nil"/>
              <w:left w:val="nil"/>
              <w:bottom w:val="single" w:sz="4" w:space="0" w:color="auto"/>
              <w:right w:val="single" w:sz="4" w:space="0" w:color="auto"/>
            </w:tcBorders>
            <w:shd w:val="clear" w:color="auto" w:fill="002060"/>
            <w:noWrap/>
            <w:vAlign w:val="center"/>
            <w:hideMark/>
          </w:tcPr>
          <w:p w14:paraId="0F7E9F26" w14:textId="77777777" w:rsidR="00612DE8" w:rsidRPr="00612DE8" w:rsidRDefault="00612DE8" w:rsidP="00CC41BC">
            <w:pPr>
              <w:spacing w:after="0" w:line="240" w:lineRule="auto"/>
              <w:jc w:val="center"/>
              <w:rPr>
                <w:rFonts w:eastAsia="Times New Roman" w:cstheme="minorHAnsi"/>
                <w:b/>
                <w:bCs/>
                <w:color w:val="FFFFFF" w:themeColor="background1"/>
                <w:sz w:val="20"/>
                <w:szCs w:val="20"/>
                <w:lang w:eastAsia="hr-HR"/>
              </w:rPr>
            </w:pPr>
            <w:r w:rsidRPr="00612DE8">
              <w:rPr>
                <w:rFonts w:eastAsia="Times New Roman" w:cstheme="minorHAnsi"/>
                <w:b/>
                <w:bCs/>
                <w:color w:val="FFFFFF" w:themeColor="background1"/>
                <w:sz w:val="20"/>
                <w:szCs w:val="20"/>
                <w:lang w:eastAsia="hr-HR"/>
              </w:rPr>
              <w:t>2019.</w:t>
            </w:r>
          </w:p>
        </w:tc>
        <w:tc>
          <w:tcPr>
            <w:tcW w:w="1024" w:type="dxa"/>
            <w:tcBorders>
              <w:top w:val="nil"/>
              <w:left w:val="nil"/>
              <w:bottom w:val="single" w:sz="4" w:space="0" w:color="auto"/>
              <w:right w:val="single" w:sz="4" w:space="0" w:color="auto"/>
            </w:tcBorders>
            <w:shd w:val="clear" w:color="auto" w:fill="002060"/>
            <w:noWrap/>
            <w:vAlign w:val="center"/>
            <w:hideMark/>
          </w:tcPr>
          <w:p w14:paraId="07AC23F0" w14:textId="77777777" w:rsidR="00612DE8" w:rsidRPr="00612DE8" w:rsidRDefault="00612DE8" w:rsidP="00CC41BC">
            <w:pPr>
              <w:spacing w:after="0" w:line="240" w:lineRule="auto"/>
              <w:jc w:val="center"/>
              <w:rPr>
                <w:rFonts w:eastAsia="Times New Roman" w:cstheme="minorHAnsi"/>
                <w:b/>
                <w:bCs/>
                <w:color w:val="FFFFFF" w:themeColor="background1"/>
                <w:sz w:val="20"/>
                <w:szCs w:val="20"/>
                <w:lang w:eastAsia="hr-HR"/>
              </w:rPr>
            </w:pPr>
            <w:r w:rsidRPr="00612DE8">
              <w:rPr>
                <w:rFonts w:eastAsia="Times New Roman" w:cstheme="minorHAnsi"/>
                <w:b/>
                <w:bCs/>
                <w:color w:val="FFFFFF" w:themeColor="background1"/>
                <w:sz w:val="20"/>
                <w:szCs w:val="20"/>
                <w:lang w:eastAsia="hr-HR"/>
              </w:rPr>
              <w:t>2020.</w:t>
            </w:r>
          </w:p>
        </w:tc>
        <w:tc>
          <w:tcPr>
            <w:tcW w:w="1024" w:type="dxa"/>
            <w:tcBorders>
              <w:top w:val="nil"/>
              <w:left w:val="nil"/>
              <w:bottom w:val="single" w:sz="4" w:space="0" w:color="auto"/>
              <w:right w:val="single" w:sz="4" w:space="0" w:color="auto"/>
            </w:tcBorders>
            <w:shd w:val="clear" w:color="auto" w:fill="002060"/>
            <w:noWrap/>
            <w:vAlign w:val="center"/>
            <w:hideMark/>
          </w:tcPr>
          <w:p w14:paraId="71EB6B54" w14:textId="77777777" w:rsidR="00612DE8" w:rsidRPr="00612DE8" w:rsidRDefault="00612DE8" w:rsidP="00CC41BC">
            <w:pPr>
              <w:spacing w:after="0" w:line="240" w:lineRule="auto"/>
              <w:jc w:val="center"/>
              <w:rPr>
                <w:rFonts w:eastAsia="Times New Roman" w:cstheme="minorHAnsi"/>
                <w:b/>
                <w:bCs/>
                <w:color w:val="FFFFFF" w:themeColor="background1"/>
                <w:sz w:val="20"/>
                <w:szCs w:val="20"/>
                <w:lang w:eastAsia="hr-HR"/>
              </w:rPr>
            </w:pPr>
            <w:r w:rsidRPr="00612DE8">
              <w:rPr>
                <w:rFonts w:eastAsia="Times New Roman" w:cstheme="minorHAnsi"/>
                <w:b/>
                <w:bCs/>
                <w:color w:val="FFFFFF" w:themeColor="background1"/>
                <w:sz w:val="20"/>
                <w:szCs w:val="20"/>
                <w:lang w:eastAsia="hr-HR"/>
              </w:rPr>
              <w:t>2021.</w:t>
            </w:r>
          </w:p>
        </w:tc>
      </w:tr>
      <w:tr w:rsidR="00612DE8" w:rsidRPr="00612DE8" w14:paraId="2B1F2414" w14:textId="77777777" w:rsidTr="00F00704">
        <w:trPr>
          <w:trHeight w:val="20"/>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50101952" w14:textId="77777777" w:rsidR="00612DE8" w:rsidRPr="00612DE8" w:rsidRDefault="00612DE8" w:rsidP="00CC41BC">
            <w:pPr>
              <w:spacing w:after="0" w:line="240" w:lineRule="auto"/>
              <w:jc w:val="left"/>
              <w:rPr>
                <w:rFonts w:eastAsia="Times New Roman" w:cstheme="minorHAnsi"/>
                <w:color w:val="000000"/>
                <w:sz w:val="20"/>
                <w:szCs w:val="20"/>
                <w:lang w:eastAsia="hr-HR"/>
              </w:rPr>
            </w:pPr>
            <w:r w:rsidRPr="00612DE8">
              <w:rPr>
                <w:rFonts w:eastAsia="Times New Roman" w:cstheme="minorHAnsi"/>
                <w:color w:val="000000"/>
                <w:sz w:val="20"/>
                <w:szCs w:val="20"/>
                <w:lang w:eastAsia="hr-HR"/>
              </w:rPr>
              <w:t>Otpadni tekstil i obuća (t)</w:t>
            </w:r>
          </w:p>
        </w:tc>
        <w:tc>
          <w:tcPr>
            <w:tcW w:w="1131" w:type="dxa"/>
            <w:tcBorders>
              <w:top w:val="nil"/>
              <w:left w:val="nil"/>
              <w:bottom w:val="single" w:sz="4" w:space="0" w:color="auto"/>
              <w:right w:val="single" w:sz="4" w:space="0" w:color="auto"/>
            </w:tcBorders>
            <w:shd w:val="clear" w:color="auto" w:fill="auto"/>
            <w:noWrap/>
            <w:vAlign w:val="center"/>
            <w:hideMark/>
          </w:tcPr>
          <w:p w14:paraId="14A83E07"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8.761</w:t>
            </w:r>
          </w:p>
        </w:tc>
        <w:tc>
          <w:tcPr>
            <w:tcW w:w="1056" w:type="dxa"/>
            <w:tcBorders>
              <w:top w:val="nil"/>
              <w:left w:val="nil"/>
              <w:bottom w:val="single" w:sz="4" w:space="0" w:color="auto"/>
              <w:right w:val="single" w:sz="4" w:space="0" w:color="auto"/>
            </w:tcBorders>
            <w:shd w:val="clear" w:color="auto" w:fill="auto"/>
            <w:noWrap/>
            <w:vAlign w:val="center"/>
            <w:hideMark/>
          </w:tcPr>
          <w:p w14:paraId="156040DA"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9.921</w:t>
            </w:r>
          </w:p>
        </w:tc>
        <w:tc>
          <w:tcPr>
            <w:tcW w:w="1056" w:type="dxa"/>
            <w:tcBorders>
              <w:top w:val="nil"/>
              <w:left w:val="nil"/>
              <w:bottom w:val="single" w:sz="4" w:space="0" w:color="auto"/>
              <w:right w:val="single" w:sz="4" w:space="0" w:color="auto"/>
            </w:tcBorders>
            <w:shd w:val="clear" w:color="auto" w:fill="auto"/>
            <w:noWrap/>
            <w:vAlign w:val="center"/>
            <w:hideMark/>
          </w:tcPr>
          <w:p w14:paraId="28A4A86A"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10.264</w:t>
            </w:r>
          </w:p>
        </w:tc>
        <w:tc>
          <w:tcPr>
            <w:tcW w:w="1056" w:type="dxa"/>
            <w:tcBorders>
              <w:top w:val="nil"/>
              <w:left w:val="nil"/>
              <w:bottom w:val="single" w:sz="4" w:space="0" w:color="auto"/>
              <w:right w:val="single" w:sz="4" w:space="0" w:color="auto"/>
            </w:tcBorders>
            <w:shd w:val="clear" w:color="auto" w:fill="auto"/>
            <w:noWrap/>
            <w:vAlign w:val="center"/>
            <w:hideMark/>
          </w:tcPr>
          <w:p w14:paraId="4FDDAD58"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10.363</w:t>
            </w:r>
          </w:p>
        </w:tc>
        <w:tc>
          <w:tcPr>
            <w:tcW w:w="1141" w:type="dxa"/>
            <w:tcBorders>
              <w:top w:val="nil"/>
              <w:left w:val="nil"/>
              <w:bottom w:val="single" w:sz="4" w:space="0" w:color="auto"/>
              <w:right w:val="single" w:sz="4" w:space="0" w:color="auto"/>
            </w:tcBorders>
            <w:shd w:val="clear" w:color="auto" w:fill="auto"/>
            <w:noWrap/>
            <w:vAlign w:val="center"/>
            <w:hideMark/>
          </w:tcPr>
          <w:p w14:paraId="064FE3B6"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12.061</w:t>
            </w:r>
          </w:p>
        </w:tc>
        <w:tc>
          <w:tcPr>
            <w:tcW w:w="1024" w:type="dxa"/>
            <w:tcBorders>
              <w:top w:val="nil"/>
              <w:left w:val="nil"/>
              <w:bottom w:val="single" w:sz="4" w:space="0" w:color="auto"/>
              <w:right w:val="single" w:sz="4" w:space="0" w:color="auto"/>
            </w:tcBorders>
            <w:shd w:val="clear" w:color="auto" w:fill="auto"/>
            <w:noWrap/>
            <w:vAlign w:val="center"/>
            <w:hideMark/>
          </w:tcPr>
          <w:p w14:paraId="41DF6F52"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10.213</w:t>
            </w:r>
          </w:p>
        </w:tc>
        <w:tc>
          <w:tcPr>
            <w:tcW w:w="1024" w:type="dxa"/>
            <w:tcBorders>
              <w:top w:val="nil"/>
              <w:left w:val="nil"/>
              <w:bottom w:val="single" w:sz="4" w:space="0" w:color="auto"/>
              <w:right w:val="single" w:sz="4" w:space="0" w:color="auto"/>
            </w:tcBorders>
            <w:shd w:val="clear" w:color="auto" w:fill="auto"/>
            <w:noWrap/>
            <w:vAlign w:val="center"/>
            <w:hideMark/>
          </w:tcPr>
          <w:p w14:paraId="33BE6B17" w14:textId="004BC219" w:rsidR="00612DE8" w:rsidRPr="00612DE8" w:rsidRDefault="00BA06DB" w:rsidP="00CC41BC">
            <w:pPr>
              <w:spacing w:after="0" w:line="240" w:lineRule="auto"/>
              <w:jc w:val="right"/>
              <w:rPr>
                <w:rFonts w:eastAsia="Times New Roman" w:cstheme="minorHAnsi"/>
                <w:color w:val="000000"/>
                <w:sz w:val="20"/>
                <w:szCs w:val="20"/>
                <w:lang w:eastAsia="hr-HR"/>
              </w:rPr>
            </w:pPr>
            <w:r>
              <w:rPr>
                <w:rFonts w:eastAsia="Times New Roman" w:cstheme="minorHAnsi"/>
                <w:color w:val="000000"/>
                <w:sz w:val="20"/>
                <w:szCs w:val="20"/>
                <w:lang w:eastAsia="hr-HR"/>
              </w:rPr>
              <w:t>12.826</w:t>
            </w:r>
          </w:p>
        </w:tc>
      </w:tr>
      <w:tr w:rsidR="00612DE8" w:rsidRPr="00612DE8" w14:paraId="1A777DD6" w14:textId="77777777" w:rsidTr="00F00704">
        <w:trPr>
          <w:trHeight w:val="20"/>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64B7DB1F" w14:textId="77777777" w:rsidR="00612DE8" w:rsidRPr="00612DE8" w:rsidRDefault="00612DE8" w:rsidP="00CC41BC">
            <w:pPr>
              <w:spacing w:after="0" w:line="240" w:lineRule="auto"/>
              <w:jc w:val="left"/>
              <w:rPr>
                <w:rFonts w:eastAsia="Times New Roman" w:cstheme="minorHAnsi"/>
                <w:color w:val="000000"/>
                <w:sz w:val="20"/>
                <w:szCs w:val="20"/>
                <w:lang w:eastAsia="hr-HR"/>
              </w:rPr>
            </w:pPr>
            <w:r w:rsidRPr="00612DE8">
              <w:rPr>
                <w:rFonts w:eastAsia="Times New Roman" w:cstheme="minorHAnsi"/>
                <w:color w:val="000000"/>
                <w:sz w:val="20"/>
                <w:szCs w:val="20"/>
                <w:lang w:eastAsia="hr-HR"/>
              </w:rPr>
              <w:t>Otpadna ambalaža (t)</w:t>
            </w:r>
          </w:p>
        </w:tc>
        <w:tc>
          <w:tcPr>
            <w:tcW w:w="1131" w:type="dxa"/>
            <w:tcBorders>
              <w:top w:val="nil"/>
              <w:left w:val="nil"/>
              <w:bottom w:val="single" w:sz="4" w:space="0" w:color="auto"/>
              <w:right w:val="single" w:sz="4" w:space="0" w:color="auto"/>
            </w:tcBorders>
            <w:shd w:val="clear" w:color="auto" w:fill="auto"/>
            <w:noWrap/>
            <w:vAlign w:val="center"/>
            <w:hideMark/>
          </w:tcPr>
          <w:p w14:paraId="7C5E1584"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140.441</w:t>
            </w:r>
          </w:p>
        </w:tc>
        <w:tc>
          <w:tcPr>
            <w:tcW w:w="1056" w:type="dxa"/>
            <w:tcBorders>
              <w:top w:val="nil"/>
              <w:left w:val="nil"/>
              <w:bottom w:val="single" w:sz="4" w:space="0" w:color="auto"/>
              <w:right w:val="single" w:sz="4" w:space="0" w:color="auto"/>
            </w:tcBorders>
            <w:shd w:val="clear" w:color="auto" w:fill="auto"/>
            <w:noWrap/>
            <w:vAlign w:val="center"/>
            <w:hideMark/>
          </w:tcPr>
          <w:p w14:paraId="406C6050"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136.628</w:t>
            </w:r>
          </w:p>
        </w:tc>
        <w:tc>
          <w:tcPr>
            <w:tcW w:w="1056" w:type="dxa"/>
            <w:tcBorders>
              <w:top w:val="nil"/>
              <w:left w:val="nil"/>
              <w:bottom w:val="single" w:sz="4" w:space="0" w:color="auto"/>
              <w:right w:val="single" w:sz="4" w:space="0" w:color="auto"/>
            </w:tcBorders>
            <w:shd w:val="clear" w:color="auto" w:fill="auto"/>
            <w:noWrap/>
            <w:vAlign w:val="center"/>
            <w:hideMark/>
          </w:tcPr>
          <w:p w14:paraId="18B7C48B"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140.672</w:t>
            </w:r>
          </w:p>
        </w:tc>
        <w:tc>
          <w:tcPr>
            <w:tcW w:w="1056" w:type="dxa"/>
            <w:tcBorders>
              <w:top w:val="nil"/>
              <w:left w:val="nil"/>
              <w:bottom w:val="single" w:sz="4" w:space="0" w:color="auto"/>
              <w:right w:val="single" w:sz="4" w:space="0" w:color="auto"/>
            </w:tcBorders>
            <w:shd w:val="clear" w:color="auto" w:fill="auto"/>
            <w:noWrap/>
            <w:vAlign w:val="center"/>
            <w:hideMark/>
          </w:tcPr>
          <w:p w14:paraId="5CFBB60D"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142.807</w:t>
            </w:r>
          </w:p>
        </w:tc>
        <w:tc>
          <w:tcPr>
            <w:tcW w:w="1141" w:type="dxa"/>
            <w:tcBorders>
              <w:top w:val="nil"/>
              <w:left w:val="nil"/>
              <w:bottom w:val="single" w:sz="4" w:space="0" w:color="auto"/>
              <w:right w:val="single" w:sz="4" w:space="0" w:color="auto"/>
            </w:tcBorders>
            <w:shd w:val="clear" w:color="auto" w:fill="auto"/>
            <w:noWrap/>
            <w:vAlign w:val="center"/>
            <w:hideMark/>
          </w:tcPr>
          <w:p w14:paraId="3F83FB59"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152.682</w:t>
            </w:r>
          </w:p>
        </w:tc>
        <w:tc>
          <w:tcPr>
            <w:tcW w:w="1024" w:type="dxa"/>
            <w:tcBorders>
              <w:top w:val="nil"/>
              <w:left w:val="nil"/>
              <w:bottom w:val="single" w:sz="4" w:space="0" w:color="auto"/>
              <w:right w:val="single" w:sz="4" w:space="0" w:color="auto"/>
            </w:tcBorders>
            <w:shd w:val="clear" w:color="auto" w:fill="auto"/>
            <w:noWrap/>
            <w:vAlign w:val="center"/>
            <w:hideMark/>
          </w:tcPr>
          <w:p w14:paraId="454E4B04"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152.160</w:t>
            </w:r>
          </w:p>
        </w:tc>
        <w:tc>
          <w:tcPr>
            <w:tcW w:w="1024" w:type="dxa"/>
            <w:tcBorders>
              <w:top w:val="nil"/>
              <w:left w:val="nil"/>
              <w:bottom w:val="single" w:sz="4" w:space="0" w:color="auto"/>
              <w:right w:val="single" w:sz="4" w:space="0" w:color="auto"/>
            </w:tcBorders>
            <w:shd w:val="clear" w:color="auto" w:fill="auto"/>
            <w:noWrap/>
            <w:vAlign w:val="center"/>
            <w:hideMark/>
          </w:tcPr>
          <w:p w14:paraId="67A0AF71"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156.227</w:t>
            </w:r>
          </w:p>
        </w:tc>
      </w:tr>
      <w:tr w:rsidR="00612DE8" w:rsidRPr="00612DE8" w14:paraId="04DEC68C" w14:textId="77777777" w:rsidTr="00F00704">
        <w:trPr>
          <w:trHeight w:val="20"/>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752330EA" w14:textId="77777777" w:rsidR="00612DE8" w:rsidRPr="00612DE8" w:rsidRDefault="00612DE8" w:rsidP="00CC41BC">
            <w:pPr>
              <w:spacing w:after="0" w:line="240" w:lineRule="auto"/>
              <w:jc w:val="left"/>
              <w:rPr>
                <w:rFonts w:eastAsia="Times New Roman" w:cstheme="minorHAnsi"/>
                <w:color w:val="000000"/>
                <w:sz w:val="20"/>
                <w:szCs w:val="20"/>
                <w:lang w:eastAsia="hr-HR"/>
              </w:rPr>
            </w:pPr>
            <w:r w:rsidRPr="00612DE8">
              <w:rPr>
                <w:rFonts w:eastAsia="Times New Roman" w:cstheme="minorHAnsi"/>
                <w:color w:val="000000"/>
                <w:sz w:val="20"/>
                <w:szCs w:val="20"/>
                <w:lang w:eastAsia="hr-HR"/>
              </w:rPr>
              <w:t xml:space="preserve">Otpadne gume (t) </w:t>
            </w:r>
          </w:p>
        </w:tc>
        <w:tc>
          <w:tcPr>
            <w:tcW w:w="1131" w:type="dxa"/>
            <w:tcBorders>
              <w:top w:val="nil"/>
              <w:left w:val="nil"/>
              <w:bottom w:val="single" w:sz="4" w:space="0" w:color="auto"/>
              <w:right w:val="single" w:sz="4" w:space="0" w:color="auto"/>
            </w:tcBorders>
            <w:shd w:val="clear" w:color="auto" w:fill="auto"/>
            <w:noWrap/>
            <w:vAlign w:val="center"/>
            <w:hideMark/>
          </w:tcPr>
          <w:p w14:paraId="6218675C"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18.717</w:t>
            </w:r>
          </w:p>
        </w:tc>
        <w:tc>
          <w:tcPr>
            <w:tcW w:w="1056" w:type="dxa"/>
            <w:tcBorders>
              <w:top w:val="nil"/>
              <w:left w:val="nil"/>
              <w:bottom w:val="single" w:sz="4" w:space="0" w:color="auto"/>
              <w:right w:val="single" w:sz="4" w:space="0" w:color="auto"/>
            </w:tcBorders>
            <w:shd w:val="clear" w:color="auto" w:fill="auto"/>
            <w:noWrap/>
            <w:vAlign w:val="center"/>
            <w:hideMark/>
          </w:tcPr>
          <w:p w14:paraId="5D42130E"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19.052</w:t>
            </w:r>
          </w:p>
        </w:tc>
        <w:tc>
          <w:tcPr>
            <w:tcW w:w="1056" w:type="dxa"/>
            <w:tcBorders>
              <w:top w:val="nil"/>
              <w:left w:val="nil"/>
              <w:bottom w:val="single" w:sz="4" w:space="0" w:color="auto"/>
              <w:right w:val="single" w:sz="4" w:space="0" w:color="auto"/>
            </w:tcBorders>
            <w:shd w:val="clear" w:color="auto" w:fill="auto"/>
            <w:noWrap/>
            <w:vAlign w:val="center"/>
            <w:hideMark/>
          </w:tcPr>
          <w:p w14:paraId="4AE1E9BC"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21.017</w:t>
            </w:r>
          </w:p>
        </w:tc>
        <w:tc>
          <w:tcPr>
            <w:tcW w:w="1056" w:type="dxa"/>
            <w:tcBorders>
              <w:top w:val="nil"/>
              <w:left w:val="nil"/>
              <w:bottom w:val="single" w:sz="4" w:space="0" w:color="auto"/>
              <w:right w:val="single" w:sz="4" w:space="0" w:color="auto"/>
            </w:tcBorders>
            <w:shd w:val="clear" w:color="auto" w:fill="auto"/>
            <w:noWrap/>
            <w:vAlign w:val="center"/>
            <w:hideMark/>
          </w:tcPr>
          <w:p w14:paraId="57D0AF7B"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21.671</w:t>
            </w:r>
          </w:p>
        </w:tc>
        <w:tc>
          <w:tcPr>
            <w:tcW w:w="1141" w:type="dxa"/>
            <w:tcBorders>
              <w:top w:val="nil"/>
              <w:left w:val="nil"/>
              <w:bottom w:val="single" w:sz="4" w:space="0" w:color="auto"/>
              <w:right w:val="single" w:sz="4" w:space="0" w:color="auto"/>
            </w:tcBorders>
            <w:shd w:val="clear" w:color="auto" w:fill="auto"/>
            <w:noWrap/>
            <w:vAlign w:val="center"/>
            <w:hideMark/>
          </w:tcPr>
          <w:p w14:paraId="7BE8E7E2"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25.949</w:t>
            </w:r>
          </w:p>
        </w:tc>
        <w:tc>
          <w:tcPr>
            <w:tcW w:w="1024" w:type="dxa"/>
            <w:tcBorders>
              <w:top w:val="nil"/>
              <w:left w:val="nil"/>
              <w:bottom w:val="single" w:sz="4" w:space="0" w:color="auto"/>
              <w:right w:val="single" w:sz="4" w:space="0" w:color="auto"/>
            </w:tcBorders>
            <w:shd w:val="clear" w:color="auto" w:fill="auto"/>
            <w:noWrap/>
            <w:vAlign w:val="center"/>
            <w:hideMark/>
          </w:tcPr>
          <w:p w14:paraId="3114C004"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25.066</w:t>
            </w:r>
          </w:p>
        </w:tc>
        <w:tc>
          <w:tcPr>
            <w:tcW w:w="1024" w:type="dxa"/>
            <w:tcBorders>
              <w:top w:val="nil"/>
              <w:left w:val="nil"/>
              <w:bottom w:val="single" w:sz="4" w:space="0" w:color="auto"/>
              <w:right w:val="single" w:sz="4" w:space="0" w:color="auto"/>
            </w:tcBorders>
            <w:shd w:val="clear" w:color="auto" w:fill="auto"/>
            <w:noWrap/>
            <w:vAlign w:val="center"/>
            <w:hideMark/>
          </w:tcPr>
          <w:p w14:paraId="04171720"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26.087</w:t>
            </w:r>
          </w:p>
        </w:tc>
      </w:tr>
      <w:tr w:rsidR="00612DE8" w:rsidRPr="00612DE8" w14:paraId="565B0E32" w14:textId="77777777" w:rsidTr="00F00704">
        <w:trPr>
          <w:trHeight w:val="20"/>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7173AADE" w14:textId="77777777" w:rsidR="00612DE8" w:rsidRPr="00612DE8" w:rsidRDefault="00612DE8" w:rsidP="00CC41BC">
            <w:pPr>
              <w:spacing w:after="0" w:line="240" w:lineRule="auto"/>
              <w:jc w:val="left"/>
              <w:rPr>
                <w:rFonts w:eastAsia="Times New Roman" w:cstheme="minorHAnsi"/>
                <w:color w:val="000000"/>
                <w:sz w:val="20"/>
                <w:szCs w:val="20"/>
                <w:lang w:eastAsia="hr-HR"/>
              </w:rPr>
            </w:pPr>
            <w:r w:rsidRPr="00612DE8">
              <w:rPr>
                <w:rFonts w:eastAsia="Times New Roman" w:cstheme="minorHAnsi"/>
                <w:color w:val="000000"/>
                <w:sz w:val="20"/>
                <w:szCs w:val="20"/>
                <w:lang w:eastAsia="hr-HR"/>
              </w:rPr>
              <w:t xml:space="preserve">Otpadna ulja - maziva (t) </w:t>
            </w:r>
          </w:p>
        </w:tc>
        <w:tc>
          <w:tcPr>
            <w:tcW w:w="1131" w:type="dxa"/>
            <w:tcBorders>
              <w:top w:val="nil"/>
              <w:left w:val="nil"/>
              <w:bottom w:val="single" w:sz="4" w:space="0" w:color="auto"/>
              <w:right w:val="single" w:sz="4" w:space="0" w:color="auto"/>
            </w:tcBorders>
            <w:shd w:val="clear" w:color="auto" w:fill="auto"/>
            <w:noWrap/>
            <w:vAlign w:val="center"/>
            <w:hideMark/>
          </w:tcPr>
          <w:p w14:paraId="7D6F07D2"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5.390</w:t>
            </w:r>
          </w:p>
        </w:tc>
        <w:tc>
          <w:tcPr>
            <w:tcW w:w="1056" w:type="dxa"/>
            <w:tcBorders>
              <w:top w:val="nil"/>
              <w:left w:val="nil"/>
              <w:bottom w:val="single" w:sz="4" w:space="0" w:color="auto"/>
              <w:right w:val="single" w:sz="4" w:space="0" w:color="auto"/>
            </w:tcBorders>
            <w:shd w:val="clear" w:color="auto" w:fill="auto"/>
            <w:noWrap/>
            <w:vAlign w:val="center"/>
            <w:hideMark/>
          </w:tcPr>
          <w:p w14:paraId="278C0930"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7.033</w:t>
            </w:r>
          </w:p>
        </w:tc>
        <w:tc>
          <w:tcPr>
            <w:tcW w:w="1056" w:type="dxa"/>
            <w:tcBorders>
              <w:top w:val="nil"/>
              <w:left w:val="nil"/>
              <w:bottom w:val="single" w:sz="4" w:space="0" w:color="auto"/>
              <w:right w:val="single" w:sz="4" w:space="0" w:color="auto"/>
            </w:tcBorders>
            <w:shd w:val="clear" w:color="auto" w:fill="auto"/>
            <w:noWrap/>
            <w:vAlign w:val="center"/>
            <w:hideMark/>
          </w:tcPr>
          <w:p w14:paraId="424940B1"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6.407</w:t>
            </w:r>
          </w:p>
        </w:tc>
        <w:tc>
          <w:tcPr>
            <w:tcW w:w="1056" w:type="dxa"/>
            <w:tcBorders>
              <w:top w:val="nil"/>
              <w:left w:val="nil"/>
              <w:bottom w:val="single" w:sz="4" w:space="0" w:color="auto"/>
              <w:right w:val="single" w:sz="4" w:space="0" w:color="auto"/>
            </w:tcBorders>
            <w:shd w:val="clear" w:color="auto" w:fill="auto"/>
            <w:noWrap/>
            <w:vAlign w:val="center"/>
            <w:hideMark/>
          </w:tcPr>
          <w:p w14:paraId="0F43A05E"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6.415</w:t>
            </w:r>
          </w:p>
        </w:tc>
        <w:tc>
          <w:tcPr>
            <w:tcW w:w="1141" w:type="dxa"/>
            <w:tcBorders>
              <w:top w:val="nil"/>
              <w:left w:val="nil"/>
              <w:bottom w:val="single" w:sz="4" w:space="0" w:color="auto"/>
              <w:right w:val="single" w:sz="4" w:space="0" w:color="auto"/>
            </w:tcBorders>
            <w:shd w:val="clear" w:color="auto" w:fill="auto"/>
            <w:noWrap/>
            <w:vAlign w:val="center"/>
            <w:hideMark/>
          </w:tcPr>
          <w:p w14:paraId="306BF65D"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6.729</w:t>
            </w:r>
          </w:p>
        </w:tc>
        <w:tc>
          <w:tcPr>
            <w:tcW w:w="1024" w:type="dxa"/>
            <w:tcBorders>
              <w:top w:val="nil"/>
              <w:left w:val="nil"/>
              <w:bottom w:val="single" w:sz="4" w:space="0" w:color="auto"/>
              <w:right w:val="single" w:sz="4" w:space="0" w:color="auto"/>
            </w:tcBorders>
            <w:shd w:val="clear" w:color="auto" w:fill="auto"/>
            <w:noWrap/>
            <w:vAlign w:val="center"/>
            <w:hideMark/>
          </w:tcPr>
          <w:p w14:paraId="38D71AD0"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6.710</w:t>
            </w:r>
          </w:p>
        </w:tc>
        <w:tc>
          <w:tcPr>
            <w:tcW w:w="1024" w:type="dxa"/>
            <w:tcBorders>
              <w:top w:val="nil"/>
              <w:left w:val="nil"/>
              <w:bottom w:val="single" w:sz="4" w:space="0" w:color="auto"/>
              <w:right w:val="single" w:sz="4" w:space="0" w:color="auto"/>
            </w:tcBorders>
            <w:shd w:val="clear" w:color="auto" w:fill="auto"/>
            <w:noWrap/>
            <w:vAlign w:val="center"/>
            <w:hideMark/>
          </w:tcPr>
          <w:p w14:paraId="2F2C6CEA"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7.016 </w:t>
            </w:r>
          </w:p>
        </w:tc>
      </w:tr>
      <w:tr w:rsidR="00612DE8" w:rsidRPr="00612DE8" w14:paraId="49B09F21" w14:textId="77777777" w:rsidTr="00F00704">
        <w:trPr>
          <w:trHeight w:val="20"/>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7E3C6F0C" w14:textId="77777777" w:rsidR="00612DE8" w:rsidRPr="00612DE8" w:rsidRDefault="00612DE8" w:rsidP="00CC41BC">
            <w:pPr>
              <w:spacing w:after="0" w:line="240" w:lineRule="auto"/>
              <w:jc w:val="left"/>
              <w:rPr>
                <w:rFonts w:eastAsia="Times New Roman" w:cstheme="minorHAnsi"/>
                <w:color w:val="000000"/>
                <w:sz w:val="20"/>
                <w:szCs w:val="20"/>
                <w:lang w:eastAsia="hr-HR"/>
              </w:rPr>
            </w:pPr>
            <w:r w:rsidRPr="00612DE8">
              <w:rPr>
                <w:rFonts w:eastAsia="Times New Roman" w:cstheme="minorHAnsi"/>
                <w:color w:val="000000"/>
                <w:sz w:val="20"/>
                <w:szCs w:val="20"/>
                <w:lang w:eastAsia="hr-HR"/>
              </w:rPr>
              <w:t xml:space="preserve">Otpadna ulja - jestiva (t) </w:t>
            </w:r>
          </w:p>
        </w:tc>
        <w:tc>
          <w:tcPr>
            <w:tcW w:w="1131" w:type="dxa"/>
            <w:tcBorders>
              <w:top w:val="nil"/>
              <w:left w:val="nil"/>
              <w:bottom w:val="single" w:sz="4" w:space="0" w:color="auto"/>
              <w:right w:val="single" w:sz="4" w:space="0" w:color="auto"/>
            </w:tcBorders>
            <w:shd w:val="clear" w:color="auto" w:fill="auto"/>
            <w:noWrap/>
            <w:vAlign w:val="center"/>
            <w:hideMark/>
          </w:tcPr>
          <w:p w14:paraId="6F7D2C39"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759</w:t>
            </w:r>
          </w:p>
        </w:tc>
        <w:tc>
          <w:tcPr>
            <w:tcW w:w="1056" w:type="dxa"/>
            <w:tcBorders>
              <w:top w:val="nil"/>
              <w:left w:val="nil"/>
              <w:bottom w:val="single" w:sz="4" w:space="0" w:color="auto"/>
              <w:right w:val="single" w:sz="4" w:space="0" w:color="auto"/>
            </w:tcBorders>
            <w:shd w:val="clear" w:color="auto" w:fill="auto"/>
            <w:noWrap/>
            <w:vAlign w:val="center"/>
            <w:hideMark/>
          </w:tcPr>
          <w:p w14:paraId="30167321"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825</w:t>
            </w:r>
          </w:p>
        </w:tc>
        <w:tc>
          <w:tcPr>
            <w:tcW w:w="1056" w:type="dxa"/>
            <w:tcBorders>
              <w:top w:val="nil"/>
              <w:left w:val="nil"/>
              <w:bottom w:val="single" w:sz="4" w:space="0" w:color="auto"/>
              <w:right w:val="single" w:sz="4" w:space="0" w:color="auto"/>
            </w:tcBorders>
            <w:shd w:val="clear" w:color="auto" w:fill="auto"/>
            <w:noWrap/>
            <w:vAlign w:val="center"/>
            <w:hideMark/>
          </w:tcPr>
          <w:p w14:paraId="684B8C88"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762</w:t>
            </w:r>
          </w:p>
        </w:tc>
        <w:tc>
          <w:tcPr>
            <w:tcW w:w="1056" w:type="dxa"/>
            <w:tcBorders>
              <w:top w:val="nil"/>
              <w:left w:val="nil"/>
              <w:bottom w:val="single" w:sz="4" w:space="0" w:color="auto"/>
              <w:right w:val="single" w:sz="4" w:space="0" w:color="auto"/>
            </w:tcBorders>
            <w:shd w:val="clear" w:color="auto" w:fill="auto"/>
            <w:noWrap/>
            <w:vAlign w:val="center"/>
            <w:hideMark/>
          </w:tcPr>
          <w:p w14:paraId="355B2B8D"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869</w:t>
            </w:r>
          </w:p>
        </w:tc>
        <w:tc>
          <w:tcPr>
            <w:tcW w:w="1141" w:type="dxa"/>
            <w:tcBorders>
              <w:top w:val="nil"/>
              <w:left w:val="nil"/>
              <w:bottom w:val="single" w:sz="4" w:space="0" w:color="auto"/>
              <w:right w:val="single" w:sz="4" w:space="0" w:color="auto"/>
            </w:tcBorders>
            <w:shd w:val="clear" w:color="auto" w:fill="auto"/>
            <w:noWrap/>
            <w:vAlign w:val="center"/>
            <w:hideMark/>
          </w:tcPr>
          <w:p w14:paraId="05A29A84"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906</w:t>
            </w:r>
          </w:p>
        </w:tc>
        <w:tc>
          <w:tcPr>
            <w:tcW w:w="1024" w:type="dxa"/>
            <w:tcBorders>
              <w:top w:val="nil"/>
              <w:left w:val="nil"/>
              <w:bottom w:val="single" w:sz="4" w:space="0" w:color="auto"/>
              <w:right w:val="single" w:sz="4" w:space="0" w:color="auto"/>
            </w:tcBorders>
            <w:shd w:val="clear" w:color="auto" w:fill="auto"/>
            <w:noWrap/>
            <w:vAlign w:val="center"/>
            <w:hideMark/>
          </w:tcPr>
          <w:p w14:paraId="4A0E68B5"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596</w:t>
            </w:r>
          </w:p>
        </w:tc>
        <w:tc>
          <w:tcPr>
            <w:tcW w:w="1024" w:type="dxa"/>
            <w:tcBorders>
              <w:top w:val="nil"/>
              <w:left w:val="nil"/>
              <w:bottom w:val="single" w:sz="4" w:space="0" w:color="auto"/>
              <w:right w:val="single" w:sz="4" w:space="0" w:color="auto"/>
            </w:tcBorders>
            <w:shd w:val="clear" w:color="auto" w:fill="auto"/>
            <w:noWrap/>
            <w:vAlign w:val="center"/>
            <w:hideMark/>
          </w:tcPr>
          <w:p w14:paraId="25D3CEC8"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736 </w:t>
            </w:r>
          </w:p>
        </w:tc>
      </w:tr>
      <w:tr w:rsidR="00612DE8" w:rsidRPr="00612DE8" w14:paraId="2BBB7C4A" w14:textId="77777777" w:rsidTr="00F00704">
        <w:trPr>
          <w:trHeight w:val="20"/>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17D591FA" w14:textId="77777777" w:rsidR="00612DE8" w:rsidRPr="00612DE8" w:rsidRDefault="00612DE8" w:rsidP="00CC41BC">
            <w:pPr>
              <w:spacing w:after="0" w:line="240" w:lineRule="auto"/>
              <w:jc w:val="left"/>
              <w:rPr>
                <w:rFonts w:eastAsia="Times New Roman" w:cstheme="minorHAnsi"/>
                <w:color w:val="000000"/>
                <w:sz w:val="20"/>
                <w:szCs w:val="20"/>
                <w:lang w:eastAsia="hr-HR"/>
              </w:rPr>
            </w:pPr>
            <w:r w:rsidRPr="00612DE8">
              <w:rPr>
                <w:rFonts w:eastAsia="Times New Roman" w:cstheme="minorHAnsi"/>
                <w:color w:val="000000"/>
                <w:sz w:val="20"/>
                <w:szCs w:val="20"/>
                <w:lang w:eastAsia="hr-HR"/>
              </w:rPr>
              <w:t xml:space="preserve">Otpadne prijenosne baterije i akumulatori (t) </w:t>
            </w:r>
          </w:p>
        </w:tc>
        <w:tc>
          <w:tcPr>
            <w:tcW w:w="1131" w:type="dxa"/>
            <w:tcBorders>
              <w:top w:val="nil"/>
              <w:left w:val="nil"/>
              <w:bottom w:val="single" w:sz="4" w:space="0" w:color="auto"/>
              <w:right w:val="single" w:sz="4" w:space="0" w:color="auto"/>
            </w:tcBorders>
            <w:shd w:val="clear" w:color="auto" w:fill="auto"/>
            <w:noWrap/>
            <w:vAlign w:val="center"/>
            <w:hideMark/>
          </w:tcPr>
          <w:p w14:paraId="774DE741"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98</w:t>
            </w:r>
          </w:p>
        </w:tc>
        <w:tc>
          <w:tcPr>
            <w:tcW w:w="1056" w:type="dxa"/>
            <w:tcBorders>
              <w:top w:val="nil"/>
              <w:left w:val="nil"/>
              <w:bottom w:val="single" w:sz="4" w:space="0" w:color="auto"/>
              <w:right w:val="single" w:sz="4" w:space="0" w:color="auto"/>
            </w:tcBorders>
            <w:shd w:val="clear" w:color="auto" w:fill="auto"/>
            <w:noWrap/>
            <w:vAlign w:val="center"/>
            <w:hideMark/>
          </w:tcPr>
          <w:p w14:paraId="02AD94BD"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337</w:t>
            </w:r>
          </w:p>
        </w:tc>
        <w:tc>
          <w:tcPr>
            <w:tcW w:w="1056" w:type="dxa"/>
            <w:tcBorders>
              <w:top w:val="nil"/>
              <w:left w:val="nil"/>
              <w:bottom w:val="single" w:sz="4" w:space="0" w:color="auto"/>
              <w:right w:val="single" w:sz="4" w:space="0" w:color="auto"/>
            </w:tcBorders>
            <w:shd w:val="clear" w:color="auto" w:fill="auto"/>
            <w:noWrap/>
            <w:vAlign w:val="center"/>
            <w:hideMark/>
          </w:tcPr>
          <w:p w14:paraId="582FCE55"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476</w:t>
            </w:r>
          </w:p>
        </w:tc>
        <w:tc>
          <w:tcPr>
            <w:tcW w:w="1056" w:type="dxa"/>
            <w:tcBorders>
              <w:top w:val="nil"/>
              <w:left w:val="nil"/>
              <w:bottom w:val="single" w:sz="4" w:space="0" w:color="auto"/>
              <w:right w:val="single" w:sz="4" w:space="0" w:color="auto"/>
            </w:tcBorders>
            <w:shd w:val="clear" w:color="auto" w:fill="auto"/>
            <w:noWrap/>
            <w:vAlign w:val="center"/>
            <w:hideMark/>
          </w:tcPr>
          <w:p w14:paraId="3D0B6B26"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525</w:t>
            </w:r>
          </w:p>
        </w:tc>
        <w:tc>
          <w:tcPr>
            <w:tcW w:w="1141" w:type="dxa"/>
            <w:tcBorders>
              <w:top w:val="nil"/>
              <w:left w:val="nil"/>
              <w:bottom w:val="single" w:sz="4" w:space="0" w:color="auto"/>
              <w:right w:val="single" w:sz="4" w:space="0" w:color="auto"/>
            </w:tcBorders>
            <w:shd w:val="clear" w:color="auto" w:fill="auto"/>
            <w:noWrap/>
            <w:vAlign w:val="center"/>
            <w:hideMark/>
          </w:tcPr>
          <w:p w14:paraId="7A1A5A3B"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651</w:t>
            </w:r>
          </w:p>
        </w:tc>
        <w:tc>
          <w:tcPr>
            <w:tcW w:w="1024" w:type="dxa"/>
            <w:tcBorders>
              <w:top w:val="nil"/>
              <w:left w:val="nil"/>
              <w:bottom w:val="single" w:sz="4" w:space="0" w:color="auto"/>
              <w:right w:val="single" w:sz="4" w:space="0" w:color="auto"/>
            </w:tcBorders>
            <w:shd w:val="clear" w:color="auto" w:fill="auto"/>
            <w:noWrap/>
            <w:vAlign w:val="center"/>
            <w:hideMark/>
          </w:tcPr>
          <w:p w14:paraId="600489EF"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596</w:t>
            </w:r>
          </w:p>
        </w:tc>
        <w:tc>
          <w:tcPr>
            <w:tcW w:w="1024" w:type="dxa"/>
            <w:tcBorders>
              <w:top w:val="nil"/>
              <w:left w:val="nil"/>
              <w:bottom w:val="single" w:sz="4" w:space="0" w:color="auto"/>
              <w:right w:val="single" w:sz="4" w:space="0" w:color="auto"/>
            </w:tcBorders>
            <w:shd w:val="clear" w:color="auto" w:fill="auto"/>
            <w:noWrap/>
            <w:vAlign w:val="center"/>
            <w:hideMark/>
          </w:tcPr>
          <w:p w14:paraId="292C8372"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737</w:t>
            </w:r>
          </w:p>
        </w:tc>
      </w:tr>
      <w:tr w:rsidR="00612DE8" w:rsidRPr="00612DE8" w14:paraId="2DBF3F30" w14:textId="77777777" w:rsidTr="00F00704">
        <w:trPr>
          <w:trHeight w:val="20"/>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529BEE7C" w14:textId="77777777" w:rsidR="00612DE8" w:rsidRPr="00612DE8" w:rsidRDefault="00612DE8" w:rsidP="00CC41BC">
            <w:pPr>
              <w:spacing w:after="0" w:line="240" w:lineRule="auto"/>
              <w:jc w:val="left"/>
              <w:rPr>
                <w:rFonts w:eastAsia="Times New Roman" w:cstheme="minorHAnsi"/>
                <w:color w:val="000000"/>
                <w:sz w:val="20"/>
                <w:szCs w:val="20"/>
                <w:lang w:eastAsia="hr-HR"/>
              </w:rPr>
            </w:pPr>
            <w:r w:rsidRPr="00612DE8">
              <w:rPr>
                <w:rFonts w:eastAsia="Times New Roman" w:cstheme="minorHAnsi"/>
                <w:color w:val="000000"/>
                <w:sz w:val="20"/>
                <w:szCs w:val="20"/>
                <w:lang w:eastAsia="hr-HR"/>
              </w:rPr>
              <w:t>Otpadna vozila (t)</w:t>
            </w:r>
          </w:p>
        </w:tc>
        <w:tc>
          <w:tcPr>
            <w:tcW w:w="1131" w:type="dxa"/>
            <w:tcBorders>
              <w:top w:val="nil"/>
              <w:left w:val="nil"/>
              <w:bottom w:val="single" w:sz="4" w:space="0" w:color="auto"/>
              <w:right w:val="single" w:sz="4" w:space="0" w:color="auto"/>
            </w:tcBorders>
            <w:shd w:val="clear" w:color="auto" w:fill="auto"/>
            <w:noWrap/>
            <w:vAlign w:val="center"/>
            <w:hideMark/>
          </w:tcPr>
          <w:p w14:paraId="4318EF73"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16.690</w:t>
            </w:r>
          </w:p>
        </w:tc>
        <w:tc>
          <w:tcPr>
            <w:tcW w:w="1056" w:type="dxa"/>
            <w:tcBorders>
              <w:top w:val="nil"/>
              <w:left w:val="nil"/>
              <w:bottom w:val="single" w:sz="4" w:space="0" w:color="auto"/>
              <w:right w:val="single" w:sz="4" w:space="0" w:color="auto"/>
            </w:tcBorders>
            <w:shd w:val="clear" w:color="auto" w:fill="auto"/>
            <w:noWrap/>
            <w:vAlign w:val="center"/>
            <w:hideMark/>
          </w:tcPr>
          <w:p w14:paraId="2EA6F7E7"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18.495</w:t>
            </w:r>
          </w:p>
        </w:tc>
        <w:tc>
          <w:tcPr>
            <w:tcW w:w="1056" w:type="dxa"/>
            <w:tcBorders>
              <w:top w:val="nil"/>
              <w:left w:val="nil"/>
              <w:bottom w:val="single" w:sz="4" w:space="0" w:color="auto"/>
              <w:right w:val="single" w:sz="4" w:space="0" w:color="auto"/>
            </w:tcBorders>
            <w:shd w:val="clear" w:color="auto" w:fill="auto"/>
            <w:noWrap/>
            <w:vAlign w:val="center"/>
            <w:hideMark/>
          </w:tcPr>
          <w:p w14:paraId="56812CB0"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22.523</w:t>
            </w:r>
          </w:p>
        </w:tc>
        <w:tc>
          <w:tcPr>
            <w:tcW w:w="1056" w:type="dxa"/>
            <w:tcBorders>
              <w:top w:val="nil"/>
              <w:left w:val="nil"/>
              <w:bottom w:val="single" w:sz="4" w:space="0" w:color="auto"/>
              <w:right w:val="single" w:sz="4" w:space="0" w:color="auto"/>
            </w:tcBorders>
            <w:shd w:val="clear" w:color="auto" w:fill="auto"/>
            <w:noWrap/>
            <w:vAlign w:val="center"/>
            <w:hideMark/>
          </w:tcPr>
          <w:p w14:paraId="349C38A0"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29.920</w:t>
            </w:r>
          </w:p>
        </w:tc>
        <w:tc>
          <w:tcPr>
            <w:tcW w:w="1141" w:type="dxa"/>
            <w:tcBorders>
              <w:top w:val="nil"/>
              <w:left w:val="nil"/>
              <w:bottom w:val="single" w:sz="4" w:space="0" w:color="auto"/>
              <w:right w:val="single" w:sz="4" w:space="0" w:color="auto"/>
            </w:tcBorders>
            <w:shd w:val="clear" w:color="auto" w:fill="auto"/>
            <w:noWrap/>
            <w:vAlign w:val="center"/>
            <w:hideMark/>
          </w:tcPr>
          <w:p w14:paraId="6835200C"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44.000</w:t>
            </w:r>
          </w:p>
        </w:tc>
        <w:tc>
          <w:tcPr>
            <w:tcW w:w="1024" w:type="dxa"/>
            <w:tcBorders>
              <w:top w:val="nil"/>
              <w:left w:val="nil"/>
              <w:bottom w:val="single" w:sz="4" w:space="0" w:color="auto"/>
              <w:right w:val="single" w:sz="4" w:space="0" w:color="auto"/>
            </w:tcBorders>
            <w:shd w:val="clear" w:color="auto" w:fill="auto"/>
            <w:noWrap/>
            <w:vAlign w:val="center"/>
            <w:hideMark/>
          </w:tcPr>
          <w:p w14:paraId="591B68F7"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50.918</w:t>
            </w:r>
          </w:p>
        </w:tc>
        <w:tc>
          <w:tcPr>
            <w:tcW w:w="1024" w:type="dxa"/>
            <w:tcBorders>
              <w:top w:val="nil"/>
              <w:left w:val="nil"/>
              <w:bottom w:val="single" w:sz="4" w:space="0" w:color="auto"/>
              <w:right w:val="single" w:sz="4" w:space="0" w:color="auto"/>
            </w:tcBorders>
            <w:shd w:val="clear" w:color="auto" w:fill="auto"/>
            <w:noWrap/>
            <w:vAlign w:val="center"/>
            <w:hideMark/>
          </w:tcPr>
          <w:p w14:paraId="0B96A832"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36.757</w:t>
            </w:r>
          </w:p>
        </w:tc>
      </w:tr>
      <w:tr w:rsidR="00612DE8" w:rsidRPr="00612DE8" w14:paraId="254BF4F0" w14:textId="77777777" w:rsidTr="00F00704">
        <w:trPr>
          <w:trHeight w:val="20"/>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1CE7D0AF" w14:textId="77777777" w:rsidR="00612DE8" w:rsidRPr="00612DE8" w:rsidRDefault="00612DE8" w:rsidP="00CC41BC">
            <w:pPr>
              <w:spacing w:after="0" w:line="240" w:lineRule="auto"/>
              <w:jc w:val="left"/>
              <w:rPr>
                <w:rFonts w:eastAsia="Times New Roman" w:cstheme="minorHAnsi"/>
                <w:color w:val="000000"/>
                <w:sz w:val="20"/>
                <w:szCs w:val="20"/>
                <w:lang w:eastAsia="hr-HR"/>
              </w:rPr>
            </w:pPr>
            <w:r w:rsidRPr="00612DE8">
              <w:rPr>
                <w:rStyle w:val="zadanifontodlomka-000015"/>
                <w:rFonts w:asciiTheme="minorHAnsi" w:hAnsiTheme="minorHAnsi" w:cstheme="minorHAnsi"/>
              </w:rPr>
              <w:t>Građevni otpad (t)</w:t>
            </w:r>
          </w:p>
        </w:tc>
        <w:tc>
          <w:tcPr>
            <w:tcW w:w="1131" w:type="dxa"/>
            <w:tcBorders>
              <w:top w:val="nil"/>
              <w:left w:val="nil"/>
              <w:bottom w:val="single" w:sz="4" w:space="0" w:color="auto"/>
              <w:right w:val="single" w:sz="4" w:space="0" w:color="auto"/>
            </w:tcBorders>
            <w:shd w:val="clear" w:color="auto" w:fill="auto"/>
            <w:noWrap/>
            <w:vAlign w:val="center"/>
            <w:hideMark/>
          </w:tcPr>
          <w:p w14:paraId="043D7E8D" w14:textId="77777777" w:rsidR="00612DE8" w:rsidRPr="00612DE8" w:rsidRDefault="00612DE8" w:rsidP="00F00704">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1.189.316</w:t>
            </w:r>
          </w:p>
        </w:tc>
        <w:tc>
          <w:tcPr>
            <w:tcW w:w="1056" w:type="dxa"/>
            <w:tcBorders>
              <w:top w:val="nil"/>
              <w:left w:val="nil"/>
              <w:bottom w:val="single" w:sz="4" w:space="0" w:color="auto"/>
              <w:right w:val="single" w:sz="4" w:space="0" w:color="auto"/>
            </w:tcBorders>
            <w:shd w:val="clear" w:color="auto" w:fill="auto"/>
            <w:noWrap/>
            <w:vAlign w:val="center"/>
            <w:hideMark/>
          </w:tcPr>
          <w:p w14:paraId="462CAACF" w14:textId="16857D8C" w:rsidR="00612DE8" w:rsidRPr="00612DE8" w:rsidRDefault="00612DE8" w:rsidP="00F00704">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1.226.073</w:t>
            </w:r>
          </w:p>
        </w:tc>
        <w:tc>
          <w:tcPr>
            <w:tcW w:w="1056" w:type="dxa"/>
            <w:tcBorders>
              <w:top w:val="nil"/>
              <w:left w:val="nil"/>
              <w:bottom w:val="single" w:sz="4" w:space="0" w:color="auto"/>
              <w:right w:val="single" w:sz="4" w:space="0" w:color="auto"/>
            </w:tcBorders>
            <w:shd w:val="clear" w:color="auto" w:fill="auto"/>
            <w:noWrap/>
            <w:vAlign w:val="center"/>
            <w:hideMark/>
          </w:tcPr>
          <w:p w14:paraId="3AA19AE5" w14:textId="1A2E2D38" w:rsidR="00612DE8" w:rsidRPr="00612DE8" w:rsidRDefault="00612DE8" w:rsidP="00F00704">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1.225.263</w:t>
            </w:r>
          </w:p>
        </w:tc>
        <w:tc>
          <w:tcPr>
            <w:tcW w:w="1056" w:type="dxa"/>
            <w:tcBorders>
              <w:top w:val="nil"/>
              <w:left w:val="nil"/>
              <w:bottom w:val="single" w:sz="4" w:space="0" w:color="auto"/>
              <w:right w:val="single" w:sz="4" w:space="0" w:color="auto"/>
            </w:tcBorders>
            <w:shd w:val="clear" w:color="auto" w:fill="auto"/>
            <w:noWrap/>
            <w:vAlign w:val="center"/>
            <w:hideMark/>
          </w:tcPr>
          <w:p w14:paraId="64C018E8" w14:textId="78896A26" w:rsidR="00612DE8" w:rsidRPr="00612DE8" w:rsidRDefault="00612DE8" w:rsidP="00F00704">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1.243.642</w:t>
            </w:r>
          </w:p>
        </w:tc>
        <w:tc>
          <w:tcPr>
            <w:tcW w:w="1141" w:type="dxa"/>
            <w:tcBorders>
              <w:top w:val="nil"/>
              <w:left w:val="nil"/>
              <w:bottom w:val="single" w:sz="4" w:space="0" w:color="auto"/>
              <w:right w:val="single" w:sz="4" w:space="0" w:color="auto"/>
            </w:tcBorders>
            <w:shd w:val="clear" w:color="auto" w:fill="auto"/>
            <w:noWrap/>
            <w:vAlign w:val="center"/>
            <w:hideMark/>
          </w:tcPr>
          <w:p w14:paraId="388874B1" w14:textId="4ABA2578" w:rsidR="00612DE8" w:rsidRPr="00612DE8" w:rsidRDefault="00612DE8" w:rsidP="00F00704">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1.365.066</w:t>
            </w:r>
          </w:p>
        </w:tc>
        <w:tc>
          <w:tcPr>
            <w:tcW w:w="1024" w:type="dxa"/>
            <w:tcBorders>
              <w:top w:val="nil"/>
              <w:left w:val="nil"/>
              <w:bottom w:val="single" w:sz="4" w:space="0" w:color="auto"/>
              <w:right w:val="single" w:sz="4" w:space="0" w:color="auto"/>
            </w:tcBorders>
            <w:shd w:val="clear" w:color="auto" w:fill="auto"/>
            <w:noWrap/>
            <w:vAlign w:val="center"/>
            <w:hideMark/>
          </w:tcPr>
          <w:p w14:paraId="65F1802B" w14:textId="77777777" w:rsidR="00612DE8" w:rsidRPr="00612DE8" w:rsidRDefault="00612DE8" w:rsidP="00F00704">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1.399.193</w:t>
            </w:r>
          </w:p>
        </w:tc>
        <w:tc>
          <w:tcPr>
            <w:tcW w:w="1024" w:type="dxa"/>
            <w:tcBorders>
              <w:top w:val="nil"/>
              <w:left w:val="nil"/>
              <w:bottom w:val="single" w:sz="4" w:space="0" w:color="auto"/>
              <w:right w:val="single" w:sz="4" w:space="0" w:color="auto"/>
            </w:tcBorders>
            <w:shd w:val="clear" w:color="auto" w:fill="auto"/>
            <w:noWrap/>
            <w:vAlign w:val="center"/>
            <w:hideMark/>
          </w:tcPr>
          <w:p w14:paraId="7CCED19A" w14:textId="21AD759B" w:rsidR="00612DE8" w:rsidRPr="00612DE8" w:rsidRDefault="00F00704" w:rsidP="00F00704">
            <w:pPr>
              <w:spacing w:after="0" w:line="240" w:lineRule="auto"/>
              <w:jc w:val="right"/>
              <w:rPr>
                <w:rFonts w:eastAsia="Times New Roman" w:cstheme="minorHAnsi"/>
                <w:color w:val="000000"/>
                <w:sz w:val="20"/>
                <w:szCs w:val="20"/>
                <w:lang w:eastAsia="hr-HR"/>
              </w:rPr>
            </w:pPr>
            <w:r>
              <w:rPr>
                <w:rFonts w:eastAsia="Times New Roman" w:cstheme="minorHAnsi"/>
                <w:color w:val="000000"/>
                <w:sz w:val="20"/>
                <w:szCs w:val="20"/>
                <w:lang w:eastAsia="hr-HR"/>
              </w:rPr>
              <w:t>1.634.257</w:t>
            </w:r>
          </w:p>
        </w:tc>
      </w:tr>
      <w:tr w:rsidR="00612DE8" w:rsidRPr="00612DE8" w14:paraId="0541C30D" w14:textId="77777777" w:rsidTr="00F00704">
        <w:trPr>
          <w:trHeight w:val="20"/>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6E00558E" w14:textId="77777777" w:rsidR="00612DE8" w:rsidRPr="00612DE8" w:rsidRDefault="00612DE8" w:rsidP="00CC41BC">
            <w:pPr>
              <w:spacing w:after="0" w:line="240" w:lineRule="auto"/>
              <w:jc w:val="left"/>
              <w:rPr>
                <w:rFonts w:eastAsia="Times New Roman" w:cstheme="minorHAnsi"/>
                <w:color w:val="000000"/>
                <w:sz w:val="20"/>
                <w:szCs w:val="20"/>
                <w:lang w:eastAsia="hr-HR"/>
              </w:rPr>
            </w:pPr>
            <w:r w:rsidRPr="00612DE8">
              <w:rPr>
                <w:rStyle w:val="zadanifontodlomka-000015"/>
                <w:rFonts w:asciiTheme="minorHAnsi" w:hAnsiTheme="minorHAnsi" w:cstheme="minorHAnsi"/>
              </w:rPr>
              <w:t>Građevni otpad koji sadrži azbest (t)</w:t>
            </w:r>
            <w:r w:rsidRPr="00612DE8">
              <w:rPr>
                <w:rStyle w:val="Referencafusnote"/>
                <w:rFonts w:cstheme="minorHAnsi"/>
                <w:color w:val="000000"/>
                <w:sz w:val="20"/>
                <w:szCs w:val="20"/>
              </w:rPr>
              <w:footnoteReference w:id="19"/>
            </w:r>
            <w:r w:rsidRPr="00612DE8">
              <w:rPr>
                <w:rFonts w:cstheme="minorHAnsi"/>
                <w:sz w:val="20"/>
                <w:szCs w:val="20"/>
              </w:rPr>
              <w:t xml:space="preserve"> </w:t>
            </w:r>
          </w:p>
        </w:tc>
        <w:tc>
          <w:tcPr>
            <w:tcW w:w="1131" w:type="dxa"/>
            <w:tcBorders>
              <w:top w:val="nil"/>
              <w:left w:val="nil"/>
              <w:bottom w:val="single" w:sz="4" w:space="0" w:color="auto"/>
              <w:right w:val="single" w:sz="4" w:space="0" w:color="auto"/>
            </w:tcBorders>
            <w:shd w:val="clear" w:color="auto" w:fill="auto"/>
            <w:noWrap/>
            <w:vAlign w:val="center"/>
            <w:hideMark/>
          </w:tcPr>
          <w:p w14:paraId="1DDF1589"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10.765</w:t>
            </w:r>
          </w:p>
        </w:tc>
        <w:tc>
          <w:tcPr>
            <w:tcW w:w="1056" w:type="dxa"/>
            <w:tcBorders>
              <w:top w:val="nil"/>
              <w:left w:val="nil"/>
              <w:bottom w:val="single" w:sz="4" w:space="0" w:color="auto"/>
              <w:right w:val="single" w:sz="4" w:space="0" w:color="auto"/>
            </w:tcBorders>
            <w:shd w:val="clear" w:color="auto" w:fill="auto"/>
            <w:noWrap/>
            <w:vAlign w:val="center"/>
            <w:hideMark/>
          </w:tcPr>
          <w:p w14:paraId="1249E072"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6.251</w:t>
            </w:r>
          </w:p>
        </w:tc>
        <w:tc>
          <w:tcPr>
            <w:tcW w:w="1056" w:type="dxa"/>
            <w:tcBorders>
              <w:top w:val="nil"/>
              <w:left w:val="nil"/>
              <w:bottom w:val="single" w:sz="4" w:space="0" w:color="auto"/>
              <w:right w:val="single" w:sz="4" w:space="0" w:color="auto"/>
            </w:tcBorders>
            <w:shd w:val="clear" w:color="auto" w:fill="auto"/>
            <w:noWrap/>
            <w:vAlign w:val="center"/>
            <w:hideMark/>
          </w:tcPr>
          <w:p w14:paraId="37342751"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1.990 </w:t>
            </w:r>
          </w:p>
        </w:tc>
        <w:tc>
          <w:tcPr>
            <w:tcW w:w="1056" w:type="dxa"/>
            <w:tcBorders>
              <w:top w:val="nil"/>
              <w:left w:val="nil"/>
              <w:bottom w:val="single" w:sz="4" w:space="0" w:color="auto"/>
              <w:right w:val="single" w:sz="4" w:space="0" w:color="auto"/>
            </w:tcBorders>
            <w:shd w:val="clear" w:color="auto" w:fill="auto"/>
            <w:noWrap/>
            <w:vAlign w:val="center"/>
            <w:hideMark/>
          </w:tcPr>
          <w:p w14:paraId="66D52737"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 2.827</w:t>
            </w:r>
          </w:p>
        </w:tc>
        <w:tc>
          <w:tcPr>
            <w:tcW w:w="1141" w:type="dxa"/>
            <w:tcBorders>
              <w:top w:val="nil"/>
              <w:left w:val="nil"/>
              <w:bottom w:val="single" w:sz="4" w:space="0" w:color="auto"/>
              <w:right w:val="single" w:sz="4" w:space="0" w:color="auto"/>
            </w:tcBorders>
            <w:shd w:val="clear" w:color="auto" w:fill="auto"/>
            <w:noWrap/>
            <w:vAlign w:val="center"/>
            <w:hideMark/>
          </w:tcPr>
          <w:p w14:paraId="1A4E4C30"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 2.525</w:t>
            </w:r>
          </w:p>
        </w:tc>
        <w:tc>
          <w:tcPr>
            <w:tcW w:w="1024" w:type="dxa"/>
            <w:tcBorders>
              <w:top w:val="nil"/>
              <w:left w:val="nil"/>
              <w:bottom w:val="single" w:sz="4" w:space="0" w:color="auto"/>
              <w:right w:val="single" w:sz="4" w:space="0" w:color="auto"/>
            </w:tcBorders>
            <w:shd w:val="clear" w:color="auto" w:fill="auto"/>
            <w:noWrap/>
            <w:vAlign w:val="center"/>
            <w:hideMark/>
          </w:tcPr>
          <w:p w14:paraId="48CD93CC"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 3.497</w:t>
            </w:r>
          </w:p>
        </w:tc>
        <w:tc>
          <w:tcPr>
            <w:tcW w:w="1024" w:type="dxa"/>
            <w:tcBorders>
              <w:top w:val="nil"/>
              <w:left w:val="nil"/>
              <w:bottom w:val="single" w:sz="4" w:space="0" w:color="auto"/>
              <w:right w:val="single" w:sz="4" w:space="0" w:color="auto"/>
            </w:tcBorders>
            <w:shd w:val="clear" w:color="auto" w:fill="auto"/>
            <w:noWrap/>
            <w:vAlign w:val="center"/>
            <w:hideMark/>
          </w:tcPr>
          <w:p w14:paraId="11ABC218" w14:textId="0C816ACA" w:rsidR="00612DE8" w:rsidRPr="00612DE8" w:rsidRDefault="00F00704" w:rsidP="00CC41BC">
            <w:pPr>
              <w:spacing w:after="0" w:line="240" w:lineRule="auto"/>
              <w:jc w:val="right"/>
              <w:rPr>
                <w:rFonts w:eastAsia="Times New Roman" w:cstheme="minorHAnsi"/>
                <w:color w:val="000000"/>
                <w:sz w:val="20"/>
                <w:szCs w:val="20"/>
                <w:lang w:eastAsia="hr-HR"/>
              </w:rPr>
            </w:pPr>
            <w:r>
              <w:rPr>
                <w:rFonts w:eastAsia="Times New Roman" w:cstheme="minorHAnsi"/>
                <w:color w:val="000000"/>
                <w:sz w:val="20"/>
                <w:szCs w:val="20"/>
                <w:lang w:eastAsia="hr-HR"/>
              </w:rPr>
              <w:t>4.099</w:t>
            </w:r>
            <w:r w:rsidR="00612DE8" w:rsidRPr="00612DE8">
              <w:rPr>
                <w:rFonts w:eastAsia="Times New Roman" w:cstheme="minorHAnsi"/>
                <w:color w:val="000000"/>
                <w:sz w:val="20"/>
                <w:szCs w:val="20"/>
                <w:lang w:eastAsia="hr-HR"/>
              </w:rPr>
              <w:t> </w:t>
            </w:r>
          </w:p>
        </w:tc>
      </w:tr>
      <w:tr w:rsidR="00612DE8" w:rsidRPr="00612DE8" w14:paraId="3D21167E" w14:textId="77777777" w:rsidTr="00F00704">
        <w:trPr>
          <w:trHeight w:val="20"/>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46E48344" w14:textId="77777777" w:rsidR="00612DE8" w:rsidRPr="00612DE8" w:rsidRDefault="00612DE8" w:rsidP="00CC41BC">
            <w:pPr>
              <w:spacing w:after="0" w:line="240" w:lineRule="auto"/>
              <w:jc w:val="left"/>
              <w:rPr>
                <w:rFonts w:eastAsia="Times New Roman" w:cstheme="minorHAnsi"/>
                <w:color w:val="000000"/>
                <w:sz w:val="20"/>
                <w:szCs w:val="20"/>
                <w:lang w:eastAsia="hr-HR"/>
              </w:rPr>
            </w:pPr>
            <w:r w:rsidRPr="00612DE8">
              <w:rPr>
                <w:rStyle w:val="zadanifontodlomka-000015"/>
                <w:rFonts w:asciiTheme="minorHAnsi" w:hAnsiTheme="minorHAnsi" w:cstheme="minorHAnsi"/>
              </w:rPr>
              <w:t>Medicinski otpad (t)</w:t>
            </w:r>
            <w:r w:rsidRPr="00612DE8">
              <w:rPr>
                <w:rFonts w:cstheme="minorHAnsi"/>
                <w:sz w:val="20"/>
                <w:szCs w:val="20"/>
              </w:rPr>
              <w:t xml:space="preserve"> </w:t>
            </w:r>
          </w:p>
        </w:tc>
        <w:tc>
          <w:tcPr>
            <w:tcW w:w="1131" w:type="dxa"/>
            <w:tcBorders>
              <w:top w:val="nil"/>
              <w:left w:val="nil"/>
              <w:bottom w:val="single" w:sz="4" w:space="0" w:color="auto"/>
              <w:right w:val="single" w:sz="4" w:space="0" w:color="auto"/>
            </w:tcBorders>
            <w:shd w:val="clear" w:color="auto" w:fill="auto"/>
            <w:noWrap/>
            <w:vAlign w:val="center"/>
            <w:hideMark/>
          </w:tcPr>
          <w:p w14:paraId="478CB4B9"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4.232</w:t>
            </w:r>
          </w:p>
        </w:tc>
        <w:tc>
          <w:tcPr>
            <w:tcW w:w="1056" w:type="dxa"/>
            <w:tcBorders>
              <w:top w:val="nil"/>
              <w:left w:val="nil"/>
              <w:bottom w:val="single" w:sz="4" w:space="0" w:color="auto"/>
              <w:right w:val="single" w:sz="4" w:space="0" w:color="auto"/>
            </w:tcBorders>
            <w:shd w:val="clear" w:color="auto" w:fill="auto"/>
            <w:noWrap/>
            <w:vAlign w:val="center"/>
            <w:hideMark/>
          </w:tcPr>
          <w:p w14:paraId="7BFE020F"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4.569</w:t>
            </w:r>
          </w:p>
        </w:tc>
        <w:tc>
          <w:tcPr>
            <w:tcW w:w="1056" w:type="dxa"/>
            <w:tcBorders>
              <w:top w:val="nil"/>
              <w:left w:val="nil"/>
              <w:bottom w:val="single" w:sz="4" w:space="0" w:color="auto"/>
              <w:right w:val="single" w:sz="4" w:space="0" w:color="auto"/>
            </w:tcBorders>
            <w:shd w:val="clear" w:color="auto" w:fill="auto"/>
            <w:noWrap/>
            <w:vAlign w:val="center"/>
            <w:hideMark/>
          </w:tcPr>
          <w:p w14:paraId="5AA1E605"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4.960</w:t>
            </w:r>
          </w:p>
        </w:tc>
        <w:tc>
          <w:tcPr>
            <w:tcW w:w="1056" w:type="dxa"/>
            <w:tcBorders>
              <w:top w:val="nil"/>
              <w:left w:val="nil"/>
              <w:bottom w:val="single" w:sz="4" w:space="0" w:color="auto"/>
              <w:right w:val="single" w:sz="4" w:space="0" w:color="auto"/>
            </w:tcBorders>
            <w:shd w:val="clear" w:color="auto" w:fill="auto"/>
            <w:noWrap/>
            <w:vAlign w:val="center"/>
            <w:hideMark/>
          </w:tcPr>
          <w:p w14:paraId="10022F4D"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5.262</w:t>
            </w:r>
          </w:p>
        </w:tc>
        <w:tc>
          <w:tcPr>
            <w:tcW w:w="1141" w:type="dxa"/>
            <w:tcBorders>
              <w:top w:val="nil"/>
              <w:left w:val="nil"/>
              <w:bottom w:val="single" w:sz="4" w:space="0" w:color="auto"/>
              <w:right w:val="single" w:sz="4" w:space="0" w:color="auto"/>
            </w:tcBorders>
            <w:shd w:val="clear" w:color="auto" w:fill="auto"/>
            <w:noWrap/>
            <w:vAlign w:val="center"/>
            <w:hideMark/>
          </w:tcPr>
          <w:p w14:paraId="3EDD5C83"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5.483</w:t>
            </w:r>
          </w:p>
        </w:tc>
        <w:tc>
          <w:tcPr>
            <w:tcW w:w="1024" w:type="dxa"/>
            <w:tcBorders>
              <w:top w:val="nil"/>
              <w:left w:val="nil"/>
              <w:bottom w:val="single" w:sz="4" w:space="0" w:color="auto"/>
              <w:right w:val="single" w:sz="4" w:space="0" w:color="auto"/>
            </w:tcBorders>
            <w:shd w:val="clear" w:color="auto" w:fill="auto"/>
            <w:noWrap/>
            <w:vAlign w:val="center"/>
            <w:hideMark/>
          </w:tcPr>
          <w:p w14:paraId="4D32E8A1"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7.014</w:t>
            </w:r>
          </w:p>
        </w:tc>
        <w:tc>
          <w:tcPr>
            <w:tcW w:w="1024" w:type="dxa"/>
            <w:tcBorders>
              <w:top w:val="nil"/>
              <w:left w:val="nil"/>
              <w:bottom w:val="single" w:sz="4" w:space="0" w:color="auto"/>
              <w:right w:val="single" w:sz="4" w:space="0" w:color="auto"/>
            </w:tcBorders>
            <w:shd w:val="clear" w:color="auto" w:fill="auto"/>
            <w:noWrap/>
            <w:vAlign w:val="center"/>
            <w:hideMark/>
          </w:tcPr>
          <w:p w14:paraId="35133691" w14:textId="7561EFC7" w:rsidR="00612DE8" w:rsidRPr="00612DE8" w:rsidRDefault="00381EE4" w:rsidP="00CC41BC">
            <w:pPr>
              <w:spacing w:after="0" w:line="240" w:lineRule="auto"/>
              <w:jc w:val="right"/>
              <w:rPr>
                <w:rFonts w:eastAsia="Times New Roman" w:cstheme="minorHAnsi"/>
                <w:color w:val="000000"/>
                <w:sz w:val="20"/>
                <w:szCs w:val="20"/>
                <w:lang w:eastAsia="hr-HR"/>
              </w:rPr>
            </w:pPr>
            <w:r w:rsidRPr="00381EE4">
              <w:rPr>
                <w:rFonts w:eastAsia="Times New Roman" w:cstheme="minorHAnsi"/>
                <w:color w:val="000000"/>
                <w:sz w:val="20"/>
                <w:szCs w:val="20"/>
                <w:lang w:eastAsia="hr-HR"/>
              </w:rPr>
              <w:t>8.215</w:t>
            </w:r>
          </w:p>
        </w:tc>
      </w:tr>
      <w:tr w:rsidR="00612DE8" w:rsidRPr="00612DE8" w14:paraId="50440B85" w14:textId="77777777" w:rsidTr="00F00704">
        <w:trPr>
          <w:trHeight w:val="20"/>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3968B3FE" w14:textId="77777777" w:rsidR="00612DE8" w:rsidRPr="00612DE8" w:rsidRDefault="00612DE8" w:rsidP="00CC41BC">
            <w:pPr>
              <w:spacing w:after="0" w:line="240" w:lineRule="auto"/>
              <w:jc w:val="left"/>
              <w:rPr>
                <w:rFonts w:eastAsia="Times New Roman" w:cstheme="minorHAnsi"/>
                <w:color w:val="000000"/>
                <w:sz w:val="20"/>
                <w:szCs w:val="20"/>
                <w:lang w:eastAsia="hr-HR"/>
              </w:rPr>
            </w:pPr>
            <w:r w:rsidRPr="00612DE8">
              <w:rPr>
                <w:rStyle w:val="zadanifontodlomka-000015"/>
                <w:rFonts w:asciiTheme="minorHAnsi" w:hAnsiTheme="minorHAnsi" w:cstheme="minorHAnsi"/>
              </w:rPr>
              <w:t>Otpadna električna i elektronička oprema (t)</w:t>
            </w:r>
            <w:r w:rsidRPr="00612DE8">
              <w:rPr>
                <w:rFonts w:cstheme="minorHAnsi"/>
                <w:sz w:val="20"/>
                <w:szCs w:val="20"/>
              </w:rPr>
              <w:t xml:space="preserve"> </w:t>
            </w:r>
          </w:p>
        </w:tc>
        <w:tc>
          <w:tcPr>
            <w:tcW w:w="1131" w:type="dxa"/>
            <w:tcBorders>
              <w:top w:val="nil"/>
              <w:left w:val="nil"/>
              <w:bottom w:val="single" w:sz="4" w:space="0" w:color="auto"/>
              <w:right w:val="single" w:sz="4" w:space="0" w:color="auto"/>
            </w:tcBorders>
            <w:shd w:val="clear" w:color="auto" w:fill="auto"/>
            <w:noWrap/>
            <w:vAlign w:val="center"/>
            <w:hideMark/>
          </w:tcPr>
          <w:p w14:paraId="00CDF769"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23.758</w:t>
            </w:r>
          </w:p>
        </w:tc>
        <w:tc>
          <w:tcPr>
            <w:tcW w:w="1056" w:type="dxa"/>
            <w:tcBorders>
              <w:top w:val="nil"/>
              <w:left w:val="nil"/>
              <w:bottom w:val="single" w:sz="4" w:space="0" w:color="auto"/>
              <w:right w:val="single" w:sz="4" w:space="0" w:color="auto"/>
            </w:tcBorders>
            <w:shd w:val="clear" w:color="auto" w:fill="auto"/>
            <w:noWrap/>
            <w:vAlign w:val="center"/>
            <w:hideMark/>
          </w:tcPr>
          <w:p w14:paraId="78992C57"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38.815</w:t>
            </w:r>
          </w:p>
        </w:tc>
        <w:tc>
          <w:tcPr>
            <w:tcW w:w="1056" w:type="dxa"/>
            <w:tcBorders>
              <w:top w:val="nil"/>
              <w:left w:val="nil"/>
              <w:bottom w:val="single" w:sz="4" w:space="0" w:color="auto"/>
              <w:right w:val="single" w:sz="4" w:space="0" w:color="auto"/>
            </w:tcBorders>
            <w:shd w:val="clear" w:color="auto" w:fill="auto"/>
            <w:noWrap/>
            <w:vAlign w:val="center"/>
            <w:hideMark/>
          </w:tcPr>
          <w:p w14:paraId="27470476"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36.434</w:t>
            </w:r>
          </w:p>
        </w:tc>
        <w:tc>
          <w:tcPr>
            <w:tcW w:w="1056" w:type="dxa"/>
            <w:tcBorders>
              <w:top w:val="nil"/>
              <w:left w:val="nil"/>
              <w:bottom w:val="single" w:sz="4" w:space="0" w:color="auto"/>
              <w:right w:val="single" w:sz="4" w:space="0" w:color="auto"/>
            </w:tcBorders>
            <w:shd w:val="clear" w:color="auto" w:fill="auto"/>
            <w:noWrap/>
            <w:vAlign w:val="center"/>
            <w:hideMark/>
          </w:tcPr>
          <w:p w14:paraId="6A82F5CF"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41.523</w:t>
            </w:r>
          </w:p>
        </w:tc>
        <w:tc>
          <w:tcPr>
            <w:tcW w:w="1141" w:type="dxa"/>
            <w:tcBorders>
              <w:top w:val="nil"/>
              <w:left w:val="nil"/>
              <w:bottom w:val="single" w:sz="4" w:space="0" w:color="auto"/>
              <w:right w:val="single" w:sz="4" w:space="0" w:color="auto"/>
            </w:tcBorders>
            <w:shd w:val="clear" w:color="auto" w:fill="auto"/>
            <w:noWrap/>
            <w:vAlign w:val="center"/>
            <w:hideMark/>
          </w:tcPr>
          <w:p w14:paraId="3D1D0953"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40.400</w:t>
            </w:r>
          </w:p>
        </w:tc>
        <w:tc>
          <w:tcPr>
            <w:tcW w:w="1024" w:type="dxa"/>
            <w:tcBorders>
              <w:top w:val="nil"/>
              <w:left w:val="nil"/>
              <w:bottom w:val="single" w:sz="4" w:space="0" w:color="auto"/>
              <w:right w:val="single" w:sz="4" w:space="0" w:color="auto"/>
            </w:tcBorders>
            <w:shd w:val="clear" w:color="auto" w:fill="auto"/>
            <w:noWrap/>
            <w:vAlign w:val="center"/>
            <w:hideMark/>
          </w:tcPr>
          <w:p w14:paraId="1DFB8A0C"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40.792</w:t>
            </w:r>
          </w:p>
        </w:tc>
        <w:tc>
          <w:tcPr>
            <w:tcW w:w="1024" w:type="dxa"/>
            <w:tcBorders>
              <w:top w:val="nil"/>
              <w:left w:val="nil"/>
              <w:bottom w:val="single" w:sz="4" w:space="0" w:color="auto"/>
              <w:right w:val="single" w:sz="4" w:space="0" w:color="auto"/>
            </w:tcBorders>
            <w:shd w:val="clear" w:color="auto" w:fill="auto"/>
            <w:noWrap/>
            <w:vAlign w:val="center"/>
            <w:hideMark/>
          </w:tcPr>
          <w:p w14:paraId="55EBC07B"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34.905</w:t>
            </w:r>
          </w:p>
        </w:tc>
      </w:tr>
      <w:tr w:rsidR="00612DE8" w:rsidRPr="00612DE8" w14:paraId="7D98A186" w14:textId="77777777" w:rsidTr="00F00704">
        <w:trPr>
          <w:trHeight w:val="20"/>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5D7AC92D" w14:textId="77777777" w:rsidR="00612DE8" w:rsidRPr="00612DE8" w:rsidRDefault="00612DE8" w:rsidP="00CC41BC">
            <w:pPr>
              <w:spacing w:after="0" w:line="240" w:lineRule="auto"/>
              <w:jc w:val="left"/>
              <w:rPr>
                <w:rFonts w:eastAsia="Times New Roman" w:cstheme="minorHAnsi"/>
                <w:color w:val="000000"/>
                <w:sz w:val="20"/>
                <w:szCs w:val="20"/>
                <w:lang w:eastAsia="hr-HR"/>
              </w:rPr>
            </w:pPr>
            <w:r w:rsidRPr="00612DE8">
              <w:rPr>
                <w:rStyle w:val="zadanifontodlomka-000015"/>
                <w:rFonts w:asciiTheme="minorHAnsi" w:hAnsiTheme="minorHAnsi" w:cstheme="minorHAnsi"/>
              </w:rPr>
              <w:t>Otpadni PCB (t)</w:t>
            </w:r>
            <w:r w:rsidRPr="00612DE8">
              <w:rPr>
                <w:rStyle w:val="Referencafusnote"/>
                <w:rFonts w:cstheme="minorHAnsi"/>
                <w:color w:val="000000"/>
                <w:sz w:val="20"/>
                <w:szCs w:val="20"/>
              </w:rPr>
              <w:footnoteReference w:id="20"/>
            </w:r>
            <w:r w:rsidRPr="00612DE8">
              <w:rPr>
                <w:rStyle w:val="zadanifontodlomka-000015"/>
                <w:rFonts w:asciiTheme="minorHAnsi" w:hAnsiTheme="minorHAnsi" w:cstheme="minorHAnsi"/>
              </w:rPr>
              <w:t xml:space="preserve"> </w:t>
            </w:r>
          </w:p>
        </w:tc>
        <w:tc>
          <w:tcPr>
            <w:tcW w:w="1131" w:type="dxa"/>
            <w:tcBorders>
              <w:top w:val="nil"/>
              <w:left w:val="nil"/>
              <w:bottom w:val="single" w:sz="4" w:space="0" w:color="auto"/>
              <w:right w:val="single" w:sz="4" w:space="0" w:color="auto"/>
            </w:tcBorders>
            <w:shd w:val="clear" w:color="auto" w:fill="auto"/>
            <w:noWrap/>
            <w:vAlign w:val="center"/>
            <w:hideMark/>
          </w:tcPr>
          <w:p w14:paraId="4A84B7B6"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48</w:t>
            </w:r>
          </w:p>
        </w:tc>
        <w:tc>
          <w:tcPr>
            <w:tcW w:w="1056" w:type="dxa"/>
            <w:tcBorders>
              <w:top w:val="nil"/>
              <w:left w:val="nil"/>
              <w:bottom w:val="single" w:sz="4" w:space="0" w:color="auto"/>
              <w:right w:val="single" w:sz="4" w:space="0" w:color="auto"/>
            </w:tcBorders>
            <w:shd w:val="clear" w:color="auto" w:fill="auto"/>
            <w:noWrap/>
            <w:vAlign w:val="center"/>
            <w:hideMark/>
          </w:tcPr>
          <w:p w14:paraId="60889E54"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12</w:t>
            </w:r>
          </w:p>
        </w:tc>
        <w:tc>
          <w:tcPr>
            <w:tcW w:w="1056" w:type="dxa"/>
            <w:tcBorders>
              <w:top w:val="nil"/>
              <w:left w:val="nil"/>
              <w:bottom w:val="single" w:sz="4" w:space="0" w:color="auto"/>
              <w:right w:val="single" w:sz="4" w:space="0" w:color="auto"/>
            </w:tcBorders>
            <w:shd w:val="clear" w:color="auto" w:fill="auto"/>
            <w:noWrap/>
            <w:vAlign w:val="center"/>
            <w:hideMark/>
          </w:tcPr>
          <w:p w14:paraId="742ED4DA"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63</w:t>
            </w:r>
          </w:p>
        </w:tc>
        <w:tc>
          <w:tcPr>
            <w:tcW w:w="1056" w:type="dxa"/>
            <w:tcBorders>
              <w:top w:val="nil"/>
              <w:left w:val="nil"/>
              <w:bottom w:val="single" w:sz="4" w:space="0" w:color="auto"/>
              <w:right w:val="single" w:sz="4" w:space="0" w:color="auto"/>
            </w:tcBorders>
            <w:shd w:val="clear" w:color="auto" w:fill="auto"/>
            <w:noWrap/>
            <w:vAlign w:val="center"/>
            <w:hideMark/>
          </w:tcPr>
          <w:p w14:paraId="43A8B551"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9</w:t>
            </w:r>
          </w:p>
        </w:tc>
        <w:tc>
          <w:tcPr>
            <w:tcW w:w="1141" w:type="dxa"/>
            <w:tcBorders>
              <w:top w:val="nil"/>
              <w:left w:val="nil"/>
              <w:bottom w:val="single" w:sz="4" w:space="0" w:color="auto"/>
              <w:right w:val="single" w:sz="4" w:space="0" w:color="auto"/>
            </w:tcBorders>
            <w:shd w:val="clear" w:color="auto" w:fill="auto"/>
            <w:noWrap/>
            <w:vAlign w:val="center"/>
            <w:hideMark/>
          </w:tcPr>
          <w:p w14:paraId="3A40C3A9"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12</w:t>
            </w:r>
          </w:p>
        </w:tc>
        <w:tc>
          <w:tcPr>
            <w:tcW w:w="1024" w:type="dxa"/>
            <w:tcBorders>
              <w:top w:val="nil"/>
              <w:left w:val="nil"/>
              <w:bottom w:val="single" w:sz="4" w:space="0" w:color="auto"/>
              <w:right w:val="single" w:sz="4" w:space="0" w:color="auto"/>
            </w:tcBorders>
            <w:shd w:val="clear" w:color="auto" w:fill="auto"/>
            <w:noWrap/>
            <w:vAlign w:val="center"/>
            <w:hideMark/>
          </w:tcPr>
          <w:p w14:paraId="619EFF10"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8</w:t>
            </w:r>
          </w:p>
        </w:tc>
        <w:tc>
          <w:tcPr>
            <w:tcW w:w="1024" w:type="dxa"/>
            <w:tcBorders>
              <w:top w:val="nil"/>
              <w:left w:val="nil"/>
              <w:bottom w:val="single" w:sz="4" w:space="0" w:color="auto"/>
              <w:right w:val="single" w:sz="4" w:space="0" w:color="auto"/>
            </w:tcBorders>
            <w:shd w:val="clear" w:color="auto" w:fill="auto"/>
            <w:noWrap/>
            <w:vAlign w:val="center"/>
            <w:hideMark/>
          </w:tcPr>
          <w:p w14:paraId="2BABEC65"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7</w:t>
            </w:r>
          </w:p>
        </w:tc>
      </w:tr>
    </w:tbl>
    <w:p w14:paraId="637992C8" w14:textId="77777777" w:rsidR="00612DE8" w:rsidRPr="00612DE8" w:rsidRDefault="00612DE8" w:rsidP="00612DE8">
      <w:pPr>
        <w:spacing w:after="240"/>
        <w:jc w:val="right"/>
        <w:rPr>
          <w:i/>
          <w:iCs/>
          <w:sz w:val="18"/>
          <w:szCs w:val="20"/>
        </w:rPr>
      </w:pPr>
      <w:r w:rsidRPr="00612DE8">
        <w:rPr>
          <w:i/>
          <w:iCs/>
          <w:sz w:val="18"/>
          <w:szCs w:val="20"/>
        </w:rPr>
        <w:t>Izvor: FZOEU, MINGOR</w:t>
      </w:r>
    </w:p>
    <w:p w14:paraId="2C47A5CE" w14:textId="39E5390B" w:rsidR="005639D7" w:rsidRPr="00460193" w:rsidRDefault="000444C4" w:rsidP="008E74F7">
      <w:pPr>
        <w:pStyle w:val="IRNaslov4"/>
      </w:pPr>
      <w:r w:rsidRPr="00460193">
        <w:t>Otpadni tekstil i obuća</w:t>
      </w:r>
    </w:p>
    <w:p w14:paraId="6AFFB258" w14:textId="4B8ABA71" w:rsidR="00626A80" w:rsidRDefault="00626A80" w:rsidP="00626A80">
      <w:r>
        <w:t xml:space="preserve">U razdoblju od 2015. do 2019. godine bilježi se kontinuirano povećanje ukupnih količina nastalog otpadnog tekstila i otpadne obuće. U 2020. godini, zbog smanjenja gospodarske aktivnosti uslijed pandemije COVID-19 dolazi i do smanjenja ukupne količine proizvedenog otpadnog tekstila i otpadne obuće za 12 % u odnosu na 2019. godinu. U 2021. godini ponovo se bilježi porast količine nastalog tekstilnog otpada, no još uvijek se ne dostižu vrijednosti iz 2015. godine. Procijenjena ukupna količina nastalog otpadnog tekstila i otpadne obuće u 2021. godini iznosila je 55.638 tona. </w:t>
      </w:r>
    </w:p>
    <w:p w14:paraId="0FC92997" w14:textId="77777777" w:rsidR="00626A80" w:rsidRDefault="00626A80" w:rsidP="00626A80">
      <w:r>
        <w:t xml:space="preserve">Količine odvojeno sakupljenog otpadnog tekstila i otpadne obuće u razdoblju od 2015. do 2021. godine također su u kontinuiranom porastu, uz iznimku u 2020. godini. Porast stope odvojenog sakupljanja u promatranom razdoblju iznosi 8 postotnih bodova. </w:t>
      </w:r>
    </w:p>
    <w:p w14:paraId="34A03807" w14:textId="66974496" w:rsidR="00612DE8" w:rsidRDefault="00626A80" w:rsidP="00626A80">
      <w:r>
        <w:lastRenderedPageBreak/>
        <w:t xml:space="preserve">U 2021. godini odvojeno je sakupljeno 12.826 tona otpadnog tekstila i otpadne obuće, odnosno 23 % ukupno nastale količine. </w:t>
      </w:r>
    </w:p>
    <w:p w14:paraId="542F15B4" w14:textId="77777777" w:rsidR="0068477A" w:rsidRDefault="0068477A" w:rsidP="00626A80"/>
    <w:p w14:paraId="2227F0EF" w14:textId="23E8DC7D" w:rsidR="00612DE8" w:rsidRPr="00223644" w:rsidRDefault="00612DE8" w:rsidP="00612DE8">
      <w:pPr>
        <w:pStyle w:val="Slika"/>
      </w:pPr>
      <w:bookmarkStart w:id="80" w:name="_Toc125363930"/>
      <w:r w:rsidRPr="00223644">
        <w:t xml:space="preserve">Slika </w:t>
      </w:r>
      <w:fldSimple w:instr=" SEQ Slika \* ARABIC ">
        <w:r w:rsidR="00F37B62">
          <w:rPr>
            <w:noProof/>
          </w:rPr>
          <w:t>25</w:t>
        </w:r>
      </w:fldSimple>
      <w:r w:rsidRPr="00223644">
        <w:t xml:space="preserve">. </w:t>
      </w:r>
      <w:r w:rsidRPr="00612DE8">
        <w:rPr>
          <w:b w:val="0"/>
          <w:bCs/>
        </w:rPr>
        <w:t>Nastali i odvojeno sakupljeni otpadni tekstil i obuća u razdoblju od 2010. do 202</w:t>
      </w:r>
      <w:r w:rsidR="00503ADD">
        <w:rPr>
          <w:b w:val="0"/>
          <w:bCs/>
        </w:rPr>
        <w:t>1</w:t>
      </w:r>
      <w:r w:rsidRPr="00612DE8">
        <w:rPr>
          <w:b w:val="0"/>
          <w:bCs/>
        </w:rPr>
        <w:t>. godine</w:t>
      </w:r>
      <w:bookmarkEnd w:id="80"/>
    </w:p>
    <w:p w14:paraId="45B076D8" w14:textId="7422FEB3" w:rsidR="00503ADD" w:rsidRPr="003D2953" w:rsidRDefault="00503ADD" w:rsidP="00503ADD">
      <w:pPr>
        <w:pStyle w:val="box469392"/>
        <w:shd w:val="clear" w:color="auto" w:fill="FFFFFF"/>
        <w:spacing w:before="120" w:beforeAutospacing="0" w:after="120" w:afterAutospacing="0"/>
        <w:textAlignment w:val="baseline"/>
        <w:rPr>
          <w:rFonts w:asciiTheme="minorHAnsi" w:hAnsiTheme="minorHAnsi" w:cstheme="minorHAnsi"/>
          <w:sz w:val="22"/>
          <w:szCs w:val="22"/>
        </w:rPr>
      </w:pPr>
      <w:r w:rsidRPr="003D2953">
        <w:rPr>
          <w:rFonts w:asciiTheme="minorHAnsi" w:hAnsiTheme="minorHAnsi" w:cstheme="minorHAnsi"/>
          <w:sz w:val="22"/>
          <w:szCs w:val="22"/>
        </w:rPr>
        <w:t>U miješano</w:t>
      </w:r>
      <w:r>
        <w:rPr>
          <w:rFonts w:asciiTheme="minorHAnsi" w:hAnsiTheme="minorHAnsi" w:cstheme="minorHAnsi"/>
          <w:sz w:val="22"/>
          <w:szCs w:val="22"/>
        </w:rPr>
        <w:t>m</w:t>
      </w:r>
      <w:r w:rsidRPr="003D2953">
        <w:rPr>
          <w:rFonts w:asciiTheme="minorHAnsi" w:hAnsiTheme="minorHAnsi" w:cstheme="minorHAnsi"/>
          <w:sz w:val="22"/>
          <w:szCs w:val="22"/>
        </w:rPr>
        <w:t xml:space="preserve"> komunalno</w:t>
      </w:r>
      <w:r>
        <w:rPr>
          <w:rFonts w:asciiTheme="minorHAnsi" w:hAnsiTheme="minorHAnsi" w:cstheme="minorHAnsi"/>
          <w:sz w:val="22"/>
          <w:szCs w:val="22"/>
        </w:rPr>
        <w:t>m</w:t>
      </w:r>
      <w:r w:rsidRPr="003D2953">
        <w:rPr>
          <w:rFonts w:asciiTheme="minorHAnsi" w:hAnsiTheme="minorHAnsi" w:cstheme="minorHAnsi"/>
          <w:sz w:val="22"/>
          <w:szCs w:val="22"/>
        </w:rPr>
        <w:t xml:space="preserve"> otpad</w:t>
      </w:r>
      <w:r>
        <w:rPr>
          <w:rFonts w:asciiTheme="minorHAnsi" w:hAnsiTheme="minorHAnsi" w:cstheme="minorHAnsi"/>
          <w:sz w:val="22"/>
          <w:szCs w:val="22"/>
        </w:rPr>
        <w:t>u</w:t>
      </w:r>
      <w:r w:rsidRPr="003D2953">
        <w:rPr>
          <w:rFonts w:asciiTheme="minorHAnsi" w:hAnsiTheme="minorHAnsi" w:cstheme="minorHAnsi"/>
          <w:sz w:val="22"/>
          <w:szCs w:val="22"/>
        </w:rPr>
        <w:t xml:space="preserve"> završilo 37.281 tona, u glomazno</w:t>
      </w:r>
      <w:r>
        <w:rPr>
          <w:rFonts w:asciiTheme="minorHAnsi" w:hAnsiTheme="minorHAnsi" w:cstheme="minorHAnsi"/>
          <w:sz w:val="22"/>
          <w:szCs w:val="22"/>
        </w:rPr>
        <w:t>m</w:t>
      </w:r>
      <w:r w:rsidRPr="003D2953">
        <w:rPr>
          <w:rFonts w:asciiTheme="minorHAnsi" w:hAnsiTheme="minorHAnsi" w:cstheme="minorHAnsi"/>
          <w:sz w:val="22"/>
          <w:szCs w:val="22"/>
        </w:rPr>
        <w:t xml:space="preserve"> otpad</w:t>
      </w:r>
      <w:r>
        <w:rPr>
          <w:rFonts w:asciiTheme="minorHAnsi" w:hAnsiTheme="minorHAnsi" w:cstheme="minorHAnsi"/>
          <w:sz w:val="22"/>
          <w:szCs w:val="22"/>
        </w:rPr>
        <w:t>u</w:t>
      </w:r>
      <w:r w:rsidRPr="003D2953">
        <w:rPr>
          <w:rFonts w:asciiTheme="minorHAnsi" w:hAnsiTheme="minorHAnsi" w:cstheme="minorHAnsi"/>
          <w:sz w:val="22"/>
          <w:szCs w:val="22"/>
        </w:rPr>
        <w:t xml:space="preserve"> 5.163 tone</w:t>
      </w:r>
      <w:r w:rsidR="00CA35F5">
        <w:rPr>
          <w:rFonts w:asciiTheme="minorHAnsi" w:hAnsiTheme="minorHAnsi" w:cstheme="minorHAnsi"/>
          <w:sz w:val="22"/>
          <w:szCs w:val="22"/>
        </w:rPr>
        <w:t xml:space="preserve"> </w:t>
      </w:r>
      <w:r w:rsidRPr="003D2953">
        <w:rPr>
          <w:rStyle w:val="footnote-holder"/>
          <w:rFonts w:asciiTheme="minorHAnsi" w:eastAsia="Calibri Light" w:hAnsiTheme="minorHAnsi" w:cstheme="minorHAnsi"/>
          <w:sz w:val="22"/>
          <w:szCs w:val="22"/>
          <w:bdr w:val="none" w:sz="0" w:space="0" w:color="auto" w:frame="1"/>
          <w:vertAlign w:val="superscript"/>
        </w:rPr>
        <w:t xml:space="preserve"> </w:t>
      </w:r>
      <w:r w:rsidRPr="003D2953">
        <w:rPr>
          <w:rFonts w:asciiTheme="minorHAnsi" w:hAnsiTheme="minorHAnsi" w:cstheme="minorHAnsi"/>
          <w:sz w:val="22"/>
          <w:szCs w:val="22"/>
        </w:rPr>
        <w:t>i u otpadni</w:t>
      </w:r>
      <w:r>
        <w:rPr>
          <w:rFonts w:asciiTheme="minorHAnsi" w:hAnsiTheme="minorHAnsi" w:cstheme="minorHAnsi"/>
          <w:sz w:val="22"/>
          <w:szCs w:val="22"/>
        </w:rPr>
        <w:t>m</w:t>
      </w:r>
      <w:r w:rsidRPr="003D2953">
        <w:rPr>
          <w:rFonts w:asciiTheme="minorHAnsi" w:hAnsiTheme="minorHAnsi" w:cstheme="minorHAnsi"/>
          <w:sz w:val="22"/>
          <w:szCs w:val="22"/>
        </w:rPr>
        <w:t xml:space="preserve"> vozil</w:t>
      </w:r>
      <w:r>
        <w:rPr>
          <w:rFonts w:asciiTheme="minorHAnsi" w:hAnsiTheme="minorHAnsi" w:cstheme="minorHAnsi"/>
          <w:sz w:val="22"/>
          <w:szCs w:val="22"/>
        </w:rPr>
        <w:t>ima</w:t>
      </w:r>
      <w:r w:rsidRPr="003D2953">
        <w:rPr>
          <w:rFonts w:asciiTheme="minorHAnsi" w:hAnsiTheme="minorHAnsi" w:cstheme="minorHAnsi"/>
          <w:sz w:val="22"/>
          <w:szCs w:val="22"/>
        </w:rPr>
        <w:t xml:space="preserve"> 368 tona</w:t>
      </w:r>
      <w:r>
        <w:rPr>
          <w:rFonts w:asciiTheme="minorHAnsi" w:hAnsiTheme="minorHAnsi" w:cstheme="minorHAnsi"/>
          <w:sz w:val="22"/>
          <w:szCs w:val="22"/>
        </w:rPr>
        <w:t xml:space="preserve"> </w:t>
      </w:r>
      <w:r w:rsidRPr="00503ADD">
        <w:rPr>
          <w:rFonts w:asciiTheme="minorHAnsi" w:hAnsiTheme="minorHAnsi" w:cstheme="minorHAnsi"/>
          <w:sz w:val="22"/>
          <w:szCs w:val="22"/>
        </w:rPr>
        <w:t>(</w:t>
      </w:r>
      <w:r w:rsidRPr="00503ADD">
        <w:rPr>
          <w:rFonts w:asciiTheme="minorHAnsi" w:hAnsiTheme="minorHAnsi" w:cstheme="minorHAnsi"/>
          <w:sz w:val="22"/>
          <w:szCs w:val="22"/>
        </w:rPr>
        <w:fldChar w:fldCharType="begin"/>
      </w:r>
      <w:r w:rsidRPr="00503ADD">
        <w:rPr>
          <w:rFonts w:asciiTheme="minorHAnsi" w:hAnsiTheme="minorHAnsi" w:cstheme="minorHAnsi"/>
          <w:sz w:val="22"/>
          <w:szCs w:val="22"/>
        </w:rPr>
        <w:instrText xml:space="preserve"> REF _Ref119226232 \h  \* MERGEFORMAT </w:instrText>
      </w:r>
      <w:r w:rsidRPr="00503ADD">
        <w:rPr>
          <w:rFonts w:asciiTheme="minorHAnsi" w:hAnsiTheme="minorHAnsi" w:cstheme="minorHAnsi"/>
          <w:sz w:val="22"/>
          <w:szCs w:val="22"/>
        </w:rPr>
      </w:r>
      <w:r w:rsidRPr="00503ADD">
        <w:rPr>
          <w:rFonts w:asciiTheme="minorHAnsi" w:hAnsiTheme="minorHAnsi" w:cstheme="minorHAnsi"/>
          <w:sz w:val="22"/>
          <w:szCs w:val="22"/>
        </w:rPr>
        <w:fldChar w:fldCharType="separate"/>
      </w:r>
      <w:r w:rsidR="00F37B62">
        <w:rPr>
          <w:rFonts w:asciiTheme="minorHAnsi" w:hAnsiTheme="minorHAnsi" w:cstheme="minorHAnsi"/>
          <w:b/>
          <w:bCs/>
          <w:sz w:val="22"/>
          <w:szCs w:val="22"/>
        </w:rPr>
        <w:t>Pogreška! Izvor reference nije pronađen.</w:t>
      </w:r>
      <w:r w:rsidRPr="00503ADD">
        <w:rPr>
          <w:rFonts w:asciiTheme="minorHAnsi" w:hAnsiTheme="minorHAnsi" w:cstheme="minorHAnsi"/>
          <w:sz w:val="22"/>
          <w:szCs w:val="22"/>
        </w:rPr>
        <w:fldChar w:fldCharType="end"/>
      </w:r>
      <w:r w:rsidRPr="00503ADD">
        <w:rPr>
          <w:rFonts w:asciiTheme="minorHAnsi" w:hAnsiTheme="minorHAnsi" w:cstheme="minorHAnsi"/>
          <w:sz w:val="22"/>
          <w:szCs w:val="22"/>
        </w:rPr>
        <w:t>)</w:t>
      </w:r>
      <w:r w:rsidRPr="003D2953">
        <w:rPr>
          <w:rFonts w:asciiTheme="minorHAnsi" w:hAnsiTheme="minorHAnsi" w:cstheme="minorHAnsi"/>
          <w:sz w:val="22"/>
          <w:szCs w:val="22"/>
        </w:rPr>
        <w:t xml:space="preserve">. Iz navedenih složenih vrsta svega se 2 % otpadnog tekstila i obuće izdvoji i uputi na recikliranje, dok ostatak u sklopu glomaznog otpada i miješanog komunalnog otpada završi na odlagalištima otpada i postrojenjima za MBO. </w:t>
      </w:r>
    </w:p>
    <w:p w14:paraId="0D88913A" w14:textId="7F9D3564" w:rsidR="00503ADD" w:rsidRPr="00223644" w:rsidRDefault="00503ADD" w:rsidP="00503ADD">
      <w:pPr>
        <w:pStyle w:val="Tablica"/>
      </w:pPr>
      <w:bookmarkStart w:id="81" w:name="_Toc125364398"/>
      <w:r w:rsidRPr="00223644">
        <w:t xml:space="preserve">Tablica </w:t>
      </w:r>
      <w:fldSimple w:instr=" SEQ Tablica \* ARABIC ">
        <w:r w:rsidR="00F37B62">
          <w:rPr>
            <w:noProof/>
          </w:rPr>
          <w:t>9</w:t>
        </w:r>
      </w:fldSimple>
      <w:r w:rsidRPr="00223644">
        <w:t xml:space="preserve">. Procijenjena ukupna količina </w:t>
      </w:r>
      <w:r>
        <w:t xml:space="preserve">nastalog </w:t>
      </w:r>
      <w:r w:rsidRPr="00223644">
        <w:t>otpadnog tekstila i otpadne obuće za 202</w:t>
      </w:r>
      <w:r>
        <w:t>1</w:t>
      </w:r>
      <w:r w:rsidRPr="00223644">
        <w:t>. godinu</w:t>
      </w:r>
      <w:bookmarkEnd w:id="81"/>
    </w:p>
    <w:tbl>
      <w:tblPr>
        <w:tblStyle w:val="Reetkatablice"/>
        <w:tblW w:w="0" w:type="auto"/>
        <w:tblLook w:val="04A0" w:firstRow="1" w:lastRow="0" w:firstColumn="1" w:lastColumn="0" w:noHBand="0" w:noVBand="1"/>
      </w:tblPr>
      <w:tblGrid>
        <w:gridCol w:w="4521"/>
        <w:gridCol w:w="4519"/>
      </w:tblGrid>
      <w:tr w:rsidR="00776655" w:rsidRPr="00612DE8" w14:paraId="5F910E27" w14:textId="77777777" w:rsidTr="00A41D37">
        <w:trPr>
          <w:tblHeader/>
        </w:trPr>
        <w:tc>
          <w:tcPr>
            <w:tcW w:w="4530" w:type="dxa"/>
            <w:shd w:val="clear" w:color="auto" w:fill="002060"/>
          </w:tcPr>
          <w:p w14:paraId="4B38264D" w14:textId="77777777" w:rsidR="00503ADD" w:rsidRPr="00612DE8" w:rsidRDefault="00503ADD" w:rsidP="00A41D37">
            <w:pPr>
              <w:jc w:val="center"/>
              <w:rPr>
                <w:b/>
                <w:bCs/>
                <w:color w:val="FFFFFF" w:themeColor="background1"/>
                <w:sz w:val="20"/>
                <w:szCs w:val="24"/>
              </w:rPr>
            </w:pPr>
            <w:r w:rsidRPr="00612DE8">
              <w:rPr>
                <w:b/>
                <w:bCs/>
                <w:color w:val="FFFFFF" w:themeColor="background1"/>
                <w:sz w:val="20"/>
                <w:szCs w:val="24"/>
              </w:rPr>
              <w:t xml:space="preserve">Porijeklo </w:t>
            </w:r>
          </w:p>
        </w:tc>
        <w:tc>
          <w:tcPr>
            <w:tcW w:w="4530" w:type="dxa"/>
            <w:shd w:val="clear" w:color="auto" w:fill="002060"/>
          </w:tcPr>
          <w:p w14:paraId="442235B5" w14:textId="77777777" w:rsidR="00503ADD" w:rsidRPr="00612DE8" w:rsidRDefault="00503ADD" w:rsidP="00A41D37">
            <w:pPr>
              <w:jc w:val="center"/>
              <w:rPr>
                <w:b/>
                <w:bCs/>
                <w:color w:val="FFFFFF" w:themeColor="background1"/>
                <w:sz w:val="20"/>
                <w:szCs w:val="24"/>
              </w:rPr>
            </w:pPr>
            <w:r w:rsidRPr="00612DE8">
              <w:rPr>
                <w:b/>
                <w:bCs/>
                <w:color w:val="FFFFFF" w:themeColor="background1"/>
                <w:sz w:val="20"/>
                <w:szCs w:val="24"/>
              </w:rPr>
              <w:t>Količina (t)</w:t>
            </w:r>
          </w:p>
        </w:tc>
      </w:tr>
      <w:tr w:rsidR="00776655" w:rsidRPr="00612DE8" w14:paraId="7C8ADC22" w14:textId="77777777" w:rsidTr="00A41D37">
        <w:tc>
          <w:tcPr>
            <w:tcW w:w="4530" w:type="dxa"/>
          </w:tcPr>
          <w:p w14:paraId="33F1BB80" w14:textId="77777777" w:rsidR="00503ADD" w:rsidRPr="00612DE8" w:rsidRDefault="00503ADD" w:rsidP="00A41D37">
            <w:pPr>
              <w:rPr>
                <w:sz w:val="20"/>
                <w:szCs w:val="24"/>
              </w:rPr>
            </w:pPr>
            <w:r w:rsidRPr="00612DE8">
              <w:rPr>
                <w:sz w:val="20"/>
                <w:szCs w:val="24"/>
              </w:rPr>
              <w:t>Odvojeno sakupljeno</w:t>
            </w:r>
          </w:p>
        </w:tc>
        <w:tc>
          <w:tcPr>
            <w:tcW w:w="4530" w:type="dxa"/>
          </w:tcPr>
          <w:p w14:paraId="5BB2FF48" w14:textId="77777777" w:rsidR="00503ADD" w:rsidRPr="00612DE8" w:rsidRDefault="00503ADD" w:rsidP="00A41D37">
            <w:pPr>
              <w:jc w:val="right"/>
              <w:rPr>
                <w:sz w:val="20"/>
                <w:szCs w:val="24"/>
              </w:rPr>
            </w:pPr>
            <w:r>
              <w:rPr>
                <w:sz w:val="20"/>
                <w:szCs w:val="24"/>
              </w:rPr>
              <w:t>12.826</w:t>
            </w:r>
          </w:p>
        </w:tc>
      </w:tr>
      <w:tr w:rsidR="00776655" w:rsidRPr="00612DE8" w14:paraId="458D96BC" w14:textId="77777777" w:rsidTr="00A41D37">
        <w:tc>
          <w:tcPr>
            <w:tcW w:w="4530" w:type="dxa"/>
          </w:tcPr>
          <w:p w14:paraId="5C04D397" w14:textId="77777777" w:rsidR="00503ADD" w:rsidRPr="00612DE8" w:rsidRDefault="00503ADD" w:rsidP="00A41D37">
            <w:pPr>
              <w:rPr>
                <w:sz w:val="20"/>
                <w:szCs w:val="24"/>
              </w:rPr>
            </w:pPr>
            <w:r>
              <w:rPr>
                <w:sz w:val="20"/>
                <w:szCs w:val="24"/>
              </w:rPr>
              <w:t xml:space="preserve">U </w:t>
            </w:r>
            <w:r w:rsidRPr="00612DE8">
              <w:rPr>
                <w:sz w:val="20"/>
                <w:szCs w:val="24"/>
              </w:rPr>
              <w:t>miješano</w:t>
            </w:r>
            <w:r>
              <w:rPr>
                <w:sz w:val="20"/>
                <w:szCs w:val="24"/>
              </w:rPr>
              <w:t>m</w:t>
            </w:r>
            <w:r w:rsidRPr="00612DE8">
              <w:rPr>
                <w:sz w:val="20"/>
                <w:szCs w:val="24"/>
              </w:rPr>
              <w:t xml:space="preserve"> komunalno</w:t>
            </w:r>
            <w:r>
              <w:rPr>
                <w:sz w:val="20"/>
                <w:szCs w:val="24"/>
              </w:rPr>
              <w:t>m</w:t>
            </w:r>
            <w:r w:rsidRPr="00612DE8">
              <w:rPr>
                <w:sz w:val="20"/>
                <w:szCs w:val="24"/>
              </w:rPr>
              <w:t xml:space="preserve"> otpad</w:t>
            </w:r>
            <w:r>
              <w:rPr>
                <w:sz w:val="20"/>
                <w:szCs w:val="24"/>
              </w:rPr>
              <w:t>u</w:t>
            </w:r>
          </w:p>
        </w:tc>
        <w:tc>
          <w:tcPr>
            <w:tcW w:w="4530" w:type="dxa"/>
          </w:tcPr>
          <w:p w14:paraId="40363DDE" w14:textId="77777777" w:rsidR="00503ADD" w:rsidRPr="00612DE8" w:rsidRDefault="00503ADD" w:rsidP="00A41D37">
            <w:pPr>
              <w:jc w:val="right"/>
              <w:rPr>
                <w:sz w:val="20"/>
                <w:szCs w:val="24"/>
              </w:rPr>
            </w:pPr>
            <w:r w:rsidRPr="00503ADD">
              <w:rPr>
                <w:sz w:val="20"/>
                <w:szCs w:val="24"/>
              </w:rPr>
              <w:t>37.281</w:t>
            </w:r>
          </w:p>
        </w:tc>
      </w:tr>
      <w:tr w:rsidR="00776655" w:rsidRPr="00612DE8" w14:paraId="17A898E7" w14:textId="77777777" w:rsidTr="00A41D37">
        <w:tc>
          <w:tcPr>
            <w:tcW w:w="4530" w:type="dxa"/>
          </w:tcPr>
          <w:p w14:paraId="4C6EF285" w14:textId="77777777" w:rsidR="00503ADD" w:rsidRPr="00612DE8" w:rsidRDefault="00503ADD" w:rsidP="00A41D37">
            <w:pPr>
              <w:rPr>
                <w:sz w:val="20"/>
                <w:szCs w:val="24"/>
              </w:rPr>
            </w:pPr>
            <w:r>
              <w:rPr>
                <w:sz w:val="20"/>
                <w:szCs w:val="24"/>
              </w:rPr>
              <w:t>U</w:t>
            </w:r>
            <w:r w:rsidRPr="00503ADD">
              <w:rPr>
                <w:sz w:val="20"/>
                <w:szCs w:val="24"/>
              </w:rPr>
              <w:t xml:space="preserve"> glomaznom otpadu</w:t>
            </w:r>
          </w:p>
        </w:tc>
        <w:tc>
          <w:tcPr>
            <w:tcW w:w="4530" w:type="dxa"/>
          </w:tcPr>
          <w:p w14:paraId="575AC064" w14:textId="77777777" w:rsidR="00503ADD" w:rsidRPr="00612DE8" w:rsidRDefault="00503ADD" w:rsidP="00A41D37">
            <w:pPr>
              <w:jc w:val="right"/>
              <w:rPr>
                <w:sz w:val="20"/>
                <w:szCs w:val="24"/>
              </w:rPr>
            </w:pPr>
            <w:r w:rsidRPr="00503ADD">
              <w:rPr>
                <w:sz w:val="20"/>
                <w:szCs w:val="24"/>
              </w:rPr>
              <w:t>5.163</w:t>
            </w:r>
          </w:p>
        </w:tc>
      </w:tr>
      <w:tr w:rsidR="00776655" w:rsidRPr="00612DE8" w14:paraId="70C5F4DC" w14:textId="77777777" w:rsidTr="00A41D37">
        <w:tc>
          <w:tcPr>
            <w:tcW w:w="4530" w:type="dxa"/>
          </w:tcPr>
          <w:p w14:paraId="6DAC8D81" w14:textId="77777777" w:rsidR="00503ADD" w:rsidRPr="00612DE8" w:rsidRDefault="00503ADD" w:rsidP="00A41D37">
            <w:pPr>
              <w:rPr>
                <w:sz w:val="20"/>
                <w:szCs w:val="24"/>
              </w:rPr>
            </w:pPr>
            <w:r>
              <w:rPr>
                <w:sz w:val="20"/>
                <w:szCs w:val="24"/>
              </w:rPr>
              <w:t>U</w:t>
            </w:r>
            <w:r w:rsidRPr="00503ADD">
              <w:rPr>
                <w:sz w:val="20"/>
                <w:szCs w:val="24"/>
              </w:rPr>
              <w:t xml:space="preserve"> otpadnim vozilima</w:t>
            </w:r>
            <w:r w:rsidRPr="00612DE8">
              <w:rPr>
                <w:sz w:val="20"/>
                <w:szCs w:val="24"/>
              </w:rPr>
              <w:t xml:space="preserve"> </w:t>
            </w:r>
          </w:p>
        </w:tc>
        <w:tc>
          <w:tcPr>
            <w:tcW w:w="4530" w:type="dxa"/>
          </w:tcPr>
          <w:p w14:paraId="0FBD7CE9" w14:textId="77777777" w:rsidR="00503ADD" w:rsidRPr="00612DE8" w:rsidRDefault="00503ADD" w:rsidP="00A41D37">
            <w:pPr>
              <w:jc w:val="right"/>
              <w:rPr>
                <w:sz w:val="20"/>
                <w:szCs w:val="24"/>
              </w:rPr>
            </w:pPr>
            <w:r>
              <w:rPr>
                <w:sz w:val="20"/>
                <w:szCs w:val="24"/>
              </w:rPr>
              <w:t>368</w:t>
            </w:r>
          </w:p>
        </w:tc>
      </w:tr>
      <w:tr w:rsidR="00776655" w:rsidRPr="00612DE8" w14:paraId="55A1C039" w14:textId="77777777" w:rsidTr="00A41D37">
        <w:tc>
          <w:tcPr>
            <w:tcW w:w="4530" w:type="dxa"/>
          </w:tcPr>
          <w:p w14:paraId="5243AC00" w14:textId="77777777" w:rsidR="00503ADD" w:rsidRPr="00612DE8" w:rsidRDefault="00503ADD" w:rsidP="00A41D37">
            <w:pPr>
              <w:jc w:val="right"/>
              <w:rPr>
                <w:b/>
                <w:bCs/>
                <w:sz w:val="20"/>
                <w:szCs w:val="24"/>
              </w:rPr>
            </w:pPr>
            <w:r w:rsidRPr="00612DE8">
              <w:rPr>
                <w:b/>
                <w:bCs/>
                <w:sz w:val="20"/>
                <w:szCs w:val="24"/>
              </w:rPr>
              <w:t>Ukupno nastalo</w:t>
            </w:r>
          </w:p>
        </w:tc>
        <w:tc>
          <w:tcPr>
            <w:tcW w:w="4530" w:type="dxa"/>
          </w:tcPr>
          <w:p w14:paraId="092A5F6F" w14:textId="77777777" w:rsidR="00503ADD" w:rsidRPr="00612DE8" w:rsidRDefault="00503ADD" w:rsidP="00A41D37">
            <w:pPr>
              <w:jc w:val="right"/>
              <w:rPr>
                <w:b/>
                <w:bCs/>
                <w:sz w:val="20"/>
                <w:szCs w:val="24"/>
              </w:rPr>
            </w:pPr>
            <w:r>
              <w:rPr>
                <w:b/>
                <w:bCs/>
                <w:sz w:val="20"/>
                <w:szCs w:val="24"/>
              </w:rPr>
              <w:t>55.638</w:t>
            </w:r>
          </w:p>
        </w:tc>
      </w:tr>
    </w:tbl>
    <w:p w14:paraId="1DCC0B39" w14:textId="3E4BE3C1" w:rsidR="00503ADD" w:rsidRPr="003D2953" w:rsidRDefault="00503ADD" w:rsidP="00503ADD">
      <w:pPr>
        <w:pStyle w:val="box469392"/>
        <w:shd w:val="clear" w:color="auto" w:fill="FFFFFF"/>
        <w:spacing w:before="120" w:beforeAutospacing="0" w:after="120" w:afterAutospacing="0"/>
        <w:textAlignment w:val="baseline"/>
        <w:rPr>
          <w:rFonts w:asciiTheme="minorHAnsi" w:hAnsiTheme="minorHAnsi" w:cstheme="minorHAnsi"/>
          <w:color w:val="231F20"/>
          <w:sz w:val="22"/>
          <w:szCs w:val="22"/>
        </w:rPr>
      </w:pPr>
      <w:r w:rsidRPr="003D2953">
        <w:rPr>
          <w:rFonts w:asciiTheme="minorHAnsi" w:hAnsiTheme="minorHAnsi" w:cstheme="minorHAnsi"/>
          <w:color w:val="231F20"/>
          <w:sz w:val="22"/>
          <w:szCs w:val="22"/>
        </w:rPr>
        <w:t>Od ukupne količine odvojeno sakupljenog otpadnog tekstila i otpadne obuće, u 2021. godini 75 % (9.558 tona) je obrađeno u RH i to uglavnom postupcima recikliranja i pripremnim postupcima za recikliranje (60 %), oko 7 % je spaljeno uz energetsku oporabu, 15 % je odloženo na odlagalištima otpada dok je oko 19 % bilo privremeno uskladišteno. U izvozu je završilo 25 % (3.268 tona) odvojeno sakupljenog otpadnog tekstila i otpadne obuće i to uglavnom na spaljivanju s energetskom oporabom, a manji dio na recikliranju.</w:t>
      </w:r>
    </w:p>
    <w:p w14:paraId="37D75084" w14:textId="77777777" w:rsidR="00503ADD" w:rsidRPr="003D2953" w:rsidRDefault="00503ADD" w:rsidP="00503ADD">
      <w:pPr>
        <w:pStyle w:val="box469392"/>
        <w:shd w:val="clear" w:color="auto" w:fill="FFFFFF"/>
        <w:spacing w:before="120" w:beforeAutospacing="0" w:after="120" w:afterAutospacing="0"/>
        <w:textAlignment w:val="baseline"/>
        <w:rPr>
          <w:rFonts w:asciiTheme="minorHAnsi" w:hAnsiTheme="minorHAnsi" w:cstheme="minorHAnsi"/>
          <w:color w:val="231F20"/>
          <w:sz w:val="22"/>
          <w:szCs w:val="22"/>
        </w:rPr>
      </w:pPr>
      <w:r w:rsidRPr="003D2953">
        <w:rPr>
          <w:rFonts w:asciiTheme="minorHAnsi" w:hAnsiTheme="minorHAnsi" w:cstheme="minorHAnsi"/>
          <w:color w:val="231F20"/>
          <w:sz w:val="22"/>
          <w:szCs w:val="22"/>
        </w:rPr>
        <w:t>Obrađivači RH su na obradu uvezli 2.317 tona otpadnog tekstila i otpadne obuće iz drugih zemalja.</w:t>
      </w:r>
    </w:p>
    <w:p w14:paraId="7152CBC0" w14:textId="406687DA" w:rsidR="00612DE8" w:rsidRDefault="00503ADD" w:rsidP="00503ADD">
      <w:r>
        <w:rPr>
          <w:color w:val="231F20"/>
        </w:rPr>
        <w:t>U nastavku se daje pregled postupanja s ukupnim količinama nastalog otpadnog tekstila i obuće u 2021. godini.</w:t>
      </w:r>
      <w:r w:rsidR="00612DE8" w:rsidRPr="00223644">
        <w:t xml:space="preserve"> </w:t>
      </w:r>
    </w:p>
    <w:p w14:paraId="387691AF" w14:textId="77777777" w:rsidR="0068477A" w:rsidRPr="00223644" w:rsidRDefault="0068477A" w:rsidP="00503ADD"/>
    <w:p w14:paraId="010A67CE" w14:textId="687E1A9D" w:rsidR="00FB35E6" w:rsidRPr="00BB2706" w:rsidRDefault="00503ADD" w:rsidP="00BB2706">
      <w:pPr>
        <w:pStyle w:val="Slika"/>
      </w:pPr>
      <w:bookmarkStart w:id="82" w:name="_Toc125363931"/>
      <w:r w:rsidRPr="003D2953">
        <w:rPr>
          <w:bCs/>
        </w:rPr>
        <w:t xml:space="preserve">Slika </w:t>
      </w:r>
      <w:r w:rsidRPr="003D2953">
        <w:rPr>
          <w:bCs/>
        </w:rPr>
        <w:fldChar w:fldCharType="begin"/>
      </w:r>
      <w:r w:rsidRPr="003D2953">
        <w:rPr>
          <w:bCs/>
        </w:rPr>
        <w:instrText xml:space="preserve"> SEQ Slika \* ARABIC </w:instrText>
      </w:r>
      <w:r w:rsidRPr="003D2953">
        <w:rPr>
          <w:bCs/>
        </w:rPr>
        <w:fldChar w:fldCharType="separate"/>
      </w:r>
      <w:r w:rsidR="00F37B62">
        <w:rPr>
          <w:bCs/>
          <w:noProof/>
        </w:rPr>
        <w:t>26</w:t>
      </w:r>
      <w:r w:rsidRPr="003D2953">
        <w:rPr>
          <w:bCs/>
        </w:rPr>
        <w:fldChar w:fldCharType="end"/>
      </w:r>
      <w:r w:rsidRPr="003D2953">
        <w:t xml:space="preserve">. </w:t>
      </w:r>
      <w:r w:rsidRPr="00BB2706">
        <w:rPr>
          <w:b w:val="0"/>
        </w:rPr>
        <w:t>Postupanja s ukupnim količinama nastalog otpadnog tekstila i obuće u 2021. godini</w:t>
      </w:r>
      <w:bookmarkEnd w:id="82"/>
    </w:p>
    <w:p w14:paraId="66AB4549" w14:textId="0A42F5C4" w:rsidR="00503ADD" w:rsidRDefault="00503ADD" w:rsidP="00612DE8">
      <w:r w:rsidRPr="00CE056C">
        <w:rPr>
          <w:color w:val="231F20"/>
        </w:rPr>
        <w:t>U 2021. godini ukupno je 159 tvrtki posjedovalo dozvolu za gospodarenje otpadnim tekstilom i otpadnom obućom. Najveći broj tvrtki jesu komunalne tvrtke čije dozvole obuhvaćaju gotovo sve vrste komunalnog otpada, pa tako i otpadni tekstil i otpadnu obuću</w:t>
      </w:r>
      <w:r w:rsidRPr="00CE056C">
        <w:rPr>
          <w:rStyle w:val="Referencafusnote"/>
          <w:color w:val="231F20"/>
        </w:rPr>
        <w:footnoteReference w:id="21"/>
      </w:r>
      <w:r w:rsidRPr="00CE056C">
        <w:rPr>
          <w:color w:val="231F20"/>
        </w:rPr>
        <w:t>. Dozvole se većinom odnose na sakupljanje i skladištenje, a ukoliko se odnose na postupke oporabe (R) najčešće se radi o postupcima razvrstavanja odnosno pripreme radi upućivanja na daljnje postupke korištenja ili oporabe (u zemlji ili inozemstvu).</w:t>
      </w:r>
    </w:p>
    <w:p w14:paraId="37770BAA" w14:textId="30DBD7F4" w:rsidR="00612DE8" w:rsidRDefault="00612DE8" w:rsidP="00612DE8">
      <w:r w:rsidRPr="00223644">
        <w:t xml:space="preserve"> </w:t>
      </w:r>
    </w:p>
    <w:p w14:paraId="29CA2BFF" w14:textId="18C2E5CF" w:rsidR="005639D7" w:rsidRPr="00460193" w:rsidRDefault="005639D7" w:rsidP="00700671">
      <w:pPr>
        <w:pStyle w:val="IRNaslov4"/>
        <w:pageBreakBefore/>
      </w:pPr>
      <w:r w:rsidRPr="00460193">
        <w:lastRenderedPageBreak/>
        <w:t>Otpadna ambalaža</w:t>
      </w:r>
    </w:p>
    <w:p w14:paraId="547934CE" w14:textId="079A5134" w:rsidR="00FB35E6" w:rsidRPr="00D763AB" w:rsidRDefault="000F662A" w:rsidP="00FB35E6">
      <w:pPr>
        <w:rPr>
          <w:lang w:eastAsia="hr-HR"/>
        </w:rPr>
      </w:pPr>
      <w:r w:rsidRPr="000F662A">
        <w:rPr>
          <w:lang w:eastAsia="hr-HR"/>
        </w:rPr>
        <w:t>Pregled količina ambalaže stavljene na tržište, od 2015. (215.5134 tona) do 2019. (301.099 tona) pokazuje trend porasta, dok 2020. (291.630 tona) pokazuje smanjenje količine ambalaže stavljene na tržište od 11 % u odnosu na prethodnu godinu kao posljedica smanjene gospodarske aktivnosti zbog pandemije COVID 19. Količina od 291.630 tona ambalaže stavljena na tržište u 2021. pokazuje trend porasta iako ne premašuje količine iz 2019. Podaci za 2021. pokazuju da su u porastu količine ambalaže od stakla (13 %), papira i kartona (7 %) te višeslojna ambalaža (4 %).</w:t>
      </w:r>
    </w:p>
    <w:p w14:paraId="48EBAC1C" w14:textId="0CF083F4" w:rsidR="00FB35E6" w:rsidRDefault="00FB35E6" w:rsidP="00FB35E6">
      <w:pPr>
        <w:rPr>
          <w:lang w:eastAsia="hr-HR"/>
        </w:rPr>
      </w:pPr>
      <w:r w:rsidRPr="00D763AB">
        <w:rPr>
          <w:lang w:eastAsia="hr-HR"/>
        </w:rPr>
        <w:t>Najzastupljenij</w:t>
      </w:r>
      <w:r>
        <w:rPr>
          <w:lang w:eastAsia="hr-HR"/>
        </w:rPr>
        <w:t>i</w:t>
      </w:r>
      <w:r w:rsidRPr="00D763AB">
        <w:rPr>
          <w:lang w:eastAsia="hr-HR"/>
        </w:rPr>
        <w:t xml:space="preserve"> ambalaž</w:t>
      </w:r>
      <w:r>
        <w:rPr>
          <w:lang w:eastAsia="hr-HR"/>
        </w:rPr>
        <w:t>ni materijali</w:t>
      </w:r>
      <w:r w:rsidRPr="00D763AB">
        <w:rPr>
          <w:lang w:eastAsia="hr-HR"/>
        </w:rPr>
        <w:t xml:space="preserve"> </w:t>
      </w:r>
      <w:r>
        <w:rPr>
          <w:lang w:eastAsia="hr-HR"/>
        </w:rPr>
        <w:t xml:space="preserve">koji se stavljaju </w:t>
      </w:r>
      <w:r w:rsidRPr="00D763AB">
        <w:rPr>
          <w:lang w:eastAsia="hr-HR"/>
        </w:rPr>
        <w:t>na tržišt</w:t>
      </w:r>
      <w:r>
        <w:rPr>
          <w:lang w:eastAsia="hr-HR"/>
        </w:rPr>
        <w:t xml:space="preserve">e su papir/karton s udjelom od </w:t>
      </w:r>
      <w:r w:rsidRPr="00D763AB">
        <w:rPr>
          <w:lang w:eastAsia="hr-HR"/>
        </w:rPr>
        <w:t>32 %, zatim stak</w:t>
      </w:r>
      <w:r>
        <w:rPr>
          <w:lang w:eastAsia="hr-HR"/>
        </w:rPr>
        <w:t>lo</w:t>
      </w:r>
      <w:r w:rsidRPr="00D763AB">
        <w:rPr>
          <w:lang w:eastAsia="hr-HR"/>
        </w:rPr>
        <w:t xml:space="preserve"> </w:t>
      </w:r>
      <w:r>
        <w:rPr>
          <w:lang w:eastAsia="hr-HR"/>
        </w:rPr>
        <w:t xml:space="preserve">s udjelom od </w:t>
      </w:r>
      <w:r w:rsidRPr="00D763AB">
        <w:rPr>
          <w:lang w:eastAsia="hr-HR"/>
        </w:rPr>
        <w:t>24</w:t>
      </w:r>
      <w:r>
        <w:rPr>
          <w:lang w:eastAsia="hr-HR"/>
        </w:rPr>
        <w:t xml:space="preserve"> %</w:t>
      </w:r>
      <w:r w:rsidRPr="00D763AB">
        <w:rPr>
          <w:lang w:eastAsia="hr-HR"/>
        </w:rPr>
        <w:t xml:space="preserve"> </w:t>
      </w:r>
      <w:r>
        <w:rPr>
          <w:lang w:eastAsia="hr-HR"/>
        </w:rPr>
        <w:t>te</w:t>
      </w:r>
      <w:r w:rsidRPr="00D763AB">
        <w:rPr>
          <w:lang w:eastAsia="hr-HR"/>
        </w:rPr>
        <w:t xml:space="preserve"> plastik</w:t>
      </w:r>
      <w:r>
        <w:rPr>
          <w:lang w:eastAsia="hr-HR"/>
        </w:rPr>
        <w:t>a s udjelom od 23 %</w:t>
      </w:r>
      <w:r w:rsidRPr="00D763AB">
        <w:rPr>
          <w:lang w:eastAsia="hr-HR"/>
        </w:rPr>
        <w:t xml:space="preserve"> (</w:t>
      </w:r>
      <w:r w:rsidRPr="00D763AB">
        <w:rPr>
          <w:lang w:eastAsia="hr-HR"/>
        </w:rPr>
        <w:fldChar w:fldCharType="begin"/>
      </w:r>
      <w:r w:rsidRPr="00D763AB">
        <w:rPr>
          <w:lang w:eastAsia="hr-HR"/>
        </w:rPr>
        <w:instrText xml:space="preserve"> REF _Ref112843383 \h  \* MERGEFORMAT </w:instrText>
      </w:r>
      <w:r w:rsidRPr="00D763AB">
        <w:rPr>
          <w:lang w:eastAsia="hr-HR"/>
        </w:rPr>
      </w:r>
      <w:r w:rsidRPr="00D763AB">
        <w:rPr>
          <w:lang w:eastAsia="hr-HR"/>
        </w:rPr>
        <w:fldChar w:fldCharType="separate"/>
      </w:r>
      <w:r w:rsidR="00F37B62" w:rsidRPr="00E433EF">
        <w:t xml:space="preserve">Slika </w:t>
      </w:r>
      <w:r w:rsidR="00F37B62">
        <w:rPr>
          <w:noProof/>
        </w:rPr>
        <w:t>27</w:t>
      </w:r>
      <w:r w:rsidRPr="00D763AB">
        <w:rPr>
          <w:lang w:eastAsia="hr-HR"/>
        </w:rPr>
        <w:fldChar w:fldCharType="end"/>
      </w:r>
      <w:r w:rsidRPr="00D763AB">
        <w:rPr>
          <w:lang w:eastAsia="hr-HR"/>
        </w:rPr>
        <w:t>).</w:t>
      </w:r>
    </w:p>
    <w:p w14:paraId="0202D786" w14:textId="77777777" w:rsidR="0068477A" w:rsidRPr="00D763AB" w:rsidRDefault="0068477A" w:rsidP="00FB35E6">
      <w:pPr>
        <w:rPr>
          <w:lang w:eastAsia="hr-HR"/>
        </w:rPr>
      </w:pPr>
    </w:p>
    <w:p w14:paraId="3B2DFCC0" w14:textId="77777777" w:rsidR="00FB35E6" w:rsidRPr="00FB35E6" w:rsidRDefault="00FB35E6" w:rsidP="00FB35E6">
      <w:pPr>
        <w:spacing w:after="0"/>
        <w:jc w:val="right"/>
        <w:rPr>
          <w:i/>
          <w:iCs/>
          <w:sz w:val="18"/>
          <w:szCs w:val="20"/>
        </w:rPr>
      </w:pPr>
      <w:r w:rsidRPr="00FB35E6">
        <w:rPr>
          <w:i/>
          <w:iCs/>
          <w:sz w:val="18"/>
          <w:szCs w:val="20"/>
        </w:rPr>
        <w:t>Izvor: FZOEU, MINGOR, 2021.</w:t>
      </w:r>
    </w:p>
    <w:p w14:paraId="6E4620F2" w14:textId="57BB8D49" w:rsidR="00FB35E6" w:rsidRPr="00E433EF" w:rsidRDefault="00FB35E6" w:rsidP="00FB35E6">
      <w:pPr>
        <w:pStyle w:val="Slika"/>
      </w:pPr>
      <w:bookmarkStart w:id="83" w:name="_Ref112843383"/>
      <w:bookmarkStart w:id="84" w:name="_Toc125363932"/>
      <w:r w:rsidRPr="00E433EF">
        <w:t xml:space="preserve">Slika </w:t>
      </w:r>
      <w:fldSimple w:instr=" SEQ Slika \* ARABIC ">
        <w:r w:rsidR="00F37B62">
          <w:rPr>
            <w:noProof/>
          </w:rPr>
          <w:t>27</w:t>
        </w:r>
      </w:fldSimple>
      <w:bookmarkEnd w:id="83"/>
      <w:r w:rsidRPr="00E433EF">
        <w:t xml:space="preserve">. </w:t>
      </w:r>
      <w:r w:rsidRPr="00FB35E6">
        <w:rPr>
          <w:b w:val="0"/>
          <w:bCs/>
        </w:rPr>
        <w:t>Zastupljenost ambalaže stavljene na tržište u 2021. godini po materijalima</w:t>
      </w:r>
      <w:bookmarkEnd w:id="84"/>
    </w:p>
    <w:p w14:paraId="136AE3E5" w14:textId="77777777" w:rsidR="00FB35E6" w:rsidRDefault="00FB35E6" w:rsidP="00FB35E6">
      <w:pPr>
        <w:rPr>
          <w:lang w:eastAsia="hr-HR"/>
        </w:rPr>
      </w:pPr>
      <w:r>
        <w:rPr>
          <w:lang w:eastAsia="hr-HR"/>
        </w:rPr>
        <w:t xml:space="preserve">U razdoblju od </w:t>
      </w:r>
      <w:r w:rsidRPr="00D763AB">
        <w:rPr>
          <w:lang w:eastAsia="hr-HR"/>
        </w:rPr>
        <w:t xml:space="preserve">2015. do </w:t>
      </w:r>
      <w:r>
        <w:rPr>
          <w:lang w:eastAsia="hr-HR"/>
        </w:rPr>
        <w:t>2018</w:t>
      </w:r>
      <w:r w:rsidRPr="00D763AB">
        <w:rPr>
          <w:lang w:eastAsia="hr-HR"/>
        </w:rPr>
        <w:t xml:space="preserve">. godine </w:t>
      </w:r>
      <w:r>
        <w:rPr>
          <w:lang w:eastAsia="hr-HR"/>
        </w:rPr>
        <w:t>k</w:t>
      </w:r>
      <w:r>
        <w:rPr>
          <w:color w:val="000000"/>
          <w:lang w:eastAsia="hr-HR"/>
        </w:rPr>
        <w:t xml:space="preserve">oličine </w:t>
      </w:r>
      <w:r w:rsidRPr="00D763AB">
        <w:rPr>
          <w:lang w:eastAsia="hr-HR"/>
        </w:rPr>
        <w:t>sakupljene</w:t>
      </w:r>
      <w:r>
        <w:rPr>
          <w:lang w:eastAsia="hr-HR"/>
        </w:rPr>
        <w:t xml:space="preserve"> </w:t>
      </w:r>
      <w:r w:rsidRPr="00D763AB">
        <w:rPr>
          <w:lang w:eastAsia="hr-HR"/>
        </w:rPr>
        <w:t xml:space="preserve">otpadne ambalaže </w:t>
      </w:r>
      <w:r>
        <w:rPr>
          <w:lang w:eastAsia="hr-HR"/>
        </w:rPr>
        <w:t xml:space="preserve">te </w:t>
      </w:r>
      <w:proofErr w:type="spellStart"/>
      <w:r>
        <w:rPr>
          <w:lang w:eastAsia="hr-HR"/>
        </w:rPr>
        <w:t>oporabljene</w:t>
      </w:r>
      <w:proofErr w:type="spellEnd"/>
      <w:r>
        <w:rPr>
          <w:lang w:eastAsia="hr-HR"/>
        </w:rPr>
        <w:t>/reciklirane</w:t>
      </w:r>
      <w:r w:rsidRPr="00D763AB">
        <w:rPr>
          <w:lang w:eastAsia="hr-HR"/>
        </w:rPr>
        <w:t xml:space="preserve"> </w:t>
      </w:r>
      <w:r>
        <w:rPr>
          <w:lang w:eastAsia="hr-HR"/>
        </w:rPr>
        <w:t xml:space="preserve">u okviru sustava FZOEU su u laganom porastu, dok se od 2019. do 2021. godine bilježi stagnacija. </w:t>
      </w:r>
    </w:p>
    <w:p w14:paraId="06B584F6" w14:textId="7BCE5AD2" w:rsidR="00FB35E6" w:rsidRDefault="00FB35E6" w:rsidP="00FB35E6">
      <w:pPr>
        <w:rPr>
          <w:lang w:eastAsia="hr-HR"/>
        </w:rPr>
      </w:pPr>
      <w:r>
        <w:rPr>
          <w:lang w:eastAsia="hr-HR"/>
        </w:rPr>
        <w:t>Ukupno je u 2021. godini</w:t>
      </w:r>
      <w:r w:rsidR="00D51A3C">
        <w:rPr>
          <w:lang w:eastAsia="hr-HR"/>
        </w:rPr>
        <w:t xml:space="preserve"> u sklopu sustava kojim upravlja FZOEU</w:t>
      </w:r>
      <w:r>
        <w:rPr>
          <w:lang w:eastAsia="hr-HR"/>
        </w:rPr>
        <w:t xml:space="preserve"> sakupljeno 156.227 tona otpadne ambalaže odnosno 54 % količine stavljene na tržište. </w:t>
      </w:r>
      <w:r w:rsidR="00D51A3C">
        <w:rPr>
          <w:lang w:eastAsia="hr-HR"/>
        </w:rPr>
        <w:t xml:space="preserve">Od navedene sakupljane količine </w:t>
      </w:r>
      <w:proofErr w:type="spellStart"/>
      <w:r w:rsidR="00D51A3C">
        <w:rPr>
          <w:lang w:eastAsia="hr-HR"/>
        </w:rPr>
        <w:t>o</w:t>
      </w:r>
      <w:r>
        <w:rPr>
          <w:lang w:eastAsia="hr-HR"/>
        </w:rPr>
        <w:t>porabljeno</w:t>
      </w:r>
      <w:proofErr w:type="spellEnd"/>
      <w:r>
        <w:rPr>
          <w:lang w:eastAsia="hr-HR"/>
        </w:rPr>
        <w:t xml:space="preserve"> 149.993</w:t>
      </w:r>
      <w:r w:rsidR="00D51A3C">
        <w:rPr>
          <w:lang w:eastAsia="hr-HR"/>
        </w:rPr>
        <w:t xml:space="preserve"> </w:t>
      </w:r>
      <w:r>
        <w:rPr>
          <w:lang w:eastAsia="hr-HR"/>
        </w:rPr>
        <w:t xml:space="preserve">tona, a reciklirano 148.155 tona. </w:t>
      </w:r>
      <w:r w:rsidR="000F662A" w:rsidRPr="000F662A">
        <w:rPr>
          <w:lang w:eastAsia="hr-HR"/>
        </w:rPr>
        <w:t>Vrijednost stopa oporabe i recikliranja od 51%  pokazuje da cilj</w:t>
      </w:r>
      <w:r w:rsidR="000F662A">
        <w:rPr>
          <w:lang w:eastAsia="hr-HR"/>
        </w:rPr>
        <w:t>evi</w:t>
      </w:r>
      <w:r w:rsidR="000F662A" w:rsidRPr="000F662A">
        <w:rPr>
          <w:lang w:eastAsia="hr-HR"/>
        </w:rPr>
        <w:t xml:space="preserve"> od 60% za oporabu i 55% za recikliranje ni</w:t>
      </w:r>
      <w:r w:rsidR="000F662A">
        <w:rPr>
          <w:lang w:eastAsia="hr-HR"/>
        </w:rPr>
        <w:t>su</w:t>
      </w:r>
      <w:r w:rsidR="000F662A" w:rsidRPr="000F662A">
        <w:rPr>
          <w:lang w:eastAsia="hr-HR"/>
        </w:rPr>
        <w:t xml:space="preserve"> postignut</w:t>
      </w:r>
      <w:r w:rsidR="000F662A">
        <w:rPr>
          <w:lang w:eastAsia="hr-HR"/>
        </w:rPr>
        <w:t>i</w:t>
      </w:r>
      <w:r w:rsidR="000F662A" w:rsidRPr="000F662A">
        <w:rPr>
          <w:lang w:eastAsia="hr-HR"/>
        </w:rPr>
        <w:t>.</w:t>
      </w:r>
      <w:r>
        <w:rPr>
          <w:lang w:eastAsia="hr-HR"/>
        </w:rPr>
        <w:t xml:space="preserve"> (</w:t>
      </w:r>
      <w:r>
        <w:rPr>
          <w:lang w:eastAsia="hr-HR"/>
        </w:rPr>
        <w:fldChar w:fldCharType="begin"/>
      </w:r>
      <w:r>
        <w:rPr>
          <w:lang w:eastAsia="hr-HR"/>
        </w:rPr>
        <w:instrText xml:space="preserve"> REF _Ref112846901 \h  \* MERGEFORMAT </w:instrText>
      </w:r>
      <w:r>
        <w:rPr>
          <w:lang w:eastAsia="hr-HR"/>
        </w:rPr>
      </w:r>
      <w:r>
        <w:rPr>
          <w:lang w:eastAsia="hr-HR"/>
        </w:rPr>
        <w:fldChar w:fldCharType="separate"/>
      </w:r>
      <w:r w:rsidR="00F37B62">
        <w:t xml:space="preserve">Slika </w:t>
      </w:r>
      <w:r w:rsidR="00F37B62">
        <w:rPr>
          <w:noProof/>
        </w:rPr>
        <w:t>28</w:t>
      </w:r>
      <w:r>
        <w:rPr>
          <w:lang w:eastAsia="hr-HR"/>
        </w:rPr>
        <w:fldChar w:fldCharType="end"/>
      </w:r>
      <w:r>
        <w:rPr>
          <w:lang w:eastAsia="hr-HR"/>
        </w:rPr>
        <w:t>)</w:t>
      </w:r>
      <w:r w:rsidRPr="00D763AB">
        <w:rPr>
          <w:lang w:eastAsia="hr-HR"/>
        </w:rPr>
        <w:t xml:space="preserve">. </w:t>
      </w:r>
    </w:p>
    <w:p w14:paraId="367F1A4F" w14:textId="77777777" w:rsidR="0068477A" w:rsidRDefault="0068477A" w:rsidP="00FB35E6">
      <w:pPr>
        <w:rPr>
          <w:lang w:eastAsia="hr-HR"/>
        </w:rPr>
      </w:pPr>
    </w:p>
    <w:p w14:paraId="1C502F95" w14:textId="77777777" w:rsidR="00FB35E6" w:rsidRPr="00FB35E6" w:rsidRDefault="00FB35E6" w:rsidP="00FB35E6">
      <w:pPr>
        <w:spacing w:after="0"/>
        <w:jc w:val="right"/>
        <w:rPr>
          <w:i/>
          <w:iCs/>
          <w:sz w:val="18"/>
          <w:szCs w:val="20"/>
        </w:rPr>
      </w:pPr>
      <w:r w:rsidRPr="00FB35E6">
        <w:rPr>
          <w:i/>
          <w:iCs/>
          <w:sz w:val="18"/>
          <w:szCs w:val="20"/>
        </w:rPr>
        <w:t>Izvor: FZOEU, MINGOR, 2021.</w:t>
      </w:r>
    </w:p>
    <w:p w14:paraId="280B43EE" w14:textId="513C8222" w:rsidR="00FB35E6" w:rsidRDefault="00FB35E6" w:rsidP="00FB35E6">
      <w:pPr>
        <w:pStyle w:val="Slika"/>
        <w:rPr>
          <w:rFonts w:ascii="Calibri" w:eastAsia="Times New Roman" w:hAnsi="Calibri" w:cs="Calibri"/>
          <w:color w:val="231F20"/>
          <w:bdr w:val="none" w:sz="0" w:space="0" w:color="auto" w:frame="1"/>
          <w:lang w:eastAsia="hr-HR"/>
        </w:rPr>
      </w:pPr>
      <w:bookmarkStart w:id="85" w:name="_Ref112846901"/>
      <w:bookmarkStart w:id="86" w:name="_Toc125363933"/>
      <w:r>
        <w:t xml:space="preserve">Slika </w:t>
      </w:r>
      <w:fldSimple w:instr=" SEQ Slika \* ARABIC ">
        <w:r w:rsidR="00F37B62">
          <w:rPr>
            <w:noProof/>
          </w:rPr>
          <w:t>28</w:t>
        </w:r>
      </w:fldSimple>
      <w:bookmarkEnd w:id="85"/>
      <w:r w:rsidRPr="00FB35E6">
        <w:rPr>
          <w:b w:val="0"/>
          <w:bCs/>
        </w:rPr>
        <w:t xml:space="preserve">. Količine ambalaže stavljene na tržište, količine sakupljene, </w:t>
      </w:r>
      <w:proofErr w:type="spellStart"/>
      <w:r w:rsidRPr="00FB35E6">
        <w:rPr>
          <w:b w:val="0"/>
          <w:bCs/>
        </w:rPr>
        <w:t>oporabljene</w:t>
      </w:r>
      <w:proofErr w:type="spellEnd"/>
      <w:r w:rsidRPr="00FB35E6">
        <w:rPr>
          <w:b w:val="0"/>
          <w:bCs/>
        </w:rPr>
        <w:t xml:space="preserve"> i reciklirane otpadne ambalaže u okviru sustava FZOEU, te stope recikliranja i oporabe </w:t>
      </w:r>
      <w:r w:rsidR="000E0F98">
        <w:rPr>
          <w:b w:val="0"/>
          <w:bCs/>
        </w:rPr>
        <w:t xml:space="preserve">u </w:t>
      </w:r>
      <w:r w:rsidRPr="00FB35E6">
        <w:rPr>
          <w:b w:val="0"/>
          <w:bCs/>
        </w:rPr>
        <w:t>razdoblju od 2015. do 2021. godine</w:t>
      </w:r>
      <w:bookmarkEnd w:id="86"/>
      <w:r>
        <w:t xml:space="preserve"> </w:t>
      </w:r>
    </w:p>
    <w:p w14:paraId="5339D89A" w14:textId="2718EAA0" w:rsidR="00FB35E6" w:rsidRPr="008A3EF9" w:rsidRDefault="00FB35E6" w:rsidP="00FB35E6">
      <w:pPr>
        <w:rPr>
          <w:lang w:eastAsia="hr-HR"/>
        </w:rPr>
      </w:pPr>
      <w:r>
        <w:rPr>
          <w:lang w:eastAsia="hr-HR"/>
        </w:rPr>
        <w:t>Ipak, p</w:t>
      </w:r>
      <w:r w:rsidRPr="00D763AB">
        <w:rPr>
          <w:lang w:eastAsia="hr-HR"/>
        </w:rPr>
        <w:t>ojedinačn</w:t>
      </w:r>
      <w:r>
        <w:rPr>
          <w:lang w:eastAsia="hr-HR"/>
        </w:rPr>
        <w:t xml:space="preserve">i ciljevi </w:t>
      </w:r>
      <w:r w:rsidRPr="00D763AB">
        <w:rPr>
          <w:lang w:eastAsia="hr-HR"/>
        </w:rPr>
        <w:t>stop</w:t>
      </w:r>
      <w:r>
        <w:rPr>
          <w:lang w:eastAsia="hr-HR"/>
        </w:rPr>
        <w:t>e</w:t>
      </w:r>
      <w:r w:rsidRPr="00D763AB">
        <w:rPr>
          <w:lang w:eastAsia="hr-HR"/>
        </w:rPr>
        <w:t xml:space="preserve"> recikliranja</w:t>
      </w:r>
      <w:r>
        <w:rPr>
          <w:lang w:eastAsia="hr-HR"/>
        </w:rPr>
        <w:t xml:space="preserve"> u 2021. godini dostignuti su</w:t>
      </w:r>
      <w:r w:rsidRPr="00D763AB">
        <w:rPr>
          <w:lang w:eastAsia="hr-HR"/>
        </w:rPr>
        <w:t xml:space="preserve"> za </w:t>
      </w:r>
      <w:r>
        <w:rPr>
          <w:lang w:eastAsia="hr-HR"/>
        </w:rPr>
        <w:t>otpadnu ambalažu od</w:t>
      </w:r>
      <w:r w:rsidRPr="00D763AB">
        <w:rPr>
          <w:lang w:eastAsia="hr-HR"/>
        </w:rPr>
        <w:t xml:space="preserve"> karton</w:t>
      </w:r>
      <w:r>
        <w:rPr>
          <w:lang w:eastAsia="hr-HR"/>
        </w:rPr>
        <w:t>a</w:t>
      </w:r>
      <w:r w:rsidRPr="00D763AB">
        <w:rPr>
          <w:lang w:eastAsia="hr-HR"/>
        </w:rPr>
        <w:t>/papir</w:t>
      </w:r>
      <w:r>
        <w:rPr>
          <w:lang w:eastAsia="hr-HR"/>
        </w:rPr>
        <w:t>a,</w:t>
      </w:r>
      <w:r w:rsidRPr="00D763AB">
        <w:rPr>
          <w:lang w:eastAsia="hr-HR"/>
        </w:rPr>
        <w:t xml:space="preserve"> polime</w:t>
      </w:r>
      <w:r>
        <w:rPr>
          <w:lang w:eastAsia="hr-HR"/>
        </w:rPr>
        <w:t>ra i drva</w:t>
      </w:r>
      <w:r w:rsidRPr="00D763AB">
        <w:rPr>
          <w:lang w:eastAsia="hr-HR"/>
        </w:rPr>
        <w:t xml:space="preserve">, </w:t>
      </w:r>
      <w:r>
        <w:rPr>
          <w:lang w:eastAsia="hr-HR"/>
        </w:rPr>
        <w:t xml:space="preserve">a </w:t>
      </w:r>
      <w:r w:rsidRPr="00D763AB">
        <w:rPr>
          <w:lang w:eastAsia="hr-HR"/>
        </w:rPr>
        <w:t xml:space="preserve">za </w:t>
      </w:r>
      <w:r>
        <w:rPr>
          <w:lang w:eastAsia="hr-HR"/>
        </w:rPr>
        <w:t xml:space="preserve">otpadnu ambalažu od </w:t>
      </w:r>
      <w:r w:rsidRPr="00D763AB">
        <w:rPr>
          <w:lang w:eastAsia="hr-HR"/>
        </w:rPr>
        <w:t>stakl</w:t>
      </w:r>
      <w:r>
        <w:rPr>
          <w:lang w:eastAsia="hr-HR"/>
        </w:rPr>
        <w:t>a</w:t>
      </w:r>
      <w:r w:rsidRPr="00D763AB">
        <w:rPr>
          <w:lang w:eastAsia="hr-HR"/>
        </w:rPr>
        <w:t xml:space="preserve"> </w:t>
      </w:r>
      <w:r>
        <w:rPr>
          <w:lang w:eastAsia="hr-HR"/>
        </w:rPr>
        <w:t>vrijednost je nadomak d</w:t>
      </w:r>
      <w:r w:rsidRPr="00D763AB">
        <w:rPr>
          <w:lang w:eastAsia="hr-HR"/>
        </w:rPr>
        <w:t>ostizanja cilja</w:t>
      </w:r>
      <w:r>
        <w:rPr>
          <w:lang w:eastAsia="hr-HR"/>
        </w:rPr>
        <w:t xml:space="preserve">. Za otpadnu ambalažu od </w:t>
      </w:r>
      <w:r w:rsidRPr="00D763AB">
        <w:rPr>
          <w:lang w:eastAsia="hr-HR"/>
        </w:rPr>
        <w:t>metal</w:t>
      </w:r>
      <w:r>
        <w:rPr>
          <w:lang w:eastAsia="hr-HR"/>
        </w:rPr>
        <w:t>a vrijednost stope recikliranja je još uvijek vrlo niska, te</w:t>
      </w:r>
      <w:r w:rsidRPr="00D763AB">
        <w:rPr>
          <w:lang w:eastAsia="hr-HR"/>
        </w:rPr>
        <w:t xml:space="preserve"> </w:t>
      </w:r>
      <w:r>
        <w:rPr>
          <w:lang w:eastAsia="hr-HR"/>
        </w:rPr>
        <w:t xml:space="preserve">cilj nije </w:t>
      </w:r>
      <w:r w:rsidRPr="008A3EF9">
        <w:rPr>
          <w:lang w:eastAsia="hr-HR"/>
        </w:rPr>
        <w:t>dostignut (</w:t>
      </w:r>
      <w:r w:rsidRPr="008A3EF9">
        <w:rPr>
          <w:lang w:eastAsia="hr-HR"/>
        </w:rPr>
        <w:fldChar w:fldCharType="begin"/>
      </w:r>
      <w:r w:rsidRPr="008A3EF9">
        <w:rPr>
          <w:lang w:eastAsia="hr-HR"/>
        </w:rPr>
        <w:instrText xml:space="preserve"> REF _Ref112873452 \h </w:instrText>
      </w:r>
      <w:r>
        <w:rPr>
          <w:lang w:eastAsia="hr-HR"/>
        </w:rPr>
        <w:instrText xml:space="preserve"> \* MERGEFORMAT </w:instrText>
      </w:r>
      <w:r w:rsidRPr="008A3EF9">
        <w:rPr>
          <w:lang w:eastAsia="hr-HR"/>
        </w:rPr>
      </w:r>
      <w:r w:rsidRPr="008A3EF9">
        <w:rPr>
          <w:lang w:eastAsia="hr-HR"/>
        </w:rPr>
        <w:fldChar w:fldCharType="separate"/>
      </w:r>
      <w:r w:rsidR="00F37B62" w:rsidRPr="00224390">
        <w:t xml:space="preserve">Tablica </w:t>
      </w:r>
      <w:r w:rsidR="00F37B62">
        <w:rPr>
          <w:noProof/>
        </w:rPr>
        <w:t>10</w:t>
      </w:r>
      <w:r w:rsidRPr="008A3EF9">
        <w:rPr>
          <w:lang w:eastAsia="hr-HR"/>
        </w:rPr>
        <w:fldChar w:fldCharType="end"/>
      </w:r>
      <w:r w:rsidRPr="008A3EF9">
        <w:rPr>
          <w:lang w:eastAsia="hr-HR"/>
        </w:rPr>
        <w:t>.).</w:t>
      </w:r>
    </w:p>
    <w:p w14:paraId="6D376F4C" w14:textId="7CDAE999" w:rsidR="00FB35E6" w:rsidRPr="00FB35E6" w:rsidRDefault="00FB35E6" w:rsidP="00FB35E6">
      <w:pPr>
        <w:pStyle w:val="Tablica"/>
        <w:rPr>
          <w:b w:val="0"/>
          <w:bCs/>
          <w:lang w:eastAsia="hr-HR"/>
        </w:rPr>
      </w:pPr>
      <w:bookmarkStart w:id="87" w:name="_Ref112873452"/>
      <w:bookmarkStart w:id="88" w:name="_Toc125364399"/>
      <w:r w:rsidRPr="00224390">
        <w:t xml:space="preserve">Tablica </w:t>
      </w:r>
      <w:fldSimple w:instr=" SEQ Tablica \* ARABIC ">
        <w:r w:rsidR="00F37B62">
          <w:rPr>
            <w:noProof/>
          </w:rPr>
          <w:t>10</w:t>
        </w:r>
      </w:fldSimple>
      <w:bookmarkEnd w:id="87"/>
      <w:r w:rsidRPr="00224390">
        <w:t xml:space="preserve">. </w:t>
      </w:r>
      <w:r w:rsidRPr="00FB35E6">
        <w:rPr>
          <w:b w:val="0"/>
          <w:bCs/>
          <w:lang w:eastAsia="hr-HR"/>
        </w:rPr>
        <w:t>Ostvarene stope recikliranja po ambalažnim materijalima za razdoblje od 2015. do 2021. godine uz prikaz zadanih ciljeva</w:t>
      </w:r>
      <w:bookmarkEnd w:id="88"/>
      <w:r w:rsidRPr="00FB35E6">
        <w:rPr>
          <w:b w:val="0"/>
          <w:bCs/>
          <w:lang w:eastAsia="hr-H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5"/>
        <w:gridCol w:w="958"/>
        <w:gridCol w:w="890"/>
        <w:gridCol w:w="886"/>
        <w:gridCol w:w="886"/>
        <w:gridCol w:w="886"/>
        <w:gridCol w:w="886"/>
        <w:gridCol w:w="886"/>
        <w:gridCol w:w="937"/>
      </w:tblGrid>
      <w:tr w:rsidR="00FB35E6" w:rsidRPr="00FB35E6" w14:paraId="01101205" w14:textId="77777777" w:rsidTr="00546405">
        <w:trPr>
          <w:trHeight w:val="227"/>
        </w:trPr>
        <w:tc>
          <w:tcPr>
            <w:tcW w:w="1010" w:type="pct"/>
            <w:shd w:val="clear" w:color="auto" w:fill="002060"/>
            <w:tcMar>
              <w:top w:w="96" w:type="dxa"/>
              <w:left w:w="96" w:type="dxa"/>
              <w:bottom w:w="120" w:type="dxa"/>
              <w:right w:w="96" w:type="dxa"/>
            </w:tcMar>
            <w:vAlign w:val="center"/>
            <w:hideMark/>
          </w:tcPr>
          <w:p w14:paraId="02B5B145" w14:textId="77777777" w:rsidR="00FB35E6" w:rsidRPr="00FB35E6" w:rsidRDefault="00FB35E6" w:rsidP="00CC41BC">
            <w:pPr>
              <w:spacing w:after="0" w:line="240" w:lineRule="auto"/>
              <w:jc w:val="center"/>
              <w:rPr>
                <w:rFonts w:cstheme="minorHAnsi"/>
                <w:b/>
                <w:bCs/>
                <w:color w:val="FFFFFF" w:themeColor="background1"/>
                <w:sz w:val="20"/>
                <w:szCs w:val="20"/>
              </w:rPr>
            </w:pPr>
            <w:r w:rsidRPr="00FB35E6">
              <w:rPr>
                <w:rFonts w:cstheme="minorHAnsi"/>
                <w:b/>
                <w:bCs/>
                <w:color w:val="FFFFFF" w:themeColor="background1"/>
                <w:sz w:val="20"/>
                <w:szCs w:val="20"/>
              </w:rPr>
              <w:t xml:space="preserve">Vrsta ambalažnog otpada </w:t>
            </w:r>
          </w:p>
        </w:tc>
        <w:tc>
          <w:tcPr>
            <w:tcW w:w="530" w:type="pct"/>
            <w:shd w:val="clear" w:color="auto" w:fill="002060"/>
            <w:tcMar>
              <w:top w:w="96" w:type="dxa"/>
              <w:left w:w="96" w:type="dxa"/>
              <w:bottom w:w="120" w:type="dxa"/>
              <w:right w:w="96" w:type="dxa"/>
            </w:tcMar>
            <w:vAlign w:val="center"/>
            <w:hideMark/>
          </w:tcPr>
          <w:p w14:paraId="0F5E64E2" w14:textId="77777777" w:rsidR="00FB35E6" w:rsidRPr="00FB35E6" w:rsidRDefault="00FB35E6" w:rsidP="00CC41BC">
            <w:pPr>
              <w:spacing w:after="0" w:line="240" w:lineRule="auto"/>
              <w:jc w:val="center"/>
              <w:rPr>
                <w:rFonts w:cstheme="minorHAnsi"/>
                <w:b/>
                <w:bCs/>
                <w:color w:val="FFFFFF" w:themeColor="background1"/>
                <w:sz w:val="20"/>
                <w:szCs w:val="20"/>
              </w:rPr>
            </w:pPr>
            <w:r w:rsidRPr="00FB35E6">
              <w:rPr>
                <w:rFonts w:cstheme="minorHAnsi"/>
                <w:b/>
                <w:bCs/>
                <w:color w:val="FFFFFF" w:themeColor="background1"/>
                <w:sz w:val="20"/>
                <w:szCs w:val="20"/>
              </w:rPr>
              <w:t>CILJ</w:t>
            </w:r>
          </w:p>
        </w:tc>
        <w:tc>
          <w:tcPr>
            <w:tcW w:w="492" w:type="pct"/>
            <w:shd w:val="clear" w:color="auto" w:fill="002060"/>
            <w:tcMar>
              <w:top w:w="96" w:type="dxa"/>
              <w:left w:w="96" w:type="dxa"/>
              <w:bottom w:w="120" w:type="dxa"/>
              <w:right w:w="96" w:type="dxa"/>
            </w:tcMar>
            <w:vAlign w:val="center"/>
            <w:hideMark/>
          </w:tcPr>
          <w:p w14:paraId="3350EA27" w14:textId="77777777" w:rsidR="00FB35E6" w:rsidRPr="00FB35E6" w:rsidRDefault="00FB35E6" w:rsidP="00CC41BC">
            <w:pPr>
              <w:spacing w:after="0" w:line="240" w:lineRule="auto"/>
              <w:jc w:val="center"/>
              <w:rPr>
                <w:rFonts w:cstheme="minorHAnsi"/>
                <w:b/>
                <w:bCs/>
                <w:color w:val="FFFFFF" w:themeColor="background1"/>
                <w:sz w:val="20"/>
                <w:szCs w:val="20"/>
              </w:rPr>
            </w:pPr>
            <w:r w:rsidRPr="00FB35E6">
              <w:rPr>
                <w:rFonts w:cstheme="minorHAnsi"/>
                <w:b/>
                <w:bCs/>
                <w:color w:val="FFFFFF" w:themeColor="background1"/>
                <w:sz w:val="20"/>
                <w:szCs w:val="20"/>
              </w:rPr>
              <w:t>2015.</w:t>
            </w:r>
          </w:p>
        </w:tc>
        <w:tc>
          <w:tcPr>
            <w:tcW w:w="490" w:type="pct"/>
            <w:shd w:val="clear" w:color="auto" w:fill="002060"/>
            <w:tcMar>
              <w:top w:w="96" w:type="dxa"/>
              <w:left w:w="96" w:type="dxa"/>
              <w:bottom w:w="120" w:type="dxa"/>
              <w:right w:w="96" w:type="dxa"/>
            </w:tcMar>
            <w:vAlign w:val="center"/>
            <w:hideMark/>
          </w:tcPr>
          <w:p w14:paraId="42339F8D" w14:textId="77777777" w:rsidR="00FB35E6" w:rsidRPr="00FB35E6" w:rsidRDefault="00FB35E6" w:rsidP="00CC41BC">
            <w:pPr>
              <w:spacing w:after="0" w:line="240" w:lineRule="auto"/>
              <w:jc w:val="center"/>
              <w:rPr>
                <w:rFonts w:cstheme="minorHAnsi"/>
                <w:b/>
                <w:bCs/>
                <w:color w:val="FFFFFF" w:themeColor="background1"/>
                <w:sz w:val="20"/>
                <w:szCs w:val="20"/>
              </w:rPr>
            </w:pPr>
            <w:r w:rsidRPr="00FB35E6">
              <w:rPr>
                <w:rFonts w:cstheme="minorHAnsi"/>
                <w:b/>
                <w:bCs/>
                <w:color w:val="FFFFFF" w:themeColor="background1"/>
                <w:sz w:val="20"/>
                <w:szCs w:val="20"/>
              </w:rPr>
              <w:t>2016.</w:t>
            </w:r>
          </w:p>
        </w:tc>
        <w:tc>
          <w:tcPr>
            <w:tcW w:w="490" w:type="pct"/>
            <w:shd w:val="clear" w:color="auto" w:fill="002060"/>
            <w:tcMar>
              <w:top w:w="96" w:type="dxa"/>
              <w:left w:w="96" w:type="dxa"/>
              <w:bottom w:w="120" w:type="dxa"/>
              <w:right w:w="96" w:type="dxa"/>
            </w:tcMar>
            <w:vAlign w:val="center"/>
            <w:hideMark/>
          </w:tcPr>
          <w:p w14:paraId="517CC5B4" w14:textId="77777777" w:rsidR="00FB35E6" w:rsidRPr="00FB35E6" w:rsidRDefault="00FB35E6" w:rsidP="00CC41BC">
            <w:pPr>
              <w:spacing w:after="0" w:line="240" w:lineRule="auto"/>
              <w:jc w:val="center"/>
              <w:rPr>
                <w:rFonts w:cstheme="minorHAnsi"/>
                <w:b/>
                <w:bCs/>
                <w:color w:val="FFFFFF" w:themeColor="background1"/>
                <w:sz w:val="20"/>
                <w:szCs w:val="20"/>
              </w:rPr>
            </w:pPr>
            <w:r w:rsidRPr="00FB35E6">
              <w:rPr>
                <w:rFonts w:cstheme="minorHAnsi"/>
                <w:b/>
                <w:bCs/>
                <w:color w:val="FFFFFF" w:themeColor="background1"/>
                <w:sz w:val="20"/>
                <w:szCs w:val="20"/>
              </w:rPr>
              <w:t>2017.</w:t>
            </w:r>
          </w:p>
        </w:tc>
        <w:tc>
          <w:tcPr>
            <w:tcW w:w="490" w:type="pct"/>
            <w:shd w:val="clear" w:color="auto" w:fill="002060"/>
            <w:tcMar>
              <w:top w:w="96" w:type="dxa"/>
              <w:left w:w="96" w:type="dxa"/>
              <w:bottom w:w="120" w:type="dxa"/>
              <w:right w:w="96" w:type="dxa"/>
            </w:tcMar>
            <w:vAlign w:val="center"/>
            <w:hideMark/>
          </w:tcPr>
          <w:p w14:paraId="3AB9704B" w14:textId="77777777" w:rsidR="00FB35E6" w:rsidRPr="00FB35E6" w:rsidRDefault="00FB35E6" w:rsidP="00CC41BC">
            <w:pPr>
              <w:spacing w:after="0" w:line="240" w:lineRule="auto"/>
              <w:jc w:val="center"/>
              <w:rPr>
                <w:rFonts w:cstheme="minorHAnsi"/>
                <w:b/>
                <w:bCs/>
                <w:color w:val="FFFFFF" w:themeColor="background1"/>
                <w:sz w:val="20"/>
                <w:szCs w:val="20"/>
              </w:rPr>
            </w:pPr>
            <w:r w:rsidRPr="00FB35E6">
              <w:rPr>
                <w:rFonts w:cstheme="minorHAnsi"/>
                <w:b/>
                <w:bCs/>
                <w:color w:val="FFFFFF" w:themeColor="background1"/>
                <w:sz w:val="20"/>
                <w:szCs w:val="20"/>
              </w:rPr>
              <w:t>2018.</w:t>
            </w:r>
          </w:p>
        </w:tc>
        <w:tc>
          <w:tcPr>
            <w:tcW w:w="490" w:type="pct"/>
            <w:shd w:val="clear" w:color="auto" w:fill="002060"/>
            <w:tcMar>
              <w:top w:w="96" w:type="dxa"/>
              <w:left w:w="96" w:type="dxa"/>
              <w:bottom w:w="120" w:type="dxa"/>
              <w:right w:w="96" w:type="dxa"/>
            </w:tcMar>
            <w:vAlign w:val="center"/>
            <w:hideMark/>
          </w:tcPr>
          <w:p w14:paraId="7715C848" w14:textId="77777777" w:rsidR="00FB35E6" w:rsidRPr="00FB35E6" w:rsidRDefault="00FB35E6" w:rsidP="00CC41BC">
            <w:pPr>
              <w:spacing w:after="0" w:line="240" w:lineRule="auto"/>
              <w:jc w:val="center"/>
              <w:rPr>
                <w:rFonts w:cstheme="minorHAnsi"/>
                <w:b/>
                <w:bCs/>
                <w:color w:val="FFFFFF" w:themeColor="background1"/>
                <w:sz w:val="20"/>
                <w:szCs w:val="20"/>
              </w:rPr>
            </w:pPr>
            <w:r w:rsidRPr="00FB35E6">
              <w:rPr>
                <w:rFonts w:cstheme="minorHAnsi"/>
                <w:b/>
                <w:bCs/>
                <w:color w:val="FFFFFF" w:themeColor="background1"/>
                <w:sz w:val="20"/>
                <w:szCs w:val="20"/>
              </w:rPr>
              <w:t>2019.</w:t>
            </w:r>
          </w:p>
        </w:tc>
        <w:tc>
          <w:tcPr>
            <w:tcW w:w="490" w:type="pct"/>
            <w:shd w:val="clear" w:color="auto" w:fill="002060"/>
            <w:tcMar>
              <w:top w:w="96" w:type="dxa"/>
              <w:left w:w="96" w:type="dxa"/>
              <w:bottom w:w="120" w:type="dxa"/>
              <w:right w:w="96" w:type="dxa"/>
            </w:tcMar>
            <w:vAlign w:val="center"/>
            <w:hideMark/>
          </w:tcPr>
          <w:p w14:paraId="19B16699" w14:textId="77777777" w:rsidR="00FB35E6" w:rsidRPr="00FB35E6" w:rsidRDefault="00FB35E6" w:rsidP="00CC41BC">
            <w:pPr>
              <w:spacing w:after="0" w:line="240" w:lineRule="auto"/>
              <w:jc w:val="center"/>
              <w:rPr>
                <w:rFonts w:cstheme="minorHAnsi"/>
                <w:b/>
                <w:bCs/>
                <w:color w:val="FFFFFF" w:themeColor="background1"/>
                <w:sz w:val="20"/>
                <w:szCs w:val="20"/>
              </w:rPr>
            </w:pPr>
            <w:r w:rsidRPr="00FB35E6">
              <w:rPr>
                <w:rFonts w:cstheme="minorHAnsi"/>
                <w:b/>
                <w:bCs/>
                <w:color w:val="FFFFFF" w:themeColor="background1"/>
                <w:sz w:val="20"/>
                <w:szCs w:val="20"/>
              </w:rPr>
              <w:t>2020.</w:t>
            </w:r>
          </w:p>
        </w:tc>
        <w:tc>
          <w:tcPr>
            <w:tcW w:w="518" w:type="pct"/>
            <w:shd w:val="clear" w:color="auto" w:fill="002060"/>
            <w:vAlign w:val="center"/>
          </w:tcPr>
          <w:p w14:paraId="45B9B98C" w14:textId="77777777" w:rsidR="00FB35E6" w:rsidRPr="00FB35E6" w:rsidRDefault="00FB35E6" w:rsidP="00CC41BC">
            <w:pPr>
              <w:spacing w:after="0" w:line="240" w:lineRule="auto"/>
              <w:jc w:val="center"/>
              <w:rPr>
                <w:rFonts w:cstheme="minorHAnsi"/>
                <w:b/>
                <w:bCs/>
                <w:color w:val="FFFFFF" w:themeColor="background1"/>
                <w:sz w:val="20"/>
                <w:szCs w:val="20"/>
              </w:rPr>
            </w:pPr>
            <w:r w:rsidRPr="00FB35E6">
              <w:rPr>
                <w:rFonts w:cstheme="minorHAnsi"/>
                <w:b/>
                <w:bCs/>
                <w:color w:val="FFFFFF" w:themeColor="background1"/>
                <w:sz w:val="20"/>
                <w:szCs w:val="20"/>
              </w:rPr>
              <w:t>2021.</w:t>
            </w:r>
          </w:p>
        </w:tc>
      </w:tr>
      <w:tr w:rsidR="00FB35E6" w:rsidRPr="00FB35E6" w14:paraId="1BA26F61" w14:textId="77777777" w:rsidTr="00546405">
        <w:trPr>
          <w:trHeight w:val="227"/>
        </w:trPr>
        <w:tc>
          <w:tcPr>
            <w:tcW w:w="1010" w:type="pct"/>
            <w:shd w:val="clear" w:color="auto" w:fill="auto"/>
            <w:tcMar>
              <w:top w:w="96" w:type="dxa"/>
              <w:left w:w="96" w:type="dxa"/>
              <w:bottom w:w="120" w:type="dxa"/>
              <w:right w:w="96" w:type="dxa"/>
            </w:tcMar>
            <w:vAlign w:val="center"/>
            <w:hideMark/>
          </w:tcPr>
          <w:p w14:paraId="608FFB58" w14:textId="77777777" w:rsidR="00FB35E6" w:rsidRPr="00FB35E6" w:rsidRDefault="00FB35E6" w:rsidP="00CC41BC">
            <w:pPr>
              <w:spacing w:after="0" w:line="240" w:lineRule="auto"/>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KARTON/PAPIR</w:t>
            </w:r>
          </w:p>
        </w:tc>
        <w:tc>
          <w:tcPr>
            <w:tcW w:w="530" w:type="pct"/>
            <w:shd w:val="clear" w:color="auto" w:fill="auto"/>
            <w:tcMar>
              <w:top w:w="96" w:type="dxa"/>
              <w:left w:w="96" w:type="dxa"/>
              <w:bottom w:w="120" w:type="dxa"/>
              <w:right w:w="96" w:type="dxa"/>
            </w:tcMar>
            <w:vAlign w:val="center"/>
            <w:hideMark/>
          </w:tcPr>
          <w:p w14:paraId="0EAA3B49"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60 %</w:t>
            </w:r>
          </w:p>
        </w:tc>
        <w:tc>
          <w:tcPr>
            <w:tcW w:w="492" w:type="pct"/>
            <w:shd w:val="clear" w:color="auto" w:fill="auto"/>
            <w:tcMar>
              <w:top w:w="96" w:type="dxa"/>
              <w:left w:w="96" w:type="dxa"/>
              <w:bottom w:w="120" w:type="dxa"/>
              <w:right w:w="96" w:type="dxa"/>
            </w:tcMar>
            <w:vAlign w:val="center"/>
            <w:hideMark/>
          </w:tcPr>
          <w:p w14:paraId="33B11612"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89 %</w:t>
            </w:r>
          </w:p>
        </w:tc>
        <w:tc>
          <w:tcPr>
            <w:tcW w:w="490" w:type="pct"/>
            <w:shd w:val="clear" w:color="auto" w:fill="auto"/>
            <w:tcMar>
              <w:top w:w="96" w:type="dxa"/>
              <w:left w:w="96" w:type="dxa"/>
              <w:bottom w:w="120" w:type="dxa"/>
              <w:right w:w="96" w:type="dxa"/>
            </w:tcMar>
            <w:vAlign w:val="center"/>
            <w:hideMark/>
          </w:tcPr>
          <w:p w14:paraId="2BA86D02"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82 %</w:t>
            </w:r>
          </w:p>
        </w:tc>
        <w:tc>
          <w:tcPr>
            <w:tcW w:w="490" w:type="pct"/>
            <w:shd w:val="clear" w:color="auto" w:fill="auto"/>
            <w:tcMar>
              <w:top w:w="96" w:type="dxa"/>
              <w:left w:w="96" w:type="dxa"/>
              <w:bottom w:w="120" w:type="dxa"/>
              <w:right w:w="96" w:type="dxa"/>
            </w:tcMar>
            <w:vAlign w:val="center"/>
            <w:hideMark/>
          </w:tcPr>
          <w:p w14:paraId="776AAF9A"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84 %</w:t>
            </w:r>
          </w:p>
        </w:tc>
        <w:tc>
          <w:tcPr>
            <w:tcW w:w="490" w:type="pct"/>
            <w:shd w:val="clear" w:color="auto" w:fill="auto"/>
            <w:tcMar>
              <w:top w:w="96" w:type="dxa"/>
              <w:left w:w="96" w:type="dxa"/>
              <w:bottom w:w="120" w:type="dxa"/>
              <w:right w:w="96" w:type="dxa"/>
            </w:tcMar>
            <w:vAlign w:val="center"/>
            <w:hideMark/>
          </w:tcPr>
          <w:p w14:paraId="52DFAAE5"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70 %</w:t>
            </w:r>
          </w:p>
        </w:tc>
        <w:tc>
          <w:tcPr>
            <w:tcW w:w="490" w:type="pct"/>
            <w:shd w:val="clear" w:color="auto" w:fill="auto"/>
            <w:tcMar>
              <w:top w:w="96" w:type="dxa"/>
              <w:left w:w="96" w:type="dxa"/>
              <w:bottom w:w="120" w:type="dxa"/>
              <w:right w:w="96" w:type="dxa"/>
            </w:tcMar>
            <w:vAlign w:val="center"/>
            <w:hideMark/>
          </w:tcPr>
          <w:p w14:paraId="69ABE815"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74 %</w:t>
            </w:r>
          </w:p>
        </w:tc>
        <w:tc>
          <w:tcPr>
            <w:tcW w:w="490" w:type="pct"/>
            <w:shd w:val="clear" w:color="auto" w:fill="auto"/>
            <w:tcMar>
              <w:top w:w="96" w:type="dxa"/>
              <w:left w:w="96" w:type="dxa"/>
              <w:bottom w:w="120" w:type="dxa"/>
              <w:right w:w="96" w:type="dxa"/>
            </w:tcMar>
            <w:vAlign w:val="center"/>
            <w:hideMark/>
          </w:tcPr>
          <w:p w14:paraId="02F3661E"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87 %</w:t>
            </w:r>
          </w:p>
        </w:tc>
        <w:tc>
          <w:tcPr>
            <w:tcW w:w="518" w:type="pct"/>
            <w:shd w:val="clear" w:color="auto" w:fill="E2EFD9" w:themeFill="accent6" w:themeFillTint="33"/>
          </w:tcPr>
          <w:p w14:paraId="4EA1435F" w14:textId="77777777" w:rsidR="00FB35E6" w:rsidRPr="00FB35E6" w:rsidRDefault="00FB35E6" w:rsidP="00CC41BC">
            <w:pPr>
              <w:spacing w:after="0" w:line="240" w:lineRule="auto"/>
              <w:jc w:val="center"/>
              <w:rPr>
                <w:rFonts w:eastAsia="Times New Roman" w:cstheme="minorHAnsi"/>
                <w:color w:val="231F20"/>
                <w:sz w:val="20"/>
                <w:szCs w:val="20"/>
                <w:bdr w:val="none" w:sz="0" w:space="0" w:color="auto" w:frame="1"/>
                <w:lang w:eastAsia="hr-HR"/>
              </w:rPr>
            </w:pPr>
            <w:r w:rsidRPr="00FB35E6">
              <w:rPr>
                <w:rFonts w:eastAsia="Times New Roman" w:cstheme="minorHAnsi"/>
                <w:color w:val="231F20"/>
                <w:sz w:val="20"/>
                <w:szCs w:val="20"/>
                <w:bdr w:val="none" w:sz="0" w:space="0" w:color="auto" w:frame="1"/>
                <w:lang w:eastAsia="hr-HR"/>
              </w:rPr>
              <w:t>82 %</w:t>
            </w:r>
          </w:p>
        </w:tc>
      </w:tr>
      <w:tr w:rsidR="00FB35E6" w:rsidRPr="00FB35E6" w14:paraId="4D36AB1E" w14:textId="77777777" w:rsidTr="00546405">
        <w:trPr>
          <w:trHeight w:val="227"/>
        </w:trPr>
        <w:tc>
          <w:tcPr>
            <w:tcW w:w="1010" w:type="pct"/>
            <w:shd w:val="clear" w:color="auto" w:fill="auto"/>
            <w:tcMar>
              <w:top w:w="96" w:type="dxa"/>
              <w:left w:w="96" w:type="dxa"/>
              <w:bottom w:w="120" w:type="dxa"/>
              <w:right w:w="96" w:type="dxa"/>
            </w:tcMar>
            <w:vAlign w:val="center"/>
            <w:hideMark/>
          </w:tcPr>
          <w:p w14:paraId="41979AE1" w14:textId="77777777" w:rsidR="00FB35E6" w:rsidRPr="00FB35E6" w:rsidRDefault="00FB35E6" w:rsidP="00CC41BC">
            <w:pPr>
              <w:spacing w:after="0" w:line="240" w:lineRule="auto"/>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STAKLO</w:t>
            </w:r>
          </w:p>
        </w:tc>
        <w:tc>
          <w:tcPr>
            <w:tcW w:w="530" w:type="pct"/>
            <w:shd w:val="clear" w:color="auto" w:fill="auto"/>
            <w:tcMar>
              <w:top w:w="96" w:type="dxa"/>
              <w:left w:w="96" w:type="dxa"/>
              <w:bottom w:w="120" w:type="dxa"/>
              <w:right w:w="96" w:type="dxa"/>
            </w:tcMar>
            <w:vAlign w:val="center"/>
            <w:hideMark/>
          </w:tcPr>
          <w:p w14:paraId="701D7DE1"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60 %</w:t>
            </w:r>
          </w:p>
        </w:tc>
        <w:tc>
          <w:tcPr>
            <w:tcW w:w="492" w:type="pct"/>
            <w:shd w:val="clear" w:color="auto" w:fill="auto"/>
            <w:tcMar>
              <w:top w:w="96" w:type="dxa"/>
              <w:left w:w="96" w:type="dxa"/>
              <w:bottom w:w="120" w:type="dxa"/>
              <w:right w:w="96" w:type="dxa"/>
            </w:tcMar>
            <w:vAlign w:val="center"/>
            <w:hideMark/>
          </w:tcPr>
          <w:p w14:paraId="36732044"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65 %</w:t>
            </w:r>
          </w:p>
        </w:tc>
        <w:tc>
          <w:tcPr>
            <w:tcW w:w="490" w:type="pct"/>
            <w:shd w:val="clear" w:color="auto" w:fill="auto"/>
            <w:tcMar>
              <w:top w:w="96" w:type="dxa"/>
              <w:left w:w="96" w:type="dxa"/>
              <w:bottom w:w="120" w:type="dxa"/>
              <w:right w:w="96" w:type="dxa"/>
            </w:tcMar>
            <w:vAlign w:val="center"/>
            <w:hideMark/>
          </w:tcPr>
          <w:p w14:paraId="79A9B089"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56 %</w:t>
            </w:r>
          </w:p>
        </w:tc>
        <w:tc>
          <w:tcPr>
            <w:tcW w:w="490" w:type="pct"/>
            <w:shd w:val="clear" w:color="auto" w:fill="auto"/>
            <w:tcMar>
              <w:top w:w="96" w:type="dxa"/>
              <w:left w:w="96" w:type="dxa"/>
              <w:bottom w:w="120" w:type="dxa"/>
              <w:right w:w="96" w:type="dxa"/>
            </w:tcMar>
            <w:vAlign w:val="center"/>
            <w:hideMark/>
          </w:tcPr>
          <w:p w14:paraId="7DE65DD2"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57 %</w:t>
            </w:r>
          </w:p>
        </w:tc>
        <w:tc>
          <w:tcPr>
            <w:tcW w:w="490" w:type="pct"/>
            <w:shd w:val="clear" w:color="auto" w:fill="auto"/>
            <w:tcMar>
              <w:top w:w="96" w:type="dxa"/>
              <w:left w:w="96" w:type="dxa"/>
              <w:bottom w:w="120" w:type="dxa"/>
              <w:right w:w="96" w:type="dxa"/>
            </w:tcMar>
            <w:vAlign w:val="center"/>
            <w:hideMark/>
          </w:tcPr>
          <w:p w14:paraId="09AA2A6B"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61 %</w:t>
            </w:r>
          </w:p>
        </w:tc>
        <w:tc>
          <w:tcPr>
            <w:tcW w:w="490" w:type="pct"/>
            <w:shd w:val="clear" w:color="auto" w:fill="auto"/>
            <w:tcMar>
              <w:top w:w="96" w:type="dxa"/>
              <w:left w:w="96" w:type="dxa"/>
              <w:bottom w:w="120" w:type="dxa"/>
              <w:right w:w="96" w:type="dxa"/>
            </w:tcMar>
            <w:vAlign w:val="center"/>
            <w:hideMark/>
          </w:tcPr>
          <w:p w14:paraId="6029F85A"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51 %</w:t>
            </w:r>
          </w:p>
        </w:tc>
        <w:tc>
          <w:tcPr>
            <w:tcW w:w="490" w:type="pct"/>
            <w:shd w:val="clear" w:color="auto" w:fill="auto"/>
            <w:tcMar>
              <w:top w:w="96" w:type="dxa"/>
              <w:left w:w="96" w:type="dxa"/>
              <w:bottom w:w="120" w:type="dxa"/>
              <w:right w:w="96" w:type="dxa"/>
            </w:tcMar>
            <w:vAlign w:val="center"/>
            <w:hideMark/>
          </w:tcPr>
          <w:p w14:paraId="4529785A"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54 %</w:t>
            </w:r>
          </w:p>
        </w:tc>
        <w:tc>
          <w:tcPr>
            <w:tcW w:w="518" w:type="pct"/>
            <w:shd w:val="clear" w:color="auto" w:fill="FBE4D5" w:themeFill="accent2" w:themeFillTint="33"/>
          </w:tcPr>
          <w:p w14:paraId="62FADE7F" w14:textId="77777777" w:rsidR="00FB35E6" w:rsidRPr="00FB35E6" w:rsidRDefault="00FB35E6" w:rsidP="00CC41BC">
            <w:pPr>
              <w:spacing w:after="0" w:line="240" w:lineRule="auto"/>
              <w:jc w:val="center"/>
              <w:rPr>
                <w:rFonts w:eastAsia="Times New Roman" w:cstheme="minorHAnsi"/>
                <w:color w:val="231F20"/>
                <w:sz w:val="20"/>
                <w:szCs w:val="20"/>
                <w:bdr w:val="none" w:sz="0" w:space="0" w:color="auto" w:frame="1"/>
                <w:lang w:eastAsia="hr-HR"/>
              </w:rPr>
            </w:pPr>
            <w:r w:rsidRPr="00FB35E6">
              <w:rPr>
                <w:rFonts w:eastAsia="Times New Roman" w:cstheme="minorHAnsi"/>
                <w:color w:val="231F20"/>
                <w:sz w:val="20"/>
                <w:szCs w:val="20"/>
                <w:bdr w:val="none" w:sz="0" w:space="0" w:color="auto" w:frame="1"/>
                <w:lang w:eastAsia="hr-HR"/>
              </w:rPr>
              <w:t>55 %</w:t>
            </w:r>
          </w:p>
        </w:tc>
      </w:tr>
      <w:tr w:rsidR="00FB35E6" w:rsidRPr="00FB35E6" w14:paraId="152E0EAA" w14:textId="77777777" w:rsidTr="00546405">
        <w:trPr>
          <w:trHeight w:val="227"/>
        </w:trPr>
        <w:tc>
          <w:tcPr>
            <w:tcW w:w="1010" w:type="pct"/>
            <w:shd w:val="clear" w:color="auto" w:fill="auto"/>
            <w:tcMar>
              <w:top w:w="96" w:type="dxa"/>
              <w:left w:w="96" w:type="dxa"/>
              <w:bottom w:w="120" w:type="dxa"/>
              <w:right w:w="96" w:type="dxa"/>
            </w:tcMar>
            <w:vAlign w:val="center"/>
            <w:hideMark/>
          </w:tcPr>
          <w:p w14:paraId="454F76D7" w14:textId="77777777" w:rsidR="00FB35E6" w:rsidRPr="00FB35E6" w:rsidRDefault="00FB35E6" w:rsidP="00CC41BC">
            <w:pPr>
              <w:spacing w:after="0" w:line="240" w:lineRule="auto"/>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AL/FE</w:t>
            </w:r>
          </w:p>
        </w:tc>
        <w:tc>
          <w:tcPr>
            <w:tcW w:w="530" w:type="pct"/>
            <w:shd w:val="clear" w:color="auto" w:fill="auto"/>
            <w:tcMar>
              <w:top w:w="96" w:type="dxa"/>
              <w:left w:w="96" w:type="dxa"/>
              <w:bottom w:w="120" w:type="dxa"/>
              <w:right w:w="96" w:type="dxa"/>
            </w:tcMar>
            <w:vAlign w:val="center"/>
            <w:hideMark/>
          </w:tcPr>
          <w:p w14:paraId="148EE0E3"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50 %</w:t>
            </w:r>
          </w:p>
        </w:tc>
        <w:tc>
          <w:tcPr>
            <w:tcW w:w="492" w:type="pct"/>
            <w:shd w:val="clear" w:color="auto" w:fill="auto"/>
            <w:tcMar>
              <w:top w:w="96" w:type="dxa"/>
              <w:left w:w="96" w:type="dxa"/>
              <w:bottom w:w="120" w:type="dxa"/>
              <w:right w:w="96" w:type="dxa"/>
            </w:tcMar>
            <w:vAlign w:val="center"/>
            <w:hideMark/>
          </w:tcPr>
          <w:p w14:paraId="48562295"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14 %</w:t>
            </w:r>
          </w:p>
        </w:tc>
        <w:tc>
          <w:tcPr>
            <w:tcW w:w="490" w:type="pct"/>
            <w:shd w:val="clear" w:color="auto" w:fill="auto"/>
            <w:tcMar>
              <w:top w:w="96" w:type="dxa"/>
              <w:left w:w="96" w:type="dxa"/>
              <w:bottom w:w="120" w:type="dxa"/>
              <w:right w:w="96" w:type="dxa"/>
            </w:tcMar>
            <w:vAlign w:val="center"/>
            <w:hideMark/>
          </w:tcPr>
          <w:p w14:paraId="2B7977DC"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16 %</w:t>
            </w:r>
          </w:p>
        </w:tc>
        <w:tc>
          <w:tcPr>
            <w:tcW w:w="490" w:type="pct"/>
            <w:shd w:val="clear" w:color="auto" w:fill="auto"/>
            <w:tcMar>
              <w:top w:w="96" w:type="dxa"/>
              <w:left w:w="96" w:type="dxa"/>
              <w:bottom w:w="120" w:type="dxa"/>
              <w:right w:w="96" w:type="dxa"/>
            </w:tcMar>
            <w:vAlign w:val="center"/>
            <w:hideMark/>
          </w:tcPr>
          <w:p w14:paraId="6DF80291"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16 %</w:t>
            </w:r>
          </w:p>
        </w:tc>
        <w:tc>
          <w:tcPr>
            <w:tcW w:w="490" w:type="pct"/>
            <w:shd w:val="clear" w:color="auto" w:fill="auto"/>
            <w:tcMar>
              <w:top w:w="96" w:type="dxa"/>
              <w:left w:w="96" w:type="dxa"/>
              <w:bottom w:w="120" w:type="dxa"/>
              <w:right w:w="96" w:type="dxa"/>
            </w:tcMar>
            <w:vAlign w:val="center"/>
            <w:hideMark/>
          </w:tcPr>
          <w:p w14:paraId="5E877819"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20 %</w:t>
            </w:r>
          </w:p>
        </w:tc>
        <w:tc>
          <w:tcPr>
            <w:tcW w:w="490" w:type="pct"/>
            <w:shd w:val="clear" w:color="auto" w:fill="auto"/>
            <w:tcMar>
              <w:top w:w="96" w:type="dxa"/>
              <w:left w:w="96" w:type="dxa"/>
              <w:bottom w:w="120" w:type="dxa"/>
              <w:right w:w="96" w:type="dxa"/>
            </w:tcMar>
            <w:vAlign w:val="center"/>
            <w:hideMark/>
          </w:tcPr>
          <w:p w14:paraId="0E174801"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19 %</w:t>
            </w:r>
          </w:p>
        </w:tc>
        <w:tc>
          <w:tcPr>
            <w:tcW w:w="490" w:type="pct"/>
            <w:shd w:val="clear" w:color="auto" w:fill="auto"/>
            <w:tcMar>
              <w:top w:w="96" w:type="dxa"/>
              <w:left w:w="96" w:type="dxa"/>
              <w:bottom w:w="120" w:type="dxa"/>
              <w:right w:w="96" w:type="dxa"/>
            </w:tcMar>
            <w:vAlign w:val="center"/>
            <w:hideMark/>
          </w:tcPr>
          <w:p w14:paraId="2E31F793"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19 %</w:t>
            </w:r>
          </w:p>
        </w:tc>
        <w:tc>
          <w:tcPr>
            <w:tcW w:w="518" w:type="pct"/>
            <w:shd w:val="clear" w:color="auto" w:fill="FBE4D5" w:themeFill="accent2" w:themeFillTint="33"/>
          </w:tcPr>
          <w:p w14:paraId="4DF3987F" w14:textId="77777777" w:rsidR="00FB35E6" w:rsidRPr="00FB35E6" w:rsidRDefault="00FB35E6" w:rsidP="00CC41BC">
            <w:pPr>
              <w:spacing w:after="0" w:line="240" w:lineRule="auto"/>
              <w:jc w:val="center"/>
              <w:rPr>
                <w:rFonts w:eastAsia="Times New Roman" w:cstheme="minorHAnsi"/>
                <w:color w:val="231F20"/>
                <w:sz w:val="20"/>
                <w:szCs w:val="20"/>
                <w:bdr w:val="none" w:sz="0" w:space="0" w:color="auto" w:frame="1"/>
                <w:lang w:eastAsia="hr-HR"/>
              </w:rPr>
            </w:pPr>
            <w:r w:rsidRPr="00FB35E6">
              <w:rPr>
                <w:rFonts w:eastAsia="Times New Roman" w:cstheme="minorHAnsi"/>
                <w:color w:val="231F20"/>
                <w:sz w:val="20"/>
                <w:szCs w:val="20"/>
                <w:bdr w:val="none" w:sz="0" w:space="0" w:color="auto" w:frame="1"/>
                <w:lang w:eastAsia="hr-HR"/>
              </w:rPr>
              <w:t>27 %</w:t>
            </w:r>
          </w:p>
        </w:tc>
      </w:tr>
      <w:tr w:rsidR="00FB35E6" w:rsidRPr="00FB35E6" w14:paraId="525AC073" w14:textId="77777777" w:rsidTr="00546405">
        <w:trPr>
          <w:trHeight w:val="227"/>
        </w:trPr>
        <w:tc>
          <w:tcPr>
            <w:tcW w:w="1010" w:type="pct"/>
            <w:shd w:val="clear" w:color="auto" w:fill="auto"/>
            <w:tcMar>
              <w:top w:w="96" w:type="dxa"/>
              <w:left w:w="96" w:type="dxa"/>
              <w:bottom w:w="120" w:type="dxa"/>
              <w:right w:w="96" w:type="dxa"/>
            </w:tcMar>
            <w:vAlign w:val="center"/>
            <w:hideMark/>
          </w:tcPr>
          <w:p w14:paraId="22F55106" w14:textId="77777777" w:rsidR="00FB35E6" w:rsidRPr="00FB35E6" w:rsidRDefault="00FB35E6" w:rsidP="00CC41BC">
            <w:pPr>
              <w:spacing w:after="0" w:line="240" w:lineRule="auto"/>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POLIMERI</w:t>
            </w:r>
          </w:p>
        </w:tc>
        <w:tc>
          <w:tcPr>
            <w:tcW w:w="530" w:type="pct"/>
            <w:shd w:val="clear" w:color="auto" w:fill="auto"/>
            <w:tcMar>
              <w:top w:w="96" w:type="dxa"/>
              <w:left w:w="96" w:type="dxa"/>
              <w:bottom w:w="120" w:type="dxa"/>
              <w:right w:w="96" w:type="dxa"/>
            </w:tcMar>
            <w:vAlign w:val="center"/>
            <w:hideMark/>
          </w:tcPr>
          <w:p w14:paraId="38320EAC"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23 %</w:t>
            </w:r>
          </w:p>
        </w:tc>
        <w:tc>
          <w:tcPr>
            <w:tcW w:w="492" w:type="pct"/>
            <w:shd w:val="clear" w:color="auto" w:fill="auto"/>
            <w:tcMar>
              <w:top w:w="96" w:type="dxa"/>
              <w:left w:w="96" w:type="dxa"/>
              <w:bottom w:w="120" w:type="dxa"/>
              <w:right w:w="96" w:type="dxa"/>
            </w:tcMar>
            <w:vAlign w:val="center"/>
            <w:hideMark/>
          </w:tcPr>
          <w:p w14:paraId="7369BEDD"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46 %</w:t>
            </w:r>
          </w:p>
        </w:tc>
        <w:tc>
          <w:tcPr>
            <w:tcW w:w="490" w:type="pct"/>
            <w:shd w:val="clear" w:color="auto" w:fill="auto"/>
            <w:tcMar>
              <w:top w:w="96" w:type="dxa"/>
              <w:left w:w="96" w:type="dxa"/>
              <w:bottom w:w="120" w:type="dxa"/>
              <w:right w:w="96" w:type="dxa"/>
            </w:tcMar>
            <w:vAlign w:val="center"/>
            <w:hideMark/>
          </w:tcPr>
          <w:p w14:paraId="3ACC1115"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41 %</w:t>
            </w:r>
          </w:p>
        </w:tc>
        <w:tc>
          <w:tcPr>
            <w:tcW w:w="490" w:type="pct"/>
            <w:shd w:val="clear" w:color="auto" w:fill="auto"/>
            <w:tcMar>
              <w:top w:w="96" w:type="dxa"/>
              <w:left w:w="96" w:type="dxa"/>
              <w:bottom w:w="120" w:type="dxa"/>
              <w:right w:w="96" w:type="dxa"/>
            </w:tcMar>
            <w:vAlign w:val="center"/>
            <w:hideMark/>
          </w:tcPr>
          <w:p w14:paraId="41B82294"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37 %</w:t>
            </w:r>
          </w:p>
        </w:tc>
        <w:tc>
          <w:tcPr>
            <w:tcW w:w="490" w:type="pct"/>
            <w:shd w:val="clear" w:color="auto" w:fill="auto"/>
            <w:tcMar>
              <w:top w:w="96" w:type="dxa"/>
              <w:left w:w="96" w:type="dxa"/>
              <w:bottom w:w="120" w:type="dxa"/>
              <w:right w:w="96" w:type="dxa"/>
            </w:tcMar>
            <w:vAlign w:val="center"/>
            <w:hideMark/>
          </w:tcPr>
          <w:p w14:paraId="50135A56"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37 %</w:t>
            </w:r>
          </w:p>
        </w:tc>
        <w:tc>
          <w:tcPr>
            <w:tcW w:w="490" w:type="pct"/>
            <w:shd w:val="clear" w:color="auto" w:fill="auto"/>
            <w:tcMar>
              <w:top w:w="96" w:type="dxa"/>
              <w:left w:w="96" w:type="dxa"/>
              <w:bottom w:w="120" w:type="dxa"/>
              <w:right w:w="96" w:type="dxa"/>
            </w:tcMar>
            <w:vAlign w:val="center"/>
            <w:hideMark/>
          </w:tcPr>
          <w:p w14:paraId="117D7587"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36 %</w:t>
            </w:r>
          </w:p>
        </w:tc>
        <w:tc>
          <w:tcPr>
            <w:tcW w:w="490" w:type="pct"/>
            <w:shd w:val="clear" w:color="auto" w:fill="auto"/>
            <w:tcMar>
              <w:top w:w="96" w:type="dxa"/>
              <w:left w:w="96" w:type="dxa"/>
              <w:bottom w:w="120" w:type="dxa"/>
              <w:right w:w="96" w:type="dxa"/>
            </w:tcMar>
            <w:vAlign w:val="center"/>
            <w:hideMark/>
          </w:tcPr>
          <w:p w14:paraId="15127F2F"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37 %</w:t>
            </w:r>
          </w:p>
        </w:tc>
        <w:tc>
          <w:tcPr>
            <w:tcW w:w="518" w:type="pct"/>
            <w:shd w:val="clear" w:color="auto" w:fill="E2EFD9" w:themeFill="accent6" w:themeFillTint="33"/>
          </w:tcPr>
          <w:p w14:paraId="01A5D7F7" w14:textId="77777777" w:rsidR="00FB35E6" w:rsidRPr="00FB35E6" w:rsidRDefault="00FB35E6" w:rsidP="00CC41BC">
            <w:pPr>
              <w:spacing w:after="0" w:line="240" w:lineRule="auto"/>
              <w:jc w:val="center"/>
              <w:rPr>
                <w:rFonts w:eastAsia="Times New Roman" w:cstheme="minorHAnsi"/>
                <w:color w:val="231F20"/>
                <w:sz w:val="20"/>
                <w:szCs w:val="20"/>
                <w:bdr w:val="none" w:sz="0" w:space="0" w:color="auto" w:frame="1"/>
                <w:lang w:eastAsia="hr-HR"/>
              </w:rPr>
            </w:pPr>
            <w:r w:rsidRPr="00FB35E6">
              <w:rPr>
                <w:rFonts w:eastAsia="Times New Roman" w:cstheme="minorHAnsi"/>
                <w:color w:val="231F20"/>
                <w:sz w:val="20"/>
                <w:szCs w:val="20"/>
                <w:bdr w:val="none" w:sz="0" w:space="0" w:color="auto" w:frame="1"/>
                <w:lang w:eastAsia="hr-HR"/>
              </w:rPr>
              <w:t>36 %</w:t>
            </w:r>
          </w:p>
        </w:tc>
      </w:tr>
      <w:tr w:rsidR="00FB35E6" w:rsidRPr="00FB35E6" w14:paraId="5A606B8B" w14:textId="77777777" w:rsidTr="00546405">
        <w:trPr>
          <w:trHeight w:val="227"/>
        </w:trPr>
        <w:tc>
          <w:tcPr>
            <w:tcW w:w="1010" w:type="pct"/>
            <w:shd w:val="clear" w:color="auto" w:fill="auto"/>
            <w:tcMar>
              <w:top w:w="96" w:type="dxa"/>
              <w:left w:w="96" w:type="dxa"/>
              <w:bottom w:w="120" w:type="dxa"/>
              <w:right w:w="96" w:type="dxa"/>
            </w:tcMar>
            <w:vAlign w:val="center"/>
            <w:hideMark/>
          </w:tcPr>
          <w:p w14:paraId="7E95CB93" w14:textId="77777777" w:rsidR="00FB35E6" w:rsidRPr="00FB35E6" w:rsidRDefault="00FB35E6" w:rsidP="00CC41BC">
            <w:pPr>
              <w:spacing w:after="0" w:line="240" w:lineRule="auto"/>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DRVO</w:t>
            </w:r>
          </w:p>
        </w:tc>
        <w:tc>
          <w:tcPr>
            <w:tcW w:w="530" w:type="pct"/>
            <w:shd w:val="clear" w:color="auto" w:fill="auto"/>
            <w:tcMar>
              <w:top w:w="96" w:type="dxa"/>
              <w:left w:w="96" w:type="dxa"/>
              <w:bottom w:w="120" w:type="dxa"/>
              <w:right w:w="96" w:type="dxa"/>
            </w:tcMar>
            <w:vAlign w:val="center"/>
            <w:hideMark/>
          </w:tcPr>
          <w:p w14:paraId="53AFBCDD"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15 %</w:t>
            </w:r>
          </w:p>
        </w:tc>
        <w:tc>
          <w:tcPr>
            <w:tcW w:w="492" w:type="pct"/>
            <w:shd w:val="clear" w:color="auto" w:fill="auto"/>
            <w:tcMar>
              <w:top w:w="96" w:type="dxa"/>
              <w:left w:w="96" w:type="dxa"/>
              <w:bottom w:w="120" w:type="dxa"/>
              <w:right w:w="96" w:type="dxa"/>
            </w:tcMar>
            <w:vAlign w:val="center"/>
            <w:hideMark/>
          </w:tcPr>
          <w:p w14:paraId="17ED4ADF"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3 %</w:t>
            </w:r>
          </w:p>
        </w:tc>
        <w:tc>
          <w:tcPr>
            <w:tcW w:w="490" w:type="pct"/>
            <w:shd w:val="clear" w:color="auto" w:fill="auto"/>
            <w:tcMar>
              <w:top w:w="96" w:type="dxa"/>
              <w:left w:w="96" w:type="dxa"/>
              <w:bottom w:w="120" w:type="dxa"/>
              <w:right w:w="96" w:type="dxa"/>
            </w:tcMar>
            <w:vAlign w:val="center"/>
            <w:hideMark/>
          </w:tcPr>
          <w:p w14:paraId="055E05A9"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3 %</w:t>
            </w:r>
          </w:p>
        </w:tc>
        <w:tc>
          <w:tcPr>
            <w:tcW w:w="490" w:type="pct"/>
            <w:shd w:val="clear" w:color="auto" w:fill="auto"/>
            <w:tcMar>
              <w:top w:w="96" w:type="dxa"/>
              <w:left w:w="96" w:type="dxa"/>
              <w:bottom w:w="120" w:type="dxa"/>
              <w:right w:w="96" w:type="dxa"/>
            </w:tcMar>
            <w:vAlign w:val="center"/>
            <w:hideMark/>
          </w:tcPr>
          <w:p w14:paraId="030BE42A"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3 %</w:t>
            </w:r>
          </w:p>
        </w:tc>
        <w:tc>
          <w:tcPr>
            <w:tcW w:w="490" w:type="pct"/>
            <w:shd w:val="clear" w:color="auto" w:fill="auto"/>
            <w:tcMar>
              <w:top w:w="96" w:type="dxa"/>
              <w:left w:w="96" w:type="dxa"/>
              <w:bottom w:w="120" w:type="dxa"/>
              <w:right w:w="96" w:type="dxa"/>
            </w:tcMar>
            <w:vAlign w:val="center"/>
            <w:hideMark/>
          </w:tcPr>
          <w:p w14:paraId="7A3CC279"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4 %</w:t>
            </w:r>
          </w:p>
        </w:tc>
        <w:tc>
          <w:tcPr>
            <w:tcW w:w="490" w:type="pct"/>
            <w:shd w:val="clear" w:color="auto" w:fill="auto"/>
            <w:tcMar>
              <w:top w:w="96" w:type="dxa"/>
              <w:left w:w="96" w:type="dxa"/>
              <w:bottom w:w="120" w:type="dxa"/>
              <w:right w:w="96" w:type="dxa"/>
            </w:tcMar>
            <w:vAlign w:val="center"/>
            <w:hideMark/>
          </w:tcPr>
          <w:p w14:paraId="07FD840A"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3 %</w:t>
            </w:r>
          </w:p>
        </w:tc>
        <w:tc>
          <w:tcPr>
            <w:tcW w:w="490" w:type="pct"/>
            <w:shd w:val="clear" w:color="auto" w:fill="auto"/>
            <w:tcMar>
              <w:top w:w="96" w:type="dxa"/>
              <w:left w:w="96" w:type="dxa"/>
              <w:bottom w:w="120" w:type="dxa"/>
              <w:right w:w="96" w:type="dxa"/>
            </w:tcMar>
            <w:vAlign w:val="center"/>
            <w:hideMark/>
          </w:tcPr>
          <w:p w14:paraId="23BF2337"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4 %</w:t>
            </w:r>
          </w:p>
        </w:tc>
        <w:tc>
          <w:tcPr>
            <w:tcW w:w="518" w:type="pct"/>
            <w:shd w:val="clear" w:color="auto" w:fill="E2EFD9" w:themeFill="accent6" w:themeFillTint="33"/>
          </w:tcPr>
          <w:p w14:paraId="76B6B591" w14:textId="77777777" w:rsidR="00FB35E6" w:rsidRPr="00FB35E6" w:rsidRDefault="00FB35E6" w:rsidP="00CC41BC">
            <w:pPr>
              <w:spacing w:after="0" w:line="240" w:lineRule="auto"/>
              <w:jc w:val="center"/>
              <w:rPr>
                <w:rFonts w:eastAsia="Times New Roman" w:cstheme="minorHAnsi"/>
                <w:color w:val="231F20"/>
                <w:sz w:val="20"/>
                <w:szCs w:val="20"/>
                <w:bdr w:val="none" w:sz="0" w:space="0" w:color="auto" w:frame="1"/>
                <w:lang w:eastAsia="hr-HR"/>
              </w:rPr>
            </w:pPr>
            <w:r w:rsidRPr="00FB35E6">
              <w:rPr>
                <w:rFonts w:eastAsia="Times New Roman" w:cstheme="minorHAnsi"/>
                <w:color w:val="231F20"/>
                <w:sz w:val="20"/>
                <w:szCs w:val="20"/>
                <w:bdr w:val="none" w:sz="0" w:space="0" w:color="auto" w:frame="1"/>
                <w:lang w:eastAsia="hr-HR"/>
              </w:rPr>
              <w:t>16 %</w:t>
            </w:r>
          </w:p>
        </w:tc>
      </w:tr>
    </w:tbl>
    <w:p w14:paraId="400A94AE" w14:textId="77777777" w:rsidR="00FB35E6" w:rsidRPr="00FB35E6" w:rsidRDefault="00FB35E6" w:rsidP="00FB35E6">
      <w:pPr>
        <w:spacing w:after="240"/>
        <w:jc w:val="right"/>
        <w:rPr>
          <w:i/>
          <w:iCs/>
          <w:sz w:val="18"/>
          <w:szCs w:val="20"/>
        </w:rPr>
      </w:pPr>
      <w:r w:rsidRPr="00FB35E6">
        <w:rPr>
          <w:i/>
          <w:iCs/>
          <w:sz w:val="18"/>
          <w:szCs w:val="20"/>
        </w:rPr>
        <w:t>Izvor: FZOEU, MINGOR, 2021.</w:t>
      </w:r>
    </w:p>
    <w:p w14:paraId="26E6AC87" w14:textId="3AC4B265" w:rsidR="00644DE2" w:rsidRPr="00D23965" w:rsidRDefault="00D23965" w:rsidP="00644DE2">
      <w:pPr>
        <w:rPr>
          <w:b/>
          <w:bCs/>
        </w:rPr>
      </w:pPr>
      <w:r w:rsidRPr="00D23965">
        <w:rPr>
          <w:b/>
          <w:bCs/>
        </w:rPr>
        <w:t xml:space="preserve">Povratna (višekratna) ambalaža kao posebna </w:t>
      </w:r>
      <w:proofErr w:type="spellStart"/>
      <w:r w:rsidRPr="00D23965">
        <w:rPr>
          <w:b/>
          <w:bCs/>
        </w:rPr>
        <w:t>podkategorija</w:t>
      </w:r>
      <w:proofErr w:type="spellEnd"/>
      <w:r w:rsidRPr="00D23965">
        <w:rPr>
          <w:b/>
          <w:bCs/>
        </w:rPr>
        <w:t xml:space="preserve"> otpadne ambalaže</w:t>
      </w:r>
    </w:p>
    <w:p w14:paraId="26345A76" w14:textId="29539F94" w:rsidR="00D23965" w:rsidRDefault="00D23965" w:rsidP="00D23965">
      <w:r>
        <w:lastRenderedPageBreak/>
        <w:t xml:space="preserve">S obzirom da korištenje višekratne ambalaže predstavlja najbolji instrument u smanjenju količina ambalažnog otpada potrebno je u što većoj mjeri poticati stavljanje na tržište i korištenje povratne ambalaže. Ista se u najvećoj mjeri odnosi na ambalažu </w:t>
      </w:r>
      <w:r w:rsidR="004803DD">
        <w:t xml:space="preserve">od </w:t>
      </w:r>
      <w:r>
        <w:t xml:space="preserve">napitaka </w:t>
      </w:r>
      <w:r w:rsidR="004803DD" w:rsidRPr="004803DD">
        <w:t>te je potrebna daljnja edukacija potrošača o prednostima korištenja višekratne ambalaže kroz mjere podizanja svijesti o upotrebi višekratne ambalaže i poticanja industrije koja proizvodi i stavlja na tržište proizvode u višekratnoj ambalaži kroz razne instrumente poticaja koje je potrebno definirati u narednom razdoblju.</w:t>
      </w:r>
    </w:p>
    <w:p w14:paraId="487209A2" w14:textId="231D0093" w:rsidR="00D23965" w:rsidRDefault="00D23965" w:rsidP="00D23965">
      <w:r>
        <w:t>Tako je u periodu od 2017.-2021. na tržište stavljeno prosječno oko 4,5% višekratne ambalaže u odnosu na ukupnu količinu ambalaže, uz kretanje od 2,69 – 7,55% (</w:t>
      </w:r>
      <w:r>
        <w:fldChar w:fldCharType="begin"/>
      </w:r>
      <w:r>
        <w:instrText xml:space="preserve"> REF _Ref116639756 \h </w:instrText>
      </w:r>
      <w:r>
        <w:fldChar w:fldCharType="separate"/>
      </w:r>
      <w:r w:rsidR="00F37B62">
        <w:t xml:space="preserve">Tablica </w:t>
      </w:r>
      <w:r w:rsidR="00F37B62">
        <w:rPr>
          <w:noProof/>
        </w:rPr>
        <w:t>11</w:t>
      </w:r>
      <w:r>
        <w:fldChar w:fldCharType="end"/>
      </w:r>
      <w:r>
        <w:t>).</w:t>
      </w:r>
    </w:p>
    <w:p w14:paraId="6EA8E20C" w14:textId="79265729" w:rsidR="00D23965" w:rsidRDefault="004803DD" w:rsidP="00D23965">
      <w:r w:rsidRPr="004803DD">
        <w:t>Predviđenim mjerama je potrebno u narednom planskom razdoblju osigura</w:t>
      </w:r>
      <w:r>
        <w:t>ti</w:t>
      </w:r>
      <w:r w:rsidRPr="004803DD">
        <w:t xml:space="preserve"> da od ukupne količine ambalaže stavljene na tržište bude stavljeno najmanje 5% proizvoda u višekratnoj ambalaži/5% višekratne ambalaže.</w:t>
      </w:r>
    </w:p>
    <w:p w14:paraId="460055AD" w14:textId="3067E771" w:rsidR="00D23965" w:rsidRPr="00D23965" w:rsidRDefault="00D23965" w:rsidP="00D23965">
      <w:pPr>
        <w:pStyle w:val="Tablica"/>
        <w:rPr>
          <w:b w:val="0"/>
          <w:bCs/>
        </w:rPr>
      </w:pPr>
      <w:bookmarkStart w:id="89" w:name="_Ref116639756"/>
      <w:bookmarkStart w:id="90" w:name="_Toc125364400"/>
      <w:r>
        <w:t xml:space="preserve">Tablica </w:t>
      </w:r>
      <w:fldSimple w:instr=" SEQ Tablica \* ARABIC ">
        <w:r w:rsidR="00F37B62">
          <w:rPr>
            <w:noProof/>
          </w:rPr>
          <w:t>11</w:t>
        </w:r>
      </w:fldSimple>
      <w:bookmarkEnd w:id="89"/>
      <w:r>
        <w:t xml:space="preserve">. </w:t>
      </w:r>
      <w:r w:rsidRPr="00D23965">
        <w:rPr>
          <w:b w:val="0"/>
          <w:bCs/>
        </w:rPr>
        <w:t>Udio višekratne ambalaže stavljene na tržište od 2017.-2021.</w:t>
      </w:r>
      <w:bookmarkEnd w:id="9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1"/>
        <w:gridCol w:w="2275"/>
        <w:gridCol w:w="2268"/>
        <w:gridCol w:w="2693"/>
      </w:tblGrid>
      <w:tr w:rsidR="00D23965" w:rsidRPr="00D23965" w14:paraId="3278CCAA" w14:textId="77777777" w:rsidTr="00D23965">
        <w:trPr>
          <w:trHeight w:val="600"/>
        </w:trPr>
        <w:tc>
          <w:tcPr>
            <w:tcW w:w="1831" w:type="dxa"/>
            <w:shd w:val="clear" w:color="auto" w:fill="002060"/>
            <w:tcMar>
              <w:top w:w="0" w:type="dxa"/>
              <w:left w:w="108" w:type="dxa"/>
              <w:bottom w:w="0" w:type="dxa"/>
              <w:right w:w="108" w:type="dxa"/>
            </w:tcMar>
            <w:vAlign w:val="center"/>
            <w:hideMark/>
          </w:tcPr>
          <w:p w14:paraId="2CFEFA97" w14:textId="32BC7FB8" w:rsidR="00D23965" w:rsidRPr="00D23965" w:rsidRDefault="00D23965" w:rsidP="00D23965">
            <w:pPr>
              <w:spacing w:after="0" w:line="240" w:lineRule="auto"/>
              <w:jc w:val="center"/>
              <w:rPr>
                <w:rFonts w:cstheme="minorHAnsi"/>
                <w:b/>
                <w:bCs/>
                <w:color w:val="FFFFFF" w:themeColor="background1"/>
                <w:sz w:val="20"/>
                <w:szCs w:val="20"/>
              </w:rPr>
            </w:pPr>
            <w:r w:rsidRPr="00D23965">
              <w:rPr>
                <w:rFonts w:cstheme="minorHAnsi"/>
                <w:b/>
                <w:bCs/>
                <w:color w:val="FFFFFF" w:themeColor="background1"/>
                <w:sz w:val="20"/>
                <w:szCs w:val="20"/>
              </w:rPr>
              <w:t>Godina</w:t>
            </w:r>
          </w:p>
        </w:tc>
        <w:tc>
          <w:tcPr>
            <w:tcW w:w="2275" w:type="dxa"/>
            <w:shd w:val="clear" w:color="auto" w:fill="002060"/>
            <w:tcMar>
              <w:top w:w="0" w:type="dxa"/>
              <w:left w:w="108" w:type="dxa"/>
              <w:bottom w:w="0" w:type="dxa"/>
              <w:right w:w="108" w:type="dxa"/>
            </w:tcMar>
            <w:vAlign w:val="center"/>
            <w:hideMark/>
          </w:tcPr>
          <w:p w14:paraId="4CE04174" w14:textId="59E3567B" w:rsidR="00D23965" w:rsidRPr="00D23965" w:rsidRDefault="00D23965" w:rsidP="00D23965">
            <w:pPr>
              <w:spacing w:after="0" w:line="240" w:lineRule="auto"/>
              <w:jc w:val="center"/>
              <w:rPr>
                <w:rFonts w:cstheme="minorHAnsi"/>
                <w:b/>
                <w:bCs/>
                <w:color w:val="FFFFFF" w:themeColor="background1"/>
                <w:sz w:val="20"/>
                <w:szCs w:val="20"/>
              </w:rPr>
            </w:pPr>
            <w:r w:rsidRPr="00D23965">
              <w:rPr>
                <w:rFonts w:cstheme="minorHAnsi"/>
                <w:b/>
                <w:bCs/>
                <w:color w:val="FFFFFF" w:themeColor="background1"/>
                <w:sz w:val="20"/>
                <w:szCs w:val="20"/>
              </w:rPr>
              <w:t>Ukupno stavljeno na tržište (tona)</w:t>
            </w:r>
          </w:p>
        </w:tc>
        <w:tc>
          <w:tcPr>
            <w:tcW w:w="2268" w:type="dxa"/>
            <w:shd w:val="clear" w:color="auto" w:fill="002060"/>
            <w:tcMar>
              <w:top w:w="0" w:type="dxa"/>
              <w:left w:w="108" w:type="dxa"/>
              <w:bottom w:w="0" w:type="dxa"/>
              <w:right w:w="108" w:type="dxa"/>
            </w:tcMar>
            <w:vAlign w:val="center"/>
            <w:hideMark/>
          </w:tcPr>
          <w:p w14:paraId="523BEDBC" w14:textId="106C7A47" w:rsidR="00D23965" w:rsidRPr="00D23965" w:rsidRDefault="00D23965" w:rsidP="00D23965">
            <w:pPr>
              <w:spacing w:after="0" w:line="240" w:lineRule="auto"/>
              <w:jc w:val="center"/>
              <w:rPr>
                <w:rFonts w:cstheme="minorHAnsi"/>
                <w:b/>
                <w:bCs/>
                <w:color w:val="FFFFFF" w:themeColor="background1"/>
                <w:sz w:val="20"/>
                <w:szCs w:val="20"/>
              </w:rPr>
            </w:pPr>
            <w:r w:rsidRPr="00D23965">
              <w:rPr>
                <w:rFonts w:cstheme="minorHAnsi"/>
                <w:b/>
                <w:bCs/>
                <w:color w:val="FFFFFF" w:themeColor="background1"/>
                <w:sz w:val="20"/>
                <w:szCs w:val="20"/>
              </w:rPr>
              <w:t>Višekratna ambalaža (tona)</w:t>
            </w:r>
          </w:p>
        </w:tc>
        <w:tc>
          <w:tcPr>
            <w:tcW w:w="2693" w:type="dxa"/>
            <w:shd w:val="clear" w:color="auto" w:fill="002060"/>
            <w:tcMar>
              <w:top w:w="0" w:type="dxa"/>
              <w:left w:w="108" w:type="dxa"/>
              <w:bottom w:w="0" w:type="dxa"/>
              <w:right w:w="108" w:type="dxa"/>
            </w:tcMar>
            <w:vAlign w:val="center"/>
            <w:hideMark/>
          </w:tcPr>
          <w:p w14:paraId="601C2308" w14:textId="03DA0BF7" w:rsidR="00D23965" w:rsidRPr="00D23965" w:rsidRDefault="00D23965" w:rsidP="00D23965">
            <w:pPr>
              <w:spacing w:after="0" w:line="240" w:lineRule="auto"/>
              <w:jc w:val="center"/>
              <w:rPr>
                <w:rFonts w:cstheme="minorHAnsi"/>
                <w:b/>
                <w:bCs/>
                <w:color w:val="FFFFFF" w:themeColor="background1"/>
                <w:sz w:val="20"/>
                <w:szCs w:val="20"/>
              </w:rPr>
            </w:pPr>
            <w:r w:rsidRPr="00D23965">
              <w:rPr>
                <w:rFonts w:cstheme="minorHAnsi"/>
                <w:b/>
                <w:bCs/>
                <w:color w:val="FFFFFF" w:themeColor="background1"/>
                <w:sz w:val="20"/>
                <w:szCs w:val="20"/>
              </w:rPr>
              <w:t>Udio višekratne u odnosu na ukupno stavljeno na tržište</w:t>
            </w:r>
          </w:p>
        </w:tc>
      </w:tr>
      <w:tr w:rsidR="00D23965" w:rsidRPr="00D23965" w14:paraId="79448AD8" w14:textId="77777777" w:rsidTr="00D23965">
        <w:trPr>
          <w:trHeight w:val="300"/>
        </w:trPr>
        <w:tc>
          <w:tcPr>
            <w:tcW w:w="1831" w:type="dxa"/>
            <w:noWrap/>
            <w:tcMar>
              <w:top w:w="0" w:type="dxa"/>
              <w:left w:w="108" w:type="dxa"/>
              <w:bottom w:w="0" w:type="dxa"/>
              <w:right w:w="108" w:type="dxa"/>
            </w:tcMar>
            <w:vAlign w:val="center"/>
            <w:hideMark/>
          </w:tcPr>
          <w:p w14:paraId="5F5058AB" w14:textId="4EDD8798" w:rsidR="00D23965" w:rsidRPr="00D23965" w:rsidRDefault="00D23965" w:rsidP="00D23965">
            <w:pPr>
              <w:spacing w:after="0" w:line="240" w:lineRule="auto"/>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2017</w:t>
            </w:r>
            <w:r>
              <w:rPr>
                <w:rFonts w:eastAsia="Times New Roman" w:cstheme="minorHAnsi"/>
                <w:color w:val="231F20"/>
                <w:sz w:val="20"/>
                <w:szCs w:val="20"/>
                <w:bdr w:val="none" w:sz="0" w:space="0" w:color="auto" w:frame="1"/>
                <w:lang w:eastAsia="hr-HR"/>
              </w:rPr>
              <w:t>.</w:t>
            </w:r>
          </w:p>
        </w:tc>
        <w:tc>
          <w:tcPr>
            <w:tcW w:w="2275" w:type="dxa"/>
            <w:noWrap/>
            <w:tcMar>
              <w:top w:w="0" w:type="dxa"/>
              <w:left w:w="108" w:type="dxa"/>
              <w:bottom w:w="0" w:type="dxa"/>
              <w:right w:w="108" w:type="dxa"/>
            </w:tcMar>
            <w:vAlign w:val="center"/>
            <w:hideMark/>
          </w:tcPr>
          <w:p w14:paraId="286679D4"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263.678</w:t>
            </w:r>
          </w:p>
        </w:tc>
        <w:tc>
          <w:tcPr>
            <w:tcW w:w="2268" w:type="dxa"/>
            <w:noWrap/>
            <w:tcMar>
              <w:top w:w="0" w:type="dxa"/>
              <w:left w:w="108" w:type="dxa"/>
              <w:bottom w:w="0" w:type="dxa"/>
              <w:right w:w="108" w:type="dxa"/>
            </w:tcMar>
            <w:vAlign w:val="center"/>
            <w:hideMark/>
          </w:tcPr>
          <w:p w14:paraId="7E5C8E75"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9.649</w:t>
            </w:r>
          </w:p>
        </w:tc>
        <w:tc>
          <w:tcPr>
            <w:tcW w:w="2693" w:type="dxa"/>
            <w:noWrap/>
            <w:tcMar>
              <w:top w:w="0" w:type="dxa"/>
              <w:left w:w="108" w:type="dxa"/>
              <w:bottom w:w="0" w:type="dxa"/>
              <w:right w:w="108" w:type="dxa"/>
            </w:tcMar>
            <w:vAlign w:val="center"/>
            <w:hideMark/>
          </w:tcPr>
          <w:p w14:paraId="3FD2138B"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3,66%</w:t>
            </w:r>
          </w:p>
        </w:tc>
      </w:tr>
      <w:tr w:rsidR="00D23965" w:rsidRPr="00D23965" w14:paraId="44AB26DE" w14:textId="77777777" w:rsidTr="00D23965">
        <w:trPr>
          <w:trHeight w:val="300"/>
        </w:trPr>
        <w:tc>
          <w:tcPr>
            <w:tcW w:w="1831" w:type="dxa"/>
            <w:noWrap/>
            <w:tcMar>
              <w:top w:w="0" w:type="dxa"/>
              <w:left w:w="108" w:type="dxa"/>
              <w:bottom w:w="0" w:type="dxa"/>
              <w:right w:w="108" w:type="dxa"/>
            </w:tcMar>
            <w:vAlign w:val="center"/>
            <w:hideMark/>
          </w:tcPr>
          <w:p w14:paraId="558F6805" w14:textId="23A7A10C" w:rsidR="00D23965" w:rsidRPr="00D23965" w:rsidRDefault="00D23965" w:rsidP="00D23965">
            <w:pPr>
              <w:spacing w:after="0" w:line="240" w:lineRule="auto"/>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2018</w:t>
            </w:r>
            <w:r>
              <w:rPr>
                <w:rFonts w:eastAsia="Times New Roman" w:cstheme="minorHAnsi"/>
                <w:color w:val="231F20"/>
                <w:sz w:val="20"/>
                <w:szCs w:val="20"/>
                <w:bdr w:val="none" w:sz="0" w:space="0" w:color="auto" w:frame="1"/>
                <w:lang w:eastAsia="hr-HR"/>
              </w:rPr>
              <w:t>.</w:t>
            </w:r>
          </w:p>
        </w:tc>
        <w:tc>
          <w:tcPr>
            <w:tcW w:w="2275" w:type="dxa"/>
            <w:noWrap/>
            <w:tcMar>
              <w:top w:w="0" w:type="dxa"/>
              <w:left w:w="108" w:type="dxa"/>
              <w:bottom w:w="0" w:type="dxa"/>
              <w:right w:w="108" w:type="dxa"/>
            </w:tcMar>
            <w:vAlign w:val="center"/>
            <w:hideMark/>
          </w:tcPr>
          <w:p w14:paraId="799662DA"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277.164</w:t>
            </w:r>
          </w:p>
        </w:tc>
        <w:tc>
          <w:tcPr>
            <w:tcW w:w="2268" w:type="dxa"/>
            <w:noWrap/>
            <w:tcMar>
              <w:top w:w="0" w:type="dxa"/>
              <w:left w:w="108" w:type="dxa"/>
              <w:bottom w:w="0" w:type="dxa"/>
              <w:right w:w="108" w:type="dxa"/>
            </w:tcMar>
            <w:vAlign w:val="center"/>
            <w:hideMark/>
          </w:tcPr>
          <w:p w14:paraId="195B39A3"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9.705</w:t>
            </w:r>
          </w:p>
        </w:tc>
        <w:tc>
          <w:tcPr>
            <w:tcW w:w="2693" w:type="dxa"/>
            <w:noWrap/>
            <w:tcMar>
              <w:top w:w="0" w:type="dxa"/>
              <w:left w:w="108" w:type="dxa"/>
              <w:bottom w:w="0" w:type="dxa"/>
              <w:right w:w="108" w:type="dxa"/>
            </w:tcMar>
            <w:vAlign w:val="center"/>
            <w:hideMark/>
          </w:tcPr>
          <w:p w14:paraId="5BBEE02E"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3,50%</w:t>
            </w:r>
          </w:p>
        </w:tc>
      </w:tr>
      <w:tr w:rsidR="00D23965" w:rsidRPr="00D23965" w14:paraId="0F66AC07" w14:textId="77777777" w:rsidTr="00D23965">
        <w:trPr>
          <w:trHeight w:val="300"/>
        </w:trPr>
        <w:tc>
          <w:tcPr>
            <w:tcW w:w="1831" w:type="dxa"/>
            <w:noWrap/>
            <w:tcMar>
              <w:top w:w="0" w:type="dxa"/>
              <w:left w:w="108" w:type="dxa"/>
              <w:bottom w:w="0" w:type="dxa"/>
              <w:right w:w="108" w:type="dxa"/>
            </w:tcMar>
            <w:vAlign w:val="center"/>
            <w:hideMark/>
          </w:tcPr>
          <w:p w14:paraId="74FEEA89" w14:textId="70DA0021" w:rsidR="00D23965" w:rsidRPr="00D23965" w:rsidRDefault="00D23965" w:rsidP="00D23965">
            <w:pPr>
              <w:spacing w:after="0" w:line="240" w:lineRule="auto"/>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2019</w:t>
            </w:r>
            <w:r>
              <w:rPr>
                <w:rFonts w:eastAsia="Times New Roman" w:cstheme="minorHAnsi"/>
                <w:color w:val="231F20"/>
                <w:sz w:val="20"/>
                <w:szCs w:val="20"/>
                <w:bdr w:val="none" w:sz="0" w:space="0" w:color="auto" w:frame="1"/>
                <w:lang w:eastAsia="hr-HR"/>
              </w:rPr>
              <w:t>.</w:t>
            </w:r>
          </w:p>
        </w:tc>
        <w:tc>
          <w:tcPr>
            <w:tcW w:w="2275" w:type="dxa"/>
            <w:noWrap/>
            <w:tcMar>
              <w:top w:w="0" w:type="dxa"/>
              <w:left w:w="108" w:type="dxa"/>
              <w:bottom w:w="0" w:type="dxa"/>
              <w:right w:w="108" w:type="dxa"/>
            </w:tcMar>
            <w:vAlign w:val="center"/>
            <w:hideMark/>
          </w:tcPr>
          <w:p w14:paraId="72788C71"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301.099</w:t>
            </w:r>
          </w:p>
        </w:tc>
        <w:tc>
          <w:tcPr>
            <w:tcW w:w="2268" w:type="dxa"/>
            <w:noWrap/>
            <w:tcMar>
              <w:top w:w="0" w:type="dxa"/>
              <w:left w:w="108" w:type="dxa"/>
              <w:bottom w:w="0" w:type="dxa"/>
              <w:right w:w="108" w:type="dxa"/>
            </w:tcMar>
            <w:vAlign w:val="center"/>
            <w:hideMark/>
          </w:tcPr>
          <w:p w14:paraId="15B0C2DD"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22.736</w:t>
            </w:r>
          </w:p>
        </w:tc>
        <w:tc>
          <w:tcPr>
            <w:tcW w:w="2693" w:type="dxa"/>
            <w:noWrap/>
            <w:tcMar>
              <w:top w:w="0" w:type="dxa"/>
              <w:left w:w="108" w:type="dxa"/>
              <w:bottom w:w="0" w:type="dxa"/>
              <w:right w:w="108" w:type="dxa"/>
            </w:tcMar>
            <w:vAlign w:val="center"/>
            <w:hideMark/>
          </w:tcPr>
          <w:p w14:paraId="39305CD8"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7,55%</w:t>
            </w:r>
          </w:p>
        </w:tc>
      </w:tr>
      <w:tr w:rsidR="00D23965" w:rsidRPr="00D23965" w14:paraId="5DE30181" w14:textId="77777777" w:rsidTr="00D23965">
        <w:trPr>
          <w:trHeight w:val="300"/>
        </w:trPr>
        <w:tc>
          <w:tcPr>
            <w:tcW w:w="1831" w:type="dxa"/>
            <w:noWrap/>
            <w:tcMar>
              <w:top w:w="0" w:type="dxa"/>
              <w:left w:w="108" w:type="dxa"/>
              <w:bottom w:w="0" w:type="dxa"/>
              <w:right w:w="108" w:type="dxa"/>
            </w:tcMar>
            <w:vAlign w:val="center"/>
            <w:hideMark/>
          </w:tcPr>
          <w:p w14:paraId="70E24F0C" w14:textId="7643E9B9" w:rsidR="00D23965" w:rsidRPr="00D23965" w:rsidRDefault="00D23965" w:rsidP="00D23965">
            <w:pPr>
              <w:spacing w:after="0" w:line="240" w:lineRule="auto"/>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2020</w:t>
            </w:r>
            <w:r>
              <w:rPr>
                <w:rFonts w:eastAsia="Times New Roman" w:cstheme="minorHAnsi"/>
                <w:color w:val="231F20"/>
                <w:sz w:val="20"/>
                <w:szCs w:val="20"/>
                <w:bdr w:val="none" w:sz="0" w:space="0" w:color="auto" w:frame="1"/>
                <w:lang w:eastAsia="hr-HR"/>
              </w:rPr>
              <w:t>.</w:t>
            </w:r>
          </w:p>
        </w:tc>
        <w:tc>
          <w:tcPr>
            <w:tcW w:w="2275" w:type="dxa"/>
            <w:noWrap/>
            <w:tcMar>
              <w:top w:w="0" w:type="dxa"/>
              <w:left w:w="108" w:type="dxa"/>
              <w:bottom w:w="0" w:type="dxa"/>
              <w:right w:w="108" w:type="dxa"/>
            </w:tcMar>
            <w:vAlign w:val="center"/>
            <w:hideMark/>
          </w:tcPr>
          <w:p w14:paraId="34FF7CA4"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267.234</w:t>
            </w:r>
          </w:p>
        </w:tc>
        <w:tc>
          <w:tcPr>
            <w:tcW w:w="2268" w:type="dxa"/>
            <w:noWrap/>
            <w:tcMar>
              <w:top w:w="0" w:type="dxa"/>
              <w:left w:w="108" w:type="dxa"/>
              <w:bottom w:w="0" w:type="dxa"/>
              <w:right w:w="108" w:type="dxa"/>
            </w:tcMar>
            <w:vAlign w:val="center"/>
            <w:hideMark/>
          </w:tcPr>
          <w:p w14:paraId="485D6E07"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14.965</w:t>
            </w:r>
          </w:p>
        </w:tc>
        <w:tc>
          <w:tcPr>
            <w:tcW w:w="2693" w:type="dxa"/>
            <w:noWrap/>
            <w:tcMar>
              <w:top w:w="0" w:type="dxa"/>
              <w:left w:w="108" w:type="dxa"/>
              <w:bottom w:w="0" w:type="dxa"/>
              <w:right w:w="108" w:type="dxa"/>
            </w:tcMar>
            <w:vAlign w:val="center"/>
            <w:hideMark/>
          </w:tcPr>
          <w:p w14:paraId="4352E333"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5,60%</w:t>
            </w:r>
          </w:p>
        </w:tc>
      </w:tr>
      <w:tr w:rsidR="00D23965" w:rsidRPr="00D23965" w14:paraId="69447BDF" w14:textId="77777777" w:rsidTr="00D23965">
        <w:trPr>
          <w:trHeight w:val="300"/>
        </w:trPr>
        <w:tc>
          <w:tcPr>
            <w:tcW w:w="1831" w:type="dxa"/>
            <w:noWrap/>
            <w:tcMar>
              <w:top w:w="0" w:type="dxa"/>
              <w:left w:w="108" w:type="dxa"/>
              <w:bottom w:w="0" w:type="dxa"/>
              <w:right w:w="108" w:type="dxa"/>
            </w:tcMar>
            <w:vAlign w:val="center"/>
            <w:hideMark/>
          </w:tcPr>
          <w:p w14:paraId="68BD93DE" w14:textId="266A423D" w:rsidR="00D23965" w:rsidRPr="00D23965" w:rsidRDefault="00D23965" w:rsidP="00D23965">
            <w:pPr>
              <w:spacing w:after="0" w:line="240" w:lineRule="auto"/>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2021</w:t>
            </w:r>
            <w:r>
              <w:rPr>
                <w:rFonts w:eastAsia="Times New Roman" w:cstheme="minorHAnsi"/>
                <w:color w:val="231F20"/>
                <w:sz w:val="20"/>
                <w:szCs w:val="20"/>
                <w:bdr w:val="none" w:sz="0" w:space="0" w:color="auto" w:frame="1"/>
                <w:lang w:eastAsia="hr-HR"/>
              </w:rPr>
              <w:t>.</w:t>
            </w:r>
          </w:p>
        </w:tc>
        <w:tc>
          <w:tcPr>
            <w:tcW w:w="2275" w:type="dxa"/>
            <w:noWrap/>
            <w:tcMar>
              <w:top w:w="0" w:type="dxa"/>
              <w:left w:w="108" w:type="dxa"/>
              <w:bottom w:w="0" w:type="dxa"/>
              <w:right w:w="108" w:type="dxa"/>
            </w:tcMar>
            <w:vAlign w:val="center"/>
            <w:hideMark/>
          </w:tcPr>
          <w:p w14:paraId="4BDE9BF7"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291.630</w:t>
            </w:r>
          </w:p>
        </w:tc>
        <w:tc>
          <w:tcPr>
            <w:tcW w:w="2268" w:type="dxa"/>
            <w:noWrap/>
            <w:tcMar>
              <w:top w:w="0" w:type="dxa"/>
              <w:left w:w="108" w:type="dxa"/>
              <w:bottom w:w="0" w:type="dxa"/>
              <w:right w:w="108" w:type="dxa"/>
            </w:tcMar>
            <w:vAlign w:val="center"/>
            <w:hideMark/>
          </w:tcPr>
          <w:p w14:paraId="36123749"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7.853</w:t>
            </w:r>
          </w:p>
        </w:tc>
        <w:tc>
          <w:tcPr>
            <w:tcW w:w="2693" w:type="dxa"/>
            <w:noWrap/>
            <w:tcMar>
              <w:top w:w="0" w:type="dxa"/>
              <w:left w:w="108" w:type="dxa"/>
              <w:bottom w:w="0" w:type="dxa"/>
              <w:right w:w="108" w:type="dxa"/>
            </w:tcMar>
            <w:vAlign w:val="center"/>
            <w:hideMark/>
          </w:tcPr>
          <w:p w14:paraId="73DFBC37"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2,69%</w:t>
            </w:r>
          </w:p>
        </w:tc>
      </w:tr>
      <w:tr w:rsidR="00D23965" w:rsidRPr="00D23965" w14:paraId="0162F3B0" w14:textId="77777777" w:rsidTr="00D23965">
        <w:trPr>
          <w:trHeight w:val="300"/>
        </w:trPr>
        <w:tc>
          <w:tcPr>
            <w:tcW w:w="1831" w:type="dxa"/>
            <w:noWrap/>
            <w:tcMar>
              <w:top w:w="0" w:type="dxa"/>
              <w:left w:w="108" w:type="dxa"/>
              <w:bottom w:w="0" w:type="dxa"/>
              <w:right w:w="108" w:type="dxa"/>
            </w:tcMar>
            <w:vAlign w:val="center"/>
            <w:hideMark/>
          </w:tcPr>
          <w:p w14:paraId="0350F774" w14:textId="4E1D233C" w:rsidR="00D23965" w:rsidRPr="00D23965" w:rsidRDefault="00D23965" w:rsidP="00D23965">
            <w:pPr>
              <w:spacing w:after="0" w:line="240" w:lineRule="auto"/>
              <w:rPr>
                <w:rFonts w:eastAsia="Times New Roman" w:cstheme="minorHAnsi"/>
                <w:b/>
                <w:bCs/>
                <w:color w:val="231F20"/>
                <w:sz w:val="20"/>
                <w:szCs w:val="20"/>
                <w:bdr w:val="none" w:sz="0" w:space="0" w:color="auto" w:frame="1"/>
                <w:lang w:eastAsia="hr-HR"/>
              </w:rPr>
            </w:pPr>
            <w:r w:rsidRPr="00D23965">
              <w:rPr>
                <w:rFonts w:eastAsia="Times New Roman" w:cstheme="minorHAnsi"/>
                <w:b/>
                <w:bCs/>
                <w:color w:val="231F20"/>
                <w:sz w:val="20"/>
                <w:szCs w:val="20"/>
                <w:bdr w:val="none" w:sz="0" w:space="0" w:color="auto" w:frame="1"/>
                <w:lang w:eastAsia="hr-HR"/>
              </w:rPr>
              <w:t>Ukupno</w:t>
            </w:r>
          </w:p>
        </w:tc>
        <w:tc>
          <w:tcPr>
            <w:tcW w:w="2275" w:type="dxa"/>
            <w:noWrap/>
            <w:tcMar>
              <w:top w:w="0" w:type="dxa"/>
              <w:left w:w="108" w:type="dxa"/>
              <w:bottom w:w="0" w:type="dxa"/>
              <w:right w:w="108" w:type="dxa"/>
            </w:tcMar>
            <w:vAlign w:val="center"/>
            <w:hideMark/>
          </w:tcPr>
          <w:p w14:paraId="5431BDA9" w14:textId="77777777" w:rsidR="00D23965" w:rsidRPr="00D23965" w:rsidRDefault="00D23965" w:rsidP="00D23965">
            <w:pPr>
              <w:spacing w:after="0" w:line="240" w:lineRule="auto"/>
              <w:jc w:val="center"/>
              <w:rPr>
                <w:rFonts w:eastAsia="Times New Roman" w:cstheme="minorHAnsi"/>
                <w:b/>
                <w:bCs/>
                <w:color w:val="231F20"/>
                <w:sz w:val="20"/>
                <w:szCs w:val="20"/>
                <w:bdr w:val="none" w:sz="0" w:space="0" w:color="auto" w:frame="1"/>
                <w:lang w:eastAsia="hr-HR"/>
              </w:rPr>
            </w:pPr>
            <w:r w:rsidRPr="00D23965">
              <w:rPr>
                <w:rFonts w:eastAsia="Times New Roman" w:cstheme="minorHAnsi"/>
                <w:b/>
                <w:bCs/>
                <w:color w:val="231F20"/>
                <w:sz w:val="20"/>
                <w:szCs w:val="20"/>
                <w:bdr w:val="none" w:sz="0" w:space="0" w:color="auto" w:frame="1"/>
                <w:lang w:eastAsia="hr-HR"/>
              </w:rPr>
              <w:t>1.400.806</w:t>
            </w:r>
          </w:p>
        </w:tc>
        <w:tc>
          <w:tcPr>
            <w:tcW w:w="2268" w:type="dxa"/>
            <w:noWrap/>
            <w:tcMar>
              <w:top w:w="0" w:type="dxa"/>
              <w:left w:w="108" w:type="dxa"/>
              <w:bottom w:w="0" w:type="dxa"/>
              <w:right w:w="108" w:type="dxa"/>
            </w:tcMar>
            <w:vAlign w:val="center"/>
            <w:hideMark/>
          </w:tcPr>
          <w:p w14:paraId="1345CFCC" w14:textId="77777777" w:rsidR="00D23965" w:rsidRPr="00D23965" w:rsidRDefault="00D23965" w:rsidP="00D23965">
            <w:pPr>
              <w:spacing w:after="0" w:line="240" w:lineRule="auto"/>
              <w:jc w:val="center"/>
              <w:rPr>
                <w:rFonts w:eastAsia="Times New Roman" w:cstheme="minorHAnsi"/>
                <w:b/>
                <w:bCs/>
                <w:color w:val="231F20"/>
                <w:sz w:val="20"/>
                <w:szCs w:val="20"/>
                <w:bdr w:val="none" w:sz="0" w:space="0" w:color="auto" w:frame="1"/>
                <w:lang w:eastAsia="hr-HR"/>
              </w:rPr>
            </w:pPr>
            <w:r w:rsidRPr="00D23965">
              <w:rPr>
                <w:rFonts w:eastAsia="Times New Roman" w:cstheme="minorHAnsi"/>
                <w:b/>
                <w:bCs/>
                <w:color w:val="231F20"/>
                <w:sz w:val="20"/>
                <w:szCs w:val="20"/>
                <w:bdr w:val="none" w:sz="0" w:space="0" w:color="auto" w:frame="1"/>
                <w:lang w:eastAsia="hr-HR"/>
              </w:rPr>
              <w:t>64.909</w:t>
            </w:r>
          </w:p>
        </w:tc>
        <w:tc>
          <w:tcPr>
            <w:tcW w:w="2693" w:type="dxa"/>
            <w:noWrap/>
            <w:tcMar>
              <w:top w:w="0" w:type="dxa"/>
              <w:left w:w="108" w:type="dxa"/>
              <w:bottom w:w="0" w:type="dxa"/>
              <w:right w:w="108" w:type="dxa"/>
            </w:tcMar>
            <w:vAlign w:val="center"/>
            <w:hideMark/>
          </w:tcPr>
          <w:p w14:paraId="78416F97" w14:textId="77777777" w:rsidR="00D23965" w:rsidRPr="00D23965" w:rsidRDefault="00D23965" w:rsidP="00D23965">
            <w:pPr>
              <w:spacing w:after="0" w:line="240" w:lineRule="auto"/>
              <w:jc w:val="center"/>
              <w:rPr>
                <w:rFonts w:eastAsia="Times New Roman" w:cstheme="minorHAnsi"/>
                <w:b/>
                <w:bCs/>
                <w:color w:val="231F20"/>
                <w:sz w:val="20"/>
                <w:szCs w:val="20"/>
                <w:bdr w:val="none" w:sz="0" w:space="0" w:color="auto" w:frame="1"/>
                <w:lang w:eastAsia="hr-HR"/>
              </w:rPr>
            </w:pPr>
            <w:r w:rsidRPr="00D23965">
              <w:rPr>
                <w:rFonts w:eastAsia="Times New Roman" w:cstheme="minorHAnsi"/>
                <w:b/>
                <w:bCs/>
                <w:color w:val="231F20"/>
                <w:sz w:val="20"/>
                <w:szCs w:val="20"/>
                <w:bdr w:val="none" w:sz="0" w:space="0" w:color="auto" w:frame="1"/>
                <w:lang w:eastAsia="hr-HR"/>
              </w:rPr>
              <w:t>4,63%</w:t>
            </w:r>
          </w:p>
        </w:tc>
      </w:tr>
    </w:tbl>
    <w:p w14:paraId="41C7AC88" w14:textId="71EC3A3C" w:rsidR="00D23965" w:rsidRDefault="00D23965" w:rsidP="00644DE2"/>
    <w:p w14:paraId="0E830776" w14:textId="607213B0" w:rsidR="004803DD" w:rsidRDefault="004803DD" w:rsidP="00644DE2">
      <w:r w:rsidRPr="004803DD">
        <w:t xml:space="preserve">Trenutno sustav gospodarenja otpadnom ambalažom ne obuhvaća u zadovoljavajućoj mjeri sve vrste otpadne ambalaže. </w:t>
      </w:r>
      <w:r w:rsidRPr="007117D5">
        <w:rPr>
          <w:highlight w:val="yellow"/>
        </w:rPr>
        <w:t>Tako ambalaža onečišćena opasnim tvarima nije dio postojećeg sustava proširene odgovornosti proizvođača kojim upravlja FZOEU dok za višeslojnu (kompozitnu) ambalažu ne postoje kapaciteti za obradu.</w:t>
      </w:r>
    </w:p>
    <w:p w14:paraId="419FC13A" w14:textId="3EF87C9F" w:rsidR="000444C4" w:rsidRPr="003D2953" w:rsidRDefault="005639D7" w:rsidP="003D2953">
      <w:pPr>
        <w:pStyle w:val="Odlomakpopisa"/>
        <w:keepNext/>
        <w:numPr>
          <w:ilvl w:val="4"/>
          <w:numId w:val="22"/>
        </w:numPr>
        <w:spacing w:before="360" w:after="240"/>
        <w:ind w:left="1134"/>
        <w:rPr>
          <w:sz w:val="24"/>
          <w:szCs w:val="24"/>
        </w:rPr>
      </w:pPr>
      <w:r w:rsidRPr="003D2953">
        <w:rPr>
          <w:sz w:val="24"/>
          <w:szCs w:val="24"/>
        </w:rPr>
        <w:t>Plastične vrećice za nošenje</w:t>
      </w:r>
    </w:p>
    <w:p w14:paraId="5A4C26AF" w14:textId="7016F633" w:rsidR="00FB35E6" w:rsidRDefault="004803DD" w:rsidP="00FB35E6">
      <w:pPr>
        <w:rPr>
          <w:lang w:eastAsia="hr-HR"/>
        </w:rPr>
      </w:pPr>
      <w:r w:rsidRPr="004803DD">
        <w:rPr>
          <w:lang w:eastAsia="hr-HR"/>
        </w:rPr>
        <w:t xml:space="preserve">Odredbama Pravilnika o izmjenama i dopunama Pravilnika o ambalaži i otpadnoj ambalaži (NN 116/2017) kojim su prenesene odredbe Direktive (EU) 2015/720 EUROPSKOG PARLAMENTA I VIJEĆA od 29. travnja 2015. o izmjeni Direktive 94/62/EZ u pogledu smanjenja potrošnje laganih plastičnih vrećica za nošenje (Tekst značajan za EGP) (SL L 115, 6.5.2015.), od 2018. za proizvođača plastičnih vrećica za nošenje propisana je obveza dostav izvješća FZOEU o godišnjim količinama stavljenim na tržište RH po kategorijama prikazanim u </w:t>
      </w:r>
      <w:r>
        <w:rPr>
          <w:lang w:eastAsia="hr-HR"/>
        </w:rPr>
        <w:fldChar w:fldCharType="begin"/>
      </w:r>
      <w:r>
        <w:rPr>
          <w:lang w:eastAsia="hr-HR"/>
        </w:rPr>
        <w:instrText xml:space="preserve"> REF _Ref119227892 \h </w:instrText>
      </w:r>
      <w:r>
        <w:rPr>
          <w:lang w:eastAsia="hr-HR"/>
        </w:rPr>
      </w:r>
      <w:r>
        <w:rPr>
          <w:lang w:eastAsia="hr-HR"/>
        </w:rPr>
        <w:fldChar w:fldCharType="separate"/>
      </w:r>
      <w:r w:rsidR="00F37B62">
        <w:t xml:space="preserve">Tablica </w:t>
      </w:r>
      <w:r w:rsidR="00F37B62">
        <w:rPr>
          <w:noProof/>
        </w:rPr>
        <w:t>12</w:t>
      </w:r>
      <w:r>
        <w:rPr>
          <w:lang w:eastAsia="hr-HR"/>
        </w:rPr>
        <w:fldChar w:fldCharType="end"/>
      </w:r>
      <w:r w:rsidRPr="004803DD">
        <w:rPr>
          <w:lang w:eastAsia="hr-HR"/>
        </w:rPr>
        <w:t>.</w:t>
      </w:r>
    </w:p>
    <w:p w14:paraId="3E43024F" w14:textId="7E813D0A" w:rsidR="00FB35E6" w:rsidRDefault="004803DD" w:rsidP="00FB35E6">
      <w:pPr>
        <w:rPr>
          <w:rFonts w:ascii="Calibri" w:eastAsia="Times New Roman" w:hAnsi="Calibri" w:cs="Calibri"/>
          <w:color w:val="231F20"/>
          <w:lang w:eastAsia="hr-HR"/>
        </w:rPr>
      </w:pPr>
      <w:r w:rsidRPr="00BC0DD3">
        <w:rPr>
          <w:rFonts w:ascii="Calibri" w:eastAsia="Times New Roman" w:hAnsi="Calibri" w:cs="Calibri"/>
          <w:color w:val="231F20"/>
          <w:lang w:eastAsia="hr-HR"/>
        </w:rPr>
        <w:t>Obvezna naplate plastičnih vrećica za nošenje debljine stjenki od 15 do 50 mikrona u RH nastupila je 01.01.2019., a zabrana njihovog stavljanja na tržište RH od 1.1.2022. Rezultat ovih mjera je pad potrošnje. Također se bilježi i pad potrošnje vrlo laganih plastičnih vrećica za nošenje stjenke&lt; 15 µm do raste potrošnja plastičnih vrećica stjenke ≥ 50 µm.</w:t>
      </w:r>
    </w:p>
    <w:p w14:paraId="2BBC5C87" w14:textId="3BCB929C" w:rsidR="00FB35E6" w:rsidRPr="00D763AB" w:rsidRDefault="00FB35E6" w:rsidP="00FB35E6">
      <w:pPr>
        <w:pStyle w:val="Tablica"/>
        <w:rPr>
          <w:lang w:eastAsia="hr-HR"/>
        </w:rPr>
      </w:pPr>
      <w:bookmarkStart w:id="91" w:name="_Ref119227892"/>
      <w:bookmarkStart w:id="92" w:name="_Toc125364401"/>
      <w:r>
        <w:t xml:space="preserve">Tablica </w:t>
      </w:r>
      <w:fldSimple w:instr=" SEQ Tablica \* ARABIC ">
        <w:r w:rsidR="00F37B62">
          <w:rPr>
            <w:noProof/>
          </w:rPr>
          <w:t>12</w:t>
        </w:r>
      </w:fldSimple>
      <w:bookmarkEnd w:id="91"/>
      <w:r>
        <w:t xml:space="preserve">. </w:t>
      </w:r>
      <w:r w:rsidRPr="00FB35E6">
        <w:rPr>
          <w:b w:val="0"/>
          <w:bCs/>
          <w:lang w:eastAsia="hr-HR"/>
        </w:rPr>
        <w:t>Količine plastičnih vrećica za nošenje stavljenih na tržište RH u razdoblju od 2018. do 2021. godine po kategorijama</w:t>
      </w:r>
      <w:bookmarkEnd w:id="92"/>
    </w:p>
    <w:tbl>
      <w:tblPr>
        <w:tblW w:w="5000" w:type="pct"/>
        <w:tblCellMar>
          <w:left w:w="0" w:type="dxa"/>
          <w:right w:w="0" w:type="dxa"/>
        </w:tblCellMar>
        <w:tblLook w:val="04A0" w:firstRow="1" w:lastRow="0" w:firstColumn="1" w:lastColumn="0" w:noHBand="0" w:noVBand="1"/>
      </w:tblPr>
      <w:tblGrid>
        <w:gridCol w:w="5020"/>
        <w:gridCol w:w="1102"/>
        <w:gridCol w:w="976"/>
        <w:gridCol w:w="968"/>
        <w:gridCol w:w="968"/>
      </w:tblGrid>
      <w:tr w:rsidR="00FB35E6" w:rsidRPr="00FB35E6" w14:paraId="77EBD33E" w14:textId="77777777" w:rsidTr="00CC41BC">
        <w:tc>
          <w:tcPr>
            <w:tcW w:w="2778" w:type="pct"/>
            <w:tcBorders>
              <w:top w:val="single" w:sz="6" w:space="0" w:color="auto"/>
              <w:left w:val="single" w:sz="6" w:space="0" w:color="auto"/>
              <w:bottom w:val="single" w:sz="6" w:space="0" w:color="auto"/>
              <w:right w:val="single" w:sz="6" w:space="0" w:color="auto"/>
            </w:tcBorders>
            <w:shd w:val="clear" w:color="auto" w:fill="002060"/>
            <w:tcMar>
              <w:top w:w="96" w:type="dxa"/>
              <w:left w:w="96" w:type="dxa"/>
              <w:bottom w:w="120" w:type="dxa"/>
              <w:right w:w="96" w:type="dxa"/>
            </w:tcMar>
            <w:vAlign w:val="center"/>
            <w:hideMark/>
          </w:tcPr>
          <w:p w14:paraId="743679FC" w14:textId="77777777" w:rsidR="00FB35E6" w:rsidRPr="00FB35E6" w:rsidRDefault="00FB35E6" w:rsidP="00CC41BC">
            <w:pPr>
              <w:spacing w:after="0" w:line="240" w:lineRule="auto"/>
              <w:jc w:val="center"/>
              <w:rPr>
                <w:rFonts w:ascii="Calibri" w:eastAsia="Times New Roman" w:hAnsi="Calibri" w:cs="Calibri"/>
                <w:color w:val="FFFFFF" w:themeColor="background1"/>
                <w:sz w:val="20"/>
                <w:szCs w:val="20"/>
                <w:lang w:eastAsia="hr-HR"/>
              </w:rPr>
            </w:pPr>
            <w:r w:rsidRPr="00FB35E6">
              <w:rPr>
                <w:rFonts w:ascii="Calibri" w:eastAsia="Times New Roman" w:hAnsi="Calibri" w:cs="Calibri"/>
                <w:b/>
                <w:bCs/>
                <w:color w:val="FFFFFF" w:themeColor="background1"/>
                <w:sz w:val="20"/>
                <w:szCs w:val="20"/>
                <w:bdr w:val="none" w:sz="0" w:space="0" w:color="auto" w:frame="1"/>
                <w:lang w:eastAsia="hr-HR"/>
              </w:rPr>
              <w:t>Kategorija plastičnih vrećica za nošenje</w:t>
            </w:r>
          </w:p>
        </w:tc>
        <w:tc>
          <w:tcPr>
            <w:tcW w:w="610" w:type="pct"/>
            <w:tcBorders>
              <w:top w:val="single" w:sz="6" w:space="0" w:color="auto"/>
              <w:left w:val="single" w:sz="6" w:space="0" w:color="auto"/>
              <w:bottom w:val="single" w:sz="6" w:space="0" w:color="auto"/>
              <w:right w:val="single" w:sz="6" w:space="0" w:color="auto"/>
            </w:tcBorders>
            <w:shd w:val="clear" w:color="auto" w:fill="002060"/>
            <w:tcMar>
              <w:top w:w="96" w:type="dxa"/>
              <w:left w:w="96" w:type="dxa"/>
              <w:bottom w:w="120" w:type="dxa"/>
              <w:right w:w="96" w:type="dxa"/>
            </w:tcMar>
            <w:vAlign w:val="center"/>
            <w:hideMark/>
          </w:tcPr>
          <w:p w14:paraId="68F2BBAB" w14:textId="77777777" w:rsidR="00FB35E6" w:rsidRPr="00FB35E6" w:rsidRDefault="00FB35E6" w:rsidP="00CC41BC">
            <w:pPr>
              <w:spacing w:after="0" w:line="240" w:lineRule="auto"/>
              <w:jc w:val="center"/>
              <w:rPr>
                <w:rFonts w:ascii="Calibri" w:eastAsia="Times New Roman" w:hAnsi="Calibri" w:cs="Calibri"/>
                <w:color w:val="FFFFFF" w:themeColor="background1"/>
                <w:sz w:val="20"/>
                <w:szCs w:val="20"/>
                <w:lang w:eastAsia="hr-HR"/>
              </w:rPr>
            </w:pPr>
            <w:r w:rsidRPr="00FB35E6">
              <w:rPr>
                <w:rFonts w:ascii="Calibri" w:eastAsia="Times New Roman" w:hAnsi="Calibri" w:cs="Calibri"/>
                <w:b/>
                <w:bCs/>
                <w:color w:val="FFFFFF" w:themeColor="background1"/>
                <w:sz w:val="20"/>
                <w:szCs w:val="20"/>
                <w:bdr w:val="none" w:sz="0" w:space="0" w:color="auto" w:frame="1"/>
                <w:lang w:eastAsia="hr-HR"/>
              </w:rPr>
              <w:t>2018. (t)</w:t>
            </w:r>
          </w:p>
        </w:tc>
        <w:tc>
          <w:tcPr>
            <w:tcW w:w="540" w:type="pct"/>
            <w:tcBorders>
              <w:top w:val="single" w:sz="6" w:space="0" w:color="auto"/>
              <w:left w:val="single" w:sz="6" w:space="0" w:color="auto"/>
              <w:bottom w:val="single" w:sz="6" w:space="0" w:color="auto"/>
              <w:right w:val="single" w:sz="6" w:space="0" w:color="auto"/>
            </w:tcBorders>
            <w:shd w:val="clear" w:color="auto" w:fill="002060"/>
            <w:tcMar>
              <w:top w:w="96" w:type="dxa"/>
              <w:left w:w="96" w:type="dxa"/>
              <w:bottom w:w="120" w:type="dxa"/>
              <w:right w:w="96" w:type="dxa"/>
            </w:tcMar>
            <w:vAlign w:val="center"/>
            <w:hideMark/>
          </w:tcPr>
          <w:p w14:paraId="43168A87" w14:textId="77777777" w:rsidR="00FB35E6" w:rsidRPr="00FB35E6" w:rsidRDefault="00FB35E6" w:rsidP="00CC41BC">
            <w:pPr>
              <w:spacing w:after="0" w:line="240" w:lineRule="auto"/>
              <w:jc w:val="center"/>
              <w:rPr>
                <w:rFonts w:ascii="Calibri" w:eastAsia="Times New Roman" w:hAnsi="Calibri" w:cs="Calibri"/>
                <w:color w:val="FFFFFF" w:themeColor="background1"/>
                <w:sz w:val="20"/>
                <w:szCs w:val="20"/>
                <w:lang w:eastAsia="hr-HR"/>
              </w:rPr>
            </w:pPr>
            <w:r w:rsidRPr="00FB35E6">
              <w:rPr>
                <w:rFonts w:ascii="Calibri" w:eastAsia="Times New Roman" w:hAnsi="Calibri" w:cs="Calibri"/>
                <w:b/>
                <w:bCs/>
                <w:color w:val="FFFFFF" w:themeColor="background1"/>
                <w:sz w:val="20"/>
                <w:szCs w:val="20"/>
                <w:bdr w:val="none" w:sz="0" w:space="0" w:color="auto" w:frame="1"/>
                <w:lang w:eastAsia="hr-HR"/>
              </w:rPr>
              <w:t>2019. (t)</w:t>
            </w:r>
          </w:p>
        </w:tc>
        <w:tc>
          <w:tcPr>
            <w:tcW w:w="536" w:type="pct"/>
            <w:tcBorders>
              <w:top w:val="single" w:sz="6" w:space="0" w:color="auto"/>
              <w:left w:val="single" w:sz="6" w:space="0" w:color="auto"/>
              <w:bottom w:val="single" w:sz="6" w:space="0" w:color="auto"/>
              <w:right w:val="single" w:sz="6" w:space="0" w:color="auto"/>
            </w:tcBorders>
            <w:shd w:val="clear" w:color="auto" w:fill="002060"/>
            <w:tcMar>
              <w:top w:w="96" w:type="dxa"/>
              <w:left w:w="96" w:type="dxa"/>
              <w:bottom w:w="120" w:type="dxa"/>
              <w:right w:w="96" w:type="dxa"/>
            </w:tcMar>
            <w:vAlign w:val="center"/>
            <w:hideMark/>
          </w:tcPr>
          <w:p w14:paraId="52CD3D1A" w14:textId="77777777" w:rsidR="00FB35E6" w:rsidRPr="00FB35E6" w:rsidRDefault="00FB35E6" w:rsidP="00CC41BC">
            <w:pPr>
              <w:spacing w:after="0" w:line="240" w:lineRule="auto"/>
              <w:jc w:val="center"/>
              <w:rPr>
                <w:rFonts w:ascii="Calibri" w:eastAsia="Times New Roman" w:hAnsi="Calibri" w:cs="Calibri"/>
                <w:color w:val="FFFFFF" w:themeColor="background1"/>
                <w:sz w:val="20"/>
                <w:szCs w:val="20"/>
                <w:lang w:eastAsia="hr-HR"/>
              </w:rPr>
            </w:pPr>
            <w:r w:rsidRPr="00FB35E6">
              <w:rPr>
                <w:rFonts w:ascii="Calibri" w:eastAsia="Times New Roman" w:hAnsi="Calibri" w:cs="Calibri"/>
                <w:b/>
                <w:bCs/>
                <w:color w:val="FFFFFF" w:themeColor="background1"/>
                <w:sz w:val="20"/>
                <w:szCs w:val="20"/>
                <w:bdr w:val="none" w:sz="0" w:space="0" w:color="auto" w:frame="1"/>
                <w:lang w:eastAsia="hr-HR"/>
              </w:rPr>
              <w:t>2020. (t)</w:t>
            </w:r>
          </w:p>
        </w:tc>
        <w:tc>
          <w:tcPr>
            <w:tcW w:w="536" w:type="pct"/>
            <w:tcBorders>
              <w:top w:val="single" w:sz="6" w:space="0" w:color="auto"/>
              <w:left w:val="single" w:sz="6" w:space="0" w:color="auto"/>
              <w:bottom w:val="single" w:sz="6" w:space="0" w:color="auto"/>
              <w:right w:val="single" w:sz="6" w:space="0" w:color="auto"/>
            </w:tcBorders>
            <w:shd w:val="clear" w:color="auto" w:fill="002060"/>
          </w:tcPr>
          <w:p w14:paraId="26ADE30B" w14:textId="77777777" w:rsidR="00FB35E6" w:rsidRPr="00FB35E6" w:rsidRDefault="00FB35E6" w:rsidP="00CC41BC">
            <w:pPr>
              <w:spacing w:after="0" w:line="240" w:lineRule="auto"/>
              <w:jc w:val="center"/>
              <w:rPr>
                <w:rFonts w:ascii="Calibri" w:eastAsia="Times New Roman" w:hAnsi="Calibri" w:cs="Calibri"/>
                <w:b/>
                <w:bCs/>
                <w:color w:val="FFFFFF" w:themeColor="background1"/>
                <w:sz w:val="20"/>
                <w:szCs w:val="20"/>
                <w:bdr w:val="none" w:sz="0" w:space="0" w:color="auto" w:frame="1"/>
                <w:lang w:eastAsia="hr-HR"/>
              </w:rPr>
            </w:pPr>
            <w:r w:rsidRPr="00FB35E6">
              <w:rPr>
                <w:rFonts w:ascii="Calibri" w:eastAsia="Times New Roman" w:hAnsi="Calibri" w:cs="Calibri"/>
                <w:b/>
                <w:bCs/>
                <w:color w:val="FFFFFF" w:themeColor="background1"/>
                <w:sz w:val="20"/>
                <w:szCs w:val="20"/>
                <w:bdr w:val="none" w:sz="0" w:space="0" w:color="auto" w:frame="1"/>
                <w:lang w:eastAsia="hr-HR"/>
              </w:rPr>
              <w:t>2021. (t)</w:t>
            </w:r>
          </w:p>
        </w:tc>
      </w:tr>
      <w:tr w:rsidR="00FB35E6" w:rsidRPr="00FB35E6" w14:paraId="63472513" w14:textId="77777777" w:rsidTr="00CC41BC">
        <w:tc>
          <w:tcPr>
            <w:tcW w:w="277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13DED8" w14:textId="77777777" w:rsidR="00FB35E6" w:rsidRPr="00FB35E6" w:rsidRDefault="00FB35E6" w:rsidP="00CC41BC">
            <w:pPr>
              <w:spacing w:after="0" w:line="240" w:lineRule="auto"/>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Vrlo lagane plastične vrećice za nošenje, stjenka &lt; 15 µm</w:t>
            </w:r>
          </w:p>
        </w:tc>
        <w:tc>
          <w:tcPr>
            <w:tcW w:w="61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58DEE8" w14:textId="77777777" w:rsidR="00FB35E6" w:rsidRPr="00FB35E6" w:rsidRDefault="00FB35E6" w:rsidP="00CC41BC">
            <w:pPr>
              <w:spacing w:after="0" w:line="240" w:lineRule="auto"/>
              <w:jc w:val="center"/>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865</w:t>
            </w:r>
          </w:p>
        </w:tc>
        <w:tc>
          <w:tcPr>
            <w:tcW w:w="54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6C4D56" w14:textId="77777777" w:rsidR="00FB35E6" w:rsidRPr="00FB35E6" w:rsidRDefault="00FB35E6" w:rsidP="00CC41BC">
            <w:pPr>
              <w:spacing w:after="0" w:line="240" w:lineRule="auto"/>
              <w:jc w:val="center"/>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1.420</w:t>
            </w:r>
          </w:p>
        </w:tc>
        <w:tc>
          <w:tcPr>
            <w:tcW w:w="53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FDFBB2C" w14:textId="77777777" w:rsidR="00FB35E6" w:rsidRPr="00FB35E6" w:rsidRDefault="00FB35E6" w:rsidP="00CC41BC">
            <w:pPr>
              <w:spacing w:after="0" w:line="240" w:lineRule="auto"/>
              <w:jc w:val="center"/>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906</w:t>
            </w:r>
          </w:p>
        </w:tc>
        <w:tc>
          <w:tcPr>
            <w:tcW w:w="536" w:type="pct"/>
            <w:tcBorders>
              <w:top w:val="single" w:sz="6" w:space="0" w:color="auto"/>
              <w:left w:val="single" w:sz="6" w:space="0" w:color="auto"/>
              <w:bottom w:val="single" w:sz="6" w:space="0" w:color="auto"/>
              <w:right w:val="single" w:sz="6" w:space="0" w:color="auto"/>
            </w:tcBorders>
            <w:vAlign w:val="center"/>
          </w:tcPr>
          <w:p w14:paraId="751C8C81" w14:textId="77777777" w:rsidR="00FB35E6" w:rsidRPr="00FB35E6" w:rsidRDefault="00FB35E6" w:rsidP="00CC41BC">
            <w:pPr>
              <w:spacing w:after="0" w:line="240" w:lineRule="auto"/>
              <w:jc w:val="center"/>
              <w:rPr>
                <w:rFonts w:ascii="Calibri" w:eastAsia="Times New Roman" w:hAnsi="Calibri" w:cs="Calibri"/>
                <w:color w:val="231F20"/>
                <w:sz w:val="20"/>
                <w:szCs w:val="20"/>
                <w:bdr w:val="none" w:sz="0" w:space="0" w:color="auto" w:frame="1"/>
                <w:lang w:eastAsia="hr-HR"/>
              </w:rPr>
            </w:pPr>
            <w:r w:rsidRPr="00FB35E6">
              <w:rPr>
                <w:rFonts w:ascii="Calibri" w:eastAsia="Times New Roman" w:hAnsi="Calibri" w:cs="Calibri"/>
                <w:color w:val="231F20"/>
                <w:sz w:val="20"/>
                <w:szCs w:val="20"/>
                <w:bdr w:val="none" w:sz="0" w:space="0" w:color="auto" w:frame="1"/>
                <w:lang w:eastAsia="hr-HR"/>
              </w:rPr>
              <w:t>888</w:t>
            </w:r>
          </w:p>
        </w:tc>
      </w:tr>
      <w:tr w:rsidR="00FB35E6" w:rsidRPr="00FB35E6" w14:paraId="1AE7D8B7" w14:textId="77777777" w:rsidTr="00CC41BC">
        <w:tc>
          <w:tcPr>
            <w:tcW w:w="277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663F9E" w14:textId="77777777" w:rsidR="00FB35E6" w:rsidRPr="00FB35E6" w:rsidRDefault="00FB35E6" w:rsidP="00CC41BC">
            <w:pPr>
              <w:spacing w:after="0" w:line="240" w:lineRule="auto"/>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lastRenderedPageBreak/>
              <w:t>Lagane plastične vrećice za nošenje, stjenka ≥ 15 &lt; 50 µm</w:t>
            </w:r>
          </w:p>
        </w:tc>
        <w:tc>
          <w:tcPr>
            <w:tcW w:w="61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A35196" w14:textId="77777777" w:rsidR="00FB35E6" w:rsidRPr="00FB35E6" w:rsidRDefault="00FB35E6" w:rsidP="00CC41BC">
            <w:pPr>
              <w:spacing w:after="0" w:line="240" w:lineRule="auto"/>
              <w:jc w:val="center"/>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1.728</w:t>
            </w:r>
          </w:p>
        </w:tc>
        <w:tc>
          <w:tcPr>
            <w:tcW w:w="54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7DC262" w14:textId="77777777" w:rsidR="00FB35E6" w:rsidRPr="00FB35E6" w:rsidRDefault="00FB35E6" w:rsidP="00CC41BC">
            <w:pPr>
              <w:spacing w:after="0" w:line="240" w:lineRule="auto"/>
              <w:jc w:val="center"/>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1.658</w:t>
            </w:r>
          </w:p>
        </w:tc>
        <w:tc>
          <w:tcPr>
            <w:tcW w:w="53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96E9BD" w14:textId="77777777" w:rsidR="00FB35E6" w:rsidRPr="00FB35E6" w:rsidRDefault="00FB35E6" w:rsidP="00CC41BC">
            <w:pPr>
              <w:spacing w:after="0" w:line="240" w:lineRule="auto"/>
              <w:jc w:val="center"/>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1.163</w:t>
            </w:r>
          </w:p>
        </w:tc>
        <w:tc>
          <w:tcPr>
            <w:tcW w:w="536" w:type="pct"/>
            <w:tcBorders>
              <w:top w:val="single" w:sz="6" w:space="0" w:color="auto"/>
              <w:left w:val="single" w:sz="6" w:space="0" w:color="auto"/>
              <w:bottom w:val="single" w:sz="6" w:space="0" w:color="auto"/>
              <w:right w:val="single" w:sz="6" w:space="0" w:color="auto"/>
            </w:tcBorders>
            <w:vAlign w:val="center"/>
          </w:tcPr>
          <w:p w14:paraId="7F91E414" w14:textId="77777777" w:rsidR="00FB35E6" w:rsidRPr="00FB35E6" w:rsidRDefault="00FB35E6" w:rsidP="00CC41BC">
            <w:pPr>
              <w:spacing w:after="0" w:line="240" w:lineRule="auto"/>
              <w:jc w:val="center"/>
              <w:rPr>
                <w:rFonts w:ascii="Calibri" w:eastAsia="Times New Roman" w:hAnsi="Calibri" w:cs="Calibri"/>
                <w:color w:val="231F20"/>
                <w:sz w:val="20"/>
                <w:szCs w:val="20"/>
                <w:bdr w:val="none" w:sz="0" w:space="0" w:color="auto" w:frame="1"/>
                <w:lang w:eastAsia="hr-HR"/>
              </w:rPr>
            </w:pPr>
            <w:r w:rsidRPr="00FB35E6">
              <w:rPr>
                <w:rFonts w:ascii="Calibri" w:eastAsia="Times New Roman" w:hAnsi="Calibri" w:cs="Calibri"/>
                <w:color w:val="231F20"/>
                <w:sz w:val="20"/>
                <w:szCs w:val="20"/>
                <w:bdr w:val="none" w:sz="0" w:space="0" w:color="auto" w:frame="1"/>
                <w:lang w:eastAsia="hr-HR"/>
              </w:rPr>
              <w:t>1.490</w:t>
            </w:r>
          </w:p>
        </w:tc>
      </w:tr>
      <w:tr w:rsidR="00FB35E6" w:rsidRPr="00FB35E6" w14:paraId="15B2FCB0" w14:textId="77777777" w:rsidTr="00CC41BC">
        <w:tc>
          <w:tcPr>
            <w:tcW w:w="277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71AB4A" w14:textId="77777777" w:rsidR="00FB35E6" w:rsidRPr="00FB35E6" w:rsidRDefault="00FB35E6" w:rsidP="00CC41BC">
            <w:pPr>
              <w:spacing w:after="0" w:line="240" w:lineRule="auto"/>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Ostale plastične vrećice za nošenje, stjenka ≥ 50 µm</w:t>
            </w:r>
          </w:p>
        </w:tc>
        <w:tc>
          <w:tcPr>
            <w:tcW w:w="61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C5024F" w14:textId="77777777" w:rsidR="00FB35E6" w:rsidRPr="00FB35E6" w:rsidRDefault="00FB35E6" w:rsidP="00CC41BC">
            <w:pPr>
              <w:spacing w:after="0" w:line="240" w:lineRule="auto"/>
              <w:jc w:val="center"/>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415</w:t>
            </w:r>
          </w:p>
        </w:tc>
        <w:tc>
          <w:tcPr>
            <w:tcW w:w="54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F67507" w14:textId="77777777" w:rsidR="00FB35E6" w:rsidRPr="00FB35E6" w:rsidRDefault="00FB35E6" w:rsidP="00CC41BC">
            <w:pPr>
              <w:spacing w:after="0" w:line="240" w:lineRule="auto"/>
              <w:jc w:val="center"/>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591</w:t>
            </w:r>
          </w:p>
        </w:tc>
        <w:tc>
          <w:tcPr>
            <w:tcW w:w="53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F46FB4" w14:textId="77777777" w:rsidR="00FB35E6" w:rsidRPr="00FB35E6" w:rsidRDefault="00FB35E6" w:rsidP="00CC41BC">
            <w:pPr>
              <w:spacing w:after="0" w:line="240" w:lineRule="auto"/>
              <w:jc w:val="center"/>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581</w:t>
            </w:r>
          </w:p>
        </w:tc>
        <w:tc>
          <w:tcPr>
            <w:tcW w:w="536" w:type="pct"/>
            <w:tcBorders>
              <w:top w:val="single" w:sz="6" w:space="0" w:color="auto"/>
              <w:left w:val="single" w:sz="6" w:space="0" w:color="auto"/>
              <w:bottom w:val="single" w:sz="6" w:space="0" w:color="auto"/>
              <w:right w:val="single" w:sz="6" w:space="0" w:color="auto"/>
            </w:tcBorders>
            <w:vAlign w:val="center"/>
          </w:tcPr>
          <w:p w14:paraId="0B6DFDEC" w14:textId="77777777" w:rsidR="00FB35E6" w:rsidRPr="00FB35E6" w:rsidRDefault="00FB35E6" w:rsidP="00CC41BC">
            <w:pPr>
              <w:spacing w:after="0" w:line="240" w:lineRule="auto"/>
              <w:jc w:val="center"/>
              <w:rPr>
                <w:rFonts w:ascii="Calibri" w:eastAsia="Times New Roman" w:hAnsi="Calibri" w:cs="Calibri"/>
                <w:color w:val="231F20"/>
                <w:sz w:val="20"/>
                <w:szCs w:val="20"/>
                <w:bdr w:val="none" w:sz="0" w:space="0" w:color="auto" w:frame="1"/>
                <w:lang w:eastAsia="hr-HR"/>
              </w:rPr>
            </w:pPr>
            <w:r w:rsidRPr="00FB35E6">
              <w:rPr>
                <w:rFonts w:ascii="Calibri" w:eastAsia="Times New Roman" w:hAnsi="Calibri" w:cs="Calibri"/>
                <w:color w:val="231F20"/>
                <w:sz w:val="20"/>
                <w:szCs w:val="20"/>
                <w:bdr w:val="none" w:sz="0" w:space="0" w:color="auto" w:frame="1"/>
                <w:lang w:eastAsia="hr-HR"/>
              </w:rPr>
              <w:t>538</w:t>
            </w:r>
          </w:p>
        </w:tc>
      </w:tr>
      <w:tr w:rsidR="00FB35E6" w:rsidRPr="00FB35E6" w14:paraId="079A8683" w14:textId="77777777" w:rsidTr="00CC41BC">
        <w:tc>
          <w:tcPr>
            <w:tcW w:w="277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949706" w14:textId="77777777" w:rsidR="00FB35E6" w:rsidRPr="00FB35E6" w:rsidRDefault="00FB35E6" w:rsidP="00CC41BC">
            <w:pPr>
              <w:spacing w:after="0" w:line="240" w:lineRule="auto"/>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Ukupno:</w:t>
            </w:r>
          </w:p>
        </w:tc>
        <w:tc>
          <w:tcPr>
            <w:tcW w:w="61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7285A9" w14:textId="77777777" w:rsidR="00FB35E6" w:rsidRPr="00FB35E6" w:rsidRDefault="00FB35E6" w:rsidP="00CC41BC">
            <w:pPr>
              <w:spacing w:after="0" w:line="240" w:lineRule="auto"/>
              <w:jc w:val="center"/>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3.008</w:t>
            </w:r>
          </w:p>
        </w:tc>
        <w:tc>
          <w:tcPr>
            <w:tcW w:w="54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7EA559" w14:textId="77777777" w:rsidR="00FB35E6" w:rsidRPr="00FB35E6" w:rsidRDefault="00FB35E6" w:rsidP="00CC41BC">
            <w:pPr>
              <w:spacing w:after="0" w:line="240" w:lineRule="auto"/>
              <w:jc w:val="center"/>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3.668</w:t>
            </w:r>
          </w:p>
        </w:tc>
        <w:tc>
          <w:tcPr>
            <w:tcW w:w="53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9A120A" w14:textId="77777777" w:rsidR="00FB35E6" w:rsidRPr="00FB35E6" w:rsidRDefault="00FB35E6" w:rsidP="00CC41BC">
            <w:pPr>
              <w:spacing w:after="0" w:line="240" w:lineRule="auto"/>
              <w:jc w:val="center"/>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2.650</w:t>
            </w:r>
          </w:p>
        </w:tc>
        <w:tc>
          <w:tcPr>
            <w:tcW w:w="536" w:type="pct"/>
            <w:tcBorders>
              <w:top w:val="single" w:sz="6" w:space="0" w:color="auto"/>
              <w:left w:val="single" w:sz="6" w:space="0" w:color="auto"/>
              <w:bottom w:val="single" w:sz="6" w:space="0" w:color="auto"/>
              <w:right w:val="single" w:sz="6" w:space="0" w:color="auto"/>
            </w:tcBorders>
            <w:vAlign w:val="center"/>
          </w:tcPr>
          <w:p w14:paraId="7FB2C0C7" w14:textId="77777777" w:rsidR="00FB35E6" w:rsidRPr="00FB35E6" w:rsidRDefault="00FB35E6" w:rsidP="00CC41BC">
            <w:pPr>
              <w:spacing w:after="0" w:line="240" w:lineRule="auto"/>
              <w:jc w:val="center"/>
              <w:rPr>
                <w:rFonts w:ascii="Calibri" w:eastAsia="Times New Roman" w:hAnsi="Calibri" w:cs="Calibri"/>
                <w:color w:val="231F20"/>
                <w:sz w:val="20"/>
                <w:szCs w:val="20"/>
                <w:bdr w:val="none" w:sz="0" w:space="0" w:color="auto" w:frame="1"/>
                <w:lang w:eastAsia="hr-HR"/>
              </w:rPr>
            </w:pPr>
            <w:r w:rsidRPr="00FB35E6">
              <w:rPr>
                <w:rFonts w:ascii="Calibri" w:eastAsia="Times New Roman" w:hAnsi="Calibri" w:cs="Calibri"/>
                <w:color w:val="231F20"/>
                <w:sz w:val="20"/>
                <w:szCs w:val="20"/>
                <w:bdr w:val="none" w:sz="0" w:space="0" w:color="auto" w:frame="1"/>
                <w:lang w:eastAsia="hr-HR"/>
              </w:rPr>
              <w:t>2.916</w:t>
            </w:r>
          </w:p>
        </w:tc>
      </w:tr>
    </w:tbl>
    <w:p w14:paraId="4E26F893" w14:textId="48BE220D" w:rsidR="00FB35E6" w:rsidRDefault="00FB35E6" w:rsidP="00FB35E6">
      <w:pPr>
        <w:spacing w:after="240"/>
        <w:jc w:val="right"/>
        <w:rPr>
          <w:i/>
          <w:iCs/>
          <w:sz w:val="18"/>
          <w:szCs w:val="20"/>
        </w:rPr>
      </w:pPr>
      <w:r w:rsidRPr="00FB35E6">
        <w:rPr>
          <w:i/>
          <w:iCs/>
          <w:sz w:val="18"/>
          <w:szCs w:val="20"/>
        </w:rPr>
        <w:t>Izvor: FZOEU</w:t>
      </w:r>
    </w:p>
    <w:p w14:paraId="412D255D" w14:textId="7BFF360D" w:rsidR="00A1152A" w:rsidRDefault="00A1152A" w:rsidP="00FB35E6">
      <w:pPr>
        <w:spacing w:after="240"/>
        <w:jc w:val="right"/>
        <w:rPr>
          <w:i/>
          <w:iCs/>
          <w:sz w:val="18"/>
          <w:szCs w:val="20"/>
        </w:rPr>
      </w:pPr>
    </w:p>
    <w:p w14:paraId="211CE8BA" w14:textId="270892A6" w:rsidR="00A1152A" w:rsidRPr="000E6FB8" w:rsidRDefault="00A1152A" w:rsidP="00A1152A">
      <w:pPr>
        <w:pStyle w:val="Slika"/>
        <w:rPr>
          <w:bCs/>
        </w:rPr>
      </w:pPr>
      <w:bookmarkStart w:id="93" w:name="_Toc125363934"/>
      <w:r>
        <w:t xml:space="preserve">Slika </w:t>
      </w:r>
      <w:fldSimple w:instr=" SEQ Slika \* ARABIC ">
        <w:r w:rsidR="00F37B62">
          <w:rPr>
            <w:noProof/>
          </w:rPr>
          <w:t>29</w:t>
        </w:r>
      </w:fldSimple>
      <w:r>
        <w:t xml:space="preserve">. </w:t>
      </w:r>
      <w:r w:rsidRPr="00F77D1A">
        <w:rPr>
          <w:b w:val="0"/>
          <w:bCs/>
        </w:rPr>
        <w:t>Količine plastičnih vrećica za nošenje stavljenih na tržište RH u razdoblju od 2018. do 2021. godine po kategorijama</w:t>
      </w:r>
      <w:bookmarkEnd w:id="93"/>
      <w:r w:rsidRPr="00F77D1A">
        <w:rPr>
          <w:b w:val="0"/>
          <w:bCs/>
        </w:rPr>
        <w:t xml:space="preserve">  </w:t>
      </w:r>
    </w:p>
    <w:p w14:paraId="53611A0A" w14:textId="77777777" w:rsidR="00A1152A" w:rsidRPr="00A1152A" w:rsidRDefault="00A1152A" w:rsidP="00A1152A">
      <w:pPr>
        <w:spacing w:after="240"/>
        <w:jc w:val="left"/>
        <w:rPr>
          <w:sz w:val="18"/>
          <w:szCs w:val="20"/>
        </w:rPr>
      </w:pPr>
    </w:p>
    <w:p w14:paraId="3DA198E1" w14:textId="7288A4E5" w:rsidR="000444C4" w:rsidRPr="00460193" w:rsidRDefault="005639D7" w:rsidP="00700671">
      <w:pPr>
        <w:pStyle w:val="IRNaslov4"/>
      </w:pPr>
      <w:r w:rsidRPr="00460193">
        <w:t>Otpadne gume</w:t>
      </w:r>
    </w:p>
    <w:p w14:paraId="45D4E1CE" w14:textId="1C9A2318" w:rsidR="00FB35E6" w:rsidRPr="00223644" w:rsidRDefault="00FB35E6" w:rsidP="00FB35E6">
      <w:r w:rsidRPr="00223644">
        <w:t xml:space="preserve">U razdoblju od 2015. do 2021. godine količine guma stavljenih na tržište porasle su za 70 %, uz iznimku 2020. godine kada </w:t>
      </w:r>
      <w:r w:rsidR="004803DD">
        <w:t>je</w:t>
      </w:r>
      <w:r w:rsidR="004803DD" w:rsidRPr="00223644">
        <w:t xml:space="preserve"> </w:t>
      </w:r>
      <w:r w:rsidRPr="00223644">
        <w:t>evidentira</w:t>
      </w:r>
      <w:r w:rsidR="004803DD">
        <w:t>n</w:t>
      </w:r>
      <w:r w:rsidRPr="00223644">
        <w:t xml:space="preserve"> pad na vrijednost iz 2017. godine, kao posljedica smanjene gospodarske aktivnosti uslijed pandemije COVID-19. U 2021. godini na tržište je stavljeno 33.731 tona guma.</w:t>
      </w:r>
    </w:p>
    <w:p w14:paraId="12E773CE" w14:textId="3D407781" w:rsidR="00FB35E6" w:rsidRPr="00223644" w:rsidRDefault="00FB35E6" w:rsidP="00FB35E6">
      <w:r w:rsidRPr="00223644">
        <w:t xml:space="preserve">Također su u promatranom razdoblju porasle i količine sakupljenih i </w:t>
      </w:r>
      <w:proofErr w:type="spellStart"/>
      <w:r w:rsidRPr="00223644">
        <w:t>oporabljenih</w:t>
      </w:r>
      <w:proofErr w:type="spellEnd"/>
      <w:r w:rsidRPr="00223644">
        <w:t xml:space="preserve"> guma. U 2021. godini ukupno je sakupljeno 32.165 tona otpadnih guma, od čega je </w:t>
      </w:r>
      <w:r w:rsidR="004803DD">
        <w:t>u</w:t>
      </w:r>
      <w:r w:rsidR="004803DD" w:rsidRPr="00223644">
        <w:t xml:space="preserve"> </w:t>
      </w:r>
      <w:r w:rsidRPr="00223644">
        <w:t>sustav</w:t>
      </w:r>
      <w:r w:rsidR="004803DD">
        <w:t>u</w:t>
      </w:r>
      <w:r w:rsidRPr="00223644">
        <w:t xml:space="preserve"> FZOEU sakupljeno 26.022 tona. </w:t>
      </w:r>
    </w:p>
    <w:p w14:paraId="545262C0" w14:textId="5450777C" w:rsidR="00FB35E6" w:rsidRPr="00223644" w:rsidRDefault="00A1152A" w:rsidP="00FB35E6">
      <w:r>
        <w:t>O</w:t>
      </w:r>
      <w:r w:rsidR="00FB35E6" w:rsidRPr="00223644">
        <w:t xml:space="preserve">d ukupno sakupljene količine </w:t>
      </w:r>
      <w:r w:rsidR="009C2F2C" w:rsidRPr="009C2F2C">
        <w:t xml:space="preserve">32.165 </w:t>
      </w:r>
      <w:r w:rsidR="00FB35E6" w:rsidRPr="00223644">
        <w:t xml:space="preserve">tona je obrađeno u RH i to 25.095 tona reciklirano, a 992 tone energetski </w:t>
      </w:r>
      <w:proofErr w:type="spellStart"/>
      <w:r w:rsidR="00FB35E6" w:rsidRPr="00223644">
        <w:t>oporabljeno</w:t>
      </w:r>
      <w:proofErr w:type="spellEnd"/>
      <w:r w:rsidR="00FB35E6" w:rsidRPr="00223644">
        <w:t xml:space="preserve">. Obzirom da je materijalno </w:t>
      </w:r>
      <w:proofErr w:type="spellStart"/>
      <w:r w:rsidR="00FB35E6" w:rsidRPr="00223644">
        <w:t>oporabljeno</w:t>
      </w:r>
      <w:proofErr w:type="spellEnd"/>
      <w:r w:rsidR="00FB35E6" w:rsidRPr="00223644">
        <w:t xml:space="preserve"> 78 % mase odvojeno sakupljenih otpadnih guma, RH je </w:t>
      </w:r>
      <w:r w:rsidR="0070458A">
        <w:t xml:space="preserve">u 2021. godini </w:t>
      </w:r>
      <w:r w:rsidR="00FB35E6" w:rsidRPr="00223644">
        <w:t xml:space="preserve">nadomak nacionalnog godišnjeg cilja iz </w:t>
      </w:r>
      <w:r w:rsidR="006405AF">
        <w:t xml:space="preserve">ZGO </w:t>
      </w:r>
      <w:r w:rsidR="00FB35E6" w:rsidRPr="00223644">
        <w:t xml:space="preserve">prema kojem je potrebno osigurati recikliranje najmanje 80 % mase odvojeno sakupljenih otpadnih guma. </w:t>
      </w:r>
    </w:p>
    <w:p w14:paraId="3C8E77DD" w14:textId="75E77CA2" w:rsidR="00FB35E6" w:rsidRPr="00CF311C" w:rsidRDefault="00FB35E6" w:rsidP="00FB35E6">
      <w:r w:rsidRPr="00CF311C">
        <w:t>Nedostizanje cilja se evidentira i u 2019. godini za koju je karakterističan značajniji porast u količinama stavljenim na tržište u odnosu na prethodne godine, kao i u 2021. Unatoč navedenome, za razdoblje od 2016. godine nadalje možemo zaključiti da je sustav gospodarenja otpadnim gumama uspješno uspostavljen i učinkovit.</w:t>
      </w:r>
      <w:r w:rsidR="00A1152A">
        <w:t xml:space="preserve"> </w:t>
      </w:r>
      <w:r w:rsidR="00A1152A" w:rsidRPr="00A1152A">
        <w:t xml:space="preserve">Istome je svakako doprinijela i </w:t>
      </w:r>
      <w:r w:rsidR="00A1152A" w:rsidRPr="00A7487C">
        <w:rPr>
          <w:highlight w:val="yellow"/>
        </w:rPr>
        <w:t xml:space="preserve">Odluka o izmjenama naknada u sustavima gospodarenja otpadnim vozilima i otpadnim gumama (NN 40/15, 57/20) kojom su smanjene naknade koje proizvođači i uvoznici guma odnosno vozila s gumama plaćaju u FZOEU te su se povećale naknade koje FZOEU plaća sakupljačima za gospodarenje otpadnim </w:t>
      </w:r>
      <w:commentRangeStart w:id="94"/>
      <w:r w:rsidR="00A1152A" w:rsidRPr="00A7487C">
        <w:rPr>
          <w:highlight w:val="yellow"/>
        </w:rPr>
        <w:t>gumama</w:t>
      </w:r>
      <w:commentRangeEnd w:id="94"/>
      <w:r w:rsidR="00A7487C">
        <w:rPr>
          <w:rStyle w:val="Referencakomentara"/>
        </w:rPr>
        <w:commentReference w:id="94"/>
      </w:r>
      <w:r w:rsidR="00A1152A" w:rsidRPr="00A7487C">
        <w:rPr>
          <w:highlight w:val="yellow"/>
        </w:rPr>
        <w:t>.</w:t>
      </w:r>
    </w:p>
    <w:p w14:paraId="40991D18" w14:textId="77777777" w:rsidR="00FB35E6" w:rsidRPr="00223644" w:rsidRDefault="00FB35E6" w:rsidP="00FB35E6">
      <w:pPr>
        <w:pStyle w:val="Opisslike"/>
      </w:pPr>
    </w:p>
    <w:p w14:paraId="4CFE0A51" w14:textId="660AB3FD" w:rsidR="00FB35E6" w:rsidRDefault="00FB35E6" w:rsidP="00FB35E6">
      <w:pPr>
        <w:pStyle w:val="Opisslike"/>
        <w:jc w:val="center"/>
      </w:pPr>
    </w:p>
    <w:p w14:paraId="01C38F66" w14:textId="77777777" w:rsidR="00A1152A" w:rsidRPr="00A1152A" w:rsidRDefault="00A1152A" w:rsidP="00A1152A"/>
    <w:p w14:paraId="48DEB525" w14:textId="0AFE1352" w:rsidR="00FB35E6" w:rsidRDefault="00FB35E6" w:rsidP="00FB35E6">
      <w:pPr>
        <w:pStyle w:val="Slika"/>
      </w:pPr>
      <w:bookmarkStart w:id="95" w:name="_Toc125363935"/>
      <w:r w:rsidRPr="00223644">
        <w:t xml:space="preserve">Slika </w:t>
      </w:r>
      <w:fldSimple w:instr=" SEQ Slika \* ARABIC ">
        <w:r w:rsidR="00F37B62">
          <w:rPr>
            <w:noProof/>
          </w:rPr>
          <w:t>30</w:t>
        </w:r>
      </w:fldSimple>
      <w:r w:rsidRPr="00223644">
        <w:t xml:space="preserve">. </w:t>
      </w:r>
      <w:r w:rsidRPr="00FB35E6">
        <w:rPr>
          <w:b w:val="0"/>
          <w:bCs/>
        </w:rPr>
        <w:t xml:space="preserve">Količine guma stavljenih na tržište te količine sakupljenih i </w:t>
      </w:r>
      <w:proofErr w:type="spellStart"/>
      <w:r w:rsidRPr="00FB35E6">
        <w:rPr>
          <w:b w:val="0"/>
          <w:bCs/>
        </w:rPr>
        <w:t>oporabljenih</w:t>
      </w:r>
      <w:proofErr w:type="spellEnd"/>
      <w:r w:rsidRPr="00FB35E6">
        <w:rPr>
          <w:b w:val="0"/>
          <w:bCs/>
        </w:rPr>
        <w:t xml:space="preserve"> otpadnih guma putem sustava FZOEU u RH u razdoblju od 2015. do 2021. godine</w:t>
      </w:r>
      <w:bookmarkEnd w:id="95"/>
      <w:r w:rsidRPr="00223644">
        <w:t xml:space="preserve"> </w:t>
      </w:r>
    </w:p>
    <w:p w14:paraId="0D8DDFC0" w14:textId="77777777" w:rsidR="0047584B" w:rsidRPr="003D2953" w:rsidRDefault="0047584B" w:rsidP="003331DA">
      <w:pPr>
        <w:rPr>
          <w:b/>
          <w:i/>
          <w:iCs/>
        </w:rPr>
      </w:pPr>
      <w:r w:rsidRPr="00E25425">
        <w:t xml:space="preserve">Postojeći sustav gospodarenja otpadnim gumama u RH pokazuje dobre rezultate te ispunjava propisane ciljeve u gospodarenju otpadnim gumama to jest osigurava sustavno odvojeno sakupljanje otpadnih guma, obradu svih odvojeno sakupljenih otpadnih guma te recikliranje najmanje 80% mase odvojeno sakupljenih otpadnih guma u kalendarskoj godini u RH. U narednom periodu planira se proširenje postojećeg sustava uvođenjem u sustav drugih vrsta guma, kao što su gume za bicikle, motocikle, kolica i drugo. Oprema i kapaciteti za sakupljanje i obradu otpadnih guma dostatni su za </w:t>
      </w:r>
      <w:r w:rsidRPr="00E25425">
        <w:lastRenderedPageBreak/>
        <w:t>potrebe RH te se procjenjuje da će i u narednom periodu zadovoljavati potrebe sustava bez obzira na moguće proširenje s novim vrstama guma.</w:t>
      </w:r>
      <w:r w:rsidRPr="003D2953">
        <w:t xml:space="preserve"> </w:t>
      </w:r>
    </w:p>
    <w:p w14:paraId="12837FEA" w14:textId="77777777" w:rsidR="0047584B" w:rsidRPr="00223644" w:rsidRDefault="0047584B" w:rsidP="003D2953">
      <w:pPr>
        <w:pStyle w:val="Slika"/>
        <w:jc w:val="both"/>
      </w:pPr>
    </w:p>
    <w:p w14:paraId="1E00FCE7" w14:textId="086F3BE4" w:rsidR="005639D7" w:rsidRPr="00460193" w:rsidRDefault="005639D7" w:rsidP="00700671">
      <w:pPr>
        <w:pStyle w:val="IRNaslov4"/>
      </w:pPr>
      <w:r w:rsidRPr="00460193">
        <w:t>Otpadna ulja</w:t>
      </w:r>
    </w:p>
    <w:p w14:paraId="28DC56CB" w14:textId="46767CCE" w:rsidR="00FB35E6" w:rsidRPr="00223644" w:rsidRDefault="0047584B" w:rsidP="00FB35E6">
      <w:r w:rsidRPr="0047584B">
        <w:t xml:space="preserve">Prikupljeni podaci za razdoblje od 2015. do 2021. pokazuju lagani porast količina svježih </w:t>
      </w:r>
      <w:proofErr w:type="spellStart"/>
      <w:r w:rsidRPr="0047584B">
        <w:t>mazivih</w:t>
      </w:r>
      <w:proofErr w:type="spellEnd"/>
      <w:r w:rsidRPr="0047584B">
        <w:t xml:space="preserve"> ulja (za 15 %) stavljenih na tržište RH, a značajnije povećanje količina uočeno je u 2018. Prema podacima FZOEU, na tržište RH stavljeno je 37.857 tona svježih </w:t>
      </w:r>
      <w:proofErr w:type="spellStart"/>
      <w:r w:rsidRPr="0047584B">
        <w:t>mazivih</w:t>
      </w:r>
      <w:proofErr w:type="spellEnd"/>
      <w:r w:rsidRPr="0047584B">
        <w:t xml:space="preserve"> ulja u 2021., a procijenjeno je da je od te količine nastalo 18.929 tona otpadnih </w:t>
      </w:r>
      <w:proofErr w:type="spellStart"/>
      <w:r w:rsidRPr="0047584B">
        <w:t>mazivih</w:t>
      </w:r>
      <w:proofErr w:type="spellEnd"/>
      <w:r w:rsidRPr="0047584B">
        <w:t xml:space="preserve"> ulja</w:t>
      </w:r>
      <w:r>
        <w:t xml:space="preserve"> </w:t>
      </w:r>
      <w:r w:rsidR="00A1152A" w:rsidRPr="00A1152A">
        <w:t>(</w:t>
      </w:r>
      <w:r w:rsidR="00A1152A" w:rsidRPr="0047584B">
        <w:t xml:space="preserve">Slika </w:t>
      </w:r>
      <w:r w:rsidR="00A1152A" w:rsidRPr="003D2953">
        <w:t>30</w:t>
      </w:r>
      <w:r w:rsidR="00A1152A" w:rsidRPr="00A1152A">
        <w:t>)</w:t>
      </w:r>
      <w:r w:rsidR="00FB35E6" w:rsidRPr="00223644">
        <w:t xml:space="preserve">. </w:t>
      </w:r>
    </w:p>
    <w:p w14:paraId="27FA6C82" w14:textId="25748F5D" w:rsidR="00FB35E6" w:rsidRDefault="00FB35E6" w:rsidP="00FB35E6">
      <w:r w:rsidRPr="00223644">
        <w:t xml:space="preserve">Ako se promatraju sakupljene količine otpadnih </w:t>
      </w:r>
      <w:proofErr w:type="spellStart"/>
      <w:r w:rsidRPr="00223644">
        <w:t>mazivih</w:t>
      </w:r>
      <w:proofErr w:type="spellEnd"/>
      <w:r w:rsidRPr="00223644">
        <w:t xml:space="preserve"> ulja u sustavu FZOEU, u promatranom razdoblju iste su porasle za 30 %. </w:t>
      </w:r>
      <w:r w:rsidR="0047584B" w:rsidRPr="0047584B">
        <w:t xml:space="preserve">Pregledom podataka o sakupljenim količinama otpadnih </w:t>
      </w:r>
      <w:proofErr w:type="spellStart"/>
      <w:r w:rsidR="0047584B" w:rsidRPr="0047584B">
        <w:t>mazivih</w:t>
      </w:r>
      <w:proofErr w:type="spellEnd"/>
      <w:r w:rsidR="0047584B" w:rsidRPr="0047584B">
        <w:t xml:space="preserve"> ulja proizlazi da je</w:t>
      </w:r>
      <w:r w:rsidR="0047584B">
        <w:t xml:space="preserve"> u 2021. godini</w:t>
      </w:r>
      <w:r w:rsidR="0047584B" w:rsidRPr="0047584B">
        <w:t xml:space="preserve"> sakupljeno 9</w:t>
      </w:r>
      <w:r w:rsidR="0047584B">
        <w:t>.</w:t>
      </w:r>
      <w:r w:rsidR="0047584B" w:rsidRPr="0047584B">
        <w:t xml:space="preserve">516 (7.016 tona + 2.500 tona) od toga je kroz sustav FZOEU sakupljeno 7.016 tona (37 % procijenjenih nastalih količina), a izvan sustava FZOEU 2.500 tona otpadnih </w:t>
      </w:r>
      <w:proofErr w:type="spellStart"/>
      <w:r w:rsidR="0047584B" w:rsidRPr="0047584B">
        <w:t>mazivih</w:t>
      </w:r>
      <w:proofErr w:type="spellEnd"/>
      <w:r w:rsidR="0047584B" w:rsidRPr="0047584B">
        <w:t xml:space="preserve"> ulja.</w:t>
      </w:r>
    </w:p>
    <w:p w14:paraId="03ACB656" w14:textId="77777777" w:rsidR="0068477A" w:rsidRDefault="0068477A" w:rsidP="00FB35E6"/>
    <w:p w14:paraId="62B1214D" w14:textId="3928082B" w:rsidR="00A1152A" w:rsidRPr="00A1152A" w:rsidRDefault="00A1152A" w:rsidP="00A1152A">
      <w:pPr>
        <w:pStyle w:val="Slika"/>
        <w:rPr>
          <w:bCs/>
          <w:i w:val="0"/>
          <w:iCs w:val="0"/>
        </w:rPr>
      </w:pPr>
      <w:bookmarkStart w:id="96" w:name="_Ref118203461"/>
      <w:bookmarkStart w:id="97" w:name="_Toc125363936"/>
      <w:r>
        <w:t xml:space="preserve">Slika </w:t>
      </w:r>
      <w:fldSimple w:instr=" SEQ Slika \* ARABIC ">
        <w:r w:rsidR="00F37B62">
          <w:rPr>
            <w:noProof/>
          </w:rPr>
          <w:t>31</w:t>
        </w:r>
      </w:fldSimple>
      <w:bookmarkEnd w:id="96"/>
      <w:r>
        <w:t xml:space="preserve">. </w:t>
      </w:r>
      <w:r w:rsidRPr="00F77D1A">
        <w:rPr>
          <w:b w:val="0"/>
          <w:bCs/>
        </w:rPr>
        <w:t xml:space="preserve">Količine </w:t>
      </w:r>
      <w:proofErr w:type="spellStart"/>
      <w:r w:rsidRPr="00F77D1A">
        <w:rPr>
          <w:b w:val="0"/>
          <w:bCs/>
        </w:rPr>
        <w:t>mazivih</w:t>
      </w:r>
      <w:proofErr w:type="spellEnd"/>
      <w:r w:rsidRPr="00F77D1A">
        <w:rPr>
          <w:b w:val="0"/>
          <w:bCs/>
        </w:rPr>
        <w:t xml:space="preserve"> ulja stavljenih na tržište, procijenjene količine nastalih otpadnih </w:t>
      </w:r>
      <w:proofErr w:type="spellStart"/>
      <w:r w:rsidRPr="00F77D1A">
        <w:rPr>
          <w:b w:val="0"/>
          <w:bCs/>
        </w:rPr>
        <w:t>mazivih</w:t>
      </w:r>
      <w:proofErr w:type="spellEnd"/>
      <w:r w:rsidRPr="00F77D1A">
        <w:rPr>
          <w:b w:val="0"/>
          <w:bCs/>
        </w:rPr>
        <w:t xml:space="preserve"> ulja  te količine sakupljenih i </w:t>
      </w:r>
      <w:proofErr w:type="spellStart"/>
      <w:r w:rsidRPr="00F77D1A">
        <w:rPr>
          <w:b w:val="0"/>
          <w:bCs/>
        </w:rPr>
        <w:t>oporabljenih</w:t>
      </w:r>
      <w:proofErr w:type="spellEnd"/>
      <w:r w:rsidRPr="00F77D1A">
        <w:rPr>
          <w:b w:val="0"/>
          <w:bCs/>
        </w:rPr>
        <w:t xml:space="preserve"> otpadnih </w:t>
      </w:r>
      <w:proofErr w:type="spellStart"/>
      <w:r w:rsidRPr="00F77D1A">
        <w:rPr>
          <w:b w:val="0"/>
          <w:bCs/>
        </w:rPr>
        <w:t>mazivih</w:t>
      </w:r>
      <w:proofErr w:type="spellEnd"/>
      <w:r w:rsidRPr="00F77D1A">
        <w:rPr>
          <w:b w:val="0"/>
          <w:bCs/>
        </w:rPr>
        <w:t xml:space="preserve"> ulja u okviru sustava FZOEU u razdoblju od  2015.- 2021. godine</w:t>
      </w:r>
      <w:bookmarkEnd w:id="97"/>
    </w:p>
    <w:p w14:paraId="4D218AFF" w14:textId="35AD849D" w:rsidR="00FB35E6" w:rsidRPr="00223644" w:rsidRDefault="00FB35E6" w:rsidP="00FB35E6">
      <w:r w:rsidRPr="00F1366A">
        <w:t>Procjenjuje se da se godišnje na tržište RH stavi oko 50.000 tona jestivih ulja</w:t>
      </w:r>
      <w:r w:rsidRPr="00F1366A">
        <w:rPr>
          <w:rStyle w:val="Referencafusnote"/>
        </w:rPr>
        <w:footnoteReference w:id="22"/>
      </w:r>
      <w:r w:rsidRPr="00F1366A">
        <w:t>.</w:t>
      </w:r>
      <w:r w:rsidRPr="00223644">
        <w:t xml:space="preserve"> </w:t>
      </w:r>
      <w:r>
        <w:t>U</w:t>
      </w:r>
      <w:r w:rsidRPr="00223644">
        <w:t xml:space="preserve"> razdoblju od 2015. do 2019. godine bilježi se porast količina </w:t>
      </w:r>
      <w:r w:rsidR="0047584B">
        <w:t xml:space="preserve">otpadnih jestivih ulja </w:t>
      </w:r>
      <w:r w:rsidRPr="00223644">
        <w:t xml:space="preserve">sakupljenih putem sustava FZOEU za </w:t>
      </w:r>
      <w:r w:rsidR="0047584B" w:rsidRPr="00223644">
        <w:t>19</w:t>
      </w:r>
      <w:r w:rsidR="0047584B">
        <w:t> </w:t>
      </w:r>
      <w:r w:rsidRPr="00223644">
        <w:t>% odnosno sa 759 tona na 906 tona. Tijekom 2020. godine sakupljeno je 596 tona otpadnih jestivih ulja što je za 34 % manje u odnosu na 2019. godinu. Navedeno se tumači smanjenom aktivnošću uslužnog sektora uslijed pandemije COVID-19. U 2021. godini unatoč porastu u odnosu na 2020. godinu sakupljene količine bile  su još uvijek niže od vrijednosti iz 2015.</w:t>
      </w:r>
    </w:p>
    <w:p w14:paraId="1ADE3553" w14:textId="087A7C70" w:rsidR="00FB35E6" w:rsidRPr="00CF311C" w:rsidRDefault="00FB35E6" w:rsidP="00FB35E6">
      <w:r w:rsidRPr="00223644">
        <w:t>Izvan FZOEU sustava se evidentira dodatna značajno veća količina sakupljenih</w:t>
      </w:r>
      <w:r w:rsidR="0047584B">
        <w:t xml:space="preserve"> otpadnih</w:t>
      </w:r>
      <w:r w:rsidRPr="00223644">
        <w:t xml:space="preserve"> jestivih ulja, tako da je ukupna količina sakupljenih jestivih ulja u 2021. godini iznosila 6.436 </w:t>
      </w:r>
      <w:r w:rsidRPr="00CF311C">
        <w:t xml:space="preserve">tona, od čega je u okviru javne usluge („kućni prag“ i </w:t>
      </w:r>
      <w:proofErr w:type="spellStart"/>
      <w:r w:rsidRPr="00CF311C">
        <w:t>reciklažna</w:t>
      </w:r>
      <w:proofErr w:type="spellEnd"/>
      <w:r w:rsidRPr="00CF311C">
        <w:t xml:space="preserve"> dvorišta) sakupljeno zanemarivih 38 tona. </w:t>
      </w:r>
    </w:p>
    <w:p w14:paraId="59B07F14" w14:textId="19CE3E1F" w:rsidR="00FB35E6" w:rsidRPr="00CF311C" w:rsidRDefault="00FB35E6" w:rsidP="00FB35E6">
      <w:r w:rsidRPr="00CF311C">
        <w:t>Oko 32 % sakupljenih jestivih ulja se materijalno obradi u RH, dok se ostatak izvozi</w:t>
      </w:r>
      <w:r w:rsidR="009A49B5">
        <w:t>/iznosi</w:t>
      </w:r>
      <w:r w:rsidRPr="00CF311C">
        <w:t xml:space="preserve"> izvan RH također na materijalnu oporabu.  </w:t>
      </w:r>
    </w:p>
    <w:p w14:paraId="53976595" w14:textId="161A0C4C" w:rsidR="009A49B5" w:rsidRPr="00CF311C" w:rsidRDefault="009A49B5" w:rsidP="00FB35E6">
      <w:r w:rsidRPr="00E25425">
        <w:t xml:space="preserve">Potrebno je postojeći sustav gospodarenja otpadnim uljima unaprijediti te osigurati opremu, postrojenja i kapacitete kako bi se osiguralo da se otpadna ulja sakupljaju odvojeno, da se </w:t>
      </w:r>
      <w:proofErr w:type="spellStart"/>
      <w:r w:rsidRPr="00E25425">
        <w:t>oporabljuju</w:t>
      </w:r>
      <w:proofErr w:type="spellEnd"/>
      <w:r w:rsidRPr="00E25425">
        <w:t xml:space="preserve"> regeneracijom ili alternativno drugim postupcima recikliranja koji daju jednakovrijedan ili bolji ukupni rezultat za okoliš od regeneracije te da se otpadna ulja različitih karakteristika ne miješaju međusobno ili s drugim vrstama otpada ili tvarima ako takvo miješanje sprečava njihovu regeneraciju ili druge postupke recikliranja. Navedeno se planira osigurati revizijom postojećeg i izradom novog zakonodavstva o gospodarenju otpadnim uljima sukladno Zakonu o gospodarenju otpadom.</w:t>
      </w:r>
    </w:p>
    <w:p w14:paraId="7CBB05BC" w14:textId="11F3E037" w:rsidR="005639D7" w:rsidRPr="00460193" w:rsidRDefault="005639D7" w:rsidP="00700671">
      <w:pPr>
        <w:pStyle w:val="IRNaslov4"/>
      </w:pPr>
      <w:r w:rsidRPr="00460193">
        <w:lastRenderedPageBreak/>
        <w:t>Otpadne baterije i akumulatori</w:t>
      </w:r>
    </w:p>
    <w:p w14:paraId="1885D29D" w14:textId="60A06C2B" w:rsidR="009A49B5" w:rsidRDefault="009A49B5" w:rsidP="009A49B5">
      <w:r>
        <w:t>Na tržite RH stavljeno je 19.951 tona baterija i akumulatora u 2021. te se 1.049 tona odnosi na prijenosne baterije (5 %), 2.529 tona na industrijske baterije (13 %) i 16.382 tona na automobilske (starter) baterije (82 %), što u odnosu na 2015. predstavlja porast za 108 %.</w:t>
      </w:r>
    </w:p>
    <w:p w14:paraId="37C6B46F" w14:textId="60ED88C8" w:rsidR="009A49B5" w:rsidRDefault="009A49B5" w:rsidP="009A49B5">
      <w:r>
        <w:t>Promatrajući količine prijenosnih baterija vidljivo je da u zadnje dvije godine postoji trend porasta količina otpadnih prijenosnih baterija koje su sakupljene, a pad količina prijenosnih baterija stavljenih na tržište.</w:t>
      </w:r>
    </w:p>
    <w:p w14:paraId="0BA776B9" w14:textId="77777777" w:rsidR="009A49B5" w:rsidRPr="00223644" w:rsidRDefault="009A49B5" w:rsidP="008C4426"/>
    <w:p w14:paraId="08BF9498" w14:textId="77777777" w:rsidR="008C4426" w:rsidRPr="008C4426" w:rsidRDefault="008C4426" w:rsidP="00460193">
      <w:pPr>
        <w:spacing w:after="0"/>
        <w:jc w:val="right"/>
        <w:rPr>
          <w:i/>
          <w:iCs/>
          <w:sz w:val="18"/>
          <w:szCs w:val="20"/>
        </w:rPr>
      </w:pPr>
      <w:r w:rsidRPr="008C4426">
        <w:rPr>
          <w:i/>
          <w:iCs/>
          <w:sz w:val="18"/>
          <w:szCs w:val="20"/>
        </w:rPr>
        <w:t>Izvor: FZOEU, obrada MINGOR</w:t>
      </w:r>
    </w:p>
    <w:p w14:paraId="38B43D7F" w14:textId="18E47519" w:rsidR="008C4426" w:rsidRPr="008C4426" w:rsidRDefault="008C4426" w:rsidP="008C4426">
      <w:pPr>
        <w:pStyle w:val="Slika"/>
        <w:rPr>
          <w:b w:val="0"/>
          <w:bCs/>
        </w:rPr>
      </w:pPr>
      <w:bookmarkStart w:id="98" w:name="_Toc125363937"/>
      <w:r w:rsidRPr="00223644">
        <w:t xml:space="preserve">Slika </w:t>
      </w:r>
      <w:fldSimple w:instr=" SEQ Slika \* ARABIC ">
        <w:r w:rsidR="00F37B62">
          <w:rPr>
            <w:noProof/>
          </w:rPr>
          <w:t>32</w:t>
        </w:r>
      </w:fldSimple>
      <w:r w:rsidRPr="00223644">
        <w:t xml:space="preserve">. </w:t>
      </w:r>
      <w:r w:rsidRPr="008C4426">
        <w:rPr>
          <w:b w:val="0"/>
          <w:bCs/>
        </w:rPr>
        <w:t>Količine prijenosnih baterija i akumulatora stavljenih na tržište i sakupljenih u sustavu FZOEU, od 2015.do 2021. godine</w:t>
      </w:r>
      <w:bookmarkEnd w:id="98"/>
    </w:p>
    <w:p w14:paraId="75A80667" w14:textId="77777777" w:rsidR="008C4426" w:rsidRDefault="008C4426" w:rsidP="008C4426">
      <w:r w:rsidRPr="00223644">
        <w:rPr>
          <w:color w:val="000000" w:themeColor="text1"/>
        </w:rPr>
        <w:t>U razdoblju od 2015. do 2021. godine dosti</w:t>
      </w:r>
      <w:r>
        <w:rPr>
          <w:color w:val="000000" w:themeColor="text1"/>
        </w:rPr>
        <w:t xml:space="preserve">žu </w:t>
      </w:r>
      <w:r w:rsidRPr="00223644">
        <w:rPr>
          <w:color w:val="000000" w:themeColor="text1"/>
        </w:rPr>
        <w:t>s</w:t>
      </w:r>
      <w:r>
        <w:rPr>
          <w:color w:val="000000" w:themeColor="text1"/>
        </w:rPr>
        <w:t>e</w:t>
      </w:r>
      <w:r w:rsidRPr="00223644">
        <w:rPr>
          <w:color w:val="000000" w:themeColor="text1"/>
        </w:rPr>
        <w:t xml:space="preserve"> ciljevi </w:t>
      </w:r>
      <w:r>
        <w:rPr>
          <w:color w:val="000000" w:themeColor="text1"/>
        </w:rPr>
        <w:t xml:space="preserve">definirani za </w:t>
      </w:r>
      <w:r w:rsidRPr="00223644">
        <w:rPr>
          <w:color w:val="000000" w:themeColor="text1"/>
        </w:rPr>
        <w:t>stopu sakupljanja otpadnih prijenosnih baterija i akumulatora</w:t>
      </w:r>
      <w:r w:rsidRPr="00E62421">
        <w:rPr>
          <w:color w:val="000000" w:themeColor="text1"/>
        </w:rPr>
        <w:t xml:space="preserve">. </w:t>
      </w:r>
      <w:r w:rsidRPr="00E62421">
        <w:t>Visoka stopa sakupljanja otpadnih prijenosnih baterija i akumulatora u 2016. i 2017. godini, jednim dijelom je</w:t>
      </w:r>
      <w:r>
        <w:t xml:space="preserve"> najvjerojatnije</w:t>
      </w:r>
      <w:r w:rsidRPr="00E62421">
        <w:t xml:space="preserve"> posljedica nedovoljne kvalitete podataka, koja je od 2018. godine nadalje značajno unaprijeđena kroz edukaciju obveznika prijave podataka</w:t>
      </w:r>
      <w:r w:rsidRPr="00512057">
        <w:rPr>
          <w:rStyle w:val="Referencafusnote"/>
        </w:rPr>
        <w:footnoteReference w:id="23"/>
      </w:r>
      <w:r w:rsidRPr="00512057">
        <w:t>.</w:t>
      </w:r>
    </w:p>
    <w:p w14:paraId="4A0A9261" w14:textId="01BB8FDF" w:rsidR="008C4426" w:rsidRDefault="008C4426" w:rsidP="008C4426">
      <w:pPr>
        <w:rPr>
          <w:color w:val="000000" w:themeColor="text1"/>
        </w:rPr>
      </w:pPr>
      <w:r w:rsidRPr="006405AF">
        <w:rPr>
          <w:color w:val="000000" w:themeColor="text1"/>
        </w:rPr>
        <w:t>Stopa sakupljanja prijenosnih baterija i akumulatora iznosila je u 2021. godini 74 % što je 29 postotnih bodova više od zadanog cilja propisanog</w:t>
      </w:r>
      <w:r w:rsidR="006405AF" w:rsidRPr="006405AF">
        <w:rPr>
          <w:color w:val="000000" w:themeColor="text1"/>
        </w:rPr>
        <w:t xml:space="preserve"> u ZGO</w:t>
      </w:r>
      <w:r w:rsidRPr="006405AF">
        <w:rPr>
          <w:color w:val="000000" w:themeColor="text1"/>
        </w:rPr>
        <w:t>. Sukladno navedenome godišnja stopa odvojenog sakupljanja otpadnih baterija i akumulatora mora biti najmanje 45% od prosječne godišnje količine stavljene na tržište u protekle tri godine (</w:t>
      </w:r>
      <w:r w:rsidRPr="006405AF">
        <w:rPr>
          <w:color w:val="000000" w:themeColor="text1"/>
        </w:rPr>
        <w:fldChar w:fldCharType="begin"/>
      </w:r>
      <w:r w:rsidRPr="006405AF">
        <w:rPr>
          <w:color w:val="000000" w:themeColor="text1"/>
        </w:rPr>
        <w:instrText xml:space="preserve"> REF _Ref110426938 \h </w:instrText>
      </w:r>
      <w:r w:rsidR="006405AF">
        <w:rPr>
          <w:color w:val="000000" w:themeColor="text1"/>
        </w:rPr>
        <w:instrText xml:space="preserve"> \* MERGEFORMAT </w:instrText>
      </w:r>
      <w:r w:rsidRPr="006405AF">
        <w:rPr>
          <w:color w:val="000000" w:themeColor="text1"/>
        </w:rPr>
      </w:r>
      <w:r w:rsidRPr="006405AF">
        <w:rPr>
          <w:color w:val="000000" w:themeColor="text1"/>
        </w:rPr>
        <w:fldChar w:fldCharType="separate"/>
      </w:r>
      <w:r w:rsidR="00F37B62" w:rsidRPr="00223644">
        <w:t xml:space="preserve">Slika </w:t>
      </w:r>
      <w:r w:rsidR="00F37B62">
        <w:rPr>
          <w:noProof/>
        </w:rPr>
        <w:t>33</w:t>
      </w:r>
      <w:r w:rsidRPr="006405AF">
        <w:rPr>
          <w:color w:val="000000" w:themeColor="text1"/>
        </w:rPr>
        <w:fldChar w:fldCharType="end"/>
      </w:r>
      <w:r w:rsidRPr="006405AF">
        <w:rPr>
          <w:color w:val="000000" w:themeColor="text1"/>
        </w:rPr>
        <w:t xml:space="preserve">). </w:t>
      </w:r>
    </w:p>
    <w:p w14:paraId="138B18FC" w14:textId="77777777" w:rsidR="0068477A" w:rsidRPr="006405AF" w:rsidRDefault="0068477A" w:rsidP="008C4426"/>
    <w:p w14:paraId="7122F32E" w14:textId="76E9EBFF" w:rsidR="008C4426" w:rsidRPr="008C4426" w:rsidRDefault="008C4426" w:rsidP="008C4426">
      <w:pPr>
        <w:pStyle w:val="Slika"/>
        <w:rPr>
          <w:b w:val="0"/>
          <w:bCs/>
          <w:highlight w:val="lightGray"/>
        </w:rPr>
      </w:pPr>
      <w:bookmarkStart w:id="99" w:name="_Ref110426938"/>
      <w:bookmarkStart w:id="100" w:name="_Toc125363938"/>
      <w:r w:rsidRPr="00223644">
        <w:t xml:space="preserve">Slika </w:t>
      </w:r>
      <w:fldSimple w:instr=" SEQ Slika \* ARABIC ">
        <w:r w:rsidR="00F37B62">
          <w:rPr>
            <w:noProof/>
          </w:rPr>
          <w:t>33</w:t>
        </w:r>
      </w:fldSimple>
      <w:bookmarkEnd w:id="99"/>
      <w:r w:rsidRPr="00223644">
        <w:t xml:space="preserve">. </w:t>
      </w:r>
      <w:r w:rsidRPr="008C4426">
        <w:rPr>
          <w:b w:val="0"/>
          <w:bCs/>
        </w:rPr>
        <w:t>Stopa sakupljanja otpadnih prijenosnih baterija i akumulatora u donosu na propisane ciljeve, u razdoblju 2015.-2021. godine</w:t>
      </w:r>
      <w:bookmarkEnd w:id="100"/>
      <w:r w:rsidRPr="008C4426">
        <w:rPr>
          <w:b w:val="0"/>
          <w:bCs/>
        </w:rPr>
        <w:t xml:space="preserve"> </w:t>
      </w:r>
    </w:p>
    <w:p w14:paraId="64D8155C" w14:textId="075AD7AF" w:rsidR="008C4426" w:rsidRDefault="009A49B5" w:rsidP="008C4426">
      <w:pPr>
        <w:rPr>
          <w:color w:val="000000" w:themeColor="text1"/>
        </w:rPr>
      </w:pPr>
      <w:r w:rsidRPr="009A49B5">
        <w:rPr>
          <w:color w:val="000000" w:themeColor="text1"/>
        </w:rPr>
        <w:t>Ciljevi za učinkovitost recikliranja (Pb-65 %, Ni-Cd-75 % i ostale</w:t>
      </w:r>
      <w:r>
        <w:rPr>
          <w:color w:val="000000" w:themeColor="text1"/>
        </w:rPr>
        <w:t xml:space="preserve"> baterije</w:t>
      </w:r>
      <w:r w:rsidRPr="009A49B5">
        <w:rPr>
          <w:color w:val="000000" w:themeColor="text1"/>
        </w:rPr>
        <w:t>-50 %) prate se za olovne, nikal-kadmijeve i ostale baterije</w:t>
      </w:r>
      <w:r>
        <w:rPr>
          <w:color w:val="000000" w:themeColor="text1"/>
        </w:rPr>
        <w:t>,</w:t>
      </w:r>
      <w:r w:rsidRPr="009A49B5">
        <w:rPr>
          <w:color w:val="000000" w:themeColor="text1"/>
        </w:rPr>
        <w:t xml:space="preserve"> te </w:t>
      </w:r>
      <w:r>
        <w:rPr>
          <w:color w:val="000000" w:themeColor="text1"/>
        </w:rPr>
        <w:t xml:space="preserve">je </w:t>
      </w:r>
      <w:r w:rsidRPr="009A49B5">
        <w:rPr>
          <w:color w:val="000000" w:themeColor="text1"/>
        </w:rPr>
        <w:t>u 2021. godini učinkovitost recikliranja za otpadne olovne baterije iznosila 83 %, za nikal-kadmijeve baterije 79 %, a za ostale otpadne baterije 86 %.</w:t>
      </w:r>
      <w:r w:rsidR="000D04FF">
        <w:rPr>
          <w:color w:val="000000" w:themeColor="text1"/>
        </w:rPr>
        <w:t xml:space="preserve"> </w:t>
      </w:r>
      <w:r w:rsidR="000D04FF" w:rsidRPr="000D04FF">
        <w:rPr>
          <w:color w:val="000000" w:themeColor="text1"/>
        </w:rPr>
        <w:t>(</w:t>
      </w:r>
      <w:r>
        <w:rPr>
          <w:color w:val="000000" w:themeColor="text1"/>
        </w:rPr>
        <w:fldChar w:fldCharType="begin"/>
      </w:r>
      <w:r>
        <w:rPr>
          <w:color w:val="000000" w:themeColor="text1"/>
        </w:rPr>
        <w:instrText xml:space="preserve"> REF _Ref118204379 \h </w:instrText>
      </w:r>
      <w:r>
        <w:rPr>
          <w:color w:val="000000" w:themeColor="text1"/>
        </w:rPr>
      </w:r>
      <w:r>
        <w:rPr>
          <w:color w:val="000000" w:themeColor="text1"/>
        </w:rPr>
        <w:fldChar w:fldCharType="separate"/>
      </w:r>
      <w:r w:rsidR="00F37B62">
        <w:t xml:space="preserve">Slika </w:t>
      </w:r>
      <w:r w:rsidR="00F37B62">
        <w:rPr>
          <w:noProof/>
        </w:rPr>
        <w:t>34</w:t>
      </w:r>
      <w:r>
        <w:rPr>
          <w:color w:val="000000" w:themeColor="text1"/>
        </w:rPr>
        <w:fldChar w:fldCharType="end"/>
      </w:r>
      <w:r w:rsidR="000D04FF" w:rsidRPr="000D04FF">
        <w:rPr>
          <w:color w:val="000000" w:themeColor="text1"/>
        </w:rPr>
        <w:t>).</w:t>
      </w:r>
    </w:p>
    <w:p w14:paraId="431119CF" w14:textId="77777777" w:rsidR="00384E38" w:rsidRDefault="00384E38" w:rsidP="008C4426">
      <w:pPr>
        <w:rPr>
          <w:color w:val="000000" w:themeColor="text1"/>
        </w:rPr>
      </w:pPr>
    </w:p>
    <w:p w14:paraId="58EE2CEC" w14:textId="1E31448A" w:rsidR="000D04FF" w:rsidRPr="000D04FF" w:rsidRDefault="000D04FF" w:rsidP="000D04FF">
      <w:pPr>
        <w:pStyle w:val="Slika"/>
        <w:rPr>
          <w:bCs/>
          <w:color w:val="000000" w:themeColor="text1"/>
        </w:rPr>
      </w:pPr>
      <w:bookmarkStart w:id="101" w:name="_Ref118204379"/>
      <w:bookmarkStart w:id="102" w:name="_Toc125363939"/>
      <w:r>
        <w:t xml:space="preserve">Slika </w:t>
      </w:r>
      <w:fldSimple w:instr=" SEQ Slika \* ARABIC ">
        <w:r w:rsidR="00F37B62">
          <w:rPr>
            <w:noProof/>
          </w:rPr>
          <w:t>34</w:t>
        </w:r>
      </w:fldSimple>
      <w:bookmarkEnd w:id="101"/>
      <w:r>
        <w:t xml:space="preserve">. </w:t>
      </w:r>
      <w:r w:rsidRPr="00D66E3D">
        <w:rPr>
          <w:b w:val="0"/>
          <w:bCs/>
        </w:rPr>
        <w:t>Učinkovitost recikliranja baterija i akumulatora u odnosu na propisane ciljeve u razdoblju od 2016. do 2021. godine</w:t>
      </w:r>
      <w:bookmarkEnd w:id="102"/>
    </w:p>
    <w:p w14:paraId="50B848C2" w14:textId="4D640E17" w:rsidR="008C4426" w:rsidRPr="00223644" w:rsidRDefault="009A49B5" w:rsidP="008C4426">
      <w:bookmarkStart w:id="103" w:name="_Hlk119230691"/>
      <w:r w:rsidRPr="00E25425">
        <w:t>U narednom periodu planira se analiza postojećeg stanja i donošenje mjera kojima će se unaprijediti postojeći sustav sakupljanja poglavito u dijelu prijevoza i skladištenja baterija i otpadnih baterija i akumulatora koje sadrže litij te poticati oporaba i/ili recikliranje otpadnih baterija i akumulatora uzimajući u obzir da se trenutno u RH obrađuju samo olovne baterije i akumulatori dok se ostale vrste izvoze na obradu van RH. Oprema i kapaciteti za sakupljanje otpadnih baterija i akumulatora dostatni su za potrebe RH te se procjenjuje da će i u narednom periodu zadovoljavati potrebe sustava, dok je za obradu otpadnih baterija i akumulatora koje nisu olovne potrebno izgraditi nova postrojenja.</w:t>
      </w:r>
    </w:p>
    <w:bookmarkEnd w:id="103"/>
    <w:p w14:paraId="7B58FF34" w14:textId="672D4D3F" w:rsidR="000444C4" w:rsidRPr="00460193" w:rsidRDefault="005639D7" w:rsidP="00700671">
      <w:pPr>
        <w:pStyle w:val="IRNaslov4"/>
      </w:pPr>
      <w:r w:rsidRPr="00460193">
        <w:lastRenderedPageBreak/>
        <w:t>Otpadna vozila</w:t>
      </w:r>
    </w:p>
    <w:p w14:paraId="70BA792B" w14:textId="21959EA9" w:rsidR="008C4426" w:rsidRDefault="008C4426" w:rsidP="008C4426">
      <w:r w:rsidRPr="00223644">
        <w:t>U razdoblju od 2015. do 2020. godine, bilježi se porast količina sakupljenih i obrađenih otpadnih vozila  koje su u 2020. godini dosegle vrijednost tri puta veće od vrijednosti iz 2015. godine (</w:t>
      </w:r>
      <w:r>
        <w:fldChar w:fldCharType="begin"/>
      </w:r>
      <w:r>
        <w:instrText xml:space="preserve"> REF _Ref114331971 \h </w:instrText>
      </w:r>
      <w:r>
        <w:fldChar w:fldCharType="separate"/>
      </w:r>
      <w:r w:rsidR="00F37B62">
        <w:t xml:space="preserve">Slika </w:t>
      </w:r>
      <w:r w:rsidR="00F37B62">
        <w:rPr>
          <w:noProof/>
        </w:rPr>
        <w:t>35</w:t>
      </w:r>
      <w:r>
        <w:fldChar w:fldCharType="end"/>
      </w:r>
      <w:r w:rsidRPr="00223644">
        <w:t xml:space="preserve">). U 2021. godini sakupljeno je i obrađeno 36.679 tona otpadnih vozila što je za 28 % manje nego prethodne godine. </w:t>
      </w:r>
      <w:r w:rsidRPr="009D3045">
        <w:t>Sve količine otpadnih vozila obrade se u RH.</w:t>
      </w:r>
    </w:p>
    <w:p w14:paraId="3CC74FBF" w14:textId="127D5D54" w:rsidR="008C4426" w:rsidRDefault="008C4426" w:rsidP="008C4426">
      <w:pPr>
        <w:jc w:val="center"/>
      </w:pPr>
    </w:p>
    <w:p w14:paraId="3EA560A9" w14:textId="697A0510" w:rsidR="000D04FF" w:rsidRDefault="000D04FF" w:rsidP="00700671"/>
    <w:p w14:paraId="454B263B" w14:textId="6FC1E018" w:rsidR="008C4426" w:rsidRPr="00223644" w:rsidRDefault="008C4426" w:rsidP="002A78F6">
      <w:pPr>
        <w:pStyle w:val="Slika"/>
      </w:pPr>
      <w:bookmarkStart w:id="104" w:name="_Ref114331971"/>
      <w:bookmarkStart w:id="105" w:name="_Toc125363940"/>
      <w:r>
        <w:t xml:space="preserve">Slika </w:t>
      </w:r>
      <w:fldSimple w:instr=" SEQ Slika \* ARABIC ">
        <w:r w:rsidR="00F37B62">
          <w:rPr>
            <w:noProof/>
          </w:rPr>
          <w:t>35</w:t>
        </w:r>
      </w:fldSimple>
      <w:bookmarkEnd w:id="104"/>
      <w:r w:rsidRPr="002A78F6">
        <w:rPr>
          <w:b w:val="0"/>
          <w:bCs/>
        </w:rPr>
        <w:t>. Broj sakupljenih otpadnih vozila u razdoblju od 2015. do 2021. godine</w:t>
      </w:r>
      <w:bookmarkEnd w:id="105"/>
    </w:p>
    <w:p w14:paraId="6F068916" w14:textId="20A1B082" w:rsidR="008C4426" w:rsidRPr="002A78F6" w:rsidRDefault="008C4426" w:rsidP="002A78F6">
      <w:pPr>
        <w:rPr>
          <w:highlight w:val="yellow"/>
        </w:rPr>
      </w:pPr>
      <w:r w:rsidRPr="00223644">
        <w:t xml:space="preserve">U </w:t>
      </w:r>
      <w:r>
        <w:t xml:space="preserve">promatranom </w:t>
      </w:r>
      <w:r w:rsidRPr="00223644">
        <w:t>razdoblju porast količina sakupljenih i obrađenih otpadnih vozila rezultat je donošenja Odluke o izmjenama naknada u sustavima gospodarenja otpadnim vozilima i gumama (NN 40/15</w:t>
      </w:r>
      <w:r w:rsidR="000D04FF">
        <w:t>, 5/20</w:t>
      </w:r>
      <w:r w:rsidRPr="00223644">
        <w:t>) kojom je izmijenjena financijska naknada posjednicima za otpadna vozila prilikom predaje ovlaštenim sakupljačima</w:t>
      </w:r>
      <w:r>
        <w:t>.</w:t>
      </w:r>
    </w:p>
    <w:p w14:paraId="68C60128" w14:textId="545B6FB7" w:rsidR="008C4426" w:rsidRDefault="008C4426" w:rsidP="008C4426">
      <w:r w:rsidRPr="009D3045">
        <w:t>Propisani ciljevi za ponovnu uporabu/oporabu (</w:t>
      </w:r>
      <w:r>
        <w:t>95</w:t>
      </w:r>
      <w:r w:rsidRPr="009D3045">
        <w:t xml:space="preserve"> %) i ponovnu uporabu/recikliranje (</w:t>
      </w:r>
      <w:r>
        <w:t>85</w:t>
      </w:r>
      <w:r w:rsidRPr="009D3045">
        <w:t xml:space="preserve"> %) se kontinuirano dostižu. U 2021. godini stopa ponovne uporabe i recikliranja otpadnih vozila iznosila je 97,97 %, dok je stopa ponovne uporabe i oporabe za sva otpadna vozila predana na obradu iznosila 97,28 %.</w:t>
      </w:r>
    </w:p>
    <w:p w14:paraId="52D9AC33" w14:textId="77777777" w:rsidR="00384E38" w:rsidRPr="00223644" w:rsidRDefault="00384E38" w:rsidP="008C4426">
      <w:pPr>
        <w:rPr>
          <w:highlight w:val="yellow"/>
        </w:rPr>
      </w:pPr>
    </w:p>
    <w:p w14:paraId="737E5266" w14:textId="56115DC3" w:rsidR="008C4426" w:rsidRPr="002A78F6" w:rsidRDefault="008C4426" w:rsidP="002A78F6">
      <w:pPr>
        <w:pStyle w:val="Slika"/>
        <w:rPr>
          <w:b w:val="0"/>
          <w:bCs/>
        </w:rPr>
      </w:pPr>
      <w:bookmarkStart w:id="106" w:name="_Toc125363941"/>
      <w:r w:rsidRPr="00223644">
        <w:t xml:space="preserve">Slika </w:t>
      </w:r>
      <w:fldSimple w:instr=" SEQ Slika \* ARABIC ">
        <w:r w:rsidR="00F37B62">
          <w:rPr>
            <w:noProof/>
          </w:rPr>
          <w:t>36</w:t>
        </w:r>
      </w:fldSimple>
      <w:r w:rsidRPr="00223644">
        <w:t xml:space="preserve">. </w:t>
      </w:r>
      <w:r w:rsidRPr="002A78F6">
        <w:rPr>
          <w:b w:val="0"/>
          <w:bCs/>
        </w:rPr>
        <w:t>Stopa ponovne uporabe i recikliranja otpadnih vozila u RH u razdoblju 2015. – 2021</w:t>
      </w:r>
      <w:r w:rsidR="002A78F6">
        <w:rPr>
          <w:b w:val="0"/>
          <w:bCs/>
        </w:rPr>
        <w:t>.</w:t>
      </w:r>
      <w:bookmarkEnd w:id="106"/>
    </w:p>
    <w:p w14:paraId="502C0013" w14:textId="77777777" w:rsidR="008C4426" w:rsidRPr="00C52FF5" w:rsidRDefault="008C4426" w:rsidP="008C4426"/>
    <w:p w14:paraId="347E618E" w14:textId="10A43217" w:rsidR="008C4426" w:rsidRDefault="008C4426" w:rsidP="002A78F6">
      <w:pPr>
        <w:pStyle w:val="Slika"/>
        <w:rPr>
          <w:b w:val="0"/>
          <w:bCs/>
        </w:rPr>
      </w:pPr>
      <w:bookmarkStart w:id="107" w:name="_Toc125363942"/>
      <w:r w:rsidRPr="00223644">
        <w:t xml:space="preserve">Slika </w:t>
      </w:r>
      <w:fldSimple w:instr=" SEQ Slika \* ARABIC ">
        <w:r w:rsidR="00F37B62">
          <w:rPr>
            <w:noProof/>
          </w:rPr>
          <w:t>37</w:t>
        </w:r>
      </w:fldSimple>
      <w:r w:rsidRPr="00223644">
        <w:t xml:space="preserve">. </w:t>
      </w:r>
      <w:r w:rsidRPr="002A78F6">
        <w:rPr>
          <w:b w:val="0"/>
          <w:bCs/>
        </w:rPr>
        <w:t>Stopa ponovne uporabe i oporabe otpadnih vozila u RH u razdoblju 2017. – 2021.</w:t>
      </w:r>
      <w:bookmarkEnd w:id="107"/>
    </w:p>
    <w:p w14:paraId="30B69667" w14:textId="72E825F7" w:rsidR="009A49B5" w:rsidRPr="004348AA" w:rsidRDefault="009A49B5" w:rsidP="003331DA">
      <w:pPr>
        <w:rPr>
          <w:b/>
        </w:rPr>
      </w:pPr>
      <w:r w:rsidRPr="00E25425">
        <w:t>Postojeći sustav gospodarenja otpadnim vozilima u RH pokazuje dobre rezultate te ispunjava propisane ciljeve u gospodarenju otpadnim vozilima to jest postizanje stope ponovne uporabe i oporabe od minimalno 95%  te stope ponovne uporabe i recikliranja od minimalno 85% prosječne mase otpadnog vozila predanog na obradu. Na temelju revizije Direktive ELV koja je u tijeku, u narednom periodu planira se moguće proširenje postojećeg sustava uvođenjem u sustav drugih vrsta vozila, kao što su mopedi, motocikli, srednje velika putnička i teretna vozila i druga. Osim toga, planira se kroz EU zakonodavni okvir propisanim mjerama povećati broj otpadnih vozila koja se godišnje predaju na obradu. Oprema i kapaciteti za sakupljanje i obradu otpadnih vozila trenutno su dostatni za potrebe RH dok će se procjena buduće potrebnih kapaciteta i opreme provesti nakon stupanja na snagu revidiranih EU propisa.</w:t>
      </w:r>
    </w:p>
    <w:p w14:paraId="751DEE09" w14:textId="133AD09D" w:rsidR="005639D7" w:rsidRDefault="005639D7" w:rsidP="003331DA">
      <w:pPr>
        <w:pStyle w:val="IRNaslov4"/>
      </w:pPr>
      <w:r w:rsidRPr="00460193">
        <w:t>Građevni otpad</w:t>
      </w:r>
      <w:r w:rsidR="002A78F6" w:rsidRPr="00460193">
        <w:t xml:space="preserve"> i otpad koji sadrži azbest</w:t>
      </w:r>
    </w:p>
    <w:p w14:paraId="507FDCCB" w14:textId="77777777" w:rsidR="00F00704" w:rsidRDefault="00F00704" w:rsidP="00F00704">
      <w:r>
        <w:t xml:space="preserve">Statistički podaci za sektor građevinarstva od 2015. do 2021. godine ukazuju na oporavak ovog sektora nakon ekonomske krize, te se kontinuirano bilježi povećanje vrijednosti i opsega građevinskih radova. Građevni sektor proizvodi oko 36 % ukupnog otpada na EU razini. </w:t>
      </w:r>
    </w:p>
    <w:p w14:paraId="54462CA4" w14:textId="77777777" w:rsidR="00F00704" w:rsidRPr="00E147CD" w:rsidRDefault="00F00704" w:rsidP="00F00704">
      <w:r>
        <w:t>Akcijskim planom za kružno gospodarstvo iz 2020. godine</w:t>
      </w:r>
      <w:r>
        <w:rPr>
          <w:rStyle w:val="Referencafusnote"/>
        </w:rPr>
        <w:footnoteReference w:id="24"/>
      </w:r>
      <w:r>
        <w:t xml:space="preserve">, EK je sektor građevinarstva svrstala u jedno od sedam ključnih područja za postizanje kružnog gospodarstva. ZGO je građevni otpad </w:t>
      </w:r>
      <w:r>
        <w:lastRenderedPageBreak/>
        <w:t xml:space="preserve">klasificirao kao posebnu kategoriju otpadom, koja je nastala aktivnostima građenja i rušenja. Godišnje količine nastalog građevnog otpada od 2015. godine se procjenjuju temeljem rezultata statističkog istraživanja provedenog u okviru projekta »Poboljšanje toka i kvalitete podataka o građevnom otpadu i otpadu od istraživanja i eksploatacije mineralnih sirovina u Republici Hrvatskoj« (Hrvatska agencija za okoliš i </w:t>
      </w:r>
      <w:r w:rsidRPr="00E147CD">
        <w:t xml:space="preserve">prirodu, 2016/2017) te podataka prijavljenih u Informacijski sustav gospodarenja otpadom. </w:t>
      </w:r>
    </w:p>
    <w:p w14:paraId="232B61B4" w14:textId="77777777" w:rsidR="00F00704" w:rsidRDefault="00F00704" w:rsidP="00F00704">
      <w:r w:rsidRPr="00E147CD">
        <w:t xml:space="preserve">U razdoblju od 2015. do 2021. godine bilježi se porast količina nastalog građevnog otpada za 5,6 %. Za 2021. godinu ukupna količina nastalog građevnog otpada procijenjena </w:t>
      </w:r>
      <w:r>
        <w:t xml:space="preserve">je </w:t>
      </w:r>
      <w:r w:rsidRPr="00E147CD">
        <w:t>na 1.634.257 tona. Najveći udio u nastalom građevnom otpadu čini zemlja, kamenje i otpad od jaružanja (41,4 %) i metali i njihove legure (20,3 %). Zatim slijede beton, cigle, crijep/pločice i keramika (13,8 %), miješani građevni otpad i otpad od rušenja objekata (13,1 %) te mješavine bitumena, tj. stari asfalt (9,6 %). Ostale vrste otpada zastupljene su s udjelom od 1,8 %.</w:t>
      </w:r>
    </w:p>
    <w:p w14:paraId="524FECDD" w14:textId="77777777" w:rsidR="00F00704" w:rsidRDefault="00F00704" w:rsidP="00F00704">
      <w:r>
        <w:t xml:space="preserve">U prosjeku se oko 79 % nastalog građevnog otpada na godišnjoj razini obradi kod ovlaštenih tvrtki, dok se preostale količine ne evidentiraju kroz sustav odnosno riječ je o postupanju koje nije u skladu s propisima i izdanim dozvolama (nekontrolirano odbačeni otpad u okoliš, privremeno skladištenje i dr.). Navedeno je djelomično i posljedica nedovoljnog provođenja nadzora nad postupanjem s otpadom kako na državnoj tako i </w:t>
      </w:r>
      <w:commentRangeStart w:id="108"/>
      <w:r>
        <w:t>na lokalnoj razini</w:t>
      </w:r>
      <w:commentRangeEnd w:id="108"/>
      <w:r w:rsidR="005012B9">
        <w:rPr>
          <w:rStyle w:val="Referencakomentara"/>
        </w:rPr>
        <w:commentReference w:id="108"/>
      </w:r>
      <w:r>
        <w:t xml:space="preserve">. </w:t>
      </w:r>
    </w:p>
    <w:p w14:paraId="5F3EB625" w14:textId="633D8CBC" w:rsidR="00F00704" w:rsidRDefault="00F00704" w:rsidP="00F00704">
      <w:r>
        <w:t xml:space="preserve">Ukupno je u 2021. godini obrađeno </w:t>
      </w:r>
      <w:r w:rsidRPr="00381D79">
        <w:t>1.453.91</w:t>
      </w:r>
      <w:r>
        <w:t xml:space="preserve">7 tona građevnog otpada odnosno 89 % procijenjenih nastalih količina otpada. </w:t>
      </w:r>
      <w:r w:rsidRPr="00381D79">
        <w:t>Postupcima oporabe R (isključujući nasipava</w:t>
      </w:r>
      <w:r>
        <w:t>nje) obrađeno je 52,6 % (860.293 </w:t>
      </w:r>
      <w:r w:rsidRPr="00381D79">
        <w:t>t) nastalog građevnog otpada, postupk</w:t>
      </w:r>
      <w:r>
        <w:t>om</w:t>
      </w:r>
      <w:r w:rsidRPr="00381D79">
        <w:t xml:space="preserve"> nasipavanja </w:t>
      </w:r>
      <w:r>
        <w:t>obrađeno je</w:t>
      </w:r>
      <w:r w:rsidRPr="00381D79">
        <w:t xml:space="preserve"> 8,8 % (143.52</w:t>
      </w:r>
      <w:r>
        <w:t>3 </w:t>
      </w:r>
      <w:r w:rsidRPr="00381D79">
        <w:t>t)</w:t>
      </w:r>
      <w:r>
        <w:t xml:space="preserve"> </w:t>
      </w:r>
      <w:r w:rsidRPr="00381D79">
        <w:t xml:space="preserve">postupcima zbrinjavanja D obrađeno je 27,2 </w:t>
      </w:r>
      <w:r>
        <w:t>% (445.072 t),</w:t>
      </w:r>
      <w:r w:rsidRPr="00381D79">
        <w:t xml:space="preserve"> a ostalim postupcima obrađeno je 0,3 % (5.029,6 t) </w:t>
      </w:r>
      <w:r>
        <w:t xml:space="preserve">nastalog </w:t>
      </w:r>
      <w:r w:rsidRPr="00381D79">
        <w:t xml:space="preserve">građevnog otpada. </w:t>
      </w:r>
      <w:r>
        <w:t>Za preostali u</w:t>
      </w:r>
      <w:r w:rsidRPr="00381D79">
        <w:t xml:space="preserve">dio od 11 % (180.340,1 t) nastalog </w:t>
      </w:r>
      <w:r>
        <w:t xml:space="preserve">građevnog </w:t>
      </w:r>
      <w:r w:rsidRPr="00381D79">
        <w:t>otpada nije</w:t>
      </w:r>
      <w:r>
        <w:t xml:space="preserve"> moguće utvrditi</w:t>
      </w:r>
      <w:r w:rsidRPr="00381D79">
        <w:t xml:space="preserve"> </w:t>
      </w:r>
      <w:r>
        <w:t>tijek</w:t>
      </w:r>
      <w:r w:rsidRPr="00381D79">
        <w:t>.</w:t>
      </w:r>
    </w:p>
    <w:p w14:paraId="4B4CE5BB" w14:textId="77777777" w:rsidR="00384E38" w:rsidRDefault="00384E38" w:rsidP="00F00704"/>
    <w:p w14:paraId="0E58C50D" w14:textId="77777777" w:rsidR="00F00704" w:rsidRDefault="00F00704" w:rsidP="00BB2706">
      <w:pPr>
        <w:pStyle w:val="Slika"/>
      </w:pPr>
      <w:bookmarkStart w:id="109" w:name="_Toc125363943"/>
      <w:r>
        <w:t xml:space="preserve">Slika 38. </w:t>
      </w:r>
      <w:r w:rsidRPr="00BB2706">
        <w:rPr>
          <w:b w:val="0"/>
        </w:rPr>
        <w:t>Postupanje s građevnim otpadom u razdoblju od 2015. do 2021. godine</w:t>
      </w:r>
      <w:bookmarkEnd w:id="109"/>
    </w:p>
    <w:p w14:paraId="7E8C35B2" w14:textId="117E4DD0" w:rsidR="00F00704" w:rsidRDefault="00F00704" w:rsidP="00F00704">
      <w:r>
        <w:t xml:space="preserve">Zakonom o gospodarenju otpadom, propisana je ciljana stopa oporabe građevnog otpada prema kojoj se najmanje 70 % mase neopasnog građevnog otpada, osim otpada određenog ključnim brojem 17 05 04 – zemlja i kamenje koji nisu navedeni pod 17 05 03, mora </w:t>
      </w:r>
      <w:proofErr w:type="spellStart"/>
      <w:r>
        <w:t>oporabiti</w:t>
      </w:r>
      <w:proofErr w:type="spellEnd"/>
      <w:r>
        <w:t xml:space="preserve"> recikliranjem, pripremom za ponovnu uporabu i drugim postupcima materijalne oporabe, uključujući postupak nasipavanja, kod kojih se otpad koristi kao zamjena za druge materijale. Stopa oporabe građevnog otpada za RH za 2021. godinu iznosila je 64 % što je povećanje za 4 postotna boda u odnosu na prethodnu 2020. godinu.</w:t>
      </w:r>
    </w:p>
    <w:p w14:paraId="357BF004" w14:textId="77777777" w:rsidR="00384E38" w:rsidRDefault="00384E38" w:rsidP="00F00704"/>
    <w:p w14:paraId="47394541" w14:textId="77777777" w:rsidR="00F00704" w:rsidRDefault="00F00704" w:rsidP="00BB2706">
      <w:pPr>
        <w:pStyle w:val="Slika"/>
      </w:pPr>
      <w:bookmarkStart w:id="110" w:name="_Toc125363944"/>
      <w:r>
        <w:t xml:space="preserve">Slika 39. </w:t>
      </w:r>
      <w:r w:rsidRPr="00BB2706">
        <w:rPr>
          <w:b w:val="0"/>
        </w:rPr>
        <w:t>Ostvarenje cilja za oporabu građevnog otpada u razdoblju od 2015. do 2021. godine</w:t>
      </w:r>
      <w:bookmarkEnd w:id="110"/>
    </w:p>
    <w:p w14:paraId="50A96B07" w14:textId="1DEC8781" w:rsidR="00F00704" w:rsidRPr="00460193" w:rsidRDefault="00F00704" w:rsidP="00F00704">
      <w:r w:rsidRPr="009C7CA2">
        <w:t xml:space="preserve">Smanjena </w:t>
      </w:r>
      <w:r>
        <w:t xml:space="preserve">vrijednost </w:t>
      </w:r>
      <w:r w:rsidRPr="009C7CA2">
        <w:t>stop</w:t>
      </w:r>
      <w:r>
        <w:t>e</w:t>
      </w:r>
      <w:r w:rsidRPr="009C7CA2">
        <w:t xml:space="preserve"> oporabe u 2020. i 2021. u odnosu na 2019. godinu može se objasniti dodatno nastalim otpadom od zagrebačkog potresa koji je najvećim dijelom tijekom 2020. i 2021. godine još uvijek bio uskladišten i čekao na obradu., utjecajem pandemije COVID-19 na smanjenje količina građevnog otpadnog metala koji je izvezen/iznesen na recikliranje i na rad postrojenja za reciklažu (veće količine su na skladištima), ali i unaprjeđenjem kvalitete prijavljenih podataka u Informacijski sustav gospodarenja otpadom.</w:t>
      </w:r>
    </w:p>
    <w:p w14:paraId="45BAFB42" w14:textId="5B6148C8" w:rsidR="002A78F6" w:rsidRPr="00F00704" w:rsidRDefault="002A78F6">
      <w:pPr>
        <w:pStyle w:val="Odlomakpopisa"/>
        <w:numPr>
          <w:ilvl w:val="4"/>
          <w:numId w:val="22"/>
        </w:numPr>
        <w:spacing w:before="360" w:after="240"/>
        <w:ind w:left="2127"/>
        <w:rPr>
          <w:b/>
        </w:rPr>
      </w:pPr>
      <w:r w:rsidRPr="00F00704">
        <w:rPr>
          <w:b/>
        </w:rPr>
        <w:t>Građevni otpad koji sadrži azbest</w:t>
      </w:r>
    </w:p>
    <w:p w14:paraId="0EDA0D09" w14:textId="77777777" w:rsidR="00F00704" w:rsidRDefault="00460193" w:rsidP="00F00704">
      <w:r>
        <w:lastRenderedPageBreak/>
        <w:t xml:space="preserve"> </w:t>
      </w:r>
      <w:r w:rsidR="00F00704">
        <w:t xml:space="preserve">Do 2016. godine, evidentirane količine sakupljenog i obrađenog građevnog otpada koji sadrži azbest su signifikantne, nakon čega se evidentirane količine značajno smanjuju. Razlog navedenom smanjenju evidentiranih količina je izostanak sufinanciranja sustava sakupljanja te vrste otpada od strane Fonda za zaštitu okoliša i energetsku učinkovitost nakon 2016. godine, a koji je do tada FZOEU financirao u punom iznosu za građanstvo. U razdoblju od 2012. do 2015. godine kada je organizirani sustav dosegao maksimum, godišnja količina odložena u kazete za azbest u prosjeku je iznosila 10.632 tone. Od 2017. godine odložene količine su ponovo u porastu, no još uvijek daleko od vrijednosti sakupljenih putem sustava FZOEU (Slika 40). Zanemarive količine građevnog otpada koji sadrži azbest su se od 2013. godine do 2020. godine izvozile izvan granica RH. U 2021. godini nije bilo izvoza ove vrste </w:t>
      </w:r>
      <w:commentRangeStart w:id="111"/>
      <w:r w:rsidR="00F00704">
        <w:t>otpada</w:t>
      </w:r>
      <w:commentRangeEnd w:id="111"/>
      <w:r w:rsidR="005012B9">
        <w:rPr>
          <w:rStyle w:val="Referencakomentara"/>
        </w:rPr>
        <w:commentReference w:id="111"/>
      </w:r>
      <w:r w:rsidR="00F00704">
        <w:t>.</w:t>
      </w:r>
    </w:p>
    <w:p w14:paraId="5E32CFDC" w14:textId="77777777" w:rsidR="00F00704" w:rsidRDefault="00F00704" w:rsidP="00F00704">
      <w:pPr>
        <w:jc w:val="center"/>
      </w:pPr>
    </w:p>
    <w:p w14:paraId="3352AA14" w14:textId="77777777" w:rsidR="00F00704" w:rsidRDefault="00F00704" w:rsidP="00F00704">
      <w:pPr>
        <w:spacing w:after="0"/>
        <w:jc w:val="right"/>
      </w:pPr>
      <w:r>
        <w:t>Izvor: MINGOR</w:t>
      </w:r>
    </w:p>
    <w:p w14:paraId="05539BB5" w14:textId="77777777" w:rsidR="00F00704" w:rsidRDefault="00F00704" w:rsidP="00BB2706">
      <w:pPr>
        <w:pStyle w:val="Slika"/>
      </w:pPr>
      <w:bookmarkStart w:id="112" w:name="_Toc125363945"/>
      <w:r>
        <w:t xml:space="preserve">Slika 40. </w:t>
      </w:r>
      <w:r w:rsidRPr="00BB2706">
        <w:rPr>
          <w:b w:val="0"/>
        </w:rPr>
        <w:t>Količine građevnog otpada koji sadrži azbest odložene u kazete u razdoblju od 2011. do 2021. godine</w:t>
      </w:r>
      <w:bookmarkEnd w:id="112"/>
    </w:p>
    <w:p w14:paraId="66375C53" w14:textId="73892B71" w:rsidR="00460193" w:rsidRDefault="00F00704" w:rsidP="00F00704">
      <w:pPr>
        <w:rPr>
          <w:color w:val="FF0000"/>
        </w:rPr>
      </w:pPr>
      <w:r>
        <w:t xml:space="preserve">U 2021. godini na šest kazeta na prostoru šest županija je zbrinuto ukupno 4.099 t građevnog otpada koji sadrži azbest. Osim ovlaštenih sakupljača, otpad koji sadrži azbest preuzimala su i </w:t>
      </w:r>
      <w:proofErr w:type="spellStart"/>
      <w:r>
        <w:t>reciklažna</w:t>
      </w:r>
      <w:proofErr w:type="spellEnd"/>
      <w:r>
        <w:t xml:space="preserve"> dvorišta. Putem 60-ak </w:t>
      </w:r>
      <w:proofErr w:type="spellStart"/>
      <w:r>
        <w:t>reciklažnih</w:t>
      </w:r>
      <w:proofErr w:type="spellEnd"/>
      <w:r>
        <w:t xml:space="preserve"> dvorišta od građana je preuzeto ukupno oko 1.140 t.</w:t>
      </w:r>
    </w:p>
    <w:p w14:paraId="4C6ACD63" w14:textId="5C2CB246" w:rsidR="00460193" w:rsidRPr="004C3386" w:rsidRDefault="004C3386" w:rsidP="00700671">
      <w:pPr>
        <w:pStyle w:val="IRNaslov4"/>
      </w:pPr>
      <w:r>
        <w:t>Medicinski otpad</w:t>
      </w:r>
    </w:p>
    <w:p w14:paraId="33D40CFC" w14:textId="506EEB1D" w:rsidR="00B80780" w:rsidRDefault="00C60580" w:rsidP="00C60580">
      <w:r w:rsidRPr="00223644">
        <w:t>U razdoblju od 2015. do 2019. godine, bilježi se godišnji porast nastalih količina medicinskog otpada u prosjeku od oko 8 %. Izraženiji porast količina</w:t>
      </w:r>
      <w:r w:rsidR="00B80780">
        <w:t xml:space="preserve"> </w:t>
      </w:r>
      <w:r w:rsidR="00B80780" w:rsidRPr="00B80780">
        <w:t>u odnosu na prethodnu godinu (za 28 %) evidentiran je u 2020. godini, kada je nastalo 6.866 tona te u 2021. godini za 17 %</w:t>
      </w:r>
      <w:r w:rsidR="00B80780">
        <w:t xml:space="preserve"> u kada je nastalo 8.215 tona. </w:t>
      </w:r>
      <w:r w:rsidR="00B80780" w:rsidRPr="00B80780">
        <w:t xml:space="preserve">Porast količina nastalog medicinskog otpada u 2020. i 2021. godini </w:t>
      </w:r>
      <w:r w:rsidR="00B80780">
        <w:t>pripisuje se</w:t>
      </w:r>
      <w:r w:rsidR="00B80780" w:rsidRPr="00B80780">
        <w:t xml:space="preserve"> povećanoj potrošnji medicinskih proizvoda uslijed COVID-19 pandemije.</w:t>
      </w:r>
    </w:p>
    <w:p w14:paraId="72A80DA3" w14:textId="68E6ED35" w:rsidR="00C60580" w:rsidRPr="00223644" w:rsidRDefault="00C60580" w:rsidP="00C60580">
      <w:r w:rsidRPr="00223644">
        <w:t>Najveće povećanje odnosi se na otpad od njege, dijagnosticiranja, liječenja ili prevencije bolesti kod ljudi, posebice otpad čije je sakupljanje i odlaganje podvrgnuto specijalnim zahtjevima (KB 18 01 03*) i za otpad čije sakupljanje i odlaganje nije podvrgnuto specijalnim zahtjevima radi prevencije infekcije – npr. rublje, zavoji od gipsa, posteljina, odjeća za jednokratnu primjenu, platno, pelene (KB 18 01 04)</w:t>
      </w:r>
      <w:r w:rsidR="00B80780">
        <w:t>.</w:t>
      </w:r>
    </w:p>
    <w:p w14:paraId="342026F1" w14:textId="7E26E8CF" w:rsidR="00C60580" w:rsidRDefault="00C60580" w:rsidP="00C60580">
      <w:pPr>
        <w:jc w:val="center"/>
      </w:pPr>
    </w:p>
    <w:p w14:paraId="0FEC2CED" w14:textId="72844927" w:rsidR="00B87FF5" w:rsidRDefault="00B87FF5" w:rsidP="00C60580">
      <w:pPr>
        <w:jc w:val="center"/>
      </w:pPr>
    </w:p>
    <w:p w14:paraId="5082C7C9" w14:textId="77777777" w:rsidR="00C60580" w:rsidRPr="00C60580" w:rsidRDefault="00C60580" w:rsidP="00C60580">
      <w:pPr>
        <w:spacing w:after="0"/>
        <w:jc w:val="right"/>
        <w:rPr>
          <w:i/>
          <w:iCs/>
          <w:sz w:val="18"/>
          <w:szCs w:val="20"/>
        </w:rPr>
      </w:pPr>
      <w:r w:rsidRPr="00C60580">
        <w:rPr>
          <w:i/>
          <w:iCs/>
          <w:sz w:val="18"/>
          <w:szCs w:val="20"/>
        </w:rPr>
        <w:t>Izvor: MINGOR</w:t>
      </w:r>
    </w:p>
    <w:p w14:paraId="44375ADD" w14:textId="69233DEE" w:rsidR="00C60580" w:rsidRPr="00223644" w:rsidRDefault="00C60580" w:rsidP="00C60580">
      <w:pPr>
        <w:pStyle w:val="Slika"/>
      </w:pPr>
      <w:bookmarkStart w:id="113" w:name="_Toc125363946"/>
      <w:r w:rsidRPr="00223644">
        <w:t xml:space="preserve">Slika </w:t>
      </w:r>
      <w:fldSimple w:instr=" SEQ Slika \* ARABIC ">
        <w:r w:rsidR="00F37B62">
          <w:rPr>
            <w:noProof/>
          </w:rPr>
          <w:t>38</w:t>
        </w:r>
      </w:fldSimple>
      <w:r w:rsidRPr="00223644">
        <w:t xml:space="preserve">. </w:t>
      </w:r>
      <w:r w:rsidRPr="00C60580">
        <w:rPr>
          <w:b w:val="0"/>
          <w:bCs/>
        </w:rPr>
        <w:t>Nastali medicinski otpad u razdoblju od 2015. do 202</w:t>
      </w:r>
      <w:r w:rsidR="00A01A07">
        <w:rPr>
          <w:b w:val="0"/>
          <w:bCs/>
        </w:rPr>
        <w:t>1</w:t>
      </w:r>
      <w:r w:rsidRPr="00C60580">
        <w:rPr>
          <w:b w:val="0"/>
          <w:bCs/>
        </w:rPr>
        <w:t>. godine</w:t>
      </w:r>
      <w:bookmarkEnd w:id="113"/>
    </w:p>
    <w:p w14:paraId="1AA598E5" w14:textId="4FD68CAE" w:rsidR="00C60580" w:rsidRPr="00223644" w:rsidRDefault="00A01A07" w:rsidP="003331DA">
      <w:r w:rsidRPr="00A01A07">
        <w:t xml:space="preserve">U RH u 2021. godini </w:t>
      </w:r>
      <w:r>
        <w:t>konačnim</w:t>
      </w:r>
      <w:r w:rsidRPr="00A01A07">
        <w:t xml:space="preserve"> postupcima </w:t>
      </w:r>
      <w:r w:rsidR="000937D7">
        <w:t xml:space="preserve">se </w:t>
      </w:r>
      <w:r w:rsidRPr="00A01A07">
        <w:t xml:space="preserve">obradilo 32 % nastalog medicinskog otpada, 66 % je </w:t>
      </w:r>
      <w:proofErr w:type="spellStart"/>
      <w:r w:rsidRPr="00A01A07">
        <w:t>predobrađeno</w:t>
      </w:r>
      <w:proofErr w:type="spellEnd"/>
      <w:r w:rsidRPr="00A01A07">
        <w:t xml:space="preserve"> u RH postupcima sterilizacije te zatim izvezeno na </w:t>
      </w:r>
      <w:r>
        <w:t>konačnu</w:t>
      </w:r>
      <w:r w:rsidRPr="00A01A07">
        <w:t xml:space="preserve"> obradu u druge zemlje, a direktno je bez </w:t>
      </w:r>
      <w:proofErr w:type="spellStart"/>
      <w:r w:rsidRPr="00A01A07">
        <w:t>predobrade</w:t>
      </w:r>
      <w:proofErr w:type="spellEnd"/>
      <w:r w:rsidRPr="00A01A07">
        <w:t xml:space="preserve"> izvezeno 2 %</w:t>
      </w:r>
      <w:r>
        <w:t xml:space="preserve"> medicinskog </w:t>
      </w:r>
      <w:r w:rsidRPr="00A01A07">
        <w:t>otpada</w:t>
      </w:r>
      <w:r w:rsidR="00C60580" w:rsidRPr="000937D7">
        <w:t xml:space="preserve"> (pretežno energetska oporaba).</w:t>
      </w:r>
    </w:p>
    <w:p w14:paraId="270A90C9" w14:textId="1B17D682" w:rsidR="00460193" w:rsidRPr="00C60580" w:rsidRDefault="00C60580" w:rsidP="00700671">
      <w:pPr>
        <w:pStyle w:val="IRNaslov4"/>
      </w:pPr>
      <w:r w:rsidRPr="00C60580">
        <w:t>Otpadna električna i elektronička oprema</w:t>
      </w:r>
    </w:p>
    <w:p w14:paraId="3D664D14" w14:textId="37A60A10" w:rsidR="00C60580" w:rsidRPr="00455967" w:rsidRDefault="00C60580" w:rsidP="00C60580">
      <w:pPr>
        <w:rPr>
          <w:lang w:eastAsia="hr-HR"/>
        </w:rPr>
      </w:pPr>
      <w:r w:rsidRPr="00455967">
        <w:rPr>
          <w:lang w:eastAsia="hr-HR"/>
        </w:rPr>
        <w:t xml:space="preserve">U razdoblju od 2015. godine do 2021. godine količine EE opreme stavljene na tržište u konstantnom su porastu, dok količine sakupljenog i </w:t>
      </w:r>
      <w:proofErr w:type="spellStart"/>
      <w:r w:rsidRPr="00455967">
        <w:rPr>
          <w:lang w:eastAsia="hr-HR"/>
        </w:rPr>
        <w:t>oporabljenog</w:t>
      </w:r>
      <w:proofErr w:type="spellEnd"/>
      <w:r w:rsidRPr="00455967">
        <w:rPr>
          <w:lang w:eastAsia="hr-HR"/>
        </w:rPr>
        <w:t xml:space="preserve"> električnog i elektroničkog otpada do 2020. godine stagniraju, posebno u razdoblju od 2018. do 2020. godine, a u 2021. godini bilježi se pad sakupljenih količina za 14</w:t>
      </w:r>
      <w:r>
        <w:rPr>
          <w:lang w:eastAsia="hr-HR"/>
        </w:rPr>
        <w:t xml:space="preserve"> % u odnosu na prethodnu godinu (</w:t>
      </w:r>
      <w:r>
        <w:rPr>
          <w:lang w:eastAsia="hr-HR"/>
        </w:rPr>
        <w:fldChar w:fldCharType="begin"/>
      </w:r>
      <w:r>
        <w:rPr>
          <w:lang w:eastAsia="hr-HR"/>
        </w:rPr>
        <w:instrText xml:space="preserve"> REF _Ref112934464 \h  \* MERGEFORMAT </w:instrText>
      </w:r>
      <w:r>
        <w:rPr>
          <w:lang w:eastAsia="hr-HR"/>
        </w:rPr>
      </w:r>
      <w:r>
        <w:rPr>
          <w:lang w:eastAsia="hr-HR"/>
        </w:rPr>
        <w:fldChar w:fldCharType="separate"/>
      </w:r>
      <w:r w:rsidR="00F37B62">
        <w:t xml:space="preserve">Slika </w:t>
      </w:r>
      <w:r w:rsidR="00F37B62">
        <w:rPr>
          <w:noProof/>
        </w:rPr>
        <w:t>39</w:t>
      </w:r>
      <w:r>
        <w:rPr>
          <w:lang w:eastAsia="hr-HR"/>
        </w:rPr>
        <w:fldChar w:fldCharType="end"/>
      </w:r>
      <w:r>
        <w:rPr>
          <w:lang w:eastAsia="hr-HR"/>
        </w:rPr>
        <w:t xml:space="preserve">). Gotovo sve </w:t>
      </w:r>
      <w:proofErr w:type="spellStart"/>
      <w:r>
        <w:rPr>
          <w:lang w:eastAsia="hr-HR"/>
        </w:rPr>
        <w:t>oporabljene</w:t>
      </w:r>
      <w:proofErr w:type="spellEnd"/>
      <w:r>
        <w:rPr>
          <w:lang w:eastAsia="hr-HR"/>
        </w:rPr>
        <w:t xml:space="preserve"> količine su reciklirane.</w:t>
      </w:r>
    </w:p>
    <w:p w14:paraId="5D4BE528" w14:textId="77777777" w:rsidR="00C60580" w:rsidRPr="00C60580" w:rsidRDefault="00C60580" w:rsidP="00C60580">
      <w:pPr>
        <w:spacing w:after="0"/>
        <w:jc w:val="right"/>
        <w:rPr>
          <w:i/>
          <w:iCs/>
          <w:sz w:val="18"/>
          <w:szCs w:val="20"/>
        </w:rPr>
      </w:pPr>
      <w:r w:rsidRPr="00C60580">
        <w:rPr>
          <w:i/>
          <w:iCs/>
          <w:sz w:val="18"/>
          <w:szCs w:val="20"/>
        </w:rPr>
        <w:lastRenderedPageBreak/>
        <w:t>Izvor: FZOEU, MINGOR, 2021.</w:t>
      </w:r>
    </w:p>
    <w:p w14:paraId="43A3253E" w14:textId="3633E10C" w:rsidR="00C60580" w:rsidRPr="00290064" w:rsidRDefault="00C60580" w:rsidP="00C60580">
      <w:pPr>
        <w:pStyle w:val="Slika"/>
      </w:pPr>
      <w:bookmarkStart w:id="114" w:name="_Ref112934464"/>
      <w:bookmarkStart w:id="115" w:name="_Toc125363947"/>
      <w:r>
        <w:t xml:space="preserve">Slika </w:t>
      </w:r>
      <w:fldSimple w:instr=" SEQ Slika \* ARABIC ">
        <w:r w:rsidR="00F37B62">
          <w:rPr>
            <w:noProof/>
          </w:rPr>
          <w:t>39</w:t>
        </w:r>
      </w:fldSimple>
      <w:bookmarkEnd w:id="114"/>
      <w:r>
        <w:t xml:space="preserve">. </w:t>
      </w:r>
      <w:r w:rsidRPr="00C60580">
        <w:rPr>
          <w:b w:val="0"/>
          <w:bCs/>
        </w:rPr>
        <w:t xml:space="preserve">Nastale količine otpadne EE opreme (računato kao prosjek količina stavljenih na tržište u prethodne tri godine), sakupljene i </w:t>
      </w:r>
      <w:proofErr w:type="spellStart"/>
      <w:r w:rsidRPr="00C60580">
        <w:rPr>
          <w:b w:val="0"/>
          <w:bCs/>
        </w:rPr>
        <w:t>oporabljene</w:t>
      </w:r>
      <w:proofErr w:type="spellEnd"/>
      <w:r w:rsidRPr="00C60580">
        <w:rPr>
          <w:b w:val="0"/>
          <w:bCs/>
        </w:rPr>
        <w:t xml:space="preserve"> količine u razdoblju od 2015. do 2021. godine (t)</w:t>
      </w:r>
      <w:bookmarkEnd w:id="115"/>
    </w:p>
    <w:p w14:paraId="64D8A313" w14:textId="55AA8913" w:rsidR="00C60580" w:rsidRDefault="00C60580" w:rsidP="00C60580">
      <w:pPr>
        <w:rPr>
          <w:lang w:eastAsia="hr-HR"/>
        </w:rPr>
      </w:pPr>
      <w:r>
        <w:rPr>
          <w:lang w:eastAsia="hr-HR"/>
        </w:rPr>
        <w:t xml:space="preserve">EU </w:t>
      </w:r>
      <w:r w:rsidRPr="00455967">
        <w:rPr>
          <w:lang w:eastAsia="hr-HR"/>
        </w:rPr>
        <w:t>Cilj vezan za sakupljanj</w:t>
      </w:r>
      <w:r w:rsidR="00A31645">
        <w:rPr>
          <w:lang w:eastAsia="hr-HR"/>
        </w:rPr>
        <w:t>e</w:t>
      </w:r>
      <w:r w:rsidRPr="00455967">
        <w:rPr>
          <w:lang w:eastAsia="hr-HR"/>
        </w:rPr>
        <w:t xml:space="preserve"> otpadne EE opreme u </w:t>
      </w:r>
      <w:r>
        <w:rPr>
          <w:lang w:eastAsia="hr-HR"/>
        </w:rPr>
        <w:t>promatranom</w:t>
      </w:r>
      <w:r w:rsidRPr="00455967">
        <w:rPr>
          <w:lang w:eastAsia="hr-HR"/>
        </w:rPr>
        <w:t xml:space="preserve"> razdoblju</w:t>
      </w:r>
      <w:r>
        <w:rPr>
          <w:lang w:eastAsia="hr-HR"/>
        </w:rPr>
        <w:t xml:space="preserve"> je</w:t>
      </w:r>
      <w:r w:rsidRPr="00455967">
        <w:rPr>
          <w:lang w:eastAsia="hr-HR"/>
        </w:rPr>
        <w:t xml:space="preserve"> </w:t>
      </w:r>
      <w:r w:rsidR="00A31645">
        <w:rPr>
          <w:lang w:eastAsia="hr-HR"/>
        </w:rPr>
        <w:t>izmijenjen</w:t>
      </w:r>
      <w:r w:rsidRPr="00455967">
        <w:rPr>
          <w:lang w:eastAsia="hr-HR"/>
        </w:rPr>
        <w:t xml:space="preserve"> dva puta</w:t>
      </w:r>
      <w:r>
        <w:rPr>
          <w:lang w:eastAsia="hr-HR"/>
        </w:rPr>
        <w:t>,</w:t>
      </w:r>
      <w:r w:rsidRPr="00455967">
        <w:rPr>
          <w:lang w:eastAsia="hr-HR"/>
        </w:rPr>
        <w:t xml:space="preserve"> te je isti za razdoblje od 2016. do 2018. iznosio 45 % EE opreme stavljene na tržište dok od 2019. godine iznosi 65 % </w:t>
      </w:r>
      <w:r w:rsidR="0003226A" w:rsidRPr="0003226A">
        <w:rPr>
          <w:lang w:eastAsia="hr-HR"/>
        </w:rPr>
        <w:t>prosječne mase EE opreme stavljene na tržište u tri prethodne godine ili 85% OEEO proizvedene na teritoriju RH.</w:t>
      </w:r>
    </w:p>
    <w:p w14:paraId="0B780C71" w14:textId="6A4F54BB" w:rsidR="006405AF" w:rsidRDefault="00C60580" w:rsidP="00C60580">
      <w:pPr>
        <w:rPr>
          <w:lang w:eastAsia="hr-HR"/>
        </w:rPr>
      </w:pPr>
      <w:r w:rsidRPr="00455967">
        <w:rPr>
          <w:lang w:eastAsia="hr-HR"/>
        </w:rPr>
        <w:t xml:space="preserve">U promatranom razdoblju cilj za sakupljanje dostignut je za sve godine </w:t>
      </w:r>
      <w:r>
        <w:rPr>
          <w:lang w:eastAsia="hr-HR"/>
        </w:rPr>
        <w:t xml:space="preserve">osim 2021. godinu kada je stopa sakupljanja iznosila 55 % što je za 14 postotnih bodova manje od stope postignute prethodne godine </w:t>
      </w:r>
      <w:r w:rsidRPr="00455967">
        <w:rPr>
          <w:lang w:eastAsia="hr-HR"/>
        </w:rPr>
        <w:t>(</w:t>
      </w:r>
      <w:r>
        <w:rPr>
          <w:lang w:eastAsia="hr-HR"/>
        </w:rPr>
        <w:fldChar w:fldCharType="begin"/>
      </w:r>
      <w:r>
        <w:rPr>
          <w:lang w:eastAsia="hr-HR"/>
        </w:rPr>
        <w:instrText xml:space="preserve"> REF _Ref112960708 \h  \* MERGEFORMAT </w:instrText>
      </w:r>
      <w:r>
        <w:rPr>
          <w:lang w:eastAsia="hr-HR"/>
        </w:rPr>
      </w:r>
      <w:r>
        <w:rPr>
          <w:lang w:eastAsia="hr-HR"/>
        </w:rPr>
        <w:fldChar w:fldCharType="separate"/>
      </w:r>
      <w:r w:rsidR="00F37B62">
        <w:t xml:space="preserve">Slika </w:t>
      </w:r>
      <w:r w:rsidR="00F37B62">
        <w:rPr>
          <w:noProof/>
        </w:rPr>
        <w:t>40</w:t>
      </w:r>
      <w:r>
        <w:rPr>
          <w:lang w:eastAsia="hr-HR"/>
        </w:rPr>
        <w:fldChar w:fldCharType="end"/>
      </w:r>
      <w:r>
        <w:rPr>
          <w:lang w:eastAsia="hr-HR"/>
        </w:rPr>
        <w:t xml:space="preserve">) i za 10 postotnih bodova manje od propisanog cilja. </w:t>
      </w:r>
    </w:p>
    <w:p w14:paraId="564D2386" w14:textId="77777777" w:rsidR="00C60580" w:rsidRDefault="00C60580" w:rsidP="00C60580">
      <w:pPr>
        <w:shd w:val="clear" w:color="auto" w:fill="FFFFFF"/>
        <w:spacing w:after="48" w:line="240" w:lineRule="auto"/>
        <w:ind w:left="3540" w:firstLine="708"/>
        <w:textAlignment w:val="baseline"/>
        <w:rPr>
          <w:rFonts w:eastAsia="Times New Roman" w:cstheme="minorHAnsi"/>
          <w:color w:val="231F20"/>
          <w:lang w:eastAsia="hr-HR"/>
        </w:rPr>
      </w:pPr>
    </w:p>
    <w:p w14:paraId="68589F39" w14:textId="77777777" w:rsidR="00C60580" w:rsidRPr="00C60580" w:rsidRDefault="00C60580" w:rsidP="00C60580">
      <w:pPr>
        <w:spacing w:after="0"/>
        <w:jc w:val="right"/>
        <w:rPr>
          <w:i/>
          <w:iCs/>
          <w:sz w:val="18"/>
          <w:szCs w:val="20"/>
        </w:rPr>
      </w:pPr>
      <w:r w:rsidRPr="00C60580">
        <w:rPr>
          <w:i/>
          <w:iCs/>
          <w:sz w:val="18"/>
          <w:szCs w:val="20"/>
        </w:rPr>
        <w:t>Izvor: FZOEU,MINGOR</w:t>
      </w:r>
    </w:p>
    <w:p w14:paraId="2AE13BDA" w14:textId="47A74DCF" w:rsidR="00C60580" w:rsidRPr="00455967" w:rsidRDefault="00C60580" w:rsidP="00C60580">
      <w:pPr>
        <w:pStyle w:val="Slika"/>
        <w:rPr>
          <w:lang w:eastAsia="hr-HR"/>
        </w:rPr>
      </w:pPr>
      <w:bookmarkStart w:id="116" w:name="_Ref112960708"/>
      <w:bookmarkStart w:id="117" w:name="_Toc125363948"/>
      <w:r>
        <w:t xml:space="preserve">Slika </w:t>
      </w:r>
      <w:fldSimple w:instr=" SEQ Slika \* ARABIC ">
        <w:r w:rsidR="00F37B62">
          <w:rPr>
            <w:noProof/>
          </w:rPr>
          <w:t>40</w:t>
        </w:r>
      </w:fldSimple>
      <w:bookmarkEnd w:id="116"/>
      <w:r>
        <w:t xml:space="preserve">. </w:t>
      </w:r>
      <w:r w:rsidRPr="00C60580">
        <w:rPr>
          <w:b w:val="0"/>
          <w:bCs/>
          <w:lang w:eastAsia="hr-HR"/>
        </w:rPr>
        <w:t>Ostvarene stope sakupljanja EE otpada za razdoblje od 2015. do 2020. godine uz prikaz ciljeva</w:t>
      </w:r>
      <w:bookmarkEnd w:id="117"/>
    </w:p>
    <w:p w14:paraId="34CD0E2B" w14:textId="346FBD67" w:rsidR="00C60580" w:rsidRPr="00455967" w:rsidRDefault="00C60580" w:rsidP="00C60580">
      <w:pPr>
        <w:rPr>
          <w:lang w:eastAsia="hr-HR"/>
        </w:rPr>
      </w:pPr>
      <w:r w:rsidRPr="00455967">
        <w:rPr>
          <w:lang w:eastAsia="hr-HR"/>
        </w:rPr>
        <w:t>Minimalni ciljevi za oporabu i recikliranje primjenjivi od 15.8.2018. godine iznose od 75 % do 85 % za oporabu i od 55 % do 80 % za recikliranje, ovisno o kategoriji EE opreme. U svim su godinama promatranog razdoblja, dostignuti minimalni ciljevi za oporabu i recikliranje koji se primjenjuju po kategorijama EE uređaja i opreme</w:t>
      </w:r>
      <w:r>
        <w:rPr>
          <w:lang w:eastAsia="hr-HR"/>
        </w:rPr>
        <w:t xml:space="preserve"> (</w:t>
      </w:r>
      <w:r>
        <w:rPr>
          <w:lang w:eastAsia="hr-HR"/>
        </w:rPr>
        <w:fldChar w:fldCharType="begin"/>
      </w:r>
      <w:r>
        <w:rPr>
          <w:lang w:eastAsia="hr-HR"/>
        </w:rPr>
        <w:instrText xml:space="preserve"> REF _Ref112963143 \h  \* MERGEFORMAT </w:instrText>
      </w:r>
      <w:r>
        <w:rPr>
          <w:lang w:eastAsia="hr-HR"/>
        </w:rPr>
      </w:r>
      <w:r>
        <w:rPr>
          <w:lang w:eastAsia="hr-HR"/>
        </w:rPr>
        <w:fldChar w:fldCharType="separate"/>
      </w:r>
      <w:r w:rsidR="00F37B62">
        <w:t xml:space="preserve">Tablica </w:t>
      </w:r>
      <w:r w:rsidR="00F37B62">
        <w:rPr>
          <w:noProof/>
        </w:rPr>
        <w:t>13</w:t>
      </w:r>
      <w:r>
        <w:rPr>
          <w:lang w:eastAsia="hr-HR"/>
        </w:rPr>
        <w:fldChar w:fldCharType="end"/>
      </w:r>
      <w:r>
        <w:rPr>
          <w:lang w:eastAsia="hr-HR"/>
        </w:rPr>
        <w:t>)</w:t>
      </w:r>
      <w:r w:rsidRPr="00455967">
        <w:rPr>
          <w:lang w:eastAsia="hr-HR"/>
        </w:rPr>
        <w:t>.</w:t>
      </w:r>
    </w:p>
    <w:p w14:paraId="39A54849" w14:textId="301EE812" w:rsidR="00C60580" w:rsidRPr="005538BD" w:rsidRDefault="00C60580" w:rsidP="005538BD">
      <w:pPr>
        <w:pStyle w:val="Tablica"/>
        <w:rPr>
          <w:b w:val="0"/>
          <w:bCs/>
        </w:rPr>
      </w:pPr>
      <w:bookmarkStart w:id="118" w:name="_Ref112963143"/>
      <w:bookmarkStart w:id="119" w:name="_Toc125364402"/>
      <w:r>
        <w:t xml:space="preserve">Tablica </w:t>
      </w:r>
      <w:fldSimple w:instr=" SEQ Tablica \* ARABIC ">
        <w:r w:rsidR="00F37B62">
          <w:rPr>
            <w:noProof/>
          </w:rPr>
          <w:t>13</w:t>
        </w:r>
      </w:fldSimple>
      <w:bookmarkEnd w:id="118"/>
      <w:r>
        <w:t xml:space="preserve">. </w:t>
      </w:r>
      <w:r w:rsidRPr="005538BD">
        <w:rPr>
          <w:b w:val="0"/>
          <w:bCs/>
        </w:rPr>
        <w:t>Stope oporabe i recikliranja za 2021. po kategorijama EE uređaja i opreme u odnosu na zadane ciljeve</w:t>
      </w:r>
      <w:bookmarkEnd w:id="119"/>
      <w:r w:rsidRPr="005538BD">
        <w:rPr>
          <w:b w:val="0"/>
          <w:bCs/>
        </w:rPr>
        <w:t xml:space="preserve"> </w:t>
      </w:r>
    </w:p>
    <w:tbl>
      <w:tblPr>
        <w:tblW w:w="5000" w:type="pct"/>
        <w:tblLook w:val="04A0" w:firstRow="1" w:lastRow="0" w:firstColumn="1" w:lastColumn="0" w:noHBand="0" w:noVBand="1"/>
      </w:tblPr>
      <w:tblGrid>
        <w:gridCol w:w="1346"/>
        <w:gridCol w:w="1058"/>
        <w:gridCol w:w="1148"/>
        <w:gridCol w:w="1062"/>
        <w:gridCol w:w="1105"/>
        <w:gridCol w:w="1269"/>
        <w:gridCol w:w="944"/>
        <w:gridCol w:w="1108"/>
      </w:tblGrid>
      <w:tr w:rsidR="00C60580" w:rsidRPr="00E13079" w14:paraId="6BE7E4D3" w14:textId="77777777" w:rsidTr="00CC41BC">
        <w:trPr>
          <w:trHeight w:val="285"/>
        </w:trPr>
        <w:tc>
          <w:tcPr>
            <w:tcW w:w="759" w:type="pct"/>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4D2E8FF" w14:textId="77777777" w:rsidR="00C60580" w:rsidRPr="00E13079" w:rsidRDefault="00C60580" w:rsidP="00CC41BC">
            <w:pPr>
              <w:spacing w:after="0" w:line="240" w:lineRule="auto"/>
              <w:jc w:val="center"/>
              <w:rPr>
                <w:rFonts w:eastAsia="Times New Roman" w:cstheme="minorHAnsi"/>
                <w:b/>
                <w:bCs/>
                <w:sz w:val="18"/>
                <w:szCs w:val="18"/>
                <w:lang w:eastAsia="hr-HR"/>
              </w:rPr>
            </w:pPr>
            <w:r w:rsidRPr="00E13079">
              <w:rPr>
                <w:rFonts w:eastAsia="Times New Roman" w:cstheme="minorHAnsi"/>
                <w:b/>
                <w:bCs/>
                <w:sz w:val="18"/>
                <w:szCs w:val="18"/>
                <w:lang w:eastAsia="hr-HR"/>
              </w:rPr>
              <w:t>KATEGORIJA</w:t>
            </w:r>
          </w:p>
        </w:tc>
        <w:tc>
          <w:tcPr>
            <w:tcW w:w="583" w:type="pct"/>
            <w:tcBorders>
              <w:top w:val="single" w:sz="4" w:space="0" w:color="auto"/>
              <w:left w:val="nil"/>
              <w:bottom w:val="single" w:sz="4" w:space="0" w:color="auto"/>
              <w:right w:val="single" w:sz="4" w:space="0" w:color="auto"/>
            </w:tcBorders>
            <w:shd w:val="clear" w:color="auto" w:fill="002060"/>
            <w:noWrap/>
            <w:vAlign w:val="center"/>
            <w:hideMark/>
          </w:tcPr>
          <w:p w14:paraId="7A413542" w14:textId="77777777" w:rsidR="00C60580" w:rsidRPr="00E13079" w:rsidRDefault="00C60580" w:rsidP="00CC41BC">
            <w:pPr>
              <w:spacing w:after="0" w:line="240" w:lineRule="auto"/>
              <w:jc w:val="center"/>
              <w:rPr>
                <w:rFonts w:eastAsia="Times New Roman" w:cstheme="minorHAnsi"/>
                <w:b/>
                <w:bCs/>
                <w:sz w:val="18"/>
                <w:szCs w:val="18"/>
                <w:lang w:eastAsia="hr-HR"/>
              </w:rPr>
            </w:pPr>
            <w:r w:rsidRPr="00E13079">
              <w:rPr>
                <w:rFonts w:eastAsia="Times New Roman" w:cstheme="minorHAnsi"/>
                <w:b/>
                <w:bCs/>
                <w:sz w:val="18"/>
                <w:szCs w:val="18"/>
                <w:lang w:eastAsia="hr-HR"/>
              </w:rPr>
              <w:t>Sakupljeno (t)</w:t>
            </w:r>
          </w:p>
        </w:tc>
        <w:tc>
          <w:tcPr>
            <w:tcW w:w="634" w:type="pct"/>
            <w:tcBorders>
              <w:top w:val="single" w:sz="4" w:space="0" w:color="auto"/>
              <w:left w:val="nil"/>
              <w:bottom w:val="single" w:sz="4" w:space="0" w:color="auto"/>
              <w:right w:val="single" w:sz="4" w:space="0" w:color="auto"/>
            </w:tcBorders>
            <w:shd w:val="clear" w:color="auto" w:fill="002060"/>
            <w:noWrap/>
            <w:vAlign w:val="center"/>
            <w:hideMark/>
          </w:tcPr>
          <w:p w14:paraId="32A50EC7" w14:textId="77777777" w:rsidR="00C60580" w:rsidRPr="00E13079" w:rsidRDefault="00C60580" w:rsidP="00CC41BC">
            <w:pPr>
              <w:spacing w:after="0" w:line="240" w:lineRule="auto"/>
              <w:jc w:val="center"/>
              <w:rPr>
                <w:rFonts w:eastAsia="Times New Roman" w:cstheme="minorHAnsi"/>
                <w:b/>
                <w:bCs/>
                <w:sz w:val="18"/>
                <w:szCs w:val="18"/>
                <w:lang w:eastAsia="hr-HR"/>
              </w:rPr>
            </w:pPr>
            <w:proofErr w:type="spellStart"/>
            <w:r w:rsidRPr="00E13079">
              <w:rPr>
                <w:rFonts w:eastAsia="Times New Roman" w:cstheme="minorHAnsi"/>
                <w:b/>
                <w:bCs/>
                <w:sz w:val="18"/>
                <w:szCs w:val="18"/>
                <w:lang w:eastAsia="hr-HR"/>
              </w:rPr>
              <w:t>Oporabljeno</w:t>
            </w:r>
            <w:proofErr w:type="spellEnd"/>
            <w:r w:rsidRPr="00E13079">
              <w:rPr>
                <w:rFonts w:eastAsia="Times New Roman" w:cstheme="minorHAnsi"/>
                <w:b/>
                <w:bCs/>
                <w:sz w:val="18"/>
                <w:szCs w:val="18"/>
                <w:lang w:eastAsia="hr-HR"/>
              </w:rPr>
              <w:t xml:space="preserve"> (t)</w:t>
            </w:r>
          </w:p>
        </w:tc>
        <w:tc>
          <w:tcPr>
            <w:tcW w:w="585" w:type="pct"/>
            <w:tcBorders>
              <w:top w:val="single" w:sz="4" w:space="0" w:color="auto"/>
              <w:left w:val="nil"/>
              <w:bottom w:val="single" w:sz="4" w:space="0" w:color="auto"/>
              <w:right w:val="single" w:sz="4" w:space="0" w:color="auto"/>
            </w:tcBorders>
            <w:shd w:val="clear" w:color="auto" w:fill="002060"/>
            <w:noWrap/>
            <w:vAlign w:val="center"/>
            <w:hideMark/>
          </w:tcPr>
          <w:p w14:paraId="0134AE0E" w14:textId="77777777" w:rsidR="00C60580" w:rsidRPr="00E13079" w:rsidRDefault="00C60580" w:rsidP="00CC41BC">
            <w:pPr>
              <w:spacing w:after="0" w:line="240" w:lineRule="auto"/>
              <w:jc w:val="center"/>
              <w:rPr>
                <w:rFonts w:eastAsia="Times New Roman" w:cstheme="minorHAnsi"/>
                <w:b/>
                <w:bCs/>
                <w:sz w:val="18"/>
                <w:szCs w:val="18"/>
                <w:lang w:eastAsia="hr-HR"/>
              </w:rPr>
            </w:pPr>
            <w:r w:rsidRPr="00E13079">
              <w:rPr>
                <w:rFonts w:eastAsia="Times New Roman" w:cstheme="minorHAnsi"/>
                <w:b/>
                <w:bCs/>
                <w:sz w:val="18"/>
                <w:szCs w:val="18"/>
                <w:lang w:eastAsia="hr-HR"/>
              </w:rPr>
              <w:t>Reciklirano (t)</w:t>
            </w:r>
          </w:p>
        </w:tc>
        <w:tc>
          <w:tcPr>
            <w:tcW w:w="611" w:type="pct"/>
            <w:tcBorders>
              <w:top w:val="single" w:sz="4" w:space="0" w:color="auto"/>
              <w:left w:val="nil"/>
              <w:bottom w:val="single" w:sz="4" w:space="0" w:color="auto"/>
              <w:right w:val="single" w:sz="4" w:space="0" w:color="auto"/>
            </w:tcBorders>
            <w:shd w:val="clear" w:color="auto" w:fill="002060"/>
            <w:noWrap/>
            <w:vAlign w:val="center"/>
            <w:hideMark/>
          </w:tcPr>
          <w:p w14:paraId="5D0606AE" w14:textId="77777777" w:rsidR="00C60580" w:rsidRPr="00E13079" w:rsidRDefault="00C60580" w:rsidP="00CC41BC">
            <w:pPr>
              <w:spacing w:after="0" w:line="240" w:lineRule="auto"/>
              <w:jc w:val="center"/>
              <w:rPr>
                <w:rFonts w:eastAsia="Times New Roman" w:cstheme="minorHAnsi"/>
                <w:b/>
                <w:bCs/>
                <w:sz w:val="18"/>
                <w:szCs w:val="18"/>
                <w:lang w:eastAsia="hr-HR"/>
              </w:rPr>
            </w:pPr>
            <w:r w:rsidRPr="00E13079">
              <w:rPr>
                <w:rFonts w:eastAsia="Times New Roman" w:cstheme="minorHAnsi"/>
                <w:b/>
                <w:bCs/>
                <w:sz w:val="18"/>
                <w:szCs w:val="18"/>
                <w:lang w:eastAsia="hr-HR"/>
              </w:rPr>
              <w:t>Stopa oporabe</w:t>
            </w:r>
          </w:p>
        </w:tc>
        <w:tc>
          <w:tcPr>
            <w:tcW w:w="699" w:type="pct"/>
            <w:tcBorders>
              <w:top w:val="single" w:sz="4" w:space="0" w:color="auto"/>
              <w:left w:val="nil"/>
              <w:bottom w:val="single" w:sz="4" w:space="0" w:color="auto"/>
              <w:right w:val="single" w:sz="4" w:space="0" w:color="auto"/>
            </w:tcBorders>
            <w:shd w:val="clear" w:color="auto" w:fill="002060"/>
            <w:noWrap/>
            <w:vAlign w:val="center"/>
            <w:hideMark/>
          </w:tcPr>
          <w:p w14:paraId="4B3B38DF" w14:textId="77777777" w:rsidR="00C60580" w:rsidRPr="00E13079" w:rsidRDefault="00C60580" w:rsidP="00CC41BC">
            <w:pPr>
              <w:spacing w:after="0" w:line="240" w:lineRule="auto"/>
              <w:jc w:val="center"/>
              <w:rPr>
                <w:rFonts w:eastAsia="Times New Roman" w:cstheme="minorHAnsi"/>
                <w:b/>
                <w:bCs/>
                <w:sz w:val="18"/>
                <w:szCs w:val="18"/>
                <w:lang w:eastAsia="hr-HR"/>
              </w:rPr>
            </w:pPr>
            <w:r w:rsidRPr="00E13079">
              <w:rPr>
                <w:rFonts w:eastAsia="Times New Roman" w:cstheme="minorHAnsi"/>
                <w:b/>
                <w:bCs/>
                <w:sz w:val="18"/>
                <w:szCs w:val="18"/>
                <w:lang w:eastAsia="hr-HR"/>
              </w:rPr>
              <w:t>Stopa recikliranja</w:t>
            </w:r>
          </w:p>
        </w:tc>
        <w:tc>
          <w:tcPr>
            <w:tcW w:w="521" w:type="pct"/>
            <w:tcBorders>
              <w:top w:val="single" w:sz="4" w:space="0" w:color="auto"/>
              <w:left w:val="nil"/>
              <w:bottom w:val="single" w:sz="4" w:space="0" w:color="auto"/>
              <w:right w:val="single" w:sz="4" w:space="0" w:color="auto"/>
            </w:tcBorders>
            <w:shd w:val="clear" w:color="auto" w:fill="002060"/>
            <w:noWrap/>
            <w:vAlign w:val="center"/>
            <w:hideMark/>
          </w:tcPr>
          <w:p w14:paraId="3A01AB63" w14:textId="77777777" w:rsidR="00C60580" w:rsidRPr="00E13079" w:rsidRDefault="00C60580" w:rsidP="00CC41BC">
            <w:pPr>
              <w:spacing w:after="0" w:line="240" w:lineRule="auto"/>
              <w:jc w:val="center"/>
              <w:rPr>
                <w:rFonts w:eastAsia="Times New Roman" w:cstheme="minorHAnsi"/>
                <w:b/>
                <w:bCs/>
                <w:sz w:val="18"/>
                <w:szCs w:val="18"/>
                <w:lang w:eastAsia="hr-HR"/>
              </w:rPr>
            </w:pPr>
            <w:r w:rsidRPr="00E13079">
              <w:rPr>
                <w:rFonts w:eastAsia="Times New Roman" w:cstheme="minorHAnsi"/>
                <w:b/>
                <w:bCs/>
                <w:sz w:val="18"/>
                <w:szCs w:val="18"/>
                <w:lang w:eastAsia="hr-HR"/>
              </w:rPr>
              <w:t>Cilj oporabe</w:t>
            </w:r>
          </w:p>
        </w:tc>
        <w:tc>
          <w:tcPr>
            <w:tcW w:w="609" w:type="pct"/>
            <w:tcBorders>
              <w:top w:val="single" w:sz="4" w:space="0" w:color="auto"/>
              <w:left w:val="nil"/>
              <w:bottom w:val="single" w:sz="4" w:space="0" w:color="auto"/>
              <w:right w:val="single" w:sz="4" w:space="0" w:color="auto"/>
            </w:tcBorders>
            <w:shd w:val="clear" w:color="auto" w:fill="002060"/>
            <w:noWrap/>
            <w:vAlign w:val="center"/>
            <w:hideMark/>
          </w:tcPr>
          <w:p w14:paraId="6D18CFC7" w14:textId="77777777" w:rsidR="00C60580" w:rsidRPr="00E13079" w:rsidRDefault="00C60580" w:rsidP="00CC41BC">
            <w:pPr>
              <w:spacing w:after="0" w:line="240" w:lineRule="auto"/>
              <w:jc w:val="center"/>
              <w:rPr>
                <w:rFonts w:eastAsia="Times New Roman" w:cstheme="minorHAnsi"/>
                <w:b/>
                <w:bCs/>
                <w:sz w:val="18"/>
                <w:szCs w:val="18"/>
                <w:lang w:eastAsia="hr-HR"/>
              </w:rPr>
            </w:pPr>
            <w:r w:rsidRPr="00E13079">
              <w:rPr>
                <w:rFonts w:eastAsia="Times New Roman" w:cstheme="minorHAnsi"/>
                <w:b/>
                <w:bCs/>
                <w:sz w:val="18"/>
                <w:szCs w:val="18"/>
                <w:lang w:eastAsia="hr-HR"/>
              </w:rPr>
              <w:t>Cilj recikliranja</w:t>
            </w:r>
          </w:p>
        </w:tc>
      </w:tr>
      <w:tr w:rsidR="00C60580" w:rsidRPr="00E13079" w14:paraId="09FCCD41" w14:textId="77777777" w:rsidTr="00CC41BC">
        <w:trPr>
          <w:trHeight w:val="480"/>
        </w:trPr>
        <w:tc>
          <w:tcPr>
            <w:tcW w:w="759" w:type="pct"/>
            <w:tcBorders>
              <w:top w:val="nil"/>
              <w:left w:val="single" w:sz="4" w:space="0" w:color="auto"/>
              <w:bottom w:val="single" w:sz="4" w:space="0" w:color="auto"/>
              <w:right w:val="single" w:sz="4" w:space="0" w:color="auto"/>
            </w:tcBorders>
            <w:shd w:val="clear" w:color="auto" w:fill="auto"/>
            <w:vAlign w:val="center"/>
            <w:hideMark/>
          </w:tcPr>
          <w:p w14:paraId="3A426345"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Oprema za izmjenu topline</w:t>
            </w:r>
          </w:p>
        </w:tc>
        <w:tc>
          <w:tcPr>
            <w:tcW w:w="583" w:type="pct"/>
            <w:tcBorders>
              <w:top w:val="nil"/>
              <w:left w:val="nil"/>
              <w:bottom w:val="single" w:sz="4" w:space="0" w:color="auto"/>
              <w:right w:val="single" w:sz="4" w:space="0" w:color="auto"/>
            </w:tcBorders>
            <w:shd w:val="clear" w:color="auto" w:fill="auto"/>
            <w:vAlign w:val="center"/>
            <w:hideMark/>
          </w:tcPr>
          <w:p w14:paraId="1FE72835"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6.395</w:t>
            </w:r>
          </w:p>
        </w:tc>
        <w:tc>
          <w:tcPr>
            <w:tcW w:w="634" w:type="pct"/>
            <w:tcBorders>
              <w:top w:val="nil"/>
              <w:left w:val="nil"/>
              <w:bottom w:val="single" w:sz="4" w:space="0" w:color="auto"/>
              <w:right w:val="single" w:sz="4" w:space="0" w:color="auto"/>
            </w:tcBorders>
            <w:shd w:val="clear" w:color="auto" w:fill="auto"/>
            <w:vAlign w:val="center"/>
            <w:hideMark/>
          </w:tcPr>
          <w:p w14:paraId="01FE4071"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6.201</w:t>
            </w:r>
          </w:p>
        </w:tc>
        <w:tc>
          <w:tcPr>
            <w:tcW w:w="585" w:type="pct"/>
            <w:tcBorders>
              <w:top w:val="nil"/>
              <w:left w:val="nil"/>
              <w:bottom w:val="single" w:sz="4" w:space="0" w:color="auto"/>
              <w:right w:val="single" w:sz="4" w:space="0" w:color="auto"/>
            </w:tcBorders>
            <w:shd w:val="clear" w:color="auto" w:fill="auto"/>
            <w:vAlign w:val="center"/>
            <w:hideMark/>
          </w:tcPr>
          <w:p w14:paraId="11FAD199"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6.057</w:t>
            </w:r>
          </w:p>
        </w:tc>
        <w:tc>
          <w:tcPr>
            <w:tcW w:w="611" w:type="pct"/>
            <w:tcBorders>
              <w:top w:val="nil"/>
              <w:left w:val="nil"/>
              <w:bottom w:val="single" w:sz="4" w:space="0" w:color="auto"/>
              <w:right w:val="single" w:sz="4" w:space="0" w:color="auto"/>
            </w:tcBorders>
            <w:shd w:val="clear" w:color="auto" w:fill="auto"/>
            <w:noWrap/>
            <w:vAlign w:val="center"/>
            <w:hideMark/>
          </w:tcPr>
          <w:p w14:paraId="5E4783F1"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97%</w:t>
            </w:r>
          </w:p>
        </w:tc>
        <w:tc>
          <w:tcPr>
            <w:tcW w:w="699" w:type="pct"/>
            <w:tcBorders>
              <w:top w:val="nil"/>
              <w:left w:val="nil"/>
              <w:bottom w:val="single" w:sz="4" w:space="0" w:color="auto"/>
              <w:right w:val="single" w:sz="4" w:space="0" w:color="auto"/>
            </w:tcBorders>
            <w:shd w:val="clear" w:color="auto" w:fill="auto"/>
            <w:noWrap/>
            <w:vAlign w:val="center"/>
            <w:hideMark/>
          </w:tcPr>
          <w:p w14:paraId="789DAF94"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95%</w:t>
            </w:r>
          </w:p>
        </w:tc>
        <w:tc>
          <w:tcPr>
            <w:tcW w:w="521" w:type="pct"/>
            <w:tcBorders>
              <w:top w:val="nil"/>
              <w:left w:val="nil"/>
              <w:bottom w:val="single" w:sz="4" w:space="0" w:color="auto"/>
              <w:right w:val="single" w:sz="4" w:space="0" w:color="auto"/>
            </w:tcBorders>
            <w:shd w:val="clear" w:color="auto" w:fill="auto"/>
            <w:noWrap/>
            <w:vAlign w:val="center"/>
            <w:hideMark/>
          </w:tcPr>
          <w:p w14:paraId="5465CAB5" w14:textId="77777777" w:rsidR="00C60580" w:rsidRPr="0003226A" w:rsidRDefault="00C60580" w:rsidP="00CC41BC">
            <w:pPr>
              <w:spacing w:after="0" w:line="240" w:lineRule="auto"/>
              <w:jc w:val="center"/>
              <w:rPr>
                <w:rFonts w:eastAsia="Times New Roman" w:cstheme="minorHAnsi"/>
                <w:sz w:val="18"/>
                <w:szCs w:val="18"/>
                <w:lang w:eastAsia="hr-HR"/>
              </w:rPr>
            </w:pPr>
            <w:r w:rsidRPr="004348AA">
              <w:rPr>
                <w:rFonts w:eastAsia="Times New Roman" w:cstheme="minorHAnsi"/>
                <w:sz w:val="18"/>
                <w:szCs w:val="18"/>
                <w:lang w:eastAsia="hr-HR"/>
              </w:rPr>
              <w:t>85%</w:t>
            </w:r>
          </w:p>
        </w:tc>
        <w:tc>
          <w:tcPr>
            <w:tcW w:w="609" w:type="pct"/>
            <w:tcBorders>
              <w:top w:val="nil"/>
              <w:left w:val="nil"/>
              <w:bottom w:val="single" w:sz="4" w:space="0" w:color="auto"/>
              <w:right w:val="single" w:sz="4" w:space="0" w:color="auto"/>
            </w:tcBorders>
            <w:shd w:val="clear" w:color="auto" w:fill="auto"/>
            <w:noWrap/>
            <w:vAlign w:val="center"/>
            <w:hideMark/>
          </w:tcPr>
          <w:p w14:paraId="601E6B07" w14:textId="77777777" w:rsidR="00C60580" w:rsidRPr="0003226A" w:rsidRDefault="00C60580" w:rsidP="00CC41BC">
            <w:pPr>
              <w:spacing w:after="0" w:line="240" w:lineRule="auto"/>
              <w:jc w:val="center"/>
              <w:rPr>
                <w:rFonts w:eastAsia="Times New Roman" w:cstheme="minorHAnsi"/>
                <w:sz w:val="18"/>
                <w:szCs w:val="18"/>
                <w:lang w:eastAsia="hr-HR"/>
              </w:rPr>
            </w:pPr>
            <w:r w:rsidRPr="004348AA">
              <w:rPr>
                <w:rFonts w:eastAsia="Times New Roman" w:cstheme="minorHAnsi"/>
                <w:sz w:val="18"/>
                <w:szCs w:val="18"/>
                <w:lang w:eastAsia="hr-HR"/>
              </w:rPr>
              <w:t>80%</w:t>
            </w:r>
          </w:p>
        </w:tc>
      </w:tr>
      <w:tr w:rsidR="00C60580" w:rsidRPr="00E13079" w14:paraId="0C26973B" w14:textId="77777777" w:rsidTr="00CC41BC">
        <w:trPr>
          <w:trHeight w:val="480"/>
        </w:trPr>
        <w:tc>
          <w:tcPr>
            <w:tcW w:w="759" w:type="pct"/>
            <w:tcBorders>
              <w:top w:val="nil"/>
              <w:left w:val="single" w:sz="4" w:space="0" w:color="auto"/>
              <w:bottom w:val="single" w:sz="4" w:space="0" w:color="auto"/>
              <w:right w:val="single" w:sz="4" w:space="0" w:color="auto"/>
            </w:tcBorders>
            <w:shd w:val="clear" w:color="auto" w:fill="auto"/>
            <w:vAlign w:val="center"/>
            <w:hideMark/>
          </w:tcPr>
          <w:p w14:paraId="425AE4B2"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Zasloni i monitori  (P&gt;100  cm2)</w:t>
            </w:r>
          </w:p>
        </w:tc>
        <w:tc>
          <w:tcPr>
            <w:tcW w:w="583" w:type="pct"/>
            <w:tcBorders>
              <w:top w:val="nil"/>
              <w:left w:val="nil"/>
              <w:bottom w:val="single" w:sz="4" w:space="0" w:color="auto"/>
              <w:right w:val="single" w:sz="4" w:space="0" w:color="auto"/>
            </w:tcBorders>
            <w:shd w:val="clear" w:color="auto" w:fill="auto"/>
            <w:vAlign w:val="center"/>
            <w:hideMark/>
          </w:tcPr>
          <w:p w14:paraId="34044F57"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9.590</w:t>
            </w:r>
          </w:p>
        </w:tc>
        <w:tc>
          <w:tcPr>
            <w:tcW w:w="634" w:type="pct"/>
            <w:tcBorders>
              <w:top w:val="nil"/>
              <w:left w:val="nil"/>
              <w:bottom w:val="single" w:sz="4" w:space="0" w:color="auto"/>
              <w:right w:val="single" w:sz="4" w:space="0" w:color="auto"/>
            </w:tcBorders>
            <w:shd w:val="clear" w:color="auto" w:fill="auto"/>
            <w:vAlign w:val="center"/>
            <w:hideMark/>
          </w:tcPr>
          <w:p w14:paraId="24648BCF"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8.827</w:t>
            </w:r>
          </w:p>
        </w:tc>
        <w:tc>
          <w:tcPr>
            <w:tcW w:w="585" w:type="pct"/>
            <w:tcBorders>
              <w:top w:val="nil"/>
              <w:left w:val="nil"/>
              <w:bottom w:val="single" w:sz="4" w:space="0" w:color="auto"/>
              <w:right w:val="single" w:sz="4" w:space="0" w:color="auto"/>
            </w:tcBorders>
            <w:shd w:val="clear" w:color="auto" w:fill="auto"/>
            <w:vAlign w:val="center"/>
            <w:hideMark/>
          </w:tcPr>
          <w:p w14:paraId="40543773"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8.827</w:t>
            </w:r>
          </w:p>
        </w:tc>
        <w:tc>
          <w:tcPr>
            <w:tcW w:w="611" w:type="pct"/>
            <w:tcBorders>
              <w:top w:val="nil"/>
              <w:left w:val="nil"/>
              <w:bottom w:val="single" w:sz="4" w:space="0" w:color="auto"/>
              <w:right w:val="single" w:sz="4" w:space="0" w:color="auto"/>
            </w:tcBorders>
            <w:shd w:val="clear" w:color="auto" w:fill="auto"/>
            <w:noWrap/>
            <w:vAlign w:val="center"/>
            <w:hideMark/>
          </w:tcPr>
          <w:p w14:paraId="79E019E7"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92%</w:t>
            </w:r>
          </w:p>
        </w:tc>
        <w:tc>
          <w:tcPr>
            <w:tcW w:w="699" w:type="pct"/>
            <w:tcBorders>
              <w:top w:val="nil"/>
              <w:left w:val="nil"/>
              <w:bottom w:val="single" w:sz="4" w:space="0" w:color="auto"/>
              <w:right w:val="single" w:sz="4" w:space="0" w:color="auto"/>
            </w:tcBorders>
            <w:shd w:val="clear" w:color="auto" w:fill="auto"/>
            <w:noWrap/>
            <w:vAlign w:val="center"/>
            <w:hideMark/>
          </w:tcPr>
          <w:p w14:paraId="254EBF09"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92%</w:t>
            </w:r>
          </w:p>
        </w:tc>
        <w:tc>
          <w:tcPr>
            <w:tcW w:w="521" w:type="pct"/>
            <w:tcBorders>
              <w:top w:val="nil"/>
              <w:left w:val="nil"/>
              <w:bottom w:val="single" w:sz="4" w:space="0" w:color="auto"/>
              <w:right w:val="single" w:sz="4" w:space="0" w:color="auto"/>
            </w:tcBorders>
            <w:shd w:val="clear" w:color="auto" w:fill="auto"/>
            <w:noWrap/>
            <w:vAlign w:val="center"/>
            <w:hideMark/>
          </w:tcPr>
          <w:p w14:paraId="59038985"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80%</w:t>
            </w:r>
          </w:p>
        </w:tc>
        <w:tc>
          <w:tcPr>
            <w:tcW w:w="609" w:type="pct"/>
            <w:tcBorders>
              <w:top w:val="nil"/>
              <w:left w:val="nil"/>
              <w:bottom w:val="single" w:sz="4" w:space="0" w:color="auto"/>
              <w:right w:val="single" w:sz="4" w:space="0" w:color="auto"/>
            </w:tcBorders>
            <w:shd w:val="clear" w:color="auto" w:fill="auto"/>
            <w:noWrap/>
            <w:vAlign w:val="center"/>
            <w:hideMark/>
          </w:tcPr>
          <w:p w14:paraId="77BF9791"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70%</w:t>
            </w:r>
          </w:p>
        </w:tc>
      </w:tr>
      <w:tr w:rsidR="00C60580" w:rsidRPr="00E13079" w14:paraId="237110A2" w14:textId="77777777" w:rsidTr="00CC41BC">
        <w:trPr>
          <w:trHeight w:val="285"/>
        </w:trPr>
        <w:tc>
          <w:tcPr>
            <w:tcW w:w="759" w:type="pct"/>
            <w:tcBorders>
              <w:top w:val="nil"/>
              <w:left w:val="single" w:sz="4" w:space="0" w:color="auto"/>
              <w:bottom w:val="single" w:sz="4" w:space="0" w:color="auto"/>
              <w:right w:val="single" w:sz="4" w:space="0" w:color="auto"/>
            </w:tcBorders>
            <w:shd w:val="clear" w:color="auto" w:fill="auto"/>
            <w:vAlign w:val="center"/>
            <w:hideMark/>
          </w:tcPr>
          <w:p w14:paraId="3F846828"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Žarulje</w:t>
            </w:r>
          </w:p>
        </w:tc>
        <w:tc>
          <w:tcPr>
            <w:tcW w:w="583" w:type="pct"/>
            <w:tcBorders>
              <w:top w:val="nil"/>
              <w:left w:val="nil"/>
              <w:bottom w:val="single" w:sz="4" w:space="0" w:color="auto"/>
              <w:right w:val="single" w:sz="4" w:space="0" w:color="auto"/>
            </w:tcBorders>
            <w:shd w:val="clear" w:color="auto" w:fill="auto"/>
            <w:vAlign w:val="center"/>
            <w:hideMark/>
          </w:tcPr>
          <w:p w14:paraId="559CA970"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90</w:t>
            </w:r>
          </w:p>
        </w:tc>
        <w:tc>
          <w:tcPr>
            <w:tcW w:w="634" w:type="pct"/>
            <w:tcBorders>
              <w:top w:val="nil"/>
              <w:left w:val="nil"/>
              <w:bottom w:val="single" w:sz="4" w:space="0" w:color="auto"/>
              <w:right w:val="single" w:sz="4" w:space="0" w:color="auto"/>
            </w:tcBorders>
            <w:shd w:val="clear" w:color="auto" w:fill="auto"/>
            <w:vAlign w:val="center"/>
            <w:hideMark/>
          </w:tcPr>
          <w:p w14:paraId="761CFE88"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75</w:t>
            </w:r>
          </w:p>
        </w:tc>
        <w:tc>
          <w:tcPr>
            <w:tcW w:w="585" w:type="pct"/>
            <w:tcBorders>
              <w:top w:val="nil"/>
              <w:left w:val="nil"/>
              <w:bottom w:val="single" w:sz="4" w:space="0" w:color="auto"/>
              <w:right w:val="single" w:sz="4" w:space="0" w:color="auto"/>
            </w:tcBorders>
            <w:shd w:val="clear" w:color="auto" w:fill="auto"/>
            <w:vAlign w:val="center"/>
            <w:hideMark/>
          </w:tcPr>
          <w:p w14:paraId="515DA73C"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75</w:t>
            </w:r>
          </w:p>
        </w:tc>
        <w:tc>
          <w:tcPr>
            <w:tcW w:w="611" w:type="pct"/>
            <w:tcBorders>
              <w:top w:val="nil"/>
              <w:left w:val="nil"/>
              <w:bottom w:val="single" w:sz="4" w:space="0" w:color="auto"/>
              <w:right w:val="single" w:sz="4" w:space="0" w:color="auto"/>
            </w:tcBorders>
            <w:shd w:val="clear" w:color="auto" w:fill="auto"/>
            <w:noWrap/>
            <w:vAlign w:val="center"/>
            <w:hideMark/>
          </w:tcPr>
          <w:p w14:paraId="10E57E25"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83%</w:t>
            </w:r>
          </w:p>
        </w:tc>
        <w:tc>
          <w:tcPr>
            <w:tcW w:w="699" w:type="pct"/>
            <w:tcBorders>
              <w:top w:val="nil"/>
              <w:left w:val="nil"/>
              <w:bottom w:val="single" w:sz="4" w:space="0" w:color="auto"/>
              <w:right w:val="single" w:sz="4" w:space="0" w:color="auto"/>
            </w:tcBorders>
            <w:shd w:val="clear" w:color="auto" w:fill="auto"/>
            <w:noWrap/>
            <w:vAlign w:val="center"/>
            <w:hideMark/>
          </w:tcPr>
          <w:p w14:paraId="4F2500A5"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83%</w:t>
            </w:r>
          </w:p>
        </w:tc>
        <w:tc>
          <w:tcPr>
            <w:tcW w:w="521" w:type="pct"/>
            <w:tcBorders>
              <w:top w:val="nil"/>
              <w:left w:val="nil"/>
              <w:bottom w:val="single" w:sz="4" w:space="0" w:color="auto"/>
              <w:right w:val="single" w:sz="4" w:space="0" w:color="auto"/>
            </w:tcBorders>
            <w:shd w:val="clear" w:color="auto" w:fill="auto"/>
            <w:noWrap/>
            <w:vAlign w:val="center"/>
            <w:hideMark/>
          </w:tcPr>
          <w:p w14:paraId="5996A46A" w14:textId="30FD12F1" w:rsidR="00C60580" w:rsidRPr="00E13079" w:rsidRDefault="0003226A" w:rsidP="00CC41BC">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80%</w:t>
            </w:r>
          </w:p>
        </w:tc>
        <w:tc>
          <w:tcPr>
            <w:tcW w:w="609" w:type="pct"/>
            <w:tcBorders>
              <w:top w:val="nil"/>
              <w:left w:val="nil"/>
              <w:bottom w:val="single" w:sz="4" w:space="0" w:color="auto"/>
              <w:right w:val="single" w:sz="4" w:space="0" w:color="auto"/>
            </w:tcBorders>
            <w:shd w:val="clear" w:color="auto" w:fill="auto"/>
            <w:noWrap/>
            <w:vAlign w:val="center"/>
            <w:hideMark/>
          </w:tcPr>
          <w:p w14:paraId="032E549F"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80%</w:t>
            </w:r>
          </w:p>
        </w:tc>
      </w:tr>
      <w:tr w:rsidR="00C60580" w:rsidRPr="00E13079" w14:paraId="32FCCB08" w14:textId="77777777" w:rsidTr="00CC41BC">
        <w:trPr>
          <w:trHeight w:val="480"/>
        </w:trPr>
        <w:tc>
          <w:tcPr>
            <w:tcW w:w="759" w:type="pct"/>
            <w:tcBorders>
              <w:top w:val="nil"/>
              <w:left w:val="single" w:sz="4" w:space="0" w:color="auto"/>
              <w:bottom w:val="single" w:sz="4" w:space="0" w:color="auto"/>
              <w:right w:val="single" w:sz="4" w:space="0" w:color="auto"/>
            </w:tcBorders>
            <w:shd w:val="clear" w:color="auto" w:fill="auto"/>
            <w:vAlign w:val="center"/>
            <w:hideMark/>
          </w:tcPr>
          <w:p w14:paraId="4397EB86"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Velika oprema (d&gt;50 cm)</w:t>
            </w:r>
          </w:p>
        </w:tc>
        <w:tc>
          <w:tcPr>
            <w:tcW w:w="583" w:type="pct"/>
            <w:tcBorders>
              <w:top w:val="nil"/>
              <w:left w:val="nil"/>
              <w:bottom w:val="single" w:sz="4" w:space="0" w:color="auto"/>
              <w:right w:val="single" w:sz="4" w:space="0" w:color="auto"/>
            </w:tcBorders>
            <w:shd w:val="clear" w:color="auto" w:fill="auto"/>
            <w:vAlign w:val="center"/>
            <w:hideMark/>
          </w:tcPr>
          <w:p w14:paraId="363347E6"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14.186</w:t>
            </w:r>
          </w:p>
        </w:tc>
        <w:tc>
          <w:tcPr>
            <w:tcW w:w="634" w:type="pct"/>
            <w:tcBorders>
              <w:top w:val="nil"/>
              <w:left w:val="nil"/>
              <w:bottom w:val="single" w:sz="4" w:space="0" w:color="auto"/>
              <w:right w:val="single" w:sz="4" w:space="0" w:color="auto"/>
            </w:tcBorders>
            <w:shd w:val="clear" w:color="auto" w:fill="auto"/>
            <w:vAlign w:val="center"/>
            <w:hideMark/>
          </w:tcPr>
          <w:p w14:paraId="685A22B0"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13.546</w:t>
            </w:r>
          </w:p>
        </w:tc>
        <w:tc>
          <w:tcPr>
            <w:tcW w:w="585" w:type="pct"/>
            <w:tcBorders>
              <w:top w:val="nil"/>
              <w:left w:val="nil"/>
              <w:bottom w:val="single" w:sz="4" w:space="0" w:color="auto"/>
              <w:right w:val="single" w:sz="4" w:space="0" w:color="auto"/>
            </w:tcBorders>
            <w:shd w:val="clear" w:color="auto" w:fill="auto"/>
            <w:vAlign w:val="center"/>
            <w:hideMark/>
          </w:tcPr>
          <w:p w14:paraId="64F1957F"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13.533</w:t>
            </w:r>
          </w:p>
        </w:tc>
        <w:tc>
          <w:tcPr>
            <w:tcW w:w="611" w:type="pct"/>
            <w:tcBorders>
              <w:top w:val="nil"/>
              <w:left w:val="nil"/>
              <w:bottom w:val="single" w:sz="4" w:space="0" w:color="auto"/>
              <w:right w:val="single" w:sz="4" w:space="0" w:color="auto"/>
            </w:tcBorders>
            <w:shd w:val="clear" w:color="auto" w:fill="auto"/>
            <w:noWrap/>
            <w:vAlign w:val="center"/>
            <w:hideMark/>
          </w:tcPr>
          <w:p w14:paraId="230127FE"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95%</w:t>
            </w:r>
          </w:p>
        </w:tc>
        <w:tc>
          <w:tcPr>
            <w:tcW w:w="699" w:type="pct"/>
            <w:tcBorders>
              <w:top w:val="nil"/>
              <w:left w:val="nil"/>
              <w:bottom w:val="single" w:sz="4" w:space="0" w:color="auto"/>
              <w:right w:val="single" w:sz="4" w:space="0" w:color="auto"/>
            </w:tcBorders>
            <w:shd w:val="clear" w:color="auto" w:fill="auto"/>
            <w:noWrap/>
            <w:vAlign w:val="center"/>
            <w:hideMark/>
          </w:tcPr>
          <w:p w14:paraId="7E68029A"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95%</w:t>
            </w:r>
          </w:p>
        </w:tc>
        <w:tc>
          <w:tcPr>
            <w:tcW w:w="521" w:type="pct"/>
            <w:tcBorders>
              <w:top w:val="nil"/>
              <w:left w:val="nil"/>
              <w:bottom w:val="single" w:sz="4" w:space="0" w:color="auto"/>
              <w:right w:val="single" w:sz="4" w:space="0" w:color="auto"/>
            </w:tcBorders>
            <w:shd w:val="clear" w:color="auto" w:fill="auto"/>
            <w:noWrap/>
            <w:vAlign w:val="center"/>
            <w:hideMark/>
          </w:tcPr>
          <w:p w14:paraId="7738CB26"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85%</w:t>
            </w:r>
          </w:p>
        </w:tc>
        <w:tc>
          <w:tcPr>
            <w:tcW w:w="609" w:type="pct"/>
            <w:tcBorders>
              <w:top w:val="nil"/>
              <w:left w:val="nil"/>
              <w:bottom w:val="single" w:sz="4" w:space="0" w:color="auto"/>
              <w:right w:val="single" w:sz="4" w:space="0" w:color="auto"/>
            </w:tcBorders>
            <w:shd w:val="clear" w:color="auto" w:fill="auto"/>
            <w:noWrap/>
            <w:vAlign w:val="center"/>
            <w:hideMark/>
          </w:tcPr>
          <w:p w14:paraId="58D65EB9"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80%</w:t>
            </w:r>
          </w:p>
        </w:tc>
      </w:tr>
      <w:tr w:rsidR="00C60580" w:rsidRPr="00E13079" w14:paraId="31E4A935" w14:textId="77777777" w:rsidTr="00CC41BC">
        <w:trPr>
          <w:trHeight w:val="480"/>
        </w:trPr>
        <w:tc>
          <w:tcPr>
            <w:tcW w:w="759" w:type="pct"/>
            <w:tcBorders>
              <w:top w:val="nil"/>
              <w:left w:val="single" w:sz="4" w:space="0" w:color="auto"/>
              <w:bottom w:val="single" w:sz="4" w:space="0" w:color="auto"/>
              <w:right w:val="single" w:sz="4" w:space="0" w:color="auto"/>
            </w:tcBorders>
            <w:shd w:val="clear" w:color="auto" w:fill="auto"/>
            <w:vAlign w:val="center"/>
            <w:hideMark/>
          </w:tcPr>
          <w:p w14:paraId="2705B3FF"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Mala oprema (d&lt;50 cm)</w:t>
            </w:r>
          </w:p>
        </w:tc>
        <w:tc>
          <w:tcPr>
            <w:tcW w:w="583" w:type="pct"/>
            <w:tcBorders>
              <w:top w:val="nil"/>
              <w:left w:val="nil"/>
              <w:bottom w:val="single" w:sz="4" w:space="0" w:color="auto"/>
              <w:right w:val="single" w:sz="4" w:space="0" w:color="auto"/>
            </w:tcBorders>
            <w:shd w:val="clear" w:color="auto" w:fill="auto"/>
            <w:vAlign w:val="center"/>
            <w:hideMark/>
          </w:tcPr>
          <w:p w14:paraId="20D6F90F"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2.566</w:t>
            </w:r>
          </w:p>
        </w:tc>
        <w:tc>
          <w:tcPr>
            <w:tcW w:w="634" w:type="pct"/>
            <w:tcBorders>
              <w:top w:val="nil"/>
              <w:left w:val="nil"/>
              <w:bottom w:val="single" w:sz="4" w:space="0" w:color="auto"/>
              <w:right w:val="single" w:sz="4" w:space="0" w:color="auto"/>
            </w:tcBorders>
            <w:shd w:val="clear" w:color="auto" w:fill="auto"/>
            <w:vAlign w:val="center"/>
            <w:hideMark/>
          </w:tcPr>
          <w:p w14:paraId="721D697F"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2.286</w:t>
            </w:r>
          </w:p>
        </w:tc>
        <w:tc>
          <w:tcPr>
            <w:tcW w:w="585" w:type="pct"/>
            <w:tcBorders>
              <w:top w:val="nil"/>
              <w:left w:val="nil"/>
              <w:bottom w:val="single" w:sz="4" w:space="0" w:color="auto"/>
              <w:right w:val="single" w:sz="4" w:space="0" w:color="auto"/>
            </w:tcBorders>
            <w:shd w:val="clear" w:color="auto" w:fill="auto"/>
            <w:vAlign w:val="center"/>
            <w:hideMark/>
          </w:tcPr>
          <w:p w14:paraId="6D651E0D"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2.286</w:t>
            </w:r>
          </w:p>
        </w:tc>
        <w:tc>
          <w:tcPr>
            <w:tcW w:w="611" w:type="pct"/>
            <w:tcBorders>
              <w:top w:val="nil"/>
              <w:left w:val="nil"/>
              <w:bottom w:val="single" w:sz="4" w:space="0" w:color="auto"/>
              <w:right w:val="single" w:sz="4" w:space="0" w:color="auto"/>
            </w:tcBorders>
            <w:shd w:val="clear" w:color="auto" w:fill="auto"/>
            <w:noWrap/>
            <w:vAlign w:val="center"/>
            <w:hideMark/>
          </w:tcPr>
          <w:p w14:paraId="5B3ECEBC"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89%</w:t>
            </w:r>
          </w:p>
        </w:tc>
        <w:tc>
          <w:tcPr>
            <w:tcW w:w="699" w:type="pct"/>
            <w:tcBorders>
              <w:top w:val="nil"/>
              <w:left w:val="nil"/>
              <w:bottom w:val="single" w:sz="4" w:space="0" w:color="auto"/>
              <w:right w:val="single" w:sz="4" w:space="0" w:color="auto"/>
            </w:tcBorders>
            <w:shd w:val="clear" w:color="auto" w:fill="auto"/>
            <w:noWrap/>
            <w:vAlign w:val="center"/>
            <w:hideMark/>
          </w:tcPr>
          <w:p w14:paraId="138DDF70"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89%</w:t>
            </w:r>
          </w:p>
        </w:tc>
        <w:tc>
          <w:tcPr>
            <w:tcW w:w="521" w:type="pct"/>
            <w:tcBorders>
              <w:top w:val="nil"/>
              <w:left w:val="nil"/>
              <w:bottom w:val="single" w:sz="4" w:space="0" w:color="auto"/>
              <w:right w:val="single" w:sz="4" w:space="0" w:color="auto"/>
            </w:tcBorders>
            <w:shd w:val="clear" w:color="auto" w:fill="auto"/>
            <w:noWrap/>
            <w:vAlign w:val="center"/>
            <w:hideMark/>
          </w:tcPr>
          <w:p w14:paraId="44C176B2"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75%</w:t>
            </w:r>
          </w:p>
        </w:tc>
        <w:tc>
          <w:tcPr>
            <w:tcW w:w="609" w:type="pct"/>
            <w:tcBorders>
              <w:top w:val="nil"/>
              <w:left w:val="nil"/>
              <w:bottom w:val="single" w:sz="4" w:space="0" w:color="auto"/>
              <w:right w:val="single" w:sz="4" w:space="0" w:color="auto"/>
            </w:tcBorders>
            <w:shd w:val="clear" w:color="auto" w:fill="auto"/>
            <w:noWrap/>
            <w:vAlign w:val="center"/>
            <w:hideMark/>
          </w:tcPr>
          <w:p w14:paraId="4CF36E8B"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55%</w:t>
            </w:r>
          </w:p>
        </w:tc>
      </w:tr>
      <w:tr w:rsidR="00C60580" w:rsidRPr="00E13079" w14:paraId="5D596D71" w14:textId="77777777" w:rsidTr="00CC41BC">
        <w:trPr>
          <w:trHeight w:val="720"/>
        </w:trPr>
        <w:tc>
          <w:tcPr>
            <w:tcW w:w="759" w:type="pct"/>
            <w:tcBorders>
              <w:top w:val="nil"/>
              <w:left w:val="single" w:sz="4" w:space="0" w:color="auto"/>
              <w:bottom w:val="single" w:sz="4" w:space="0" w:color="auto"/>
              <w:right w:val="single" w:sz="4" w:space="0" w:color="auto"/>
            </w:tcBorders>
            <w:shd w:val="clear" w:color="auto" w:fill="auto"/>
            <w:vAlign w:val="center"/>
            <w:hideMark/>
          </w:tcPr>
          <w:p w14:paraId="2C3C2082"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Mala IT i telekomunikacijska oprema (d&lt;50 cm)</w:t>
            </w:r>
          </w:p>
        </w:tc>
        <w:tc>
          <w:tcPr>
            <w:tcW w:w="583" w:type="pct"/>
            <w:tcBorders>
              <w:top w:val="nil"/>
              <w:left w:val="nil"/>
              <w:bottom w:val="single" w:sz="4" w:space="0" w:color="auto"/>
              <w:right w:val="single" w:sz="4" w:space="0" w:color="auto"/>
            </w:tcBorders>
            <w:shd w:val="clear" w:color="auto" w:fill="auto"/>
            <w:vAlign w:val="center"/>
            <w:hideMark/>
          </w:tcPr>
          <w:p w14:paraId="19B7F54B"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2.078</w:t>
            </w:r>
          </w:p>
        </w:tc>
        <w:tc>
          <w:tcPr>
            <w:tcW w:w="634" w:type="pct"/>
            <w:tcBorders>
              <w:top w:val="nil"/>
              <w:left w:val="nil"/>
              <w:bottom w:val="single" w:sz="4" w:space="0" w:color="auto"/>
              <w:right w:val="single" w:sz="4" w:space="0" w:color="auto"/>
            </w:tcBorders>
            <w:shd w:val="clear" w:color="auto" w:fill="auto"/>
            <w:vAlign w:val="center"/>
            <w:hideMark/>
          </w:tcPr>
          <w:p w14:paraId="4149FE76"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1.851</w:t>
            </w:r>
          </w:p>
        </w:tc>
        <w:tc>
          <w:tcPr>
            <w:tcW w:w="585" w:type="pct"/>
            <w:tcBorders>
              <w:top w:val="nil"/>
              <w:left w:val="nil"/>
              <w:bottom w:val="single" w:sz="4" w:space="0" w:color="auto"/>
              <w:right w:val="single" w:sz="4" w:space="0" w:color="auto"/>
            </w:tcBorders>
            <w:shd w:val="clear" w:color="auto" w:fill="auto"/>
            <w:vAlign w:val="center"/>
            <w:hideMark/>
          </w:tcPr>
          <w:p w14:paraId="4EB3C1E5"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1.851</w:t>
            </w:r>
          </w:p>
        </w:tc>
        <w:tc>
          <w:tcPr>
            <w:tcW w:w="611" w:type="pct"/>
            <w:tcBorders>
              <w:top w:val="nil"/>
              <w:left w:val="nil"/>
              <w:bottom w:val="single" w:sz="4" w:space="0" w:color="auto"/>
              <w:right w:val="single" w:sz="4" w:space="0" w:color="auto"/>
            </w:tcBorders>
            <w:shd w:val="clear" w:color="auto" w:fill="auto"/>
            <w:noWrap/>
            <w:vAlign w:val="center"/>
            <w:hideMark/>
          </w:tcPr>
          <w:p w14:paraId="61223D8A"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89%</w:t>
            </w:r>
          </w:p>
        </w:tc>
        <w:tc>
          <w:tcPr>
            <w:tcW w:w="699" w:type="pct"/>
            <w:tcBorders>
              <w:top w:val="nil"/>
              <w:left w:val="nil"/>
              <w:bottom w:val="single" w:sz="4" w:space="0" w:color="auto"/>
              <w:right w:val="single" w:sz="4" w:space="0" w:color="auto"/>
            </w:tcBorders>
            <w:shd w:val="clear" w:color="auto" w:fill="auto"/>
            <w:noWrap/>
            <w:vAlign w:val="center"/>
            <w:hideMark/>
          </w:tcPr>
          <w:p w14:paraId="799FBEAE"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89%</w:t>
            </w:r>
          </w:p>
        </w:tc>
        <w:tc>
          <w:tcPr>
            <w:tcW w:w="521" w:type="pct"/>
            <w:tcBorders>
              <w:top w:val="nil"/>
              <w:left w:val="nil"/>
              <w:bottom w:val="single" w:sz="4" w:space="0" w:color="auto"/>
              <w:right w:val="single" w:sz="4" w:space="0" w:color="auto"/>
            </w:tcBorders>
            <w:shd w:val="clear" w:color="auto" w:fill="auto"/>
            <w:noWrap/>
            <w:vAlign w:val="center"/>
            <w:hideMark/>
          </w:tcPr>
          <w:p w14:paraId="00631A77"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75%</w:t>
            </w:r>
          </w:p>
        </w:tc>
        <w:tc>
          <w:tcPr>
            <w:tcW w:w="609" w:type="pct"/>
            <w:tcBorders>
              <w:top w:val="nil"/>
              <w:left w:val="nil"/>
              <w:bottom w:val="single" w:sz="4" w:space="0" w:color="auto"/>
              <w:right w:val="single" w:sz="4" w:space="0" w:color="auto"/>
            </w:tcBorders>
            <w:shd w:val="clear" w:color="auto" w:fill="auto"/>
            <w:noWrap/>
            <w:vAlign w:val="center"/>
            <w:hideMark/>
          </w:tcPr>
          <w:p w14:paraId="74FB0771"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55%</w:t>
            </w:r>
          </w:p>
        </w:tc>
      </w:tr>
    </w:tbl>
    <w:p w14:paraId="4AC865C9" w14:textId="77777777" w:rsidR="00C60580" w:rsidRPr="005538BD" w:rsidRDefault="00C60580" w:rsidP="005538BD">
      <w:pPr>
        <w:spacing w:after="240"/>
        <w:jc w:val="right"/>
        <w:rPr>
          <w:i/>
          <w:iCs/>
          <w:sz w:val="18"/>
          <w:szCs w:val="20"/>
        </w:rPr>
      </w:pPr>
      <w:r w:rsidRPr="005538BD">
        <w:rPr>
          <w:i/>
          <w:iCs/>
          <w:sz w:val="18"/>
          <w:szCs w:val="20"/>
        </w:rPr>
        <w:t>Izvor: FZOEU,MINGOR</w:t>
      </w:r>
    </w:p>
    <w:p w14:paraId="7FD571FA" w14:textId="188D8126" w:rsidR="00F02D14" w:rsidRPr="003331DA" w:rsidRDefault="00F02D14" w:rsidP="003331DA">
      <w:pPr>
        <w:spacing w:before="360" w:after="240"/>
        <w:rPr>
          <w:sz w:val="24"/>
          <w:szCs w:val="24"/>
        </w:rPr>
      </w:pPr>
      <w:r w:rsidRPr="00E25425">
        <w:rPr>
          <w:iCs/>
        </w:rPr>
        <w:t>Postojeći sustav gospodarenja EE otpadom osigurava ispunjavanje propisanih ciljeva u gospodarenju EE otpadom tj. postizanje godišnje stope odvojenog sakupljanja EE otpada od minimalno 65 % u odnosu na količinu EE opreme koja se stavlja na tržište te stope od minimalno75% do 85% za oporabu i 55 % do 80% za pripremu za ponovnu uporabu i recikliranje. Oprema i kapaciteti za sakupljanje i obradu EE otpada dostatni su za potrebe RH te se procjenjuje da će i u narednom periodu zadovoljavati potrebe sustava bez obzira na očekivano povećanje količina EE otpada koji će se predavati u sustav.</w:t>
      </w:r>
    </w:p>
    <w:p w14:paraId="035992D3" w14:textId="193191B0" w:rsidR="005639D7" w:rsidRPr="00C60580" w:rsidRDefault="005639D7" w:rsidP="00700671">
      <w:pPr>
        <w:pStyle w:val="IRNaslov4"/>
      </w:pPr>
      <w:r w:rsidRPr="00C60580">
        <w:t>Otpad iz proizvodnje titan dioksida</w:t>
      </w:r>
    </w:p>
    <w:p w14:paraId="321A103D" w14:textId="77777777" w:rsidR="005538BD" w:rsidRPr="00223644" w:rsidRDefault="005538BD" w:rsidP="005538BD">
      <w:pPr>
        <w:rPr>
          <w:highlight w:val="yellow"/>
        </w:rPr>
      </w:pPr>
      <w:r w:rsidRPr="00223644">
        <w:t>Nastanak otpada iz proizvodnje titan-dioksida u RH nije evidentiran.</w:t>
      </w:r>
    </w:p>
    <w:p w14:paraId="6BE277EF" w14:textId="7B102D54" w:rsidR="005639D7" w:rsidRPr="005538BD" w:rsidRDefault="005639D7" w:rsidP="00700671">
      <w:pPr>
        <w:pStyle w:val="IRNaslov4"/>
      </w:pPr>
      <w:r w:rsidRPr="005538BD">
        <w:lastRenderedPageBreak/>
        <w:t xml:space="preserve">Otpadni </w:t>
      </w:r>
      <w:proofErr w:type="spellStart"/>
      <w:r w:rsidRPr="005538BD">
        <w:t>poliklorirani</w:t>
      </w:r>
      <w:proofErr w:type="spellEnd"/>
      <w:r w:rsidRPr="005538BD">
        <w:t xml:space="preserve"> </w:t>
      </w:r>
      <w:proofErr w:type="spellStart"/>
      <w:r w:rsidRPr="005538BD">
        <w:t>bifenili</w:t>
      </w:r>
      <w:proofErr w:type="spellEnd"/>
      <w:r w:rsidRPr="005538BD">
        <w:t xml:space="preserve"> i </w:t>
      </w:r>
      <w:proofErr w:type="spellStart"/>
      <w:r w:rsidRPr="005538BD">
        <w:t>poliklorirani</w:t>
      </w:r>
      <w:proofErr w:type="spellEnd"/>
      <w:r w:rsidRPr="005538BD">
        <w:t xml:space="preserve"> </w:t>
      </w:r>
      <w:proofErr w:type="spellStart"/>
      <w:r w:rsidRPr="005538BD">
        <w:t>terfenili</w:t>
      </w:r>
      <w:proofErr w:type="spellEnd"/>
    </w:p>
    <w:p w14:paraId="0F26B7BB" w14:textId="77777777" w:rsidR="005538BD" w:rsidRPr="0004694E" w:rsidRDefault="005538BD" w:rsidP="005538BD">
      <w:r w:rsidRPr="0004694E">
        <w:t>U razdoblju od 2008. godine do 2021. godine, evidentirano je ukupno 168 posjednika sa 735 tone PCB opreme (transformatori i kondenzatori). Od navedene količine, do kraja 2021. godine, zbrinuto je 565 tona (77 %), a preostale su za zbrinuti 170 tone (23 %) PCB opreme.</w:t>
      </w:r>
    </w:p>
    <w:p w14:paraId="5B633CF3" w14:textId="77777777" w:rsidR="005538BD" w:rsidRPr="0004694E" w:rsidRDefault="005538BD" w:rsidP="005538BD">
      <w:r w:rsidRPr="0004694E">
        <w:t>U navedenom razdoblju zbrinute su ukupno i 76 tone otpadnih predmeta, materijala ili tekućina koje sadrže ili su onečišćene PCB-om. Sva količina sakupljenog otpada obrađuje se i zbrinjava izvan RH.</w:t>
      </w:r>
    </w:p>
    <w:p w14:paraId="09262314" w14:textId="2F04B2AD" w:rsidR="005538BD" w:rsidRPr="0004694E" w:rsidRDefault="005538BD" w:rsidP="005538BD">
      <w:r w:rsidRPr="0004694E">
        <w:t>Od 2008. do 2020. uočljiv je rastući trend količina zbrinute PCB opreme. Međutim, od 2017. do 2021. godine taj porast se odvijao sporijom dinamikom iz razloga što je veći dio opreme preostale za zbrinjavanje u posjedu tvrtki koje su u stečaju ili im je brisan status poslovnog subjekta (</w:t>
      </w:r>
      <w:r w:rsidRPr="0004694E">
        <w:fldChar w:fldCharType="begin"/>
      </w:r>
      <w:r w:rsidRPr="0004694E">
        <w:instrText xml:space="preserve"> REF _Ref110971437 \h </w:instrText>
      </w:r>
      <w:r w:rsidRPr="0004694E">
        <w:fldChar w:fldCharType="separate"/>
      </w:r>
      <w:r w:rsidR="00F37B62" w:rsidRPr="0004694E">
        <w:t xml:space="preserve">Slika </w:t>
      </w:r>
      <w:r w:rsidR="00F37B62">
        <w:rPr>
          <w:noProof/>
        </w:rPr>
        <w:t>41</w:t>
      </w:r>
      <w:r w:rsidRPr="0004694E">
        <w:fldChar w:fldCharType="end"/>
      </w:r>
      <w:r w:rsidRPr="0004694E">
        <w:t xml:space="preserve">). </w:t>
      </w:r>
    </w:p>
    <w:p w14:paraId="33A83F7D" w14:textId="77777777" w:rsidR="005538BD" w:rsidRPr="005538BD" w:rsidRDefault="005538BD" w:rsidP="005538BD">
      <w:pPr>
        <w:spacing w:after="0"/>
        <w:jc w:val="right"/>
        <w:rPr>
          <w:i/>
          <w:iCs/>
          <w:sz w:val="18"/>
          <w:szCs w:val="20"/>
        </w:rPr>
      </w:pPr>
      <w:r w:rsidRPr="005538BD">
        <w:rPr>
          <w:i/>
          <w:iCs/>
          <w:sz w:val="18"/>
          <w:szCs w:val="20"/>
        </w:rPr>
        <w:t>Izvor: MINGOR</w:t>
      </w:r>
    </w:p>
    <w:p w14:paraId="5898618B" w14:textId="240CD0E2" w:rsidR="005538BD" w:rsidRPr="0004694E" w:rsidRDefault="005538BD" w:rsidP="005538BD">
      <w:pPr>
        <w:pStyle w:val="Slika"/>
      </w:pPr>
      <w:bookmarkStart w:id="120" w:name="_Ref110971437"/>
      <w:bookmarkStart w:id="121" w:name="_Toc125363949"/>
      <w:r w:rsidRPr="0004694E">
        <w:t xml:space="preserve">Slika </w:t>
      </w:r>
      <w:fldSimple w:instr=" SEQ Slika \* ARABIC ">
        <w:r w:rsidR="00F37B62">
          <w:rPr>
            <w:noProof/>
          </w:rPr>
          <w:t>41</w:t>
        </w:r>
      </w:fldSimple>
      <w:bookmarkEnd w:id="120"/>
      <w:r w:rsidRPr="0004694E">
        <w:t xml:space="preserve">. </w:t>
      </w:r>
      <w:r w:rsidRPr="005538BD">
        <w:rPr>
          <w:b w:val="0"/>
          <w:bCs/>
        </w:rPr>
        <w:t>Količina PCB opreme ukupno evidentirane /zbrinute /preostale za zbrinuti u razdoblju od 2008. do 2021. godine</w:t>
      </w:r>
      <w:bookmarkEnd w:id="121"/>
    </w:p>
    <w:p w14:paraId="6ED186F8" w14:textId="05F2857F" w:rsidR="005639D7" w:rsidRPr="005538BD" w:rsidRDefault="005639D7" w:rsidP="00700671">
      <w:pPr>
        <w:pStyle w:val="IRNaslov4"/>
      </w:pPr>
      <w:r w:rsidRPr="005538BD">
        <w:t>Plastika za jednokratnu uporabu</w:t>
      </w:r>
      <w:r w:rsidR="005538BD">
        <w:t xml:space="preserve"> i ribolovni alati koji sadrže plastiku</w:t>
      </w:r>
    </w:p>
    <w:p w14:paraId="5FB2360E" w14:textId="77777777" w:rsidR="005538BD" w:rsidRDefault="005538BD" w:rsidP="005538BD">
      <w:r w:rsidRPr="00F24309">
        <w:t>Količine otpada koji potječe od plastike za jednokratnu uporabu do sada nisu praćene te za njih ne postoji procjena.</w:t>
      </w:r>
    </w:p>
    <w:p w14:paraId="52D0B0B2" w14:textId="77777777" w:rsidR="005538BD" w:rsidRDefault="005538BD" w:rsidP="005538BD">
      <w:pPr>
        <w:rPr>
          <w:rFonts w:ascii="Open Sans" w:hAnsi="Open Sans" w:cs="Open Sans"/>
          <w:color w:val="272727"/>
          <w:sz w:val="21"/>
          <w:szCs w:val="21"/>
        </w:rPr>
      </w:pPr>
      <w:r w:rsidRPr="006405AF">
        <w:t xml:space="preserve">Od sredine 2021. godine MINGOR provodi projekt </w:t>
      </w:r>
      <w:r w:rsidRPr="006405AF">
        <w:rPr>
          <w:i/>
          <w:iCs/>
        </w:rPr>
        <w:t>Unaprjeđenje podataka o otpadu od plastike u Republici Hrvatskoj</w:t>
      </w:r>
      <w:r w:rsidRPr="006405AF">
        <w:t xml:space="preserve"> koji je sufinanciran sredstvima EU. Predviđeno trajanje projekta je do sredine 2023. godine. Jedan od ciljeva navedenoga projekta je </w:t>
      </w:r>
      <w:r w:rsidRPr="006405AF">
        <w:rPr>
          <w:rFonts w:ascii="Calibri" w:hAnsi="Calibri" w:cs="Calibri"/>
          <w:color w:val="272727"/>
        </w:rPr>
        <w:t>unaprjeđenje podataka i statistike o otpadu od plastike te prikupljanje podataka o odabranim proizvodima od plastike, u svrhu ispunjavanja zahtjeva Direktive (EC) 2019/904 o smanjenju utjecaja određenih plastičnih predmeta na okoliš (u daljnjem tekstu: SUP direktiva).</w:t>
      </w:r>
      <w:r>
        <w:rPr>
          <w:rFonts w:ascii="Calibri" w:hAnsi="Calibri" w:cs="Calibri"/>
          <w:color w:val="272727"/>
        </w:rPr>
        <w:t xml:space="preserve"> </w:t>
      </w:r>
    </w:p>
    <w:p w14:paraId="2B176EF0" w14:textId="58D92B8A" w:rsidR="005538BD" w:rsidRDefault="005538BD" w:rsidP="005538BD">
      <w:pPr>
        <w:rPr>
          <w:rFonts w:ascii="Calibri" w:hAnsi="Calibri" w:cs="Calibri"/>
          <w:color w:val="272727"/>
        </w:rPr>
      </w:pPr>
      <w:r w:rsidRPr="007D5019">
        <w:t>U sklopu projekta provest će se analiza raspoloživih podataka te priprem</w:t>
      </w:r>
      <w:r>
        <w:t>a</w:t>
      </w:r>
      <w:r w:rsidRPr="007D5019">
        <w:t xml:space="preserve"> metodologije i preporuka za prikupljanje dodatnih potrebnih podataka</w:t>
      </w:r>
      <w:r>
        <w:t xml:space="preserve"> o proizvodima od plastike i otpadu od plastike, posebno uzimajući u obzir potrebu za uspostavu novog sustava praćenja provedbe </w:t>
      </w:r>
      <w:r w:rsidR="00F02D14">
        <w:t xml:space="preserve">i kontrole </w:t>
      </w:r>
      <w:r>
        <w:t xml:space="preserve">SUP Direktive. </w:t>
      </w:r>
      <w:r>
        <w:rPr>
          <w:rFonts w:ascii="Calibri" w:hAnsi="Calibri" w:cs="Calibri"/>
          <w:color w:val="272727"/>
        </w:rPr>
        <w:t xml:space="preserve">Prikupljanje podataka, osim iz već raspoloživih izvora, </w:t>
      </w:r>
      <w:r w:rsidR="00F02D14">
        <w:rPr>
          <w:rFonts w:ascii="Calibri" w:hAnsi="Calibri" w:cs="Calibri"/>
          <w:color w:val="272727"/>
        </w:rPr>
        <w:t xml:space="preserve">dodatno će se </w:t>
      </w:r>
      <w:r>
        <w:rPr>
          <w:rFonts w:ascii="Calibri" w:hAnsi="Calibri" w:cs="Calibri"/>
          <w:color w:val="272727"/>
        </w:rPr>
        <w:t xml:space="preserve">provesti anketiranjem odnosno statističkim istraživanjima. Planiran je razvoj informatičkih rješenja za prijavu podataka. </w:t>
      </w:r>
    </w:p>
    <w:p w14:paraId="5E7793D1" w14:textId="413115C4" w:rsidR="00F02D14" w:rsidRPr="00E25425" w:rsidRDefault="00F02D14" w:rsidP="00F02D14">
      <w:pPr>
        <w:rPr>
          <w:rFonts w:cstheme="minorHAnsi"/>
          <w:color w:val="272727"/>
        </w:rPr>
      </w:pPr>
      <w:r w:rsidRPr="00E25425">
        <w:rPr>
          <w:rFonts w:cstheme="minorHAnsi"/>
          <w:color w:val="272727"/>
        </w:rPr>
        <w:t xml:space="preserve">U narednom razdoblju potrebno je kroz zakonodavni okvir precizirati i propisati mjere potrebne za postizanje ambicioznog i trajnog smanjenja potrošnje jednokratnih plastičnih spremnika za hranu i čaša za napitke, uspostaviti sustave proširene odgovornosti proizvođača za proizvode koji nisu obuhvaćeni postojećim EPR sustavom za ambalažu, uključujući i opremu i postrojenja za učinkovito gospodarenje otpadom od tih proizvoda te propisati mjere za podizanje svijesti potrošača o štetnim učincima koje za okoliš ima odbacivanje ili neodgovarajuće postupanje s plastičnim proizvodima za jednokratnu uporabu, kao i mjere za obavješćivanje potrošača o dostupnosti alternativa koje se mogu ponovno upotrijebiti, sustavima za ponovnu uporabu i mogućnostima u pogledu gospodarenja otpadom za te plastične proizvode za jednokratnu uporabu.  </w:t>
      </w:r>
    </w:p>
    <w:p w14:paraId="4220DCC9" w14:textId="32449CA5" w:rsidR="00F02D14" w:rsidRPr="004348AA" w:rsidRDefault="00F02D14" w:rsidP="00F02D14">
      <w:pPr>
        <w:rPr>
          <w:rFonts w:cstheme="minorHAnsi"/>
          <w:color w:val="272727"/>
        </w:rPr>
      </w:pPr>
      <w:r w:rsidRPr="00E25425">
        <w:rPr>
          <w:rFonts w:cstheme="minorHAnsi"/>
          <w:color w:val="272727"/>
        </w:rPr>
        <w:t xml:space="preserve">Nastavno na navedeno, u narednom razdoblju potrebno je kroz zakonodavni okvir uspostaviti sustav proširene odgovornosti proizvođača za ribolovne alate koji sadrže plastiku, uključujući i opremu i postrojenja za učinkovito gospodarenje otpadom od istih te propisati mjere za podizanje svijesti potrošača o štetnim učincima koje za okoliš ima odbacivanje ili neodgovarajuće postupanje s istima, kao i mjere za obavješćivanje potrošača o dostupnosti alternativa koje se mogu ponovno upotrijebiti, sustavima za ponovnu uporabu i mogućnostima u pogledu gospodarenja otpadom od ribolovnih alata </w:t>
      </w:r>
      <w:r w:rsidRPr="00E25425">
        <w:rPr>
          <w:rFonts w:cstheme="minorHAnsi"/>
          <w:color w:val="272727"/>
        </w:rPr>
        <w:lastRenderedPageBreak/>
        <w:t>koji sadrže plastiku. Također je potrebno propisati minimalnu godišnju stopu sakupljanja otpada od ribolovnih alata koji sadrže plastiku koji je namijenjen recikliranju.</w:t>
      </w:r>
    </w:p>
    <w:p w14:paraId="55EA1BE3" w14:textId="4E3CA60F" w:rsidR="005639D7" w:rsidRPr="00762C39" w:rsidRDefault="002252F5">
      <w:pPr>
        <w:pStyle w:val="IRNaslov2"/>
        <w:numPr>
          <w:ilvl w:val="1"/>
          <w:numId w:val="22"/>
        </w:numPr>
        <w:ind w:left="709" w:hanging="709"/>
      </w:pPr>
      <w:bookmarkStart w:id="122" w:name="_Ref114833929"/>
      <w:bookmarkStart w:id="123" w:name="_Toc123211642"/>
      <w:r w:rsidRPr="00762C39">
        <w:t>Prekogranični promet otpada</w:t>
      </w:r>
      <w:bookmarkEnd w:id="122"/>
      <w:bookmarkEnd w:id="123"/>
    </w:p>
    <w:p w14:paraId="2882B17B" w14:textId="77777777" w:rsidR="005B3721" w:rsidRDefault="005B3721" w:rsidP="005B3721">
      <w:r>
        <w:t xml:space="preserve">Prekogranični promet u RH sustavno se prati od 2004. godine s time da je uvoz/unos otpada koji podliježe postupku prethodne pisane obavijesti i odobrenja (u daljnjem tekstu: </w:t>
      </w:r>
      <w:proofErr w:type="spellStart"/>
      <w:r>
        <w:t>notifikacijski</w:t>
      </w:r>
      <w:proofErr w:type="spellEnd"/>
      <w:r>
        <w:t xml:space="preserve"> postupak) u RH bio u potpunosti zabranjen do stupanja RH u punopravno članstvo EU. </w:t>
      </w:r>
    </w:p>
    <w:p w14:paraId="6F1991C7" w14:textId="55E8ABB9" w:rsidR="005538BD" w:rsidRDefault="005B3721" w:rsidP="005B3721">
      <w:r>
        <w:t xml:space="preserve">Razvojem globalne ekonomije, istraživanja provedena na EU razini pokazuju globalni trend povećanja količina otpada u prekograničnom prometu, pri čemu RH nije iznimka što je vidljivo iz podataka o prekograničnog prometa otpada za razdoblje od 2017. do 2021. godine.  Na </w:t>
      </w:r>
      <w:r>
        <w:fldChar w:fldCharType="begin"/>
      </w:r>
      <w:r>
        <w:instrText xml:space="preserve"> REF _Ref110972846 \h </w:instrText>
      </w:r>
      <w:r>
        <w:fldChar w:fldCharType="separate"/>
      </w:r>
      <w:r w:rsidR="00F37B62">
        <w:t xml:space="preserve">Slika </w:t>
      </w:r>
      <w:r w:rsidR="00F37B62">
        <w:rPr>
          <w:noProof/>
        </w:rPr>
        <w:t>42</w:t>
      </w:r>
      <w:r>
        <w:fldChar w:fldCharType="end"/>
      </w:r>
      <w:r>
        <w:t xml:space="preserve"> prikazan je ukupni prekogranični promet otpada za zadnje petogodišnje razdoblje, od 2017. do 2021. godine, kada se iz godine u godinu bilježi značajan rast. Najveći godišnji rast ukupnog prekograničnog prometa otpadom od čak 28% u odnosu na prethodnu godinu zabilježen je 2021. godine. Podaci za 2020. godinu pokazuju da problemi vezani uz pandemiju COVID-19 nisu negativno utjecali na opći trend. </w:t>
      </w:r>
    </w:p>
    <w:p w14:paraId="5A10B87D" w14:textId="77777777" w:rsidR="00384E38" w:rsidRDefault="00384E38" w:rsidP="005B3721"/>
    <w:p w14:paraId="1ADB0C46" w14:textId="77777777" w:rsidR="005538BD" w:rsidRPr="005538BD" w:rsidRDefault="005538BD" w:rsidP="004348AA">
      <w:pPr>
        <w:spacing w:after="0"/>
        <w:ind w:left="5664" w:firstLine="708"/>
        <w:jc w:val="center"/>
        <w:rPr>
          <w:i/>
          <w:iCs/>
          <w:sz w:val="18"/>
          <w:szCs w:val="20"/>
        </w:rPr>
      </w:pPr>
      <w:r w:rsidRPr="005538BD">
        <w:rPr>
          <w:i/>
          <w:iCs/>
          <w:sz w:val="18"/>
          <w:szCs w:val="20"/>
        </w:rPr>
        <w:t>Izvor: MINGOR</w:t>
      </w:r>
    </w:p>
    <w:p w14:paraId="60729CB7" w14:textId="6B50DF58" w:rsidR="005538BD" w:rsidRDefault="005538BD" w:rsidP="005538BD">
      <w:pPr>
        <w:pStyle w:val="Slika"/>
      </w:pPr>
      <w:bookmarkStart w:id="124" w:name="_Ref110972846"/>
      <w:bookmarkStart w:id="125" w:name="_Toc125363950"/>
      <w:r>
        <w:t xml:space="preserve">Slika </w:t>
      </w:r>
      <w:fldSimple w:instr=" SEQ Slika \* ARABIC ">
        <w:r w:rsidR="00F37B62">
          <w:rPr>
            <w:noProof/>
          </w:rPr>
          <w:t>42</w:t>
        </w:r>
      </w:fldSimple>
      <w:bookmarkEnd w:id="124"/>
      <w:r>
        <w:t xml:space="preserve">. </w:t>
      </w:r>
      <w:r w:rsidRPr="005538BD">
        <w:rPr>
          <w:b w:val="0"/>
          <w:bCs/>
        </w:rPr>
        <w:t xml:space="preserve">Prekogranični promet otpada u RH u razdoblju od </w:t>
      </w:r>
      <w:r w:rsidR="005B3721" w:rsidRPr="005538BD">
        <w:rPr>
          <w:b w:val="0"/>
          <w:bCs/>
        </w:rPr>
        <w:t>201</w:t>
      </w:r>
      <w:r w:rsidR="005B3721">
        <w:rPr>
          <w:b w:val="0"/>
          <w:bCs/>
        </w:rPr>
        <w:t>7</w:t>
      </w:r>
      <w:r w:rsidRPr="005538BD">
        <w:rPr>
          <w:b w:val="0"/>
          <w:bCs/>
        </w:rPr>
        <w:t xml:space="preserve">. do </w:t>
      </w:r>
      <w:r w:rsidR="005B3721" w:rsidRPr="005538BD">
        <w:rPr>
          <w:b w:val="0"/>
          <w:bCs/>
        </w:rPr>
        <w:t>202</w:t>
      </w:r>
      <w:r w:rsidR="005B3721">
        <w:rPr>
          <w:b w:val="0"/>
          <w:bCs/>
        </w:rPr>
        <w:t>1</w:t>
      </w:r>
      <w:r w:rsidRPr="005538BD">
        <w:rPr>
          <w:b w:val="0"/>
          <w:bCs/>
        </w:rPr>
        <w:t>. godine</w:t>
      </w:r>
      <w:bookmarkEnd w:id="125"/>
    </w:p>
    <w:p w14:paraId="59989845" w14:textId="1F4C4554" w:rsidR="005B3721" w:rsidRDefault="005B3721" w:rsidP="005538BD">
      <w:pPr>
        <w:rPr>
          <w:rFonts w:cstheme="minorHAnsi"/>
          <w:color w:val="231F20"/>
        </w:rPr>
      </w:pPr>
      <w:r w:rsidRPr="00B13819">
        <w:rPr>
          <w:rFonts w:cstheme="minorHAnsi"/>
          <w:color w:val="231F20"/>
        </w:rPr>
        <w:t xml:space="preserve">Uvoz/unos otpada koji podliježe </w:t>
      </w:r>
      <w:proofErr w:type="spellStart"/>
      <w:r w:rsidRPr="00B13819">
        <w:rPr>
          <w:rFonts w:cstheme="minorHAnsi"/>
          <w:color w:val="000000" w:themeColor="text1"/>
        </w:rPr>
        <w:t>notifikacijskom</w:t>
      </w:r>
      <w:proofErr w:type="spellEnd"/>
      <w:r w:rsidRPr="00B13819">
        <w:rPr>
          <w:rFonts w:cstheme="minorHAnsi"/>
          <w:color w:val="000000" w:themeColor="text1"/>
        </w:rPr>
        <w:t xml:space="preserve"> postupku </w:t>
      </w:r>
      <w:r w:rsidRPr="00B13819">
        <w:rPr>
          <w:rFonts w:cstheme="minorHAnsi"/>
          <w:color w:val="231F20"/>
        </w:rPr>
        <w:t>u RH bio je u potpunosti zabranjen do pristupanja RH u članstvo EU nakon čega je u skladu s odredbama Uredbe (EZ) br. 1013/2006 o pošiljkama otpada dopušten za otpad namijenjen oporabi. Realiziran je po prvi puta tijekom 2014. godine kada su uvezene</w:t>
      </w:r>
      <w:r>
        <w:rPr>
          <w:rFonts w:cstheme="minorHAnsi"/>
          <w:color w:val="231F20"/>
        </w:rPr>
        <w:t>/unesene</w:t>
      </w:r>
      <w:r w:rsidRPr="00B13819">
        <w:rPr>
          <w:rFonts w:cstheme="minorHAnsi"/>
          <w:color w:val="231F20"/>
        </w:rPr>
        <w:t xml:space="preserve"> olovne baterije u količini od 334 tone i od tada je u neprestanom skokovitom rastu. Najveći skok uvezenih</w:t>
      </w:r>
      <w:r>
        <w:rPr>
          <w:rFonts w:cstheme="minorHAnsi"/>
          <w:color w:val="231F20"/>
        </w:rPr>
        <w:t>/unesenih</w:t>
      </w:r>
      <w:r w:rsidRPr="00B13819">
        <w:rPr>
          <w:rFonts w:cstheme="minorHAnsi"/>
          <w:color w:val="231F20"/>
        </w:rPr>
        <w:t xml:space="preserve"> količina zabilježen je 2020. godine kada je uvezeno</w:t>
      </w:r>
      <w:r>
        <w:rPr>
          <w:rFonts w:cstheme="minorHAnsi"/>
          <w:color w:val="231F20"/>
        </w:rPr>
        <w:t>/uneseno</w:t>
      </w:r>
      <w:r w:rsidRPr="00B13819">
        <w:rPr>
          <w:rFonts w:cstheme="minorHAnsi"/>
          <w:color w:val="231F20"/>
        </w:rPr>
        <w:t xml:space="preserve"> 70.097 tona otpada što je preko tri puta više nego godinu ranije (22.970 tone) i oko 210 puta više nego 2014. godine. Tijekom 2021. godine uvezene</w:t>
      </w:r>
      <w:r>
        <w:rPr>
          <w:rFonts w:cstheme="minorHAnsi"/>
          <w:color w:val="231F20"/>
        </w:rPr>
        <w:t>/unesene</w:t>
      </w:r>
      <w:r w:rsidRPr="00B13819">
        <w:rPr>
          <w:rFonts w:cstheme="minorHAnsi"/>
          <w:color w:val="231F20"/>
        </w:rPr>
        <w:t xml:space="preserve"> količine otpada koji podliježe </w:t>
      </w:r>
      <w:proofErr w:type="spellStart"/>
      <w:r w:rsidRPr="00B13819">
        <w:rPr>
          <w:rFonts w:cstheme="minorHAnsi"/>
          <w:color w:val="231F20"/>
        </w:rPr>
        <w:t>notifikacijskom</w:t>
      </w:r>
      <w:proofErr w:type="spellEnd"/>
      <w:r w:rsidRPr="00B13819">
        <w:rPr>
          <w:rFonts w:cstheme="minorHAnsi"/>
          <w:color w:val="231F20"/>
        </w:rPr>
        <w:t xml:space="preserve"> postupku porasle su za daljnjih 71% u odnosu na godinu ranije </w:t>
      </w:r>
      <w:r>
        <w:rPr>
          <w:rFonts w:cstheme="minorHAnsi"/>
          <w:color w:val="231F20"/>
        </w:rPr>
        <w:t>(</w:t>
      </w:r>
      <w:r>
        <w:rPr>
          <w:rFonts w:cstheme="minorHAnsi"/>
          <w:color w:val="231F20"/>
        </w:rPr>
        <w:fldChar w:fldCharType="begin"/>
      </w:r>
      <w:r>
        <w:rPr>
          <w:rFonts w:cstheme="minorHAnsi"/>
          <w:color w:val="231F20"/>
        </w:rPr>
        <w:instrText xml:space="preserve"> REF _Ref111036229 \h </w:instrText>
      </w:r>
      <w:r w:rsidR="00D676E2">
        <w:rPr>
          <w:rFonts w:cstheme="minorHAnsi"/>
          <w:color w:val="231F20"/>
        </w:rPr>
        <w:instrText xml:space="preserve"> \* MERGEFORMAT </w:instrText>
      </w:r>
      <w:r>
        <w:rPr>
          <w:rFonts w:cstheme="minorHAnsi"/>
          <w:color w:val="231F20"/>
        </w:rPr>
      </w:r>
      <w:r>
        <w:rPr>
          <w:rFonts w:cstheme="minorHAnsi"/>
          <w:color w:val="231F20"/>
        </w:rPr>
        <w:fldChar w:fldCharType="separate"/>
      </w:r>
      <w:r w:rsidR="00F37B62">
        <w:t xml:space="preserve">Slika </w:t>
      </w:r>
      <w:r w:rsidR="00F37B62">
        <w:rPr>
          <w:noProof/>
        </w:rPr>
        <w:t>43</w:t>
      </w:r>
      <w:r>
        <w:rPr>
          <w:rFonts w:cstheme="minorHAnsi"/>
          <w:color w:val="231F20"/>
        </w:rPr>
        <w:fldChar w:fldCharType="end"/>
      </w:r>
      <w:r>
        <w:rPr>
          <w:rFonts w:cstheme="minorHAnsi"/>
          <w:color w:val="231F20"/>
        </w:rPr>
        <w:t>).</w:t>
      </w:r>
    </w:p>
    <w:p w14:paraId="66070CED" w14:textId="77777777" w:rsidR="00384E38" w:rsidRDefault="00384E38" w:rsidP="005538BD">
      <w:pPr>
        <w:spacing w:after="0"/>
        <w:jc w:val="right"/>
        <w:rPr>
          <w:i/>
          <w:iCs/>
          <w:sz w:val="18"/>
          <w:szCs w:val="20"/>
        </w:rPr>
      </w:pPr>
    </w:p>
    <w:p w14:paraId="20DBED32" w14:textId="7A533AE3" w:rsidR="005538BD" w:rsidRPr="005538BD" w:rsidRDefault="005538BD" w:rsidP="005538BD">
      <w:pPr>
        <w:spacing w:after="0"/>
        <w:jc w:val="right"/>
        <w:rPr>
          <w:i/>
          <w:iCs/>
          <w:sz w:val="18"/>
          <w:szCs w:val="20"/>
        </w:rPr>
      </w:pPr>
      <w:r w:rsidRPr="005538BD">
        <w:rPr>
          <w:i/>
          <w:iCs/>
          <w:sz w:val="18"/>
          <w:szCs w:val="20"/>
        </w:rPr>
        <w:t>Izvor: MINGOR</w:t>
      </w:r>
    </w:p>
    <w:p w14:paraId="30276B3C" w14:textId="6236ED18" w:rsidR="005538BD" w:rsidRDefault="005538BD" w:rsidP="00762C39">
      <w:pPr>
        <w:pStyle w:val="Slika"/>
      </w:pPr>
      <w:bookmarkStart w:id="126" w:name="_Ref111036229"/>
      <w:bookmarkStart w:id="127" w:name="_Toc125363951"/>
      <w:r>
        <w:t xml:space="preserve">Slika </w:t>
      </w:r>
      <w:fldSimple w:instr=" SEQ Slika \* ARABIC ">
        <w:r w:rsidR="00F37B62">
          <w:rPr>
            <w:noProof/>
          </w:rPr>
          <w:t>43</w:t>
        </w:r>
      </w:fldSimple>
      <w:bookmarkEnd w:id="126"/>
      <w:r>
        <w:t>.</w:t>
      </w:r>
      <w:r w:rsidRPr="00905E2B">
        <w:t xml:space="preserve"> </w:t>
      </w:r>
      <w:r w:rsidRPr="00762C39">
        <w:rPr>
          <w:b w:val="0"/>
          <w:bCs/>
        </w:rPr>
        <w:t>Uvoz</w:t>
      </w:r>
      <w:r w:rsidR="005B3721">
        <w:rPr>
          <w:b w:val="0"/>
          <w:bCs/>
        </w:rPr>
        <w:t>/unos</w:t>
      </w:r>
      <w:r w:rsidRPr="00762C39">
        <w:rPr>
          <w:b w:val="0"/>
          <w:bCs/>
        </w:rPr>
        <w:t xml:space="preserve"> otpada koji podliježe </w:t>
      </w:r>
      <w:proofErr w:type="spellStart"/>
      <w:r w:rsidRPr="00762C39">
        <w:rPr>
          <w:b w:val="0"/>
          <w:bCs/>
        </w:rPr>
        <w:t>notifikacijskom</w:t>
      </w:r>
      <w:proofErr w:type="spellEnd"/>
      <w:r w:rsidRPr="00762C39">
        <w:rPr>
          <w:b w:val="0"/>
          <w:bCs/>
        </w:rPr>
        <w:t xml:space="preserve"> postupku od 2014. do </w:t>
      </w:r>
      <w:r w:rsidR="005B3721" w:rsidRPr="00762C39">
        <w:rPr>
          <w:b w:val="0"/>
          <w:bCs/>
        </w:rPr>
        <w:t>202</w:t>
      </w:r>
      <w:r w:rsidR="005B3721">
        <w:rPr>
          <w:b w:val="0"/>
          <w:bCs/>
        </w:rPr>
        <w:t>1</w:t>
      </w:r>
      <w:r w:rsidRPr="00762C39">
        <w:rPr>
          <w:b w:val="0"/>
          <w:bCs/>
        </w:rPr>
        <w:t>. godine</w:t>
      </w:r>
      <w:bookmarkEnd w:id="127"/>
    </w:p>
    <w:p w14:paraId="3E6F1EFB" w14:textId="2E6BD91F" w:rsidR="005B3721" w:rsidRPr="005B3721" w:rsidRDefault="005B3721" w:rsidP="003331DA">
      <w:pPr>
        <w:rPr>
          <w:b/>
          <w:i/>
          <w:iCs/>
        </w:rPr>
      </w:pPr>
      <w:r w:rsidRPr="005B3721">
        <w:t xml:space="preserve">Razlog za ovakav rast su dosadašnji uvoznici, koji su svi također i </w:t>
      </w:r>
      <w:proofErr w:type="spellStart"/>
      <w:r w:rsidRPr="005B3721">
        <w:t>oporabitelji</w:t>
      </w:r>
      <w:proofErr w:type="spellEnd"/>
      <w:r w:rsidRPr="005B3721">
        <w:t xml:space="preserve"> takvog otpada, a koji su započeli s masovnijim uvozom</w:t>
      </w:r>
      <w:r>
        <w:t>/unosom</w:t>
      </w:r>
      <w:r w:rsidRPr="005B3721">
        <w:t xml:space="preserve"> za vlastite potrebe nakon što je dugo bio zabranjen. Također, raste broj postrojenja koja su ishodila dozvolu za oporabu otpada</w:t>
      </w:r>
      <w:r>
        <w:t>,</w:t>
      </w:r>
      <w:r w:rsidRPr="005B3721">
        <w:t xml:space="preserve"> te su kapaciteti za oporabu veći, a time i mogućnosti za uvoz</w:t>
      </w:r>
      <w:r>
        <w:t>/unos</w:t>
      </w:r>
      <w:r w:rsidRPr="005B3721">
        <w:t>. Kao i prethodnih izvještajnih godina, uvoz</w:t>
      </w:r>
      <w:r>
        <w:t>/unos</w:t>
      </w:r>
      <w:r w:rsidRPr="005B3721">
        <w:t xml:space="preserve"> neopasnog otpada koji podliježe </w:t>
      </w:r>
      <w:proofErr w:type="spellStart"/>
      <w:r w:rsidRPr="005B3721">
        <w:t>notifikacijskom</w:t>
      </w:r>
      <w:proofErr w:type="spellEnd"/>
      <w:r w:rsidRPr="005B3721">
        <w:t xml:space="preserve"> postupku znatno nadmašuje uvoz opasnog otpada, a najveće količine ovakvog otpada </w:t>
      </w:r>
      <w:r>
        <w:t>unose</w:t>
      </w:r>
      <w:r w:rsidRPr="005B3721">
        <w:t xml:space="preserve"> se iz Italije, Austrije i Slovenije. </w:t>
      </w:r>
    </w:p>
    <w:p w14:paraId="480465DD" w14:textId="77777777" w:rsidR="005B3721" w:rsidRPr="005B3721" w:rsidRDefault="005B3721" w:rsidP="003331DA">
      <w:pPr>
        <w:rPr>
          <w:b/>
          <w:i/>
          <w:iCs/>
        </w:rPr>
      </w:pPr>
      <w:r w:rsidRPr="005B3721">
        <w:t xml:space="preserve">Od svih vrsta otpada koji podliježe </w:t>
      </w:r>
      <w:proofErr w:type="spellStart"/>
      <w:r w:rsidRPr="005B3721">
        <w:t>notifikacijskom</w:t>
      </w:r>
      <w:proofErr w:type="spellEnd"/>
      <w:r w:rsidRPr="005B3721">
        <w:t xml:space="preserve"> postupku koji se uvozi/unosi u RH, daleko najveće količine se odnose na gorivo iz otpada za potrebe energetske oporabe u cementnoj industriji. U razdoblju od 2015. godine kada je prvi puta uvezena ova vrsta otpada, do 2019. godine, gorivo iz otpada je u ukupnoj količini uvezenog otpada koji podliježe </w:t>
      </w:r>
      <w:proofErr w:type="spellStart"/>
      <w:r w:rsidRPr="005B3721">
        <w:t>notifikacijskom</w:t>
      </w:r>
      <w:proofErr w:type="spellEnd"/>
      <w:r w:rsidRPr="005B3721">
        <w:t xml:space="preserve"> postupku sudjelovalo s 52 % – 65 %, dok 2020. i 2021. godine, iako uvezene količine i dalje rastu, postotni udio ove vrste otpada u ukupno uvezenoj količini opada (48% 2020., odnosno 36% 2021. godine), a značajno raste udio otpadnog tretiranog drva za potrebe drvoprerađivačke industrije (22% 2020., odnosno 36% 2021. godine). Iako uvoz otpada koji podliježe </w:t>
      </w:r>
      <w:proofErr w:type="spellStart"/>
      <w:r w:rsidRPr="005B3721">
        <w:t>notifikacijskom</w:t>
      </w:r>
      <w:proofErr w:type="spellEnd"/>
      <w:r w:rsidRPr="005B3721">
        <w:t xml:space="preserve"> postupku rapidno raste iz godine u godinu, kako količinski tako i po vrstama, posebno je značajan rast uvoza muljeva koji ne sadrže opasne tvari </w:t>
      </w:r>
      <w:r w:rsidRPr="005B3721">
        <w:lastRenderedPageBreak/>
        <w:t xml:space="preserve">koji su većim dijelom namijenjeni za potrebe bioplinskih postrojenja, a manjim za potrebe energetske oporabe u cementnoj industriji (991 t 2018., odnosno 10.181 t 2021. godine) te muljeva od obrade komunalnih otpadnih voda namijenjenih energetskoj oporabi u cementnoj industriji (296 t 2018. odnosno 8.209 t 2021. godine). </w:t>
      </w:r>
    </w:p>
    <w:p w14:paraId="31CB0F02" w14:textId="59456E27" w:rsidR="005538BD" w:rsidRDefault="005B3721" w:rsidP="005B3721">
      <w:r w:rsidRPr="005B3721">
        <w:t>Što se tiče opasnog otpada, otkad je dopušten uvoz/unos takvog otpada u RH svake se godine bilježi uvoz/unos otpadnih olovnih baterija namijenjenih recikliranju, a od 2016. godine i otpadnih mineralnih ulja namijenjenih energetskoj oporabi u cementnoj industriji. U manjoj, ali rastućoj količini u zadnjih se nekoliko godina u istu svrhu uvoze/unose i neke druge vrste opasnog otpada od čega su najznačajniji miješani kruti i tekući otpad od mehaničke obrade otpada, tekući ili kruti gorivi otpad koji sadrži opasne tvari te neke vrste muljeva koji sadrže opasne tvari</w:t>
      </w:r>
      <w:r>
        <w:t xml:space="preserve"> (</w:t>
      </w:r>
      <w:commentRangeStart w:id="128"/>
      <w:r>
        <w:fldChar w:fldCharType="begin"/>
      </w:r>
      <w:r>
        <w:instrText xml:space="preserve"> REF _Ref119261439 \h </w:instrText>
      </w:r>
      <w:r>
        <w:fldChar w:fldCharType="separate"/>
      </w:r>
      <w:r w:rsidR="00F37B62" w:rsidRPr="004348AA">
        <w:rPr>
          <w:bCs/>
        </w:rPr>
        <w:t xml:space="preserve">Slika </w:t>
      </w:r>
      <w:r w:rsidR="00F37B62">
        <w:rPr>
          <w:bCs/>
          <w:noProof/>
        </w:rPr>
        <w:t>44</w:t>
      </w:r>
      <w:r>
        <w:fldChar w:fldCharType="end"/>
      </w:r>
      <w:commentRangeEnd w:id="128"/>
      <w:r w:rsidR="00877A18">
        <w:rPr>
          <w:rStyle w:val="Referencakomentara"/>
        </w:rPr>
        <w:commentReference w:id="128"/>
      </w:r>
      <w:r>
        <w:t>)</w:t>
      </w:r>
      <w:r w:rsidR="005538BD">
        <w:t>.</w:t>
      </w:r>
    </w:p>
    <w:p w14:paraId="579FA77B" w14:textId="77777777" w:rsidR="00384E38" w:rsidRDefault="00384E38" w:rsidP="005B3721"/>
    <w:p w14:paraId="134AB3B6" w14:textId="3D56F827" w:rsidR="005B3721" w:rsidRDefault="005B3721" w:rsidP="005B3721">
      <w:pPr>
        <w:spacing w:after="0"/>
        <w:jc w:val="right"/>
        <w:rPr>
          <w:i/>
          <w:iCs/>
          <w:sz w:val="18"/>
          <w:szCs w:val="20"/>
        </w:rPr>
      </w:pPr>
      <w:r w:rsidRPr="005538BD">
        <w:rPr>
          <w:i/>
          <w:iCs/>
          <w:sz w:val="18"/>
          <w:szCs w:val="20"/>
        </w:rPr>
        <w:t>Izvor: MINGOR</w:t>
      </w:r>
    </w:p>
    <w:p w14:paraId="4C7AB8C6" w14:textId="62625D61" w:rsidR="005B3721" w:rsidRPr="004348AA" w:rsidRDefault="005B3721" w:rsidP="00BB2706">
      <w:pPr>
        <w:pStyle w:val="Slika"/>
      </w:pPr>
      <w:bookmarkStart w:id="129" w:name="_Ref119261439"/>
      <w:bookmarkStart w:id="130" w:name="_Toc125363952"/>
      <w:r w:rsidRPr="004348AA">
        <w:rPr>
          <w:bCs/>
        </w:rPr>
        <w:t xml:space="preserve">Slika </w:t>
      </w:r>
      <w:r w:rsidRPr="004348AA">
        <w:rPr>
          <w:bCs/>
        </w:rPr>
        <w:fldChar w:fldCharType="begin"/>
      </w:r>
      <w:r w:rsidRPr="004348AA">
        <w:rPr>
          <w:bCs/>
        </w:rPr>
        <w:instrText xml:space="preserve"> SEQ Slika \* ARABIC </w:instrText>
      </w:r>
      <w:r w:rsidRPr="004348AA">
        <w:rPr>
          <w:bCs/>
        </w:rPr>
        <w:fldChar w:fldCharType="separate"/>
      </w:r>
      <w:r w:rsidR="00F37B62">
        <w:rPr>
          <w:bCs/>
          <w:noProof/>
        </w:rPr>
        <w:t>44</w:t>
      </w:r>
      <w:r w:rsidRPr="004348AA">
        <w:rPr>
          <w:bCs/>
        </w:rPr>
        <w:fldChar w:fldCharType="end"/>
      </w:r>
      <w:bookmarkEnd w:id="129"/>
      <w:r w:rsidRPr="004348AA">
        <w:rPr>
          <w:bCs/>
        </w:rPr>
        <w:t>.</w:t>
      </w:r>
      <w:r w:rsidRPr="004348AA">
        <w:t xml:space="preserve"> </w:t>
      </w:r>
      <w:r w:rsidRPr="00BB2706">
        <w:rPr>
          <w:b w:val="0"/>
        </w:rPr>
        <w:t xml:space="preserve">Varijacije u količinama različitih vrsta uvezenog/unesenog otpada koji podliježe </w:t>
      </w:r>
      <w:proofErr w:type="spellStart"/>
      <w:r w:rsidRPr="00BB2706">
        <w:rPr>
          <w:b w:val="0"/>
        </w:rPr>
        <w:t>notifikacijskom</w:t>
      </w:r>
      <w:proofErr w:type="spellEnd"/>
      <w:r w:rsidRPr="00BB2706">
        <w:rPr>
          <w:b w:val="0"/>
        </w:rPr>
        <w:t xml:space="preserve"> postupku od 2014. do 2021. godine</w:t>
      </w:r>
      <w:bookmarkEnd w:id="130"/>
    </w:p>
    <w:p w14:paraId="71B0F535" w14:textId="77777777" w:rsidR="005B3721" w:rsidRPr="00B13819" w:rsidRDefault="005B3721" w:rsidP="005B3721">
      <w:pPr>
        <w:pStyle w:val="box469392"/>
        <w:shd w:val="clear" w:color="auto" w:fill="FFFFFF"/>
        <w:spacing w:before="0" w:beforeAutospacing="0" w:after="120" w:afterAutospacing="0" w:line="276" w:lineRule="auto"/>
        <w:textAlignment w:val="baseline"/>
        <w:rPr>
          <w:rFonts w:ascii="Calibri" w:hAnsi="Calibri" w:cs="Calibri"/>
          <w:color w:val="231F20"/>
          <w:sz w:val="22"/>
          <w:szCs w:val="22"/>
        </w:rPr>
      </w:pPr>
      <w:r w:rsidRPr="00B13819">
        <w:rPr>
          <w:rFonts w:ascii="Calibri" w:hAnsi="Calibri" w:cs="Calibri"/>
          <w:color w:val="231F20"/>
          <w:sz w:val="22"/>
          <w:szCs w:val="22"/>
        </w:rPr>
        <w:t xml:space="preserve">Otkada postoji zakonska mogućnost dobivanja statusa postrojenja s prethodnim odobrenjem za uvoz/unos otpada koji podliježe </w:t>
      </w:r>
      <w:proofErr w:type="spellStart"/>
      <w:r w:rsidRPr="00B13819">
        <w:rPr>
          <w:rFonts w:ascii="Calibri" w:hAnsi="Calibri" w:cs="Calibri"/>
          <w:color w:val="231F20"/>
          <w:sz w:val="22"/>
          <w:szCs w:val="22"/>
        </w:rPr>
        <w:t>notifikacijskom</w:t>
      </w:r>
      <w:proofErr w:type="spellEnd"/>
      <w:r w:rsidRPr="00B13819">
        <w:rPr>
          <w:rFonts w:ascii="Calibri" w:hAnsi="Calibri" w:cs="Calibri"/>
          <w:color w:val="231F20"/>
          <w:sz w:val="22"/>
          <w:szCs w:val="22"/>
        </w:rPr>
        <w:t xml:space="preserve"> postupku, samo je jedna tvrtka podnijela zahtjev i ishodila status i to s rokom važenja do 2. siječnja 2025. godine. Do kraja 2021. godine taj status još nije korišten. </w:t>
      </w:r>
    </w:p>
    <w:p w14:paraId="2CBBEB31" w14:textId="77777777" w:rsidR="005B3721" w:rsidRPr="00B13819" w:rsidRDefault="005B3721" w:rsidP="005B3721">
      <w:pPr>
        <w:pStyle w:val="box469392"/>
        <w:shd w:val="clear" w:color="auto" w:fill="FFFFFF"/>
        <w:spacing w:before="0" w:beforeAutospacing="0" w:after="120" w:afterAutospacing="0" w:line="276" w:lineRule="auto"/>
        <w:textAlignment w:val="baseline"/>
        <w:rPr>
          <w:rFonts w:ascii="Calibri" w:hAnsi="Calibri" w:cs="Calibri"/>
          <w:color w:val="231F20"/>
          <w:sz w:val="22"/>
          <w:szCs w:val="22"/>
        </w:rPr>
      </w:pPr>
      <w:r w:rsidRPr="00B13819">
        <w:rPr>
          <w:rFonts w:ascii="Calibri" w:hAnsi="Calibri" w:cs="Calibri"/>
          <w:color w:val="231F20"/>
          <w:sz w:val="22"/>
          <w:szCs w:val="22"/>
        </w:rPr>
        <w:t xml:space="preserve">Od 2015. godine izvoz/iznos otpada koji podliježe </w:t>
      </w:r>
      <w:proofErr w:type="spellStart"/>
      <w:r w:rsidRPr="00B13819">
        <w:rPr>
          <w:rFonts w:ascii="Calibri" w:hAnsi="Calibri" w:cs="Calibri"/>
          <w:color w:val="231F20"/>
          <w:sz w:val="22"/>
          <w:szCs w:val="22"/>
        </w:rPr>
        <w:t>notifikacijskom</w:t>
      </w:r>
      <w:proofErr w:type="spellEnd"/>
      <w:r w:rsidRPr="00B13819">
        <w:rPr>
          <w:rFonts w:ascii="Calibri" w:hAnsi="Calibri" w:cs="Calibri"/>
          <w:color w:val="231F20"/>
          <w:sz w:val="22"/>
          <w:szCs w:val="22"/>
        </w:rPr>
        <w:t xml:space="preserve"> postupku bio je u naglom porastu sve do 2019. godine kada je izvezeno 105.820 tona što je najviše otkad se prati izvoz/</w:t>
      </w:r>
      <w:proofErr w:type="spellStart"/>
      <w:r w:rsidRPr="00B13819">
        <w:rPr>
          <w:rFonts w:ascii="Calibri" w:hAnsi="Calibri" w:cs="Calibri"/>
          <w:color w:val="231F20"/>
          <w:sz w:val="22"/>
          <w:szCs w:val="22"/>
        </w:rPr>
        <w:t>iznostakvog</w:t>
      </w:r>
      <w:proofErr w:type="spellEnd"/>
      <w:r w:rsidRPr="00B13819">
        <w:rPr>
          <w:rFonts w:ascii="Calibri" w:hAnsi="Calibri" w:cs="Calibri"/>
          <w:color w:val="231F20"/>
          <w:sz w:val="22"/>
          <w:szCs w:val="22"/>
        </w:rPr>
        <w:t xml:space="preserve"> otpada. Međutim, tijekom 2020. godine zabilježen je značajan pad iznosa otpada koji podliježe </w:t>
      </w:r>
      <w:proofErr w:type="spellStart"/>
      <w:r w:rsidRPr="00B13819">
        <w:rPr>
          <w:rFonts w:ascii="Calibri" w:hAnsi="Calibri" w:cs="Calibri"/>
          <w:color w:val="231F20"/>
          <w:sz w:val="22"/>
          <w:szCs w:val="22"/>
        </w:rPr>
        <w:t>notifikacijskom</w:t>
      </w:r>
      <w:proofErr w:type="spellEnd"/>
      <w:r w:rsidRPr="00B13819">
        <w:rPr>
          <w:rFonts w:ascii="Calibri" w:hAnsi="Calibri" w:cs="Calibri"/>
          <w:color w:val="231F20"/>
          <w:sz w:val="22"/>
          <w:szCs w:val="22"/>
        </w:rPr>
        <w:t xml:space="preserve"> postupku zbog mađarske zabrane uvoza/unosa mulja od obrade komunalnih otpadnih voda koji se, počevši od 2016., u velikim količinama iz RH iznosio na oporabu u Mađarsku, a 2019. godine je udio ove vrste otpada u ukupno izvezenoj/iznesenoj količini otpada koji podliježe </w:t>
      </w:r>
      <w:proofErr w:type="spellStart"/>
      <w:r w:rsidRPr="00B13819">
        <w:rPr>
          <w:rFonts w:ascii="Calibri" w:hAnsi="Calibri" w:cs="Calibri"/>
          <w:color w:val="231F20"/>
          <w:sz w:val="22"/>
          <w:szCs w:val="22"/>
        </w:rPr>
        <w:t>notifikacijskom</w:t>
      </w:r>
      <w:proofErr w:type="spellEnd"/>
      <w:r w:rsidRPr="00B13819">
        <w:rPr>
          <w:rFonts w:ascii="Calibri" w:hAnsi="Calibri" w:cs="Calibri"/>
          <w:color w:val="231F20"/>
          <w:sz w:val="22"/>
          <w:szCs w:val="22"/>
        </w:rPr>
        <w:t xml:space="preserve"> postupku iznosio čak 56%. Prije i nakon tog razdoblja mulj od obrade komunalnih otpadnih voda izvozio/iznosio se u malim količinama ili se uopće nije izvozio/iznosio. Osim mulja, u razdoblju između 2017. i 2020. godine najviše se izvozio/iznosio gorivi otpad kao i ostali otpad nastao od obrade otpada, tj. mješavine otpada od mehaničke obrade otpada koji sadrži opasne tvari, tekući gorivi otpad koji sadrži opasne tvari i izmiješani otpad sastavljen od najmanje jedne vrste opasnog otpada, zatim otpad od tretiranog drveta te olovne akumulatorske ploče i olovni akumulatori.</w:t>
      </w:r>
    </w:p>
    <w:p w14:paraId="403A70DF" w14:textId="77777777" w:rsidR="005B3721" w:rsidRPr="00B13819" w:rsidRDefault="005B3721" w:rsidP="005B3721">
      <w:pPr>
        <w:pStyle w:val="box469392"/>
        <w:shd w:val="clear" w:color="auto" w:fill="FFFFFF"/>
        <w:spacing w:before="0" w:beforeAutospacing="0" w:after="120" w:afterAutospacing="0" w:line="276" w:lineRule="auto"/>
        <w:textAlignment w:val="baseline"/>
        <w:rPr>
          <w:rFonts w:ascii="Calibri" w:hAnsi="Calibri" w:cs="Calibri"/>
          <w:color w:val="231F20"/>
          <w:sz w:val="22"/>
          <w:szCs w:val="22"/>
        </w:rPr>
      </w:pPr>
      <w:r w:rsidRPr="00B13819">
        <w:rPr>
          <w:rFonts w:ascii="Calibri" w:hAnsi="Calibri" w:cs="Calibri"/>
          <w:color w:val="231F20"/>
          <w:sz w:val="22"/>
          <w:szCs w:val="22"/>
        </w:rPr>
        <w:t xml:space="preserve">Udio opasnog otpada u ukupnim količinama izvezenog/iznesenog otpada koji podliježe </w:t>
      </w:r>
      <w:proofErr w:type="spellStart"/>
      <w:r w:rsidRPr="00B13819">
        <w:rPr>
          <w:rFonts w:ascii="Calibri" w:hAnsi="Calibri" w:cs="Calibri"/>
          <w:color w:val="231F20"/>
          <w:sz w:val="22"/>
          <w:szCs w:val="22"/>
        </w:rPr>
        <w:t>notifikacijskom</w:t>
      </w:r>
      <w:proofErr w:type="spellEnd"/>
      <w:r w:rsidRPr="00B13819">
        <w:rPr>
          <w:rFonts w:ascii="Calibri" w:hAnsi="Calibri" w:cs="Calibri"/>
          <w:color w:val="231F20"/>
          <w:sz w:val="22"/>
          <w:szCs w:val="22"/>
        </w:rPr>
        <w:t xml:space="preserve"> postupku se u razdoblju intenzivnog izvoza/iznosa mulja od obrade komunalnih otpadnih voda do 2019. godine kretao između 20 % i 25 % dok je u 2020. i 2021. godini iznosio preko 40%. Opasni otpad najviše se iznosio u Austriju, Sloveniju i Njemačku, dok se neopasni otpad koji podliježe </w:t>
      </w:r>
      <w:proofErr w:type="spellStart"/>
      <w:r w:rsidRPr="00B13819">
        <w:rPr>
          <w:rFonts w:ascii="Calibri" w:hAnsi="Calibri" w:cs="Calibri"/>
          <w:color w:val="231F20"/>
          <w:sz w:val="22"/>
          <w:szCs w:val="22"/>
        </w:rPr>
        <w:t>notifikacijskom</w:t>
      </w:r>
      <w:proofErr w:type="spellEnd"/>
      <w:r w:rsidRPr="00B13819">
        <w:rPr>
          <w:rFonts w:ascii="Calibri" w:hAnsi="Calibri" w:cs="Calibri"/>
          <w:color w:val="231F20"/>
          <w:sz w:val="22"/>
          <w:szCs w:val="22"/>
        </w:rPr>
        <w:t xml:space="preserve"> postupku, osim u Mađarsku, najviše izvozio/iznosio u Austriju i Bosnu i Hercegovinu.</w:t>
      </w:r>
    </w:p>
    <w:p w14:paraId="2980EA1B" w14:textId="07CBDC68" w:rsidR="005B3721" w:rsidRDefault="005B3721" w:rsidP="005B3721">
      <w:pPr>
        <w:rPr>
          <w:rFonts w:ascii="Calibri" w:hAnsi="Calibri" w:cs="Calibri"/>
        </w:rPr>
      </w:pPr>
      <w:r w:rsidRPr="00B13819">
        <w:rPr>
          <w:rFonts w:ascii="Calibri" w:hAnsi="Calibri" w:cs="Calibri"/>
        </w:rPr>
        <w:t xml:space="preserve">Uspoređujući podatke o prekograničnom prometu otpada koji podliježe </w:t>
      </w:r>
      <w:proofErr w:type="spellStart"/>
      <w:r w:rsidRPr="00B13819">
        <w:rPr>
          <w:rFonts w:ascii="Calibri" w:hAnsi="Calibri" w:cs="Calibri"/>
        </w:rPr>
        <w:t>notifikacijskom</w:t>
      </w:r>
      <w:proofErr w:type="spellEnd"/>
      <w:r w:rsidRPr="00B13819">
        <w:rPr>
          <w:rFonts w:ascii="Calibri" w:hAnsi="Calibri" w:cs="Calibri"/>
        </w:rPr>
        <w:t xml:space="preserve"> postupku vidljivo je da su se tijekom 2020. i 2021. godine najviše izvozile/iznosile i uvozile/unosile iste vrste otpada kako neopasnog (gorivo iz otpada, otpadno tretirano drvo) tako i opasnog (otpadni olovni akumulatori, olovne baterije, olovne mrežice i akumulatorske ploče)</w:t>
      </w:r>
      <w:r>
        <w:rPr>
          <w:rFonts w:ascii="Calibri" w:hAnsi="Calibri" w:cs="Calibri"/>
        </w:rPr>
        <w:t xml:space="preserve"> (</w:t>
      </w:r>
      <w:r>
        <w:rPr>
          <w:rFonts w:ascii="Calibri" w:hAnsi="Calibri" w:cs="Calibri"/>
        </w:rPr>
        <w:fldChar w:fldCharType="begin"/>
      </w:r>
      <w:r>
        <w:rPr>
          <w:rFonts w:ascii="Calibri" w:hAnsi="Calibri" w:cs="Calibri"/>
        </w:rPr>
        <w:instrText xml:space="preserve"> REF _Ref119261410 \h </w:instrText>
      </w:r>
      <w:r>
        <w:rPr>
          <w:rFonts w:ascii="Calibri" w:hAnsi="Calibri" w:cs="Calibri"/>
        </w:rPr>
      </w:r>
      <w:r>
        <w:rPr>
          <w:rFonts w:ascii="Calibri" w:hAnsi="Calibri" w:cs="Calibri"/>
        </w:rPr>
        <w:fldChar w:fldCharType="separate"/>
      </w:r>
      <w:r w:rsidR="00F37B62" w:rsidRPr="00BB2706">
        <w:t xml:space="preserve">Tablica </w:t>
      </w:r>
      <w:r w:rsidR="00F37B62">
        <w:rPr>
          <w:noProof/>
        </w:rPr>
        <w:t>14</w:t>
      </w:r>
      <w:r>
        <w:rPr>
          <w:rFonts w:ascii="Calibri" w:hAnsi="Calibri" w:cs="Calibri"/>
        </w:rPr>
        <w:fldChar w:fldCharType="end"/>
      </w:r>
      <w:r>
        <w:rPr>
          <w:rFonts w:ascii="Calibri" w:hAnsi="Calibri" w:cs="Calibri"/>
        </w:rPr>
        <w:t>).</w:t>
      </w:r>
    </w:p>
    <w:p w14:paraId="5559A49A" w14:textId="19CBFB7E" w:rsidR="005B3721" w:rsidRPr="00BB2706" w:rsidRDefault="005B3721" w:rsidP="00BB2706">
      <w:pPr>
        <w:pStyle w:val="Tablica"/>
        <w:rPr>
          <w:rFonts w:ascii="Calibri" w:hAnsi="Calibri" w:cs="Calibri"/>
          <w:b w:val="0"/>
        </w:rPr>
      </w:pPr>
      <w:bookmarkStart w:id="131" w:name="_Ref119261410"/>
      <w:bookmarkStart w:id="132" w:name="_Toc125364403"/>
      <w:r w:rsidRPr="00BB2706">
        <w:t xml:space="preserve">Tablica </w:t>
      </w:r>
      <w:fldSimple w:instr=" SEQ Tablica \* ARABIC ">
        <w:r w:rsidR="00F37B62">
          <w:rPr>
            <w:noProof/>
          </w:rPr>
          <w:t>14</w:t>
        </w:r>
      </w:fldSimple>
      <w:bookmarkEnd w:id="131"/>
      <w:r w:rsidRPr="00BB2706">
        <w:t xml:space="preserve">. </w:t>
      </w:r>
      <w:r w:rsidRPr="00BB2706">
        <w:rPr>
          <w:b w:val="0"/>
        </w:rPr>
        <w:t xml:space="preserve">Usporedni prikaz količina otpada koji podliježe </w:t>
      </w:r>
      <w:proofErr w:type="spellStart"/>
      <w:r w:rsidRPr="00BB2706">
        <w:rPr>
          <w:b w:val="0"/>
        </w:rPr>
        <w:t>notifikacijskom</w:t>
      </w:r>
      <w:proofErr w:type="spellEnd"/>
      <w:r w:rsidRPr="00BB2706">
        <w:rPr>
          <w:b w:val="0"/>
        </w:rPr>
        <w:t xml:space="preserve"> postupku, a koji se najviše uvozio/unosio i izvozio/iznosio tijekom 2020. i 2021. godine</w:t>
      </w:r>
      <w:bookmarkEnd w:id="1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542"/>
        <w:gridCol w:w="1540"/>
        <w:gridCol w:w="1540"/>
        <w:gridCol w:w="1540"/>
      </w:tblGrid>
      <w:tr w:rsidR="00776655" w:rsidRPr="005B3721" w14:paraId="2AF9EEE8" w14:textId="77777777" w:rsidTr="004348AA">
        <w:trPr>
          <w:trHeight w:val="267"/>
        </w:trPr>
        <w:tc>
          <w:tcPr>
            <w:tcW w:w="1591" w:type="pct"/>
            <w:vMerge w:val="restart"/>
            <w:shd w:val="clear" w:color="auto" w:fill="002060"/>
            <w:noWrap/>
            <w:vAlign w:val="bottom"/>
            <w:hideMark/>
          </w:tcPr>
          <w:p w14:paraId="5C7852EB" w14:textId="77777777" w:rsidR="005B3721" w:rsidRPr="004348AA" w:rsidRDefault="005B3721" w:rsidP="00A41D37">
            <w:pPr>
              <w:spacing w:after="0" w:line="240" w:lineRule="auto"/>
              <w:jc w:val="center"/>
              <w:rPr>
                <w:rFonts w:ascii="Calibri" w:eastAsia="Times New Roman" w:hAnsi="Calibri" w:cs="Calibri"/>
                <w:color w:val="FFFFFF" w:themeColor="background1"/>
                <w:sz w:val="18"/>
                <w:szCs w:val="18"/>
              </w:rPr>
            </w:pPr>
            <w:r w:rsidRPr="004348AA">
              <w:rPr>
                <w:rFonts w:ascii="Calibri" w:eastAsia="Times New Roman" w:hAnsi="Calibri" w:cs="Calibri"/>
                <w:color w:val="FFFFFF" w:themeColor="background1"/>
                <w:sz w:val="18"/>
                <w:szCs w:val="18"/>
              </w:rPr>
              <w:t> </w:t>
            </w:r>
          </w:p>
        </w:tc>
        <w:tc>
          <w:tcPr>
            <w:tcW w:w="1705" w:type="pct"/>
            <w:gridSpan w:val="2"/>
            <w:shd w:val="clear" w:color="auto" w:fill="002060"/>
            <w:noWrap/>
            <w:vAlign w:val="bottom"/>
            <w:hideMark/>
          </w:tcPr>
          <w:p w14:paraId="0F11DD03" w14:textId="77777777" w:rsidR="005B3721" w:rsidRPr="004348AA" w:rsidRDefault="005B3721" w:rsidP="00A41D37">
            <w:pPr>
              <w:spacing w:after="0" w:line="240" w:lineRule="auto"/>
              <w:jc w:val="center"/>
              <w:rPr>
                <w:rFonts w:ascii="Calibri" w:eastAsia="Times New Roman" w:hAnsi="Calibri" w:cs="Calibri"/>
                <w:color w:val="FFFFFF" w:themeColor="background1"/>
                <w:sz w:val="18"/>
                <w:szCs w:val="18"/>
              </w:rPr>
            </w:pPr>
            <w:r w:rsidRPr="004348AA">
              <w:rPr>
                <w:rFonts w:ascii="Calibri" w:eastAsia="Times New Roman" w:hAnsi="Calibri" w:cs="Calibri"/>
                <w:color w:val="FFFFFF" w:themeColor="background1"/>
                <w:sz w:val="18"/>
                <w:szCs w:val="18"/>
              </w:rPr>
              <w:t>2020.</w:t>
            </w:r>
          </w:p>
        </w:tc>
        <w:tc>
          <w:tcPr>
            <w:tcW w:w="1704" w:type="pct"/>
            <w:gridSpan w:val="2"/>
            <w:shd w:val="clear" w:color="auto" w:fill="002060"/>
            <w:noWrap/>
            <w:vAlign w:val="bottom"/>
            <w:hideMark/>
          </w:tcPr>
          <w:p w14:paraId="3B587530" w14:textId="77777777" w:rsidR="005B3721" w:rsidRPr="004348AA" w:rsidRDefault="005B3721" w:rsidP="00A41D37">
            <w:pPr>
              <w:spacing w:after="0" w:line="240" w:lineRule="auto"/>
              <w:jc w:val="center"/>
              <w:rPr>
                <w:rFonts w:ascii="Calibri" w:eastAsia="Times New Roman" w:hAnsi="Calibri" w:cs="Calibri"/>
                <w:color w:val="FFFFFF" w:themeColor="background1"/>
                <w:sz w:val="18"/>
                <w:szCs w:val="18"/>
              </w:rPr>
            </w:pPr>
            <w:r w:rsidRPr="004348AA">
              <w:rPr>
                <w:rFonts w:ascii="Calibri" w:eastAsia="Times New Roman" w:hAnsi="Calibri" w:cs="Calibri"/>
                <w:color w:val="FFFFFF" w:themeColor="background1"/>
                <w:sz w:val="18"/>
                <w:szCs w:val="18"/>
              </w:rPr>
              <w:t>2021.</w:t>
            </w:r>
          </w:p>
        </w:tc>
      </w:tr>
      <w:tr w:rsidR="00776655" w:rsidRPr="004A31B2" w14:paraId="0F8DAB3A" w14:textId="77777777" w:rsidTr="004348AA">
        <w:trPr>
          <w:trHeight w:val="267"/>
        </w:trPr>
        <w:tc>
          <w:tcPr>
            <w:tcW w:w="1591" w:type="pct"/>
            <w:vMerge/>
            <w:shd w:val="clear" w:color="auto" w:fill="002060"/>
            <w:vAlign w:val="center"/>
            <w:hideMark/>
          </w:tcPr>
          <w:p w14:paraId="19723886" w14:textId="77777777" w:rsidR="005B3721" w:rsidRPr="001F122E" w:rsidRDefault="005B3721" w:rsidP="00A41D37">
            <w:pPr>
              <w:spacing w:after="0" w:line="240" w:lineRule="auto"/>
              <w:rPr>
                <w:rFonts w:ascii="Calibri" w:eastAsia="Times New Roman" w:hAnsi="Calibri" w:cs="Calibri"/>
                <w:color w:val="FFFFFF" w:themeColor="background1"/>
                <w:sz w:val="18"/>
                <w:szCs w:val="18"/>
              </w:rPr>
            </w:pPr>
          </w:p>
        </w:tc>
        <w:tc>
          <w:tcPr>
            <w:tcW w:w="853" w:type="pct"/>
            <w:shd w:val="clear" w:color="auto" w:fill="002060"/>
            <w:vAlign w:val="center"/>
            <w:hideMark/>
          </w:tcPr>
          <w:p w14:paraId="4DEF30A4" w14:textId="77777777" w:rsidR="005B3721" w:rsidRPr="001F122E" w:rsidRDefault="005B3721" w:rsidP="00A41D37">
            <w:pPr>
              <w:spacing w:after="0" w:line="240" w:lineRule="auto"/>
              <w:jc w:val="center"/>
              <w:rPr>
                <w:rFonts w:ascii="Calibri" w:eastAsia="Times New Roman" w:hAnsi="Calibri" w:cs="Calibri"/>
                <w:color w:val="FFFFFF" w:themeColor="background1"/>
                <w:sz w:val="18"/>
                <w:szCs w:val="18"/>
              </w:rPr>
            </w:pPr>
            <w:r w:rsidRPr="001F122E">
              <w:rPr>
                <w:rFonts w:ascii="Calibri" w:eastAsia="Times New Roman" w:hAnsi="Calibri" w:cs="Calibri"/>
                <w:color w:val="FFFFFF" w:themeColor="background1"/>
                <w:sz w:val="18"/>
                <w:szCs w:val="18"/>
              </w:rPr>
              <w:t>Izvoz (t)</w:t>
            </w:r>
          </w:p>
        </w:tc>
        <w:tc>
          <w:tcPr>
            <w:tcW w:w="852" w:type="pct"/>
            <w:shd w:val="clear" w:color="auto" w:fill="002060"/>
            <w:vAlign w:val="center"/>
            <w:hideMark/>
          </w:tcPr>
          <w:p w14:paraId="6C29D3C0" w14:textId="77777777" w:rsidR="005B3721" w:rsidRPr="001F122E" w:rsidRDefault="005B3721" w:rsidP="00A41D37">
            <w:pPr>
              <w:spacing w:after="0" w:line="240" w:lineRule="auto"/>
              <w:jc w:val="center"/>
              <w:rPr>
                <w:rFonts w:ascii="Calibri" w:eastAsia="Times New Roman" w:hAnsi="Calibri" w:cs="Calibri"/>
                <w:color w:val="FFFFFF" w:themeColor="background1"/>
                <w:sz w:val="18"/>
                <w:szCs w:val="18"/>
              </w:rPr>
            </w:pPr>
            <w:r w:rsidRPr="001F122E">
              <w:rPr>
                <w:rFonts w:ascii="Calibri" w:eastAsia="Times New Roman" w:hAnsi="Calibri" w:cs="Calibri"/>
                <w:color w:val="FFFFFF" w:themeColor="background1"/>
                <w:sz w:val="18"/>
                <w:szCs w:val="18"/>
              </w:rPr>
              <w:t>Uvoz (t)</w:t>
            </w:r>
          </w:p>
        </w:tc>
        <w:tc>
          <w:tcPr>
            <w:tcW w:w="852" w:type="pct"/>
            <w:shd w:val="clear" w:color="auto" w:fill="002060"/>
            <w:vAlign w:val="center"/>
            <w:hideMark/>
          </w:tcPr>
          <w:p w14:paraId="1BAD543B" w14:textId="77777777" w:rsidR="005B3721" w:rsidRPr="001F122E" w:rsidRDefault="005B3721" w:rsidP="00A41D37">
            <w:pPr>
              <w:spacing w:after="0" w:line="240" w:lineRule="auto"/>
              <w:jc w:val="center"/>
              <w:rPr>
                <w:rFonts w:ascii="Calibri" w:eastAsia="Times New Roman" w:hAnsi="Calibri" w:cs="Calibri"/>
                <w:color w:val="FFFFFF" w:themeColor="background1"/>
                <w:sz w:val="18"/>
                <w:szCs w:val="18"/>
              </w:rPr>
            </w:pPr>
            <w:r w:rsidRPr="001F122E">
              <w:rPr>
                <w:rFonts w:ascii="Calibri" w:eastAsia="Times New Roman" w:hAnsi="Calibri" w:cs="Calibri"/>
                <w:color w:val="FFFFFF" w:themeColor="background1"/>
                <w:sz w:val="18"/>
                <w:szCs w:val="18"/>
              </w:rPr>
              <w:t>Izvoz (t)</w:t>
            </w:r>
          </w:p>
        </w:tc>
        <w:tc>
          <w:tcPr>
            <w:tcW w:w="852" w:type="pct"/>
            <w:shd w:val="clear" w:color="auto" w:fill="002060"/>
            <w:vAlign w:val="center"/>
            <w:hideMark/>
          </w:tcPr>
          <w:p w14:paraId="63850910" w14:textId="77777777" w:rsidR="005B3721" w:rsidRPr="001F122E" w:rsidRDefault="005B3721" w:rsidP="00A41D37">
            <w:pPr>
              <w:spacing w:after="0" w:line="240" w:lineRule="auto"/>
              <w:jc w:val="center"/>
              <w:rPr>
                <w:rFonts w:ascii="Calibri" w:eastAsia="Times New Roman" w:hAnsi="Calibri" w:cs="Calibri"/>
                <w:color w:val="FFFFFF" w:themeColor="background1"/>
                <w:sz w:val="18"/>
                <w:szCs w:val="18"/>
              </w:rPr>
            </w:pPr>
            <w:r w:rsidRPr="001F122E">
              <w:rPr>
                <w:rFonts w:ascii="Calibri" w:eastAsia="Times New Roman" w:hAnsi="Calibri" w:cs="Calibri"/>
                <w:color w:val="FFFFFF" w:themeColor="background1"/>
                <w:sz w:val="18"/>
                <w:szCs w:val="18"/>
              </w:rPr>
              <w:t>Uvoz (t)</w:t>
            </w:r>
          </w:p>
        </w:tc>
      </w:tr>
      <w:tr w:rsidR="00776655" w:rsidRPr="005B3721" w14:paraId="41C355DE" w14:textId="77777777" w:rsidTr="004348AA">
        <w:trPr>
          <w:trHeight w:val="267"/>
        </w:trPr>
        <w:tc>
          <w:tcPr>
            <w:tcW w:w="1591" w:type="pct"/>
            <w:shd w:val="clear" w:color="auto" w:fill="auto"/>
            <w:noWrap/>
            <w:vAlign w:val="center"/>
            <w:hideMark/>
          </w:tcPr>
          <w:p w14:paraId="48B20358" w14:textId="77777777" w:rsidR="005B3721" w:rsidRPr="004348AA" w:rsidRDefault="005B3721" w:rsidP="00A41D37">
            <w:pPr>
              <w:spacing w:before="60" w:after="60" w:line="240" w:lineRule="auto"/>
              <w:rPr>
                <w:rFonts w:ascii="Calibri" w:eastAsia="Times New Roman" w:hAnsi="Calibri" w:cs="Calibri"/>
                <w:color w:val="000000"/>
                <w:sz w:val="18"/>
                <w:szCs w:val="18"/>
              </w:rPr>
            </w:pPr>
            <w:r w:rsidRPr="004348AA">
              <w:rPr>
                <w:rFonts w:ascii="Calibri" w:eastAsia="Times New Roman" w:hAnsi="Calibri" w:cs="Calibri"/>
                <w:color w:val="000000"/>
                <w:sz w:val="18"/>
                <w:szCs w:val="18"/>
              </w:rPr>
              <w:t>Gorivo iz otpada (RDF)</w:t>
            </w:r>
          </w:p>
        </w:tc>
        <w:tc>
          <w:tcPr>
            <w:tcW w:w="853" w:type="pct"/>
            <w:shd w:val="clear" w:color="auto" w:fill="auto"/>
            <w:noWrap/>
            <w:vAlign w:val="center"/>
            <w:hideMark/>
          </w:tcPr>
          <w:p w14:paraId="70371E56" w14:textId="77777777" w:rsidR="005B3721" w:rsidRPr="004348AA" w:rsidRDefault="005B3721" w:rsidP="00A41D37">
            <w:pPr>
              <w:spacing w:after="0" w:line="240" w:lineRule="auto"/>
              <w:jc w:val="right"/>
              <w:rPr>
                <w:rFonts w:ascii="Calibri" w:eastAsia="Times New Roman" w:hAnsi="Calibri" w:cs="Calibri"/>
                <w:color w:val="000000"/>
                <w:sz w:val="18"/>
                <w:szCs w:val="18"/>
              </w:rPr>
            </w:pPr>
            <w:r w:rsidRPr="004348AA">
              <w:rPr>
                <w:rFonts w:ascii="Calibri" w:eastAsia="Times New Roman" w:hAnsi="Calibri" w:cs="Calibri"/>
                <w:color w:val="000000"/>
                <w:sz w:val="18"/>
                <w:szCs w:val="18"/>
              </w:rPr>
              <w:t>10.811</w:t>
            </w:r>
          </w:p>
        </w:tc>
        <w:tc>
          <w:tcPr>
            <w:tcW w:w="852" w:type="pct"/>
            <w:shd w:val="clear" w:color="auto" w:fill="auto"/>
            <w:vAlign w:val="center"/>
            <w:hideMark/>
          </w:tcPr>
          <w:p w14:paraId="0D93B225" w14:textId="77777777" w:rsidR="005B3721" w:rsidRPr="004348AA" w:rsidRDefault="005B3721" w:rsidP="00A41D37">
            <w:pPr>
              <w:spacing w:after="0" w:line="240" w:lineRule="auto"/>
              <w:jc w:val="right"/>
              <w:rPr>
                <w:rFonts w:ascii="Calibri" w:eastAsia="Times New Roman" w:hAnsi="Calibri" w:cs="Calibri"/>
                <w:color w:val="000000"/>
                <w:sz w:val="18"/>
                <w:szCs w:val="18"/>
              </w:rPr>
            </w:pPr>
            <w:r w:rsidRPr="004348AA">
              <w:rPr>
                <w:rFonts w:ascii="Calibri" w:eastAsia="Times New Roman" w:hAnsi="Calibri" w:cs="Calibri"/>
                <w:color w:val="000000"/>
                <w:sz w:val="18"/>
                <w:szCs w:val="18"/>
              </w:rPr>
              <w:t>33.775</w:t>
            </w:r>
          </w:p>
        </w:tc>
        <w:tc>
          <w:tcPr>
            <w:tcW w:w="852" w:type="pct"/>
            <w:shd w:val="clear" w:color="auto" w:fill="auto"/>
            <w:noWrap/>
            <w:vAlign w:val="center"/>
            <w:hideMark/>
          </w:tcPr>
          <w:p w14:paraId="7625F44E" w14:textId="77777777" w:rsidR="005B3721" w:rsidRPr="004348AA" w:rsidRDefault="005B3721" w:rsidP="00A41D37">
            <w:pPr>
              <w:spacing w:after="0" w:line="240" w:lineRule="auto"/>
              <w:jc w:val="right"/>
              <w:rPr>
                <w:rFonts w:ascii="Calibri" w:eastAsia="Times New Roman" w:hAnsi="Calibri" w:cs="Calibri"/>
                <w:color w:val="000000"/>
                <w:sz w:val="18"/>
                <w:szCs w:val="18"/>
              </w:rPr>
            </w:pPr>
            <w:r w:rsidRPr="004348AA">
              <w:rPr>
                <w:rFonts w:ascii="Calibri" w:eastAsia="Times New Roman" w:hAnsi="Calibri" w:cs="Calibri"/>
                <w:color w:val="000000"/>
                <w:sz w:val="18"/>
                <w:szCs w:val="18"/>
              </w:rPr>
              <w:t>15.306</w:t>
            </w:r>
          </w:p>
        </w:tc>
        <w:tc>
          <w:tcPr>
            <w:tcW w:w="852" w:type="pct"/>
            <w:shd w:val="clear" w:color="auto" w:fill="auto"/>
            <w:noWrap/>
            <w:vAlign w:val="center"/>
            <w:hideMark/>
          </w:tcPr>
          <w:p w14:paraId="291A3D63" w14:textId="77777777" w:rsidR="005B3721" w:rsidRPr="004348AA" w:rsidRDefault="005B3721" w:rsidP="00A41D37">
            <w:pPr>
              <w:spacing w:after="0" w:line="240" w:lineRule="auto"/>
              <w:jc w:val="right"/>
              <w:rPr>
                <w:rFonts w:ascii="Calibri" w:eastAsia="Times New Roman" w:hAnsi="Calibri" w:cs="Calibri"/>
                <w:color w:val="000000"/>
                <w:sz w:val="18"/>
                <w:szCs w:val="18"/>
              </w:rPr>
            </w:pPr>
            <w:r w:rsidRPr="004348AA">
              <w:rPr>
                <w:rFonts w:ascii="Calibri" w:eastAsia="Times New Roman" w:hAnsi="Calibri" w:cs="Calibri"/>
                <w:color w:val="000000"/>
                <w:sz w:val="18"/>
                <w:szCs w:val="18"/>
              </w:rPr>
              <w:t>42.711</w:t>
            </w:r>
          </w:p>
        </w:tc>
      </w:tr>
      <w:tr w:rsidR="00776655" w:rsidRPr="005B3721" w14:paraId="776410BC" w14:textId="77777777" w:rsidTr="004348AA">
        <w:trPr>
          <w:trHeight w:val="278"/>
        </w:trPr>
        <w:tc>
          <w:tcPr>
            <w:tcW w:w="1591" w:type="pct"/>
            <w:shd w:val="clear" w:color="auto" w:fill="auto"/>
            <w:vAlign w:val="center"/>
            <w:hideMark/>
          </w:tcPr>
          <w:p w14:paraId="35E8BEC1" w14:textId="77777777" w:rsidR="005B3721" w:rsidRPr="004348AA" w:rsidRDefault="005B3721" w:rsidP="00A41D37">
            <w:pPr>
              <w:spacing w:before="60" w:after="60" w:line="240" w:lineRule="auto"/>
              <w:rPr>
                <w:rFonts w:ascii="Calibri" w:eastAsia="Times New Roman" w:hAnsi="Calibri" w:cs="Calibri"/>
                <w:color w:val="000000"/>
                <w:sz w:val="18"/>
                <w:szCs w:val="18"/>
              </w:rPr>
            </w:pPr>
            <w:r w:rsidRPr="004348AA">
              <w:rPr>
                <w:rFonts w:ascii="Calibri" w:eastAsia="Times New Roman" w:hAnsi="Calibri" w:cs="Calibri"/>
                <w:color w:val="000000"/>
                <w:sz w:val="18"/>
                <w:szCs w:val="18"/>
              </w:rPr>
              <w:t>Otpadno tretirano drvo</w:t>
            </w:r>
          </w:p>
        </w:tc>
        <w:tc>
          <w:tcPr>
            <w:tcW w:w="853" w:type="pct"/>
            <w:shd w:val="clear" w:color="auto" w:fill="auto"/>
            <w:vAlign w:val="center"/>
            <w:hideMark/>
          </w:tcPr>
          <w:p w14:paraId="3CEAB793" w14:textId="77777777" w:rsidR="005B3721" w:rsidRPr="004348AA" w:rsidRDefault="005B3721" w:rsidP="00A41D37">
            <w:pPr>
              <w:spacing w:after="0" w:line="240" w:lineRule="auto"/>
              <w:jc w:val="right"/>
              <w:rPr>
                <w:rFonts w:ascii="Calibri" w:eastAsia="Times New Roman" w:hAnsi="Calibri" w:cs="Calibri"/>
                <w:color w:val="000000"/>
                <w:sz w:val="18"/>
                <w:szCs w:val="18"/>
              </w:rPr>
            </w:pPr>
            <w:r w:rsidRPr="004348AA">
              <w:rPr>
                <w:rFonts w:ascii="Calibri" w:eastAsia="Times New Roman" w:hAnsi="Calibri" w:cs="Calibri"/>
                <w:color w:val="000000"/>
                <w:sz w:val="18"/>
                <w:szCs w:val="18"/>
              </w:rPr>
              <w:t>13.957</w:t>
            </w:r>
          </w:p>
        </w:tc>
        <w:tc>
          <w:tcPr>
            <w:tcW w:w="852" w:type="pct"/>
            <w:shd w:val="clear" w:color="auto" w:fill="auto"/>
            <w:vAlign w:val="center"/>
            <w:hideMark/>
          </w:tcPr>
          <w:p w14:paraId="1391447E" w14:textId="77777777" w:rsidR="005B3721" w:rsidRPr="004348AA" w:rsidRDefault="005B3721" w:rsidP="00A41D37">
            <w:pPr>
              <w:spacing w:after="0" w:line="240" w:lineRule="auto"/>
              <w:jc w:val="right"/>
              <w:rPr>
                <w:rFonts w:ascii="Calibri" w:eastAsia="Times New Roman" w:hAnsi="Calibri" w:cs="Calibri"/>
                <w:color w:val="000000"/>
                <w:sz w:val="18"/>
                <w:szCs w:val="18"/>
              </w:rPr>
            </w:pPr>
            <w:r w:rsidRPr="004348AA">
              <w:rPr>
                <w:rFonts w:ascii="Calibri" w:eastAsia="Times New Roman" w:hAnsi="Calibri" w:cs="Calibri"/>
                <w:color w:val="000000"/>
                <w:sz w:val="18"/>
                <w:szCs w:val="18"/>
              </w:rPr>
              <w:t>15.447</w:t>
            </w:r>
          </w:p>
        </w:tc>
        <w:tc>
          <w:tcPr>
            <w:tcW w:w="852" w:type="pct"/>
            <w:shd w:val="clear" w:color="auto" w:fill="auto"/>
            <w:noWrap/>
            <w:vAlign w:val="center"/>
            <w:hideMark/>
          </w:tcPr>
          <w:p w14:paraId="46FD5131" w14:textId="77777777" w:rsidR="005B3721" w:rsidRPr="004348AA" w:rsidRDefault="005B3721" w:rsidP="00A41D37">
            <w:pPr>
              <w:spacing w:after="0" w:line="240" w:lineRule="auto"/>
              <w:jc w:val="right"/>
              <w:rPr>
                <w:rFonts w:ascii="Calibri" w:eastAsia="Times New Roman" w:hAnsi="Calibri" w:cs="Calibri"/>
                <w:color w:val="000000"/>
                <w:sz w:val="18"/>
                <w:szCs w:val="18"/>
              </w:rPr>
            </w:pPr>
            <w:r w:rsidRPr="004348AA">
              <w:rPr>
                <w:rFonts w:ascii="Calibri" w:eastAsia="Times New Roman" w:hAnsi="Calibri" w:cs="Calibri"/>
                <w:color w:val="000000"/>
                <w:sz w:val="18"/>
                <w:szCs w:val="18"/>
              </w:rPr>
              <w:t>10.768</w:t>
            </w:r>
          </w:p>
        </w:tc>
        <w:tc>
          <w:tcPr>
            <w:tcW w:w="852" w:type="pct"/>
            <w:shd w:val="clear" w:color="auto" w:fill="auto"/>
            <w:noWrap/>
            <w:vAlign w:val="center"/>
            <w:hideMark/>
          </w:tcPr>
          <w:p w14:paraId="7F20A036" w14:textId="77777777" w:rsidR="005B3721" w:rsidRPr="004348AA" w:rsidRDefault="005B3721" w:rsidP="00A41D37">
            <w:pPr>
              <w:spacing w:after="0" w:line="240" w:lineRule="auto"/>
              <w:jc w:val="right"/>
              <w:rPr>
                <w:rFonts w:ascii="Calibri" w:eastAsia="Times New Roman" w:hAnsi="Calibri" w:cs="Calibri"/>
                <w:color w:val="000000"/>
                <w:sz w:val="18"/>
                <w:szCs w:val="18"/>
              </w:rPr>
            </w:pPr>
            <w:r w:rsidRPr="004348AA">
              <w:rPr>
                <w:rFonts w:ascii="Calibri" w:eastAsia="Times New Roman" w:hAnsi="Calibri" w:cs="Calibri"/>
                <w:color w:val="000000"/>
                <w:sz w:val="18"/>
                <w:szCs w:val="18"/>
              </w:rPr>
              <w:t>43.003</w:t>
            </w:r>
          </w:p>
        </w:tc>
      </w:tr>
      <w:tr w:rsidR="00776655" w:rsidRPr="005B3721" w14:paraId="6CE37D3C" w14:textId="77777777" w:rsidTr="004348AA">
        <w:trPr>
          <w:trHeight w:val="694"/>
        </w:trPr>
        <w:tc>
          <w:tcPr>
            <w:tcW w:w="1591" w:type="pct"/>
            <w:shd w:val="clear" w:color="auto" w:fill="auto"/>
            <w:vAlign w:val="center"/>
            <w:hideMark/>
          </w:tcPr>
          <w:p w14:paraId="57B2DF6B" w14:textId="77777777" w:rsidR="005B3721" w:rsidRPr="004348AA" w:rsidRDefault="005B3721" w:rsidP="00A41D37">
            <w:pPr>
              <w:spacing w:before="60" w:after="60" w:line="240" w:lineRule="auto"/>
              <w:rPr>
                <w:rFonts w:ascii="Calibri" w:eastAsia="Times New Roman" w:hAnsi="Calibri" w:cs="Calibri"/>
                <w:color w:val="000000"/>
                <w:sz w:val="18"/>
                <w:szCs w:val="18"/>
              </w:rPr>
            </w:pPr>
            <w:r w:rsidRPr="004348AA">
              <w:rPr>
                <w:rFonts w:ascii="Calibri" w:eastAsia="Times New Roman" w:hAnsi="Calibri" w:cs="Calibri"/>
                <w:color w:val="000000"/>
                <w:sz w:val="18"/>
                <w:szCs w:val="18"/>
              </w:rPr>
              <w:t>Otpadni olovni akumulatori, olovne baterije, olovne mrežice i akumulatorske ploče</w:t>
            </w:r>
          </w:p>
        </w:tc>
        <w:tc>
          <w:tcPr>
            <w:tcW w:w="853" w:type="pct"/>
            <w:shd w:val="clear" w:color="auto" w:fill="auto"/>
            <w:vAlign w:val="center"/>
            <w:hideMark/>
          </w:tcPr>
          <w:p w14:paraId="0431E8F0" w14:textId="77777777" w:rsidR="005B3721" w:rsidRPr="004348AA" w:rsidRDefault="005B3721" w:rsidP="00A41D37">
            <w:pPr>
              <w:spacing w:after="0" w:line="240" w:lineRule="auto"/>
              <w:jc w:val="right"/>
              <w:rPr>
                <w:rFonts w:ascii="Calibri" w:eastAsia="Times New Roman" w:hAnsi="Calibri" w:cs="Calibri"/>
                <w:color w:val="000000"/>
                <w:sz w:val="18"/>
                <w:szCs w:val="18"/>
              </w:rPr>
            </w:pPr>
            <w:r w:rsidRPr="004348AA">
              <w:rPr>
                <w:rFonts w:ascii="Calibri" w:eastAsia="Times New Roman" w:hAnsi="Calibri" w:cs="Calibri"/>
                <w:color w:val="000000"/>
                <w:sz w:val="18"/>
                <w:szCs w:val="18"/>
              </w:rPr>
              <w:t>5.435</w:t>
            </w:r>
          </w:p>
        </w:tc>
        <w:tc>
          <w:tcPr>
            <w:tcW w:w="852" w:type="pct"/>
            <w:shd w:val="clear" w:color="auto" w:fill="auto"/>
            <w:vAlign w:val="center"/>
            <w:hideMark/>
          </w:tcPr>
          <w:p w14:paraId="09C1E33B" w14:textId="77777777" w:rsidR="005B3721" w:rsidRPr="004348AA" w:rsidRDefault="005B3721" w:rsidP="00A41D37">
            <w:pPr>
              <w:spacing w:after="0" w:line="240" w:lineRule="auto"/>
              <w:jc w:val="right"/>
              <w:rPr>
                <w:rFonts w:ascii="Calibri" w:eastAsia="Times New Roman" w:hAnsi="Calibri" w:cs="Calibri"/>
                <w:color w:val="000000"/>
                <w:sz w:val="18"/>
                <w:szCs w:val="18"/>
              </w:rPr>
            </w:pPr>
            <w:r w:rsidRPr="004348AA">
              <w:rPr>
                <w:rFonts w:ascii="Calibri" w:eastAsia="Times New Roman" w:hAnsi="Calibri" w:cs="Calibri"/>
                <w:color w:val="000000"/>
                <w:sz w:val="18"/>
                <w:szCs w:val="18"/>
              </w:rPr>
              <w:t>3.803</w:t>
            </w:r>
          </w:p>
        </w:tc>
        <w:tc>
          <w:tcPr>
            <w:tcW w:w="852" w:type="pct"/>
            <w:shd w:val="clear" w:color="auto" w:fill="auto"/>
            <w:noWrap/>
            <w:vAlign w:val="center"/>
            <w:hideMark/>
          </w:tcPr>
          <w:p w14:paraId="6E371011" w14:textId="77777777" w:rsidR="005B3721" w:rsidRPr="004348AA" w:rsidRDefault="005B3721" w:rsidP="00A41D37">
            <w:pPr>
              <w:spacing w:after="0" w:line="240" w:lineRule="auto"/>
              <w:jc w:val="right"/>
              <w:rPr>
                <w:rFonts w:ascii="Calibri" w:eastAsia="Times New Roman" w:hAnsi="Calibri" w:cs="Calibri"/>
                <w:color w:val="000000"/>
                <w:sz w:val="18"/>
                <w:szCs w:val="18"/>
              </w:rPr>
            </w:pPr>
            <w:r w:rsidRPr="004348AA">
              <w:rPr>
                <w:rFonts w:ascii="Calibri" w:eastAsia="Times New Roman" w:hAnsi="Calibri" w:cs="Calibri"/>
                <w:color w:val="000000"/>
                <w:sz w:val="18"/>
                <w:szCs w:val="18"/>
              </w:rPr>
              <w:t>6.540</w:t>
            </w:r>
          </w:p>
        </w:tc>
        <w:tc>
          <w:tcPr>
            <w:tcW w:w="852" w:type="pct"/>
            <w:shd w:val="clear" w:color="auto" w:fill="auto"/>
            <w:noWrap/>
            <w:vAlign w:val="center"/>
            <w:hideMark/>
          </w:tcPr>
          <w:p w14:paraId="517060E0" w14:textId="77777777" w:rsidR="005B3721" w:rsidRPr="004348AA" w:rsidRDefault="005B3721" w:rsidP="00A41D37">
            <w:pPr>
              <w:spacing w:after="0" w:line="240" w:lineRule="auto"/>
              <w:jc w:val="right"/>
              <w:rPr>
                <w:rFonts w:ascii="Calibri" w:eastAsia="Times New Roman" w:hAnsi="Calibri" w:cs="Calibri"/>
                <w:color w:val="000000"/>
                <w:sz w:val="18"/>
                <w:szCs w:val="18"/>
              </w:rPr>
            </w:pPr>
            <w:r w:rsidRPr="004348AA">
              <w:rPr>
                <w:rFonts w:ascii="Calibri" w:eastAsia="Times New Roman" w:hAnsi="Calibri" w:cs="Calibri"/>
                <w:color w:val="000000"/>
                <w:sz w:val="18"/>
                <w:szCs w:val="18"/>
              </w:rPr>
              <w:t>4.031</w:t>
            </w:r>
          </w:p>
        </w:tc>
      </w:tr>
    </w:tbl>
    <w:p w14:paraId="03D21FD9" w14:textId="77777777" w:rsidR="005B3721" w:rsidRDefault="005B3721" w:rsidP="005B3721">
      <w:pPr>
        <w:spacing w:after="0"/>
        <w:jc w:val="right"/>
        <w:rPr>
          <w:i/>
          <w:iCs/>
          <w:sz w:val="18"/>
          <w:szCs w:val="20"/>
        </w:rPr>
      </w:pPr>
      <w:r w:rsidRPr="005538BD">
        <w:rPr>
          <w:i/>
          <w:iCs/>
          <w:sz w:val="18"/>
          <w:szCs w:val="20"/>
        </w:rPr>
        <w:t>Izvor: MINGOR</w:t>
      </w:r>
    </w:p>
    <w:p w14:paraId="45BE1F67" w14:textId="77777777" w:rsidR="005B3721" w:rsidRDefault="005B3721" w:rsidP="005B3721">
      <w:pPr>
        <w:pStyle w:val="box469392"/>
        <w:shd w:val="clear" w:color="auto" w:fill="FFFFFF"/>
        <w:spacing w:before="0" w:beforeAutospacing="0" w:after="120" w:afterAutospacing="0" w:line="276" w:lineRule="auto"/>
        <w:textAlignment w:val="baseline"/>
        <w:rPr>
          <w:rFonts w:ascii="Calibri" w:hAnsi="Calibri" w:cs="Calibri"/>
          <w:color w:val="231F20"/>
          <w:sz w:val="22"/>
          <w:szCs w:val="22"/>
        </w:rPr>
      </w:pPr>
    </w:p>
    <w:p w14:paraId="598AA059" w14:textId="21C2B59D" w:rsidR="005B3721" w:rsidRPr="00B13819" w:rsidRDefault="005B3721" w:rsidP="005B3721">
      <w:pPr>
        <w:pStyle w:val="box469392"/>
        <w:shd w:val="clear" w:color="auto" w:fill="FFFFFF"/>
        <w:spacing w:before="0" w:beforeAutospacing="0" w:after="120" w:afterAutospacing="0" w:line="276" w:lineRule="auto"/>
        <w:textAlignment w:val="baseline"/>
        <w:rPr>
          <w:rFonts w:ascii="Calibri" w:hAnsi="Calibri" w:cs="Calibri"/>
          <w:color w:val="231F20"/>
          <w:sz w:val="22"/>
          <w:szCs w:val="22"/>
        </w:rPr>
      </w:pPr>
      <w:r w:rsidRPr="00B13819">
        <w:rPr>
          <w:rFonts w:ascii="Calibri" w:hAnsi="Calibri" w:cs="Calibri"/>
          <w:color w:val="231F20"/>
          <w:sz w:val="22"/>
          <w:szCs w:val="22"/>
        </w:rPr>
        <w:t xml:space="preserve">Osim kao država polazišta i odredišta, RH se u prekograničnom prometu otpada vrlo često pojavljuje i kao država provoza. U zadnjih nekoliko godina broj izdanih odobrenja za provoz otpada koji podliježe </w:t>
      </w:r>
      <w:proofErr w:type="spellStart"/>
      <w:r w:rsidRPr="00B13819">
        <w:rPr>
          <w:rFonts w:ascii="Calibri" w:hAnsi="Calibri" w:cs="Calibri"/>
          <w:color w:val="231F20"/>
          <w:sz w:val="22"/>
          <w:szCs w:val="22"/>
        </w:rPr>
        <w:t>notifikacijskom</w:t>
      </w:r>
      <w:proofErr w:type="spellEnd"/>
      <w:r w:rsidRPr="00B13819">
        <w:rPr>
          <w:rFonts w:ascii="Calibri" w:hAnsi="Calibri" w:cs="Calibri"/>
          <w:color w:val="231F20"/>
          <w:sz w:val="22"/>
          <w:szCs w:val="22"/>
        </w:rPr>
        <w:t xml:space="preserve"> postupku kroz RH kreće se oko 70 godišnje. Prvenstveno se radi o odobrenjima za provoz gorivog otpada iz država članica EU namijenjenog energetskoj oporabi u cementarama Bosne i Hercegovine, nešto manje Mađarske, te provoz različitih vrsta opasnog otpada iz zemalja Zapadnog Balkana na oporabu ili zbrinjavanje u državama članicama EU. Tijekom 2021. godine, a u skladu s novim zakonodavstvom EU kojim se regulira prekogranični promet otpada od plastike, izdano je i više odobrenja za provoz ove vrste otpada iz EU u Srbiju.</w:t>
      </w:r>
    </w:p>
    <w:p w14:paraId="36365591" w14:textId="77777777" w:rsidR="005B3721" w:rsidRPr="00B13819" w:rsidRDefault="005B3721" w:rsidP="005B3721">
      <w:pPr>
        <w:pStyle w:val="box469392"/>
        <w:shd w:val="clear" w:color="auto" w:fill="FFFFFF"/>
        <w:spacing w:before="0" w:beforeAutospacing="0" w:after="120" w:afterAutospacing="0" w:line="276" w:lineRule="auto"/>
        <w:textAlignment w:val="baseline"/>
        <w:rPr>
          <w:rFonts w:ascii="Calibri" w:hAnsi="Calibri" w:cs="Calibri"/>
          <w:color w:val="231F20"/>
          <w:sz w:val="22"/>
          <w:szCs w:val="22"/>
        </w:rPr>
      </w:pPr>
      <w:r w:rsidRPr="00B13819">
        <w:rPr>
          <w:rFonts w:ascii="Calibri" w:hAnsi="Calibri" w:cs="Calibri"/>
          <w:color w:val="231F20"/>
          <w:sz w:val="22"/>
          <w:szCs w:val="22"/>
        </w:rPr>
        <w:t xml:space="preserve">Što se tiče prekograničnog prometa otpada koji ne podliježe </w:t>
      </w:r>
      <w:proofErr w:type="spellStart"/>
      <w:r w:rsidRPr="00B13819">
        <w:rPr>
          <w:rFonts w:ascii="Calibri" w:hAnsi="Calibri" w:cs="Calibri"/>
          <w:color w:val="231F20"/>
          <w:sz w:val="22"/>
          <w:szCs w:val="22"/>
        </w:rPr>
        <w:t>notifikacijskom</w:t>
      </w:r>
      <w:proofErr w:type="spellEnd"/>
      <w:r w:rsidRPr="00B13819">
        <w:rPr>
          <w:rFonts w:ascii="Calibri" w:hAnsi="Calibri" w:cs="Calibri"/>
          <w:color w:val="231F20"/>
          <w:sz w:val="22"/>
          <w:szCs w:val="22"/>
        </w:rPr>
        <w:t xml:space="preserve"> postupku, u razdoblju od 2017. do 2021. godine isti nastavlja nezaustavljivo rasti uz manji pad izvezenih/iznos količina tijekom 2018. godine. Tako je u navedenom petogodišnjem razdoblju uvoz/unos porastao 2,5 puta (s 382.590 t 2017. na 968.791 t 2021. godine), a izvoz/iznos 1,5 puta (s 667.022 t 2017. na 996.271 t 2021. godine). </w:t>
      </w:r>
    </w:p>
    <w:p w14:paraId="5D7D7058" w14:textId="77777777" w:rsidR="005B3721" w:rsidRPr="00B13819" w:rsidRDefault="005B3721" w:rsidP="005B3721">
      <w:pPr>
        <w:pStyle w:val="box469392"/>
        <w:shd w:val="clear" w:color="auto" w:fill="FFFFFF"/>
        <w:spacing w:before="0" w:beforeAutospacing="0" w:after="120" w:afterAutospacing="0" w:line="276" w:lineRule="auto"/>
        <w:textAlignment w:val="baseline"/>
        <w:rPr>
          <w:rFonts w:ascii="Calibri" w:hAnsi="Calibri" w:cs="Calibri"/>
          <w:color w:val="231F20"/>
          <w:sz w:val="22"/>
          <w:szCs w:val="22"/>
        </w:rPr>
      </w:pPr>
      <w:r w:rsidRPr="00B13819">
        <w:rPr>
          <w:rFonts w:ascii="Calibri" w:hAnsi="Calibri" w:cs="Calibri"/>
          <w:color w:val="231F20"/>
          <w:sz w:val="22"/>
          <w:szCs w:val="22"/>
        </w:rPr>
        <w:t xml:space="preserve">U cijelom promatranom razdoblju najveće količine uvezenog/unesenog otpada koji ne podliježe </w:t>
      </w:r>
      <w:proofErr w:type="spellStart"/>
      <w:r w:rsidRPr="00B13819">
        <w:rPr>
          <w:rFonts w:ascii="Calibri" w:hAnsi="Calibri" w:cs="Calibri"/>
          <w:color w:val="231F20"/>
          <w:sz w:val="22"/>
          <w:szCs w:val="22"/>
        </w:rPr>
        <w:t>notifikacijskom</w:t>
      </w:r>
      <w:proofErr w:type="spellEnd"/>
      <w:r w:rsidRPr="00B13819">
        <w:rPr>
          <w:rFonts w:ascii="Calibri" w:hAnsi="Calibri" w:cs="Calibri"/>
          <w:color w:val="231F20"/>
          <w:sz w:val="22"/>
          <w:szCs w:val="22"/>
        </w:rPr>
        <w:t xml:space="preserve"> postupku čini otpad od metala, otpad iz termičkih procesa (troska) te otpadni papir i karton, prosječno 85 % ukupno uvezene količine, a najviše ovakvog otpada, nešto više od 60 % godišnje, uvozi/unosi se iz susjednih zemalja i to Bosne i Hercegovine, Slovenije te Mađarske. Na postupke oporabe R12 i R13 u proteklih  pet godina uvozilo/unosilo se između 5 % i 9 % ukupne količine, a ostalo na postupke energetske i materijalne oporabe.</w:t>
      </w:r>
    </w:p>
    <w:p w14:paraId="304BC38D" w14:textId="77777777" w:rsidR="005B3721" w:rsidRPr="00B13819" w:rsidRDefault="005B3721" w:rsidP="005B3721">
      <w:pPr>
        <w:pStyle w:val="box469392"/>
        <w:shd w:val="clear" w:color="auto" w:fill="FFFFFF"/>
        <w:spacing w:before="0" w:beforeAutospacing="0" w:after="120" w:afterAutospacing="0" w:line="276" w:lineRule="auto"/>
        <w:textAlignment w:val="baseline"/>
        <w:rPr>
          <w:rFonts w:ascii="Calibri" w:hAnsi="Calibri" w:cs="Calibri"/>
          <w:color w:val="231F20"/>
          <w:sz w:val="22"/>
          <w:szCs w:val="22"/>
        </w:rPr>
      </w:pPr>
      <w:r w:rsidRPr="00B13819">
        <w:rPr>
          <w:rFonts w:ascii="Calibri" w:hAnsi="Calibri" w:cs="Calibri"/>
          <w:color w:val="231F20"/>
          <w:sz w:val="22"/>
          <w:szCs w:val="22"/>
        </w:rPr>
        <w:t xml:space="preserve">Nadalje, u promatranom razdoblju najveće količine izvezenog/iznesenog otpada koji ne podliježe </w:t>
      </w:r>
      <w:proofErr w:type="spellStart"/>
      <w:r w:rsidRPr="00B13819">
        <w:rPr>
          <w:rFonts w:ascii="Calibri" w:hAnsi="Calibri" w:cs="Calibri"/>
          <w:color w:val="231F20"/>
          <w:sz w:val="22"/>
          <w:szCs w:val="22"/>
        </w:rPr>
        <w:t>notifikacijskom</w:t>
      </w:r>
      <w:proofErr w:type="spellEnd"/>
      <w:r w:rsidRPr="00B13819">
        <w:rPr>
          <w:rFonts w:ascii="Calibri" w:hAnsi="Calibri" w:cs="Calibri"/>
          <w:color w:val="231F20"/>
          <w:sz w:val="22"/>
          <w:szCs w:val="22"/>
        </w:rPr>
        <w:t xml:space="preserve"> postupku čini otpad od metala (64-72 %) te otpad od papira i kartona (18-23 %). U značajnijoj mjeri izvoze/iznose se još otpad od plastike, stakla i drveta te otpad iz termičkih procesa, dok se ostale vrste otpada izvoze/iznose u vrlo malim količinama. Gotovo 90 % ukupne količine izvozilo/iznosilo se u Tursku, Sloveniju, Italiju, Mađarsku i Austriju. Na početku promatranog razdoblja gotovo se četvrtina otpada koji ne podliježe </w:t>
      </w:r>
      <w:proofErr w:type="spellStart"/>
      <w:r w:rsidRPr="00B13819">
        <w:rPr>
          <w:rFonts w:ascii="Calibri" w:hAnsi="Calibri" w:cs="Calibri"/>
          <w:color w:val="231F20"/>
          <w:sz w:val="22"/>
          <w:szCs w:val="22"/>
        </w:rPr>
        <w:t>notifikacijskom</w:t>
      </w:r>
      <w:proofErr w:type="spellEnd"/>
      <w:r w:rsidRPr="00B13819">
        <w:rPr>
          <w:rFonts w:ascii="Calibri" w:hAnsi="Calibri" w:cs="Calibri"/>
          <w:color w:val="231F20"/>
          <w:sz w:val="22"/>
          <w:szCs w:val="22"/>
        </w:rPr>
        <w:t xml:space="preserve"> postupku izvozila/iznosila na postupke oporabe R12 i R13 dok je tijekom godina taj postotak padao i 2021. godine iznosio je nešto više od 8 %. </w:t>
      </w:r>
    </w:p>
    <w:p w14:paraId="09A7DBBB" w14:textId="6AAF2228" w:rsidR="005B3721" w:rsidRDefault="005B3721" w:rsidP="005B3721">
      <w:pPr>
        <w:rPr>
          <w:rFonts w:ascii="Calibri" w:hAnsi="Calibri" w:cs="Calibri"/>
          <w:color w:val="231F20"/>
        </w:rPr>
      </w:pPr>
      <w:r w:rsidRPr="00B13819">
        <w:rPr>
          <w:rFonts w:ascii="Calibri" w:hAnsi="Calibri" w:cs="Calibri"/>
          <w:color w:val="231F20"/>
        </w:rPr>
        <w:t xml:space="preserve">Slično kao što je slučaj i s otpadom koji podliježe </w:t>
      </w:r>
      <w:proofErr w:type="spellStart"/>
      <w:r w:rsidRPr="00B13819">
        <w:rPr>
          <w:rFonts w:ascii="Calibri" w:hAnsi="Calibri" w:cs="Calibri"/>
          <w:color w:val="231F20"/>
        </w:rPr>
        <w:t>notifikacijskom</w:t>
      </w:r>
      <w:proofErr w:type="spellEnd"/>
      <w:r w:rsidRPr="00B13819">
        <w:rPr>
          <w:rFonts w:ascii="Calibri" w:hAnsi="Calibri" w:cs="Calibri"/>
          <w:color w:val="231F20"/>
        </w:rPr>
        <w:t xml:space="preserve"> postupku najviše su se uvozile/unosile i izvozile/iznosile iste vrste otpada koji ne podliježe </w:t>
      </w:r>
      <w:proofErr w:type="spellStart"/>
      <w:r w:rsidRPr="00B13819">
        <w:rPr>
          <w:rFonts w:ascii="Calibri" w:hAnsi="Calibri" w:cs="Calibri"/>
          <w:color w:val="231F20"/>
        </w:rPr>
        <w:t>notifikacijskom</w:t>
      </w:r>
      <w:proofErr w:type="spellEnd"/>
      <w:r w:rsidRPr="00B13819">
        <w:rPr>
          <w:rFonts w:ascii="Calibri" w:hAnsi="Calibri" w:cs="Calibri"/>
          <w:color w:val="231F20"/>
        </w:rPr>
        <w:t xml:space="preserve"> postupku</w:t>
      </w:r>
      <w:r>
        <w:rPr>
          <w:rFonts w:ascii="Calibri" w:hAnsi="Calibri" w:cs="Calibri"/>
          <w:color w:val="231F20"/>
        </w:rPr>
        <w:t xml:space="preserve"> (</w:t>
      </w:r>
      <w:r>
        <w:rPr>
          <w:rFonts w:ascii="Calibri" w:hAnsi="Calibri" w:cs="Calibri"/>
          <w:color w:val="231F20"/>
        </w:rPr>
        <w:fldChar w:fldCharType="begin"/>
      </w:r>
      <w:r>
        <w:rPr>
          <w:rFonts w:ascii="Calibri" w:hAnsi="Calibri" w:cs="Calibri"/>
          <w:color w:val="231F20"/>
        </w:rPr>
        <w:instrText xml:space="preserve"> REF _Ref111060796 \h </w:instrText>
      </w:r>
      <w:r>
        <w:rPr>
          <w:rFonts w:ascii="Calibri" w:hAnsi="Calibri" w:cs="Calibri"/>
          <w:color w:val="231F20"/>
        </w:rPr>
      </w:r>
      <w:r>
        <w:rPr>
          <w:rFonts w:ascii="Calibri" w:hAnsi="Calibri" w:cs="Calibri"/>
          <w:color w:val="231F20"/>
        </w:rPr>
        <w:fldChar w:fldCharType="separate"/>
      </w:r>
      <w:r w:rsidR="00F37B62" w:rsidRPr="005859E7">
        <w:t xml:space="preserve">Tablica </w:t>
      </w:r>
      <w:r w:rsidR="00F37B62">
        <w:rPr>
          <w:noProof/>
        </w:rPr>
        <w:t>18</w:t>
      </w:r>
      <w:r>
        <w:rPr>
          <w:rFonts w:ascii="Calibri" w:hAnsi="Calibri" w:cs="Calibri"/>
          <w:color w:val="231F20"/>
        </w:rPr>
        <w:fldChar w:fldCharType="end"/>
      </w:r>
      <w:r>
        <w:rPr>
          <w:rFonts w:ascii="Calibri" w:hAnsi="Calibri" w:cs="Calibri"/>
          <w:color w:val="231F20"/>
        </w:rPr>
        <w:t>).</w:t>
      </w:r>
    </w:p>
    <w:p w14:paraId="52DEB2E5" w14:textId="078613E8" w:rsidR="005B3721" w:rsidRPr="004348AA" w:rsidRDefault="005B3721" w:rsidP="00BB2706">
      <w:pPr>
        <w:pStyle w:val="Tablica"/>
      </w:pPr>
      <w:bookmarkStart w:id="133" w:name="_Toc125364404"/>
      <w:r w:rsidRPr="004348AA">
        <w:rPr>
          <w:bCs/>
        </w:rPr>
        <w:t xml:space="preserve">Tablica </w:t>
      </w:r>
      <w:r w:rsidRPr="004348AA">
        <w:rPr>
          <w:bCs/>
        </w:rPr>
        <w:fldChar w:fldCharType="begin"/>
      </w:r>
      <w:r w:rsidRPr="004348AA">
        <w:rPr>
          <w:bCs/>
        </w:rPr>
        <w:instrText xml:space="preserve"> SEQ Tablica \* ARABIC </w:instrText>
      </w:r>
      <w:r w:rsidRPr="004348AA">
        <w:rPr>
          <w:bCs/>
        </w:rPr>
        <w:fldChar w:fldCharType="separate"/>
      </w:r>
      <w:r w:rsidR="00F37B62">
        <w:rPr>
          <w:bCs/>
          <w:noProof/>
        </w:rPr>
        <w:t>15</w:t>
      </w:r>
      <w:r w:rsidRPr="004348AA">
        <w:rPr>
          <w:bCs/>
        </w:rPr>
        <w:fldChar w:fldCharType="end"/>
      </w:r>
      <w:r w:rsidRPr="004348AA">
        <w:rPr>
          <w:bCs/>
        </w:rPr>
        <w:t>.</w:t>
      </w:r>
      <w:r w:rsidRPr="004348AA">
        <w:t xml:space="preserve"> </w:t>
      </w:r>
      <w:r w:rsidRPr="00BB2706">
        <w:rPr>
          <w:b w:val="0"/>
        </w:rPr>
        <w:t xml:space="preserve">Usporedni prikaz količina otpada koji ne podliježe </w:t>
      </w:r>
      <w:proofErr w:type="spellStart"/>
      <w:r w:rsidRPr="00BB2706">
        <w:rPr>
          <w:b w:val="0"/>
        </w:rPr>
        <w:t>notifikacijskom</w:t>
      </w:r>
      <w:proofErr w:type="spellEnd"/>
      <w:r w:rsidRPr="00BB2706">
        <w:rPr>
          <w:b w:val="0"/>
        </w:rPr>
        <w:t xml:space="preserve"> postupku, a koji se najviše uvozio/unosio i izvozio/iznosio u razdoblju od 2017. do 2021. godine</w:t>
      </w:r>
      <w:bookmarkEnd w:id="133"/>
    </w:p>
    <w:tbl>
      <w:tblPr>
        <w:tblStyle w:val="Reetkatablice"/>
        <w:tblW w:w="5000" w:type="pct"/>
        <w:tblLayout w:type="fixed"/>
        <w:tblLook w:val="04A0" w:firstRow="1" w:lastRow="0" w:firstColumn="1" w:lastColumn="0" w:noHBand="0" w:noVBand="1"/>
      </w:tblPr>
      <w:tblGrid>
        <w:gridCol w:w="913"/>
        <w:gridCol w:w="813"/>
        <w:gridCol w:w="813"/>
        <w:gridCol w:w="812"/>
        <w:gridCol w:w="813"/>
        <w:gridCol w:w="813"/>
        <w:gridCol w:w="812"/>
        <w:gridCol w:w="813"/>
        <w:gridCol w:w="812"/>
        <w:gridCol w:w="813"/>
        <w:gridCol w:w="813"/>
      </w:tblGrid>
      <w:tr w:rsidR="00776655" w:rsidRPr="005B3721" w14:paraId="1DF063C8" w14:textId="77777777" w:rsidTr="004348AA">
        <w:trPr>
          <w:trHeight w:val="300"/>
        </w:trPr>
        <w:tc>
          <w:tcPr>
            <w:tcW w:w="944" w:type="dxa"/>
            <w:vMerge w:val="restart"/>
            <w:shd w:val="clear" w:color="auto" w:fill="002060"/>
            <w:noWrap/>
            <w:hideMark/>
          </w:tcPr>
          <w:p w14:paraId="5EAB7DAC" w14:textId="77777777" w:rsidR="005B3721" w:rsidRPr="004348AA" w:rsidRDefault="005B3721" w:rsidP="00A41D37">
            <w:pPr>
              <w:jc w:val="left"/>
              <w:rPr>
                <w:rFonts w:ascii="Calibri" w:hAnsi="Calibri" w:cs="Calibri"/>
                <w:color w:val="FFFFFF" w:themeColor="background1"/>
                <w:sz w:val="16"/>
                <w:szCs w:val="16"/>
                <w:lang w:val="en-US"/>
              </w:rPr>
            </w:pPr>
            <w:r w:rsidRPr="004348AA">
              <w:rPr>
                <w:rFonts w:ascii="Calibri" w:hAnsi="Calibri" w:cs="Calibri"/>
                <w:color w:val="FFFFFF" w:themeColor="background1"/>
                <w:sz w:val="16"/>
                <w:szCs w:val="16"/>
                <w:lang w:val="en-US"/>
              </w:rPr>
              <w:t> </w:t>
            </w:r>
          </w:p>
        </w:tc>
        <w:tc>
          <w:tcPr>
            <w:tcW w:w="1681" w:type="dxa"/>
            <w:gridSpan w:val="2"/>
            <w:shd w:val="clear" w:color="auto" w:fill="002060"/>
            <w:noWrap/>
            <w:hideMark/>
          </w:tcPr>
          <w:p w14:paraId="74012917" w14:textId="77777777" w:rsidR="005B3721" w:rsidRPr="004348AA" w:rsidRDefault="005B3721" w:rsidP="004348AA">
            <w:pPr>
              <w:jc w:val="center"/>
              <w:rPr>
                <w:rFonts w:ascii="Calibri" w:hAnsi="Calibri" w:cs="Calibri"/>
                <w:color w:val="FFFFFF" w:themeColor="background1"/>
                <w:sz w:val="16"/>
                <w:szCs w:val="16"/>
                <w:lang w:val="en-US"/>
              </w:rPr>
            </w:pPr>
            <w:r w:rsidRPr="004348AA">
              <w:rPr>
                <w:rFonts w:ascii="Calibri" w:hAnsi="Calibri" w:cs="Calibri"/>
                <w:color w:val="FFFFFF" w:themeColor="background1"/>
                <w:sz w:val="16"/>
                <w:szCs w:val="16"/>
                <w:lang w:val="en-US"/>
              </w:rPr>
              <w:t>2017.</w:t>
            </w:r>
          </w:p>
        </w:tc>
        <w:tc>
          <w:tcPr>
            <w:tcW w:w="1681" w:type="dxa"/>
            <w:gridSpan w:val="2"/>
            <w:shd w:val="clear" w:color="auto" w:fill="002060"/>
            <w:noWrap/>
            <w:hideMark/>
          </w:tcPr>
          <w:p w14:paraId="6B924FFD" w14:textId="77777777" w:rsidR="005B3721" w:rsidRPr="004348AA" w:rsidRDefault="005B3721" w:rsidP="004348AA">
            <w:pPr>
              <w:jc w:val="center"/>
              <w:rPr>
                <w:rFonts w:ascii="Calibri" w:hAnsi="Calibri" w:cs="Calibri"/>
                <w:color w:val="FFFFFF" w:themeColor="background1"/>
                <w:sz w:val="16"/>
                <w:szCs w:val="16"/>
                <w:lang w:val="en-US"/>
              </w:rPr>
            </w:pPr>
            <w:r w:rsidRPr="004348AA">
              <w:rPr>
                <w:rFonts w:ascii="Calibri" w:hAnsi="Calibri" w:cs="Calibri"/>
                <w:color w:val="FFFFFF" w:themeColor="background1"/>
                <w:sz w:val="16"/>
                <w:szCs w:val="16"/>
                <w:lang w:val="en-US"/>
              </w:rPr>
              <w:t>2018.</w:t>
            </w:r>
          </w:p>
        </w:tc>
        <w:tc>
          <w:tcPr>
            <w:tcW w:w="1681" w:type="dxa"/>
            <w:gridSpan w:val="2"/>
            <w:shd w:val="clear" w:color="auto" w:fill="002060"/>
            <w:noWrap/>
            <w:hideMark/>
          </w:tcPr>
          <w:p w14:paraId="671387D5" w14:textId="77777777" w:rsidR="005B3721" w:rsidRPr="004348AA" w:rsidRDefault="005B3721" w:rsidP="004348AA">
            <w:pPr>
              <w:jc w:val="center"/>
              <w:rPr>
                <w:rFonts w:ascii="Calibri" w:hAnsi="Calibri" w:cs="Calibri"/>
                <w:color w:val="FFFFFF" w:themeColor="background1"/>
                <w:sz w:val="16"/>
                <w:szCs w:val="16"/>
                <w:lang w:val="en-US"/>
              </w:rPr>
            </w:pPr>
            <w:r w:rsidRPr="004348AA">
              <w:rPr>
                <w:rFonts w:ascii="Calibri" w:hAnsi="Calibri" w:cs="Calibri"/>
                <w:color w:val="FFFFFF" w:themeColor="background1"/>
                <w:sz w:val="16"/>
                <w:szCs w:val="16"/>
                <w:lang w:val="en-US"/>
              </w:rPr>
              <w:t>2019.</w:t>
            </w:r>
          </w:p>
        </w:tc>
        <w:tc>
          <w:tcPr>
            <w:tcW w:w="1681" w:type="dxa"/>
            <w:gridSpan w:val="2"/>
            <w:shd w:val="clear" w:color="auto" w:fill="002060"/>
            <w:noWrap/>
            <w:hideMark/>
          </w:tcPr>
          <w:p w14:paraId="734ED802" w14:textId="77777777" w:rsidR="005B3721" w:rsidRPr="004348AA" w:rsidRDefault="005B3721" w:rsidP="004348AA">
            <w:pPr>
              <w:jc w:val="center"/>
              <w:rPr>
                <w:rFonts w:ascii="Calibri" w:hAnsi="Calibri" w:cs="Calibri"/>
                <w:color w:val="FFFFFF" w:themeColor="background1"/>
                <w:sz w:val="16"/>
                <w:szCs w:val="16"/>
                <w:lang w:val="en-US"/>
              </w:rPr>
            </w:pPr>
            <w:r w:rsidRPr="004348AA">
              <w:rPr>
                <w:rFonts w:ascii="Calibri" w:hAnsi="Calibri" w:cs="Calibri"/>
                <w:color w:val="FFFFFF" w:themeColor="background1"/>
                <w:sz w:val="16"/>
                <w:szCs w:val="16"/>
                <w:lang w:val="en-US"/>
              </w:rPr>
              <w:t>2020.</w:t>
            </w:r>
          </w:p>
        </w:tc>
        <w:tc>
          <w:tcPr>
            <w:tcW w:w="1682" w:type="dxa"/>
            <w:gridSpan w:val="2"/>
            <w:shd w:val="clear" w:color="auto" w:fill="002060"/>
            <w:noWrap/>
            <w:hideMark/>
          </w:tcPr>
          <w:p w14:paraId="32C1B891" w14:textId="77777777" w:rsidR="005B3721" w:rsidRPr="004348AA" w:rsidRDefault="005B3721" w:rsidP="004348AA">
            <w:pPr>
              <w:jc w:val="center"/>
              <w:rPr>
                <w:rFonts w:ascii="Calibri" w:hAnsi="Calibri" w:cs="Calibri"/>
                <w:color w:val="FFFFFF" w:themeColor="background1"/>
                <w:sz w:val="16"/>
                <w:szCs w:val="16"/>
                <w:lang w:val="en-US"/>
              </w:rPr>
            </w:pPr>
            <w:r w:rsidRPr="004348AA">
              <w:rPr>
                <w:rFonts w:ascii="Calibri" w:hAnsi="Calibri" w:cs="Calibri"/>
                <w:color w:val="FFFFFF" w:themeColor="background1"/>
                <w:sz w:val="16"/>
                <w:szCs w:val="16"/>
                <w:lang w:val="en-US"/>
              </w:rPr>
              <w:t>2021.</w:t>
            </w:r>
          </w:p>
        </w:tc>
      </w:tr>
      <w:tr w:rsidR="00776655" w:rsidRPr="005B3721" w14:paraId="3628DE5A" w14:textId="77777777" w:rsidTr="004348AA">
        <w:trPr>
          <w:trHeight w:val="300"/>
        </w:trPr>
        <w:tc>
          <w:tcPr>
            <w:tcW w:w="944" w:type="dxa"/>
            <w:vMerge/>
            <w:shd w:val="clear" w:color="auto" w:fill="002060"/>
            <w:hideMark/>
          </w:tcPr>
          <w:p w14:paraId="3E916186" w14:textId="77777777" w:rsidR="005B3721" w:rsidRPr="001F122E" w:rsidRDefault="005B3721" w:rsidP="00A41D37">
            <w:pPr>
              <w:rPr>
                <w:rFonts w:ascii="Calibri" w:hAnsi="Calibri" w:cs="Calibri"/>
                <w:color w:val="FFFFFF" w:themeColor="background1"/>
                <w:sz w:val="16"/>
                <w:szCs w:val="16"/>
                <w:lang w:val="en-US"/>
              </w:rPr>
            </w:pPr>
          </w:p>
        </w:tc>
        <w:tc>
          <w:tcPr>
            <w:tcW w:w="840" w:type="dxa"/>
            <w:shd w:val="clear" w:color="auto" w:fill="002060"/>
            <w:vAlign w:val="center"/>
            <w:hideMark/>
          </w:tcPr>
          <w:p w14:paraId="6A572692" w14:textId="77777777" w:rsidR="005B3721" w:rsidRPr="001F122E" w:rsidRDefault="005B3721" w:rsidP="00A41D37">
            <w:pPr>
              <w:jc w:val="center"/>
              <w:rPr>
                <w:rFonts w:ascii="Calibri" w:hAnsi="Calibri" w:cs="Calibri"/>
                <w:color w:val="FFFFFF" w:themeColor="background1"/>
                <w:sz w:val="16"/>
                <w:szCs w:val="16"/>
                <w:lang w:val="en-US"/>
              </w:rPr>
            </w:pPr>
            <w:proofErr w:type="spellStart"/>
            <w:r w:rsidRPr="001F122E">
              <w:rPr>
                <w:rFonts w:ascii="Calibri" w:hAnsi="Calibri" w:cs="Calibri"/>
                <w:color w:val="FFFFFF" w:themeColor="background1"/>
                <w:sz w:val="16"/>
                <w:szCs w:val="16"/>
                <w:lang w:val="en-US"/>
              </w:rPr>
              <w:t>Izvoz</w:t>
            </w:r>
            <w:proofErr w:type="spellEnd"/>
            <w:r w:rsidRPr="001F122E">
              <w:rPr>
                <w:rFonts w:ascii="Calibri" w:hAnsi="Calibri" w:cs="Calibri"/>
                <w:color w:val="FFFFFF" w:themeColor="background1"/>
                <w:sz w:val="16"/>
                <w:szCs w:val="16"/>
                <w:lang w:val="en-US"/>
              </w:rPr>
              <w:t xml:space="preserve"> /</w:t>
            </w:r>
            <w:proofErr w:type="spellStart"/>
            <w:r w:rsidRPr="001F122E">
              <w:rPr>
                <w:rFonts w:ascii="Calibri" w:hAnsi="Calibri" w:cs="Calibri"/>
                <w:color w:val="FFFFFF" w:themeColor="background1"/>
                <w:sz w:val="16"/>
                <w:szCs w:val="16"/>
                <w:lang w:val="en-US"/>
              </w:rPr>
              <w:t>iznos</w:t>
            </w:r>
            <w:proofErr w:type="spellEnd"/>
            <w:r w:rsidRPr="001F122E">
              <w:rPr>
                <w:rFonts w:ascii="Calibri" w:hAnsi="Calibri" w:cs="Calibri"/>
                <w:color w:val="FFFFFF" w:themeColor="background1"/>
                <w:sz w:val="16"/>
                <w:szCs w:val="16"/>
                <w:lang w:val="en-US"/>
              </w:rPr>
              <w:t xml:space="preserve"> (t)</w:t>
            </w:r>
          </w:p>
        </w:tc>
        <w:tc>
          <w:tcPr>
            <w:tcW w:w="841" w:type="dxa"/>
            <w:shd w:val="clear" w:color="auto" w:fill="002060"/>
            <w:vAlign w:val="center"/>
            <w:hideMark/>
          </w:tcPr>
          <w:p w14:paraId="2C6FA786" w14:textId="77777777" w:rsidR="005B3721" w:rsidRPr="001F122E" w:rsidRDefault="005B3721" w:rsidP="00A41D37">
            <w:pPr>
              <w:jc w:val="center"/>
              <w:rPr>
                <w:rFonts w:ascii="Calibri" w:hAnsi="Calibri" w:cs="Calibri"/>
                <w:color w:val="FFFFFF" w:themeColor="background1"/>
                <w:sz w:val="16"/>
                <w:szCs w:val="16"/>
                <w:lang w:val="en-US"/>
              </w:rPr>
            </w:pPr>
            <w:proofErr w:type="spellStart"/>
            <w:r w:rsidRPr="001F122E">
              <w:rPr>
                <w:rFonts w:ascii="Calibri" w:hAnsi="Calibri" w:cs="Calibri"/>
                <w:color w:val="FFFFFF" w:themeColor="background1"/>
                <w:sz w:val="16"/>
                <w:szCs w:val="16"/>
                <w:lang w:val="en-US"/>
              </w:rPr>
              <w:t>Uvoz</w:t>
            </w:r>
            <w:proofErr w:type="spellEnd"/>
            <w:r w:rsidRPr="001F122E">
              <w:rPr>
                <w:rFonts w:ascii="Calibri" w:hAnsi="Calibri" w:cs="Calibri"/>
                <w:color w:val="FFFFFF" w:themeColor="background1"/>
                <w:sz w:val="16"/>
                <w:szCs w:val="16"/>
                <w:lang w:val="en-US"/>
              </w:rPr>
              <w:t xml:space="preserve"> /</w:t>
            </w:r>
            <w:proofErr w:type="spellStart"/>
            <w:r w:rsidRPr="001F122E">
              <w:rPr>
                <w:rFonts w:ascii="Calibri" w:hAnsi="Calibri" w:cs="Calibri"/>
                <w:color w:val="FFFFFF" w:themeColor="background1"/>
                <w:sz w:val="16"/>
                <w:szCs w:val="16"/>
                <w:lang w:val="en-US"/>
              </w:rPr>
              <w:t>unos</w:t>
            </w:r>
            <w:proofErr w:type="spellEnd"/>
            <w:r w:rsidRPr="001F122E">
              <w:rPr>
                <w:rFonts w:ascii="Calibri" w:hAnsi="Calibri" w:cs="Calibri"/>
                <w:color w:val="FFFFFF" w:themeColor="background1"/>
                <w:sz w:val="16"/>
                <w:szCs w:val="16"/>
                <w:lang w:val="en-US"/>
              </w:rPr>
              <w:t xml:space="preserve"> (t)</w:t>
            </w:r>
          </w:p>
        </w:tc>
        <w:tc>
          <w:tcPr>
            <w:tcW w:w="840" w:type="dxa"/>
            <w:shd w:val="clear" w:color="auto" w:fill="002060"/>
            <w:hideMark/>
          </w:tcPr>
          <w:p w14:paraId="527A9C84" w14:textId="77777777" w:rsidR="005B3721" w:rsidRPr="001F122E" w:rsidRDefault="005B3721" w:rsidP="00A41D37">
            <w:pPr>
              <w:jc w:val="center"/>
              <w:rPr>
                <w:rFonts w:ascii="Calibri" w:hAnsi="Calibri" w:cs="Calibri"/>
                <w:color w:val="FFFFFF" w:themeColor="background1"/>
                <w:sz w:val="16"/>
                <w:szCs w:val="16"/>
                <w:lang w:val="en-US"/>
              </w:rPr>
            </w:pPr>
            <w:r w:rsidRPr="001F122E">
              <w:rPr>
                <w:rFonts w:ascii="Calibri" w:hAnsi="Calibri" w:cs="Calibri"/>
                <w:color w:val="FFFFFF" w:themeColor="background1"/>
                <w:sz w:val="16"/>
                <w:szCs w:val="16"/>
              </w:rPr>
              <w:t>Izvoz /iznos (t)</w:t>
            </w:r>
          </w:p>
        </w:tc>
        <w:tc>
          <w:tcPr>
            <w:tcW w:w="841" w:type="dxa"/>
            <w:shd w:val="clear" w:color="auto" w:fill="002060"/>
            <w:hideMark/>
          </w:tcPr>
          <w:p w14:paraId="44D34FD1" w14:textId="77777777" w:rsidR="005B3721" w:rsidRPr="001F122E" w:rsidRDefault="005B3721" w:rsidP="00A41D37">
            <w:pPr>
              <w:jc w:val="center"/>
              <w:rPr>
                <w:rFonts w:ascii="Calibri" w:hAnsi="Calibri" w:cs="Calibri"/>
                <w:color w:val="FFFFFF" w:themeColor="background1"/>
                <w:sz w:val="16"/>
                <w:szCs w:val="16"/>
                <w:lang w:val="en-US"/>
              </w:rPr>
            </w:pPr>
            <w:r w:rsidRPr="001F122E">
              <w:rPr>
                <w:rFonts w:ascii="Calibri" w:hAnsi="Calibri" w:cs="Calibri"/>
                <w:color w:val="FFFFFF" w:themeColor="background1"/>
                <w:sz w:val="16"/>
                <w:szCs w:val="16"/>
              </w:rPr>
              <w:t>Uvoz /unos (t)</w:t>
            </w:r>
          </w:p>
        </w:tc>
        <w:tc>
          <w:tcPr>
            <w:tcW w:w="841" w:type="dxa"/>
            <w:shd w:val="clear" w:color="auto" w:fill="002060"/>
            <w:hideMark/>
          </w:tcPr>
          <w:p w14:paraId="79A9D2EC" w14:textId="77777777" w:rsidR="005B3721" w:rsidRPr="001F122E" w:rsidRDefault="005B3721" w:rsidP="00A41D37">
            <w:pPr>
              <w:jc w:val="center"/>
              <w:rPr>
                <w:rFonts w:ascii="Calibri" w:hAnsi="Calibri" w:cs="Calibri"/>
                <w:color w:val="FFFFFF" w:themeColor="background1"/>
                <w:sz w:val="16"/>
                <w:szCs w:val="16"/>
                <w:lang w:val="en-US"/>
              </w:rPr>
            </w:pPr>
            <w:r w:rsidRPr="001F122E">
              <w:rPr>
                <w:rFonts w:ascii="Calibri" w:hAnsi="Calibri" w:cs="Calibri"/>
                <w:color w:val="FFFFFF" w:themeColor="background1"/>
                <w:sz w:val="16"/>
                <w:szCs w:val="16"/>
              </w:rPr>
              <w:t>Izvoz /iznos (t)</w:t>
            </w:r>
          </w:p>
        </w:tc>
        <w:tc>
          <w:tcPr>
            <w:tcW w:w="840" w:type="dxa"/>
            <w:shd w:val="clear" w:color="auto" w:fill="002060"/>
            <w:hideMark/>
          </w:tcPr>
          <w:p w14:paraId="030DAB50" w14:textId="77777777" w:rsidR="005B3721" w:rsidRPr="001F122E" w:rsidRDefault="005B3721" w:rsidP="00A41D37">
            <w:pPr>
              <w:jc w:val="center"/>
              <w:rPr>
                <w:rFonts w:ascii="Calibri" w:hAnsi="Calibri" w:cs="Calibri"/>
                <w:color w:val="FFFFFF" w:themeColor="background1"/>
                <w:sz w:val="16"/>
                <w:szCs w:val="16"/>
                <w:lang w:val="en-US"/>
              </w:rPr>
            </w:pPr>
            <w:r w:rsidRPr="001F122E">
              <w:rPr>
                <w:rFonts w:ascii="Calibri" w:hAnsi="Calibri" w:cs="Calibri"/>
                <w:color w:val="FFFFFF" w:themeColor="background1"/>
                <w:sz w:val="16"/>
                <w:szCs w:val="16"/>
              </w:rPr>
              <w:t>Uvoz /unos (t)</w:t>
            </w:r>
          </w:p>
        </w:tc>
        <w:tc>
          <w:tcPr>
            <w:tcW w:w="841" w:type="dxa"/>
            <w:shd w:val="clear" w:color="auto" w:fill="002060"/>
            <w:hideMark/>
          </w:tcPr>
          <w:p w14:paraId="3E71CE0A" w14:textId="77777777" w:rsidR="005B3721" w:rsidRPr="001F122E" w:rsidRDefault="005B3721" w:rsidP="00A41D37">
            <w:pPr>
              <w:jc w:val="center"/>
              <w:rPr>
                <w:rFonts w:ascii="Calibri" w:hAnsi="Calibri" w:cs="Calibri"/>
                <w:color w:val="FFFFFF" w:themeColor="background1"/>
                <w:sz w:val="16"/>
                <w:szCs w:val="16"/>
                <w:lang w:val="en-US"/>
              </w:rPr>
            </w:pPr>
            <w:r w:rsidRPr="001F122E">
              <w:rPr>
                <w:rFonts w:ascii="Calibri" w:hAnsi="Calibri" w:cs="Calibri"/>
                <w:color w:val="FFFFFF" w:themeColor="background1"/>
                <w:sz w:val="16"/>
                <w:szCs w:val="16"/>
              </w:rPr>
              <w:t>Izvoz /iznos (t)</w:t>
            </w:r>
          </w:p>
        </w:tc>
        <w:tc>
          <w:tcPr>
            <w:tcW w:w="840" w:type="dxa"/>
            <w:shd w:val="clear" w:color="auto" w:fill="002060"/>
            <w:hideMark/>
          </w:tcPr>
          <w:p w14:paraId="2EFA3565" w14:textId="77777777" w:rsidR="005B3721" w:rsidRPr="001F122E" w:rsidRDefault="005B3721" w:rsidP="00A41D37">
            <w:pPr>
              <w:jc w:val="center"/>
              <w:rPr>
                <w:rFonts w:ascii="Calibri" w:hAnsi="Calibri" w:cs="Calibri"/>
                <w:color w:val="FFFFFF" w:themeColor="background1"/>
                <w:sz w:val="16"/>
                <w:szCs w:val="16"/>
                <w:lang w:val="en-US"/>
              </w:rPr>
            </w:pPr>
            <w:r w:rsidRPr="001F122E">
              <w:rPr>
                <w:rFonts w:ascii="Calibri" w:hAnsi="Calibri" w:cs="Calibri"/>
                <w:color w:val="FFFFFF" w:themeColor="background1"/>
                <w:sz w:val="16"/>
                <w:szCs w:val="16"/>
              </w:rPr>
              <w:t>Uvoz /unos (t)</w:t>
            </w:r>
          </w:p>
        </w:tc>
        <w:tc>
          <w:tcPr>
            <w:tcW w:w="841" w:type="dxa"/>
            <w:shd w:val="clear" w:color="auto" w:fill="002060"/>
            <w:hideMark/>
          </w:tcPr>
          <w:p w14:paraId="4FDF336A" w14:textId="77777777" w:rsidR="005B3721" w:rsidRPr="001F122E" w:rsidRDefault="005B3721" w:rsidP="00A41D37">
            <w:pPr>
              <w:jc w:val="center"/>
              <w:rPr>
                <w:rFonts w:ascii="Calibri" w:hAnsi="Calibri" w:cs="Calibri"/>
                <w:color w:val="FFFFFF" w:themeColor="background1"/>
                <w:sz w:val="16"/>
                <w:szCs w:val="16"/>
                <w:lang w:val="en-US"/>
              </w:rPr>
            </w:pPr>
            <w:r w:rsidRPr="001F122E">
              <w:rPr>
                <w:rFonts w:ascii="Calibri" w:hAnsi="Calibri" w:cs="Calibri"/>
                <w:color w:val="FFFFFF" w:themeColor="background1"/>
                <w:sz w:val="16"/>
                <w:szCs w:val="16"/>
              </w:rPr>
              <w:t>Izvoz /iznos (t)</w:t>
            </w:r>
          </w:p>
        </w:tc>
        <w:tc>
          <w:tcPr>
            <w:tcW w:w="841" w:type="dxa"/>
            <w:shd w:val="clear" w:color="auto" w:fill="002060"/>
            <w:hideMark/>
          </w:tcPr>
          <w:p w14:paraId="40C44D8A" w14:textId="77777777" w:rsidR="005B3721" w:rsidRPr="001F122E" w:rsidRDefault="005B3721" w:rsidP="00A41D37">
            <w:pPr>
              <w:jc w:val="center"/>
              <w:rPr>
                <w:rFonts w:ascii="Calibri" w:hAnsi="Calibri" w:cs="Calibri"/>
                <w:color w:val="FFFFFF" w:themeColor="background1"/>
                <w:sz w:val="16"/>
                <w:szCs w:val="16"/>
                <w:lang w:val="en-US"/>
              </w:rPr>
            </w:pPr>
            <w:r w:rsidRPr="001F122E">
              <w:rPr>
                <w:rFonts w:ascii="Calibri" w:hAnsi="Calibri" w:cs="Calibri"/>
                <w:color w:val="FFFFFF" w:themeColor="background1"/>
                <w:sz w:val="16"/>
                <w:szCs w:val="16"/>
              </w:rPr>
              <w:t>Uvoz /unos (t)</w:t>
            </w:r>
          </w:p>
        </w:tc>
      </w:tr>
      <w:tr w:rsidR="00776655" w:rsidRPr="005B3721" w14:paraId="10C0217A" w14:textId="77777777" w:rsidTr="004348AA">
        <w:trPr>
          <w:trHeight w:val="300"/>
        </w:trPr>
        <w:tc>
          <w:tcPr>
            <w:tcW w:w="944" w:type="dxa"/>
            <w:shd w:val="clear" w:color="auto" w:fill="D9D9D9" w:themeFill="background1" w:themeFillShade="D9"/>
            <w:noWrap/>
            <w:hideMark/>
          </w:tcPr>
          <w:p w14:paraId="277563E2" w14:textId="77777777" w:rsidR="005B3721" w:rsidRPr="004348AA" w:rsidRDefault="005B3721" w:rsidP="00A41D37">
            <w:pPr>
              <w:spacing w:before="60" w:after="60"/>
              <w:rPr>
                <w:rFonts w:ascii="Calibri" w:hAnsi="Calibri" w:cs="Calibri"/>
                <w:sz w:val="16"/>
                <w:szCs w:val="16"/>
                <w:lang w:val="en-US"/>
              </w:rPr>
            </w:pPr>
            <w:proofErr w:type="spellStart"/>
            <w:r w:rsidRPr="004348AA">
              <w:rPr>
                <w:rFonts w:ascii="Calibri" w:hAnsi="Calibri" w:cs="Calibri"/>
                <w:sz w:val="16"/>
                <w:szCs w:val="16"/>
                <w:lang w:val="en-US"/>
              </w:rPr>
              <w:t>Otpad</w:t>
            </w:r>
            <w:proofErr w:type="spellEnd"/>
            <w:r w:rsidRPr="004348AA">
              <w:rPr>
                <w:rFonts w:ascii="Calibri" w:hAnsi="Calibri" w:cs="Calibri"/>
                <w:sz w:val="16"/>
                <w:szCs w:val="16"/>
                <w:lang w:val="en-US"/>
              </w:rPr>
              <w:t xml:space="preserve"> od </w:t>
            </w:r>
            <w:proofErr w:type="spellStart"/>
            <w:r w:rsidRPr="004348AA">
              <w:rPr>
                <w:rFonts w:ascii="Calibri" w:hAnsi="Calibri" w:cs="Calibri"/>
                <w:sz w:val="16"/>
                <w:szCs w:val="16"/>
                <w:lang w:val="en-US"/>
              </w:rPr>
              <w:t>metala</w:t>
            </w:r>
            <w:proofErr w:type="spellEnd"/>
          </w:p>
        </w:tc>
        <w:tc>
          <w:tcPr>
            <w:tcW w:w="840" w:type="dxa"/>
            <w:shd w:val="clear" w:color="auto" w:fill="auto"/>
            <w:noWrap/>
            <w:vAlign w:val="center"/>
            <w:hideMark/>
          </w:tcPr>
          <w:p w14:paraId="5D85AFEA"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444.253</w:t>
            </w:r>
          </w:p>
        </w:tc>
        <w:tc>
          <w:tcPr>
            <w:tcW w:w="841" w:type="dxa"/>
            <w:shd w:val="clear" w:color="auto" w:fill="auto"/>
            <w:noWrap/>
            <w:vAlign w:val="center"/>
            <w:hideMark/>
          </w:tcPr>
          <w:p w14:paraId="6CBA838A"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66.720</w:t>
            </w:r>
          </w:p>
        </w:tc>
        <w:tc>
          <w:tcPr>
            <w:tcW w:w="840" w:type="dxa"/>
            <w:shd w:val="clear" w:color="auto" w:fill="auto"/>
            <w:noWrap/>
            <w:vAlign w:val="center"/>
            <w:hideMark/>
          </w:tcPr>
          <w:p w14:paraId="4A5535AD"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412.833</w:t>
            </w:r>
          </w:p>
        </w:tc>
        <w:tc>
          <w:tcPr>
            <w:tcW w:w="841" w:type="dxa"/>
            <w:shd w:val="clear" w:color="auto" w:fill="auto"/>
            <w:noWrap/>
            <w:vAlign w:val="center"/>
            <w:hideMark/>
          </w:tcPr>
          <w:p w14:paraId="41F90118"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147.617</w:t>
            </w:r>
          </w:p>
        </w:tc>
        <w:tc>
          <w:tcPr>
            <w:tcW w:w="841" w:type="dxa"/>
            <w:shd w:val="clear" w:color="auto" w:fill="auto"/>
            <w:noWrap/>
            <w:vAlign w:val="center"/>
            <w:hideMark/>
          </w:tcPr>
          <w:p w14:paraId="08ABC7FE"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500.965</w:t>
            </w:r>
          </w:p>
        </w:tc>
        <w:tc>
          <w:tcPr>
            <w:tcW w:w="840" w:type="dxa"/>
            <w:shd w:val="clear" w:color="auto" w:fill="auto"/>
            <w:noWrap/>
            <w:vAlign w:val="center"/>
            <w:hideMark/>
          </w:tcPr>
          <w:p w14:paraId="41241FAF"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91.448</w:t>
            </w:r>
          </w:p>
        </w:tc>
        <w:tc>
          <w:tcPr>
            <w:tcW w:w="841" w:type="dxa"/>
            <w:shd w:val="clear" w:color="auto" w:fill="auto"/>
            <w:noWrap/>
            <w:vAlign w:val="center"/>
            <w:hideMark/>
          </w:tcPr>
          <w:p w14:paraId="21E05032"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rPr>
              <w:t>612.107</w:t>
            </w:r>
          </w:p>
        </w:tc>
        <w:tc>
          <w:tcPr>
            <w:tcW w:w="840" w:type="dxa"/>
            <w:shd w:val="clear" w:color="auto" w:fill="auto"/>
            <w:noWrap/>
            <w:vAlign w:val="center"/>
            <w:hideMark/>
          </w:tcPr>
          <w:p w14:paraId="35715CEA"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rPr>
              <w:t>243.148</w:t>
            </w:r>
          </w:p>
        </w:tc>
        <w:tc>
          <w:tcPr>
            <w:tcW w:w="841" w:type="dxa"/>
            <w:shd w:val="clear" w:color="auto" w:fill="auto"/>
            <w:noWrap/>
            <w:vAlign w:val="center"/>
            <w:hideMark/>
          </w:tcPr>
          <w:p w14:paraId="5906532D"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699.898</w:t>
            </w:r>
          </w:p>
        </w:tc>
        <w:tc>
          <w:tcPr>
            <w:tcW w:w="841" w:type="dxa"/>
            <w:shd w:val="clear" w:color="auto" w:fill="auto"/>
            <w:noWrap/>
            <w:vAlign w:val="center"/>
            <w:hideMark/>
          </w:tcPr>
          <w:p w14:paraId="62B1BAD7"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409.993</w:t>
            </w:r>
          </w:p>
        </w:tc>
      </w:tr>
      <w:tr w:rsidR="00776655" w:rsidRPr="005B3721" w14:paraId="63A3556C" w14:textId="77777777" w:rsidTr="004348AA">
        <w:trPr>
          <w:trHeight w:val="300"/>
        </w:trPr>
        <w:tc>
          <w:tcPr>
            <w:tcW w:w="944" w:type="dxa"/>
            <w:shd w:val="clear" w:color="auto" w:fill="D9D9D9" w:themeFill="background1" w:themeFillShade="D9"/>
            <w:noWrap/>
            <w:hideMark/>
          </w:tcPr>
          <w:p w14:paraId="26661BE8" w14:textId="77777777" w:rsidR="005B3721" w:rsidRPr="004348AA" w:rsidRDefault="005B3721" w:rsidP="00A41D37">
            <w:pPr>
              <w:spacing w:before="60" w:after="60"/>
              <w:rPr>
                <w:rFonts w:ascii="Calibri" w:hAnsi="Calibri" w:cs="Calibri"/>
                <w:sz w:val="16"/>
                <w:szCs w:val="16"/>
                <w:lang w:val="en-US"/>
              </w:rPr>
            </w:pPr>
            <w:proofErr w:type="spellStart"/>
            <w:r w:rsidRPr="004348AA">
              <w:rPr>
                <w:rFonts w:ascii="Calibri" w:hAnsi="Calibri" w:cs="Calibri"/>
                <w:sz w:val="16"/>
                <w:szCs w:val="16"/>
                <w:lang w:val="en-US"/>
              </w:rPr>
              <w:lastRenderedPageBreak/>
              <w:t>Otpad</w:t>
            </w:r>
            <w:proofErr w:type="spellEnd"/>
            <w:r w:rsidRPr="004348AA">
              <w:rPr>
                <w:rFonts w:ascii="Calibri" w:hAnsi="Calibri" w:cs="Calibri"/>
                <w:sz w:val="16"/>
                <w:szCs w:val="16"/>
                <w:lang w:val="en-US"/>
              </w:rPr>
              <w:t xml:space="preserve"> od </w:t>
            </w:r>
            <w:proofErr w:type="spellStart"/>
            <w:r w:rsidRPr="004348AA">
              <w:rPr>
                <w:rFonts w:ascii="Calibri" w:hAnsi="Calibri" w:cs="Calibri"/>
                <w:sz w:val="16"/>
                <w:szCs w:val="16"/>
                <w:lang w:val="en-US"/>
              </w:rPr>
              <w:t>papira</w:t>
            </w:r>
            <w:proofErr w:type="spellEnd"/>
            <w:r w:rsidRPr="004348AA">
              <w:rPr>
                <w:rFonts w:ascii="Calibri" w:hAnsi="Calibri" w:cs="Calibri"/>
                <w:sz w:val="16"/>
                <w:szCs w:val="16"/>
                <w:lang w:val="en-US"/>
              </w:rPr>
              <w:t xml:space="preserve"> </w:t>
            </w:r>
            <w:proofErr w:type="spellStart"/>
            <w:r w:rsidRPr="004348AA">
              <w:rPr>
                <w:rFonts w:ascii="Calibri" w:hAnsi="Calibri" w:cs="Calibri"/>
                <w:sz w:val="16"/>
                <w:szCs w:val="16"/>
                <w:lang w:val="en-US"/>
              </w:rPr>
              <w:t>i</w:t>
            </w:r>
            <w:proofErr w:type="spellEnd"/>
            <w:r w:rsidRPr="004348AA">
              <w:rPr>
                <w:rFonts w:ascii="Calibri" w:hAnsi="Calibri" w:cs="Calibri"/>
                <w:sz w:val="16"/>
                <w:szCs w:val="16"/>
                <w:lang w:val="en-US"/>
              </w:rPr>
              <w:t xml:space="preserve"> </w:t>
            </w:r>
            <w:proofErr w:type="spellStart"/>
            <w:r w:rsidRPr="004348AA">
              <w:rPr>
                <w:rFonts w:ascii="Calibri" w:hAnsi="Calibri" w:cs="Calibri"/>
                <w:sz w:val="16"/>
                <w:szCs w:val="16"/>
                <w:lang w:val="en-US"/>
              </w:rPr>
              <w:t>kartona</w:t>
            </w:r>
            <w:proofErr w:type="spellEnd"/>
          </w:p>
        </w:tc>
        <w:tc>
          <w:tcPr>
            <w:tcW w:w="840" w:type="dxa"/>
            <w:shd w:val="clear" w:color="auto" w:fill="auto"/>
            <w:noWrap/>
            <w:vAlign w:val="center"/>
            <w:hideMark/>
          </w:tcPr>
          <w:p w14:paraId="36494BC7"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150.446</w:t>
            </w:r>
          </w:p>
        </w:tc>
        <w:tc>
          <w:tcPr>
            <w:tcW w:w="841" w:type="dxa"/>
            <w:shd w:val="clear" w:color="auto" w:fill="auto"/>
            <w:noWrap/>
            <w:vAlign w:val="center"/>
            <w:hideMark/>
          </w:tcPr>
          <w:p w14:paraId="34ECE97C"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154.295</w:t>
            </w:r>
          </w:p>
        </w:tc>
        <w:tc>
          <w:tcPr>
            <w:tcW w:w="840" w:type="dxa"/>
            <w:shd w:val="clear" w:color="auto" w:fill="auto"/>
            <w:noWrap/>
            <w:vAlign w:val="center"/>
            <w:hideMark/>
          </w:tcPr>
          <w:p w14:paraId="7FC60BDD"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147.625</w:t>
            </w:r>
          </w:p>
        </w:tc>
        <w:tc>
          <w:tcPr>
            <w:tcW w:w="841" w:type="dxa"/>
            <w:shd w:val="clear" w:color="auto" w:fill="auto"/>
            <w:noWrap/>
            <w:vAlign w:val="center"/>
            <w:hideMark/>
          </w:tcPr>
          <w:p w14:paraId="6BC22AF9"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145.355</w:t>
            </w:r>
          </w:p>
        </w:tc>
        <w:tc>
          <w:tcPr>
            <w:tcW w:w="841" w:type="dxa"/>
            <w:shd w:val="clear" w:color="auto" w:fill="auto"/>
            <w:noWrap/>
            <w:vAlign w:val="center"/>
            <w:hideMark/>
          </w:tcPr>
          <w:p w14:paraId="12F77EE2"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173.546</w:t>
            </w:r>
          </w:p>
        </w:tc>
        <w:tc>
          <w:tcPr>
            <w:tcW w:w="840" w:type="dxa"/>
            <w:shd w:val="clear" w:color="auto" w:fill="auto"/>
            <w:noWrap/>
            <w:vAlign w:val="center"/>
            <w:hideMark/>
          </w:tcPr>
          <w:p w14:paraId="3BCB5149"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147.569</w:t>
            </w:r>
          </w:p>
        </w:tc>
        <w:tc>
          <w:tcPr>
            <w:tcW w:w="841" w:type="dxa"/>
            <w:shd w:val="clear" w:color="auto" w:fill="auto"/>
            <w:noWrap/>
            <w:vAlign w:val="center"/>
            <w:hideMark/>
          </w:tcPr>
          <w:p w14:paraId="01FA254E"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rPr>
              <w:t>154.660</w:t>
            </w:r>
          </w:p>
        </w:tc>
        <w:tc>
          <w:tcPr>
            <w:tcW w:w="840" w:type="dxa"/>
            <w:shd w:val="clear" w:color="auto" w:fill="auto"/>
            <w:noWrap/>
            <w:vAlign w:val="center"/>
            <w:hideMark/>
          </w:tcPr>
          <w:p w14:paraId="7475D542"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rPr>
              <w:t>149.025</w:t>
            </w:r>
          </w:p>
        </w:tc>
        <w:tc>
          <w:tcPr>
            <w:tcW w:w="841" w:type="dxa"/>
            <w:shd w:val="clear" w:color="auto" w:fill="auto"/>
            <w:noWrap/>
            <w:vAlign w:val="center"/>
            <w:hideMark/>
          </w:tcPr>
          <w:p w14:paraId="67834075"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182.743</w:t>
            </w:r>
          </w:p>
        </w:tc>
        <w:tc>
          <w:tcPr>
            <w:tcW w:w="841" w:type="dxa"/>
            <w:shd w:val="clear" w:color="auto" w:fill="auto"/>
            <w:noWrap/>
            <w:vAlign w:val="center"/>
            <w:hideMark/>
          </w:tcPr>
          <w:p w14:paraId="314CC69C"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184.504</w:t>
            </w:r>
          </w:p>
        </w:tc>
      </w:tr>
    </w:tbl>
    <w:p w14:paraId="76457985" w14:textId="77777777" w:rsidR="005B3721" w:rsidRDefault="005B3721" w:rsidP="005B3721">
      <w:pPr>
        <w:spacing w:after="0"/>
        <w:jc w:val="right"/>
        <w:rPr>
          <w:i/>
          <w:iCs/>
          <w:sz w:val="18"/>
          <w:szCs w:val="20"/>
        </w:rPr>
      </w:pPr>
      <w:r w:rsidRPr="005538BD">
        <w:rPr>
          <w:i/>
          <w:iCs/>
          <w:sz w:val="18"/>
          <w:szCs w:val="20"/>
        </w:rPr>
        <w:t>Izvor: MINGOR</w:t>
      </w:r>
    </w:p>
    <w:p w14:paraId="07946497" w14:textId="77777777" w:rsidR="005B3721" w:rsidRPr="005B3721" w:rsidRDefault="005B3721" w:rsidP="005B3721"/>
    <w:p w14:paraId="5D33A963" w14:textId="77777777" w:rsidR="005B3721" w:rsidRDefault="005B3721" w:rsidP="005538BD"/>
    <w:p w14:paraId="449F35FD" w14:textId="759D7F60" w:rsidR="005639D7" w:rsidRPr="002252F5" w:rsidRDefault="002252F5">
      <w:pPr>
        <w:pStyle w:val="IRNaslov2"/>
        <w:numPr>
          <w:ilvl w:val="1"/>
          <w:numId w:val="22"/>
        </w:numPr>
        <w:ind w:left="709" w:hanging="709"/>
      </w:pPr>
      <w:bookmarkStart w:id="134" w:name="_Toc123211643"/>
      <w:r w:rsidRPr="002252F5">
        <w:t>Postoje</w:t>
      </w:r>
      <w:r>
        <w:t>će građevine, uređaji i sustavi za gospodarenje otpadom</w:t>
      </w:r>
      <w:bookmarkEnd w:id="134"/>
    </w:p>
    <w:p w14:paraId="7D8E15D2" w14:textId="5554E425" w:rsidR="005639D7" w:rsidRPr="00762C39" w:rsidRDefault="002252F5">
      <w:pPr>
        <w:pStyle w:val="IRNaslov3"/>
        <w:numPr>
          <w:ilvl w:val="2"/>
          <w:numId w:val="22"/>
        </w:numPr>
        <w:ind w:left="1418"/>
        <w:rPr>
          <w:rStyle w:val="zadanifontodlomka-000023"/>
          <w:rFonts w:asciiTheme="minorHAnsi" w:hAnsiTheme="minorHAnsi"/>
          <w:color w:val="auto"/>
          <w:szCs w:val="26"/>
        </w:rPr>
      </w:pPr>
      <w:bookmarkStart w:id="135" w:name="_Toc123211644"/>
      <w:r w:rsidRPr="00762C39">
        <w:rPr>
          <w:rStyle w:val="zadanifontodlomka-000023"/>
          <w:rFonts w:asciiTheme="minorHAnsi" w:hAnsiTheme="minorHAnsi"/>
          <w:color w:val="auto"/>
          <w:szCs w:val="26"/>
        </w:rPr>
        <w:t>Građevine i uređaji za gospodarenja otpadom</w:t>
      </w:r>
      <w:bookmarkEnd w:id="135"/>
    </w:p>
    <w:p w14:paraId="357FA1DF" w14:textId="21485A95" w:rsidR="00762C39" w:rsidRDefault="00762C39" w:rsidP="00762C39">
      <w:r>
        <w:t xml:space="preserve">Sukladno propisanom u </w:t>
      </w:r>
      <w:r w:rsidR="00566DF8">
        <w:t xml:space="preserve"> </w:t>
      </w:r>
      <w:r w:rsidR="00A50836">
        <w:t>ZGO</w:t>
      </w:r>
      <w:r w:rsidR="00DD4D4C">
        <w:t>-u,</w:t>
      </w:r>
      <w:r>
        <w:t xml:space="preserve"> g</w:t>
      </w:r>
      <w:r w:rsidRPr="001212FC">
        <w:t xml:space="preserve">rađevina za gospodarenje otpadom je građevina za sakupljanje otpada uključujući skladište otpada, pretovarnu stanicu i </w:t>
      </w:r>
      <w:proofErr w:type="spellStart"/>
      <w:r w:rsidRPr="001212FC">
        <w:t>reciklažno</w:t>
      </w:r>
      <w:proofErr w:type="spellEnd"/>
      <w:r w:rsidRPr="001212FC">
        <w:t xml:space="preserve"> dvorište, građevina za obradu otpada, uključujući odlagalište otpada, centar za gospodarenje otpadom i </w:t>
      </w:r>
      <w:proofErr w:type="spellStart"/>
      <w:r w:rsidRPr="001212FC">
        <w:t>reciklažno</w:t>
      </w:r>
      <w:proofErr w:type="spellEnd"/>
      <w:r w:rsidRPr="001212FC">
        <w:t xml:space="preserve"> dvorište za građevni otpad</w:t>
      </w:r>
      <w:r>
        <w:t>.</w:t>
      </w:r>
    </w:p>
    <w:p w14:paraId="1E891D3E" w14:textId="6881C484" w:rsidR="002252F5" w:rsidRPr="005B09E7" w:rsidRDefault="002252F5" w:rsidP="00A22739">
      <w:pPr>
        <w:pStyle w:val="IRNaslov4"/>
      </w:pPr>
      <w:proofErr w:type="spellStart"/>
      <w:r w:rsidRPr="005B09E7">
        <w:t>Reciklažna</w:t>
      </w:r>
      <w:proofErr w:type="spellEnd"/>
      <w:r w:rsidRPr="005B09E7">
        <w:t xml:space="preserve"> dvorišta</w:t>
      </w:r>
    </w:p>
    <w:p w14:paraId="7909C3F4" w14:textId="10C0E0E7" w:rsidR="00762C39" w:rsidRDefault="00762C39" w:rsidP="00762C39">
      <w:proofErr w:type="spellStart"/>
      <w:r>
        <w:t>R</w:t>
      </w:r>
      <w:r w:rsidRPr="001212FC">
        <w:t>eciklažno</w:t>
      </w:r>
      <w:proofErr w:type="spellEnd"/>
      <w:r w:rsidRPr="001212FC">
        <w:t xml:space="preserve"> dvorište je nadzirani ograđeni prostor namijenjen odvojenom prikupljanju i privremenom skladištenju manjih količina opasnog komunalnog otpada, </w:t>
      </w:r>
      <w:proofErr w:type="spellStart"/>
      <w:r w:rsidRPr="001212FC">
        <w:t>reciklabilnog</w:t>
      </w:r>
      <w:proofErr w:type="spellEnd"/>
      <w:r w:rsidRPr="001212FC">
        <w:t xml:space="preserve"> komunalnog otpada i drugih propisanih vrsta otpada</w:t>
      </w:r>
      <w:r>
        <w:t xml:space="preserve">. </w:t>
      </w:r>
      <w:r w:rsidRPr="001212FC">
        <w:t>Kako bi se osigurala dostupnost usluge odvojenog sakupljanja opasnog komunalnog otpada i drugog komunalnog otpada</w:t>
      </w:r>
      <w:r>
        <w:t>,</w:t>
      </w:r>
      <w:r w:rsidR="007101B4">
        <w:t xml:space="preserve"> ZGO </w:t>
      </w:r>
      <w:r w:rsidRPr="001212FC">
        <w:t>JLS</w:t>
      </w:r>
      <w:r>
        <w:t xml:space="preserve">-ovima </w:t>
      </w:r>
      <w:r w:rsidR="00DD4D4C">
        <w:t xml:space="preserve">propisuje </w:t>
      </w:r>
      <w:r w:rsidRPr="001212FC">
        <w:t>obvez</w:t>
      </w:r>
      <w:r w:rsidR="00DD4D4C">
        <w:t>u</w:t>
      </w:r>
      <w:r w:rsidRPr="001212FC">
        <w:t xml:space="preserve"> osiguranja uspostave minimalnog broja </w:t>
      </w:r>
      <w:proofErr w:type="spellStart"/>
      <w:r w:rsidRPr="001212FC">
        <w:t>reciklažnih</w:t>
      </w:r>
      <w:proofErr w:type="spellEnd"/>
      <w:r w:rsidRPr="001212FC">
        <w:t xml:space="preserve"> dvorišta ili mobilnih jedinica</w:t>
      </w:r>
      <w:r w:rsidR="00095E9B">
        <w:t xml:space="preserve"> sukladno uvjetima definiranim člankom 84. toga Zakona </w:t>
      </w:r>
      <w:r w:rsidR="00095E9B">
        <w:rPr>
          <w:rStyle w:val="Referencafusnote"/>
        </w:rPr>
        <w:footnoteReference w:id="25"/>
      </w:r>
      <w:r w:rsidRPr="001212FC">
        <w:t>.</w:t>
      </w:r>
      <w:r>
        <w:t xml:space="preserve"> O</w:t>
      </w:r>
      <w:r w:rsidRPr="001212FC">
        <w:t xml:space="preserve">soba koja upravlja </w:t>
      </w:r>
      <w:proofErr w:type="spellStart"/>
      <w:r w:rsidRPr="001212FC">
        <w:t>reciklažnim</w:t>
      </w:r>
      <w:proofErr w:type="spellEnd"/>
      <w:r w:rsidRPr="001212FC">
        <w:t xml:space="preserve"> dvorištem dužna je bez naknade zaprimiti opasni komunalni otpad, otpadni papir, drvo, metal, staklo, plastiku, tekstil i krupni (glomazni) otpad koji je nastao kod korisnika usluge razvrstanog u kategoriju kućanstvo na odgovarajućem području </w:t>
      </w:r>
      <w:r>
        <w:t>JLS</w:t>
      </w:r>
      <w:r w:rsidRPr="001212FC">
        <w:t xml:space="preserve"> za koje je uspostavljeno to </w:t>
      </w:r>
      <w:proofErr w:type="spellStart"/>
      <w:r w:rsidRPr="001212FC">
        <w:t>reciklažno</w:t>
      </w:r>
      <w:proofErr w:type="spellEnd"/>
      <w:r w:rsidRPr="001212FC">
        <w:t xml:space="preserve"> dvorište.</w:t>
      </w:r>
    </w:p>
    <w:p w14:paraId="06AF70D7" w14:textId="07B38110" w:rsidR="00762C39" w:rsidRDefault="00762C39" w:rsidP="00762C39">
      <w:r>
        <w:t xml:space="preserve">Kao rezultat ulaganja u sustav za odvojeno sakupljanje otpada u sklopu kojeg se provodila i izgradnja </w:t>
      </w:r>
      <w:proofErr w:type="spellStart"/>
      <w:r>
        <w:t>reciklažnih</w:t>
      </w:r>
      <w:proofErr w:type="spellEnd"/>
      <w:r>
        <w:t xml:space="preserve"> dvorišta, u razdoblju od 2015. godine nadalje bilježi se značajan porast broja </w:t>
      </w:r>
      <w:proofErr w:type="spellStart"/>
      <w:r>
        <w:t>reciklažnih</w:t>
      </w:r>
      <w:proofErr w:type="spellEnd"/>
      <w:r>
        <w:t xml:space="preserve"> dvorišta upisanih u Očevidnik </w:t>
      </w:r>
      <w:proofErr w:type="spellStart"/>
      <w:r>
        <w:t>reciklažnih</w:t>
      </w:r>
      <w:proofErr w:type="spellEnd"/>
      <w:r>
        <w:t xml:space="preserve"> dvorišta odnosno u Evidenciju</w:t>
      </w:r>
      <w:r w:rsidRPr="003626C4">
        <w:t xml:space="preserve"> prijevoznika otpada, posrednika otpadom, trgovaca otpadom i </w:t>
      </w:r>
      <w:proofErr w:type="spellStart"/>
      <w:r w:rsidRPr="003626C4">
        <w:t>reciklažnih</w:t>
      </w:r>
      <w:proofErr w:type="spellEnd"/>
      <w:r w:rsidRPr="003626C4">
        <w:t xml:space="preserve"> dvorišta</w:t>
      </w:r>
      <w:r>
        <w:t xml:space="preserve"> </w:t>
      </w:r>
      <w:r>
        <w:rPr>
          <w:rStyle w:val="Referencafusnote"/>
        </w:rPr>
        <w:footnoteReference w:id="26"/>
      </w:r>
      <w:r>
        <w:t xml:space="preserve">. U 2015. godini bilo je evidentirano 34 </w:t>
      </w:r>
      <w:proofErr w:type="spellStart"/>
      <w:r>
        <w:t>reciklažnih</w:t>
      </w:r>
      <w:proofErr w:type="spellEnd"/>
      <w:r>
        <w:t xml:space="preserve"> dvorišta, dok ih je u 2021. godini bilo 376. </w:t>
      </w:r>
    </w:p>
    <w:p w14:paraId="6E7C8BC4" w14:textId="7D9AFED9" w:rsidR="007E4671" w:rsidRPr="0035380E" w:rsidRDefault="00762C39" w:rsidP="007E4671">
      <w:r w:rsidRPr="0035380E">
        <w:lastRenderedPageBreak/>
        <w:t xml:space="preserve">Do kolovoza 2022. godine evidentirano je ukupno 417 </w:t>
      </w:r>
      <w:proofErr w:type="spellStart"/>
      <w:r w:rsidRPr="0035380E">
        <w:t>reciklažnih</w:t>
      </w:r>
      <w:proofErr w:type="spellEnd"/>
      <w:r w:rsidRPr="0035380E">
        <w:t xml:space="preserve"> dvorišta, od čega 246 stacionarnih i 171 mobilnih </w:t>
      </w:r>
      <w:proofErr w:type="spellStart"/>
      <w:r w:rsidR="00E64A83">
        <w:t>reciklažnih</w:t>
      </w:r>
      <w:proofErr w:type="spellEnd"/>
      <w:r w:rsidR="00E64A83">
        <w:t xml:space="preserve"> dvorišta koja se nalaze </w:t>
      </w:r>
      <w:r w:rsidRPr="0035380E">
        <w:t>na području 397 JLS odnosno</w:t>
      </w:r>
      <w:r w:rsidR="00E64A83">
        <w:t xml:space="preserve"> na</w:t>
      </w:r>
      <w:r w:rsidRPr="0035380E">
        <w:t xml:space="preserve"> 71 % postojećih JLS. Županijski razmještaj </w:t>
      </w:r>
      <w:proofErr w:type="spellStart"/>
      <w:r w:rsidRPr="0035380E">
        <w:t>reciklažnih</w:t>
      </w:r>
      <w:proofErr w:type="spellEnd"/>
      <w:r w:rsidRPr="0035380E">
        <w:t xml:space="preserve"> dvorišta daje se na</w:t>
      </w:r>
      <w:r w:rsidR="007E4671">
        <w:t xml:space="preserve"> slici u nastavku.</w:t>
      </w:r>
    </w:p>
    <w:p w14:paraId="13888BB3" w14:textId="22CA6F10" w:rsidR="00762C39" w:rsidRPr="0035380E" w:rsidRDefault="00762C39" w:rsidP="00762C39"/>
    <w:p w14:paraId="1EDB1708" w14:textId="209CD278" w:rsidR="0035380E" w:rsidRDefault="0035380E" w:rsidP="000552E4">
      <w:pPr>
        <w:jc w:val="center"/>
      </w:pPr>
      <w:bookmarkStart w:id="136" w:name="_Ref111039872"/>
    </w:p>
    <w:p w14:paraId="1755267B" w14:textId="50E1EE59" w:rsidR="00762C39" w:rsidRDefault="00762C39" w:rsidP="00762C39">
      <w:pPr>
        <w:pStyle w:val="Slika"/>
      </w:pPr>
      <w:bookmarkStart w:id="137" w:name="_Toc125363953"/>
      <w:r w:rsidRPr="0035380E">
        <w:t xml:space="preserve">Slika </w:t>
      </w:r>
      <w:fldSimple w:instr=" SEQ Slika \* ARABIC ">
        <w:r w:rsidR="00F37B62">
          <w:rPr>
            <w:noProof/>
          </w:rPr>
          <w:t>45</w:t>
        </w:r>
      </w:fldSimple>
      <w:bookmarkEnd w:id="136"/>
      <w:r w:rsidRPr="0035380E">
        <w:t xml:space="preserve">. </w:t>
      </w:r>
      <w:r w:rsidRPr="0035380E">
        <w:rPr>
          <w:b w:val="0"/>
          <w:bCs/>
        </w:rPr>
        <w:t xml:space="preserve">Broj </w:t>
      </w:r>
      <w:proofErr w:type="spellStart"/>
      <w:r w:rsidRPr="0035380E">
        <w:rPr>
          <w:b w:val="0"/>
          <w:bCs/>
        </w:rPr>
        <w:t>reciklažnih</w:t>
      </w:r>
      <w:proofErr w:type="spellEnd"/>
      <w:r w:rsidRPr="0035380E">
        <w:rPr>
          <w:b w:val="0"/>
          <w:bCs/>
        </w:rPr>
        <w:t xml:space="preserve"> dvorišta evidentiranih do kolovoza 2022. godine</w:t>
      </w:r>
      <w:bookmarkEnd w:id="137"/>
    </w:p>
    <w:p w14:paraId="38B2025E" w14:textId="2030EEFB" w:rsidR="00762C39" w:rsidRPr="00CF311C" w:rsidRDefault="00762C39" w:rsidP="00762C39">
      <w:r w:rsidRPr="00CF311C">
        <w:t xml:space="preserve">Dosadašnja ulaganja u </w:t>
      </w:r>
      <w:proofErr w:type="spellStart"/>
      <w:r w:rsidRPr="00CF311C">
        <w:t>reciklažna</w:t>
      </w:r>
      <w:proofErr w:type="spellEnd"/>
      <w:r w:rsidRPr="00CF311C">
        <w:t xml:space="preserve"> dvorišta ispunjavaju svoju svrhu, no količine koje se odvojeno sakupe putem </w:t>
      </w:r>
      <w:proofErr w:type="spellStart"/>
      <w:r w:rsidRPr="00CF311C">
        <w:t>reciklažnih</w:t>
      </w:r>
      <w:proofErr w:type="spellEnd"/>
      <w:r w:rsidRPr="00CF311C">
        <w:t xml:space="preserve"> dvorišta još uvijek nisu dostatne (</w:t>
      </w:r>
      <w:r w:rsidRPr="00CF311C">
        <w:fldChar w:fldCharType="begin"/>
      </w:r>
      <w:r w:rsidRPr="00CF311C">
        <w:instrText xml:space="preserve"> REF _Ref111040136 \h </w:instrText>
      </w:r>
      <w:r w:rsidRPr="00CF311C">
        <w:fldChar w:fldCharType="separate"/>
      </w:r>
      <w:r w:rsidR="00F37B62">
        <w:t xml:space="preserve">Slika </w:t>
      </w:r>
      <w:r w:rsidR="00F37B62">
        <w:rPr>
          <w:noProof/>
        </w:rPr>
        <w:t>46</w:t>
      </w:r>
      <w:r w:rsidRPr="00CF311C">
        <w:fldChar w:fldCharType="end"/>
      </w:r>
      <w:r w:rsidRPr="00CF311C">
        <w:t>), te čine udio u odvojeno sakupljenom komunalnom otpadu od svega oko 8 %.</w:t>
      </w:r>
    </w:p>
    <w:p w14:paraId="6045E57F" w14:textId="77777777" w:rsidR="00762C39" w:rsidRPr="00762C39" w:rsidRDefault="00762C39" w:rsidP="00762C39">
      <w:pPr>
        <w:spacing w:after="0"/>
        <w:jc w:val="right"/>
        <w:rPr>
          <w:i/>
          <w:iCs/>
          <w:sz w:val="18"/>
          <w:szCs w:val="20"/>
        </w:rPr>
      </w:pPr>
      <w:r w:rsidRPr="00762C39">
        <w:rPr>
          <w:i/>
          <w:iCs/>
          <w:sz w:val="18"/>
          <w:szCs w:val="20"/>
        </w:rPr>
        <w:t xml:space="preserve">            Izvor: MINGOR</w:t>
      </w:r>
    </w:p>
    <w:p w14:paraId="748215AC" w14:textId="651AE431" w:rsidR="00762C39" w:rsidRDefault="00762C39" w:rsidP="00762C39">
      <w:pPr>
        <w:pStyle w:val="Slika"/>
      </w:pPr>
      <w:bookmarkStart w:id="138" w:name="_Ref111040136"/>
      <w:bookmarkStart w:id="139" w:name="_Toc125363954"/>
      <w:r>
        <w:t xml:space="preserve">Slika </w:t>
      </w:r>
      <w:fldSimple w:instr=" SEQ Slika \* ARABIC ">
        <w:r w:rsidR="00F37B62">
          <w:rPr>
            <w:noProof/>
          </w:rPr>
          <w:t>46</w:t>
        </w:r>
      </w:fldSimple>
      <w:bookmarkEnd w:id="138"/>
      <w:r>
        <w:t xml:space="preserve">. </w:t>
      </w:r>
      <w:r w:rsidRPr="00762C39">
        <w:rPr>
          <w:b w:val="0"/>
          <w:bCs/>
        </w:rPr>
        <w:t xml:space="preserve">Broj </w:t>
      </w:r>
      <w:r w:rsidR="0018393A" w:rsidRPr="00762C39">
        <w:rPr>
          <w:b w:val="0"/>
          <w:bCs/>
        </w:rPr>
        <w:t>evidentiranih</w:t>
      </w:r>
      <w:r w:rsidRPr="00762C39">
        <w:rPr>
          <w:b w:val="0"/>
          <w:bCs/>
        </w:rPr>
        <w:t xml:space="preserve"> </w:t>
      </w:r>
      <w:proofErr w:type="spellStart"/>
      <w:r w:rsidRPr="00762C39">
        <w:rPr>
          <w:b w:val="0"/>
          <w:bCs/>
        </w:rPr>
        <w:t>reciklažnih</w:t>
      </w:r>
      <w:proofErr w:type="spellEnd"/>
      <w:r w:rsidRPr="00762C39">
        <w:rPr>
          <w:b w:val="0"/>
          <w:bCs/>
        </w:rPr>
        <w:t xml:space="preserve"> dvorišta i prijavljene količine komunalnog otpada sakupljene putem </w:t>
      </w:r>
      <w:proofErr w:type="spellStart"/>
      <w:r w:rsidRPr="00762C39">
        <w:rPr>
          <w:b w:val="0"/>
          <w:bCs/>
        </w:rPr>
        <w:t>reciklažnih</w:t>
      </w:r>
      <w:proofErr w:type="spellEnd"/>
      <w:r w:rsidRPr="00762C39">
        <w:rPr>
          <w:b w:val="0"/>
          <w:bCs/>
        </w:rPr>
        <w:t xml:space="preserve"> dvorišta u razdoblju od 2015. do 2021. godine</w:t>
      </w:r>
      <w:bookmarkEnd w:id="139"/>
    </w:p>
    <w:p w14:paraId="3D864DD6" w14:textId="77777777" w:rsidR="00762C39" w:rsidRPr="00CF311C" w:rsidRDefault="00762C39" w:rsidP="00762C39">
      <w:r>
        <w:t>K</w:t>
      </w:r>
      <w:r w:rsidRPr="00CF311C">
        <w:t xml:space="preserve">ako bi se osigurale korisne vrste otpada pogodne za recikliranje, neophodna je daljnja izgradnja, posebno u dijelovima velikog </w:t>
      </w:r>
      <w:proofErr w:type="spellStart"/>
      <w:r w:rsidRPr="00CF311C">
        <w:t>sezonalnog</w:t>
      </w:r>
      <w:proofErr w:type="spellEnd"/>
      <w:r w:rsidRPr="00CF311C">
        <w:t xml:space="preserve"> povećanja komunalnog otpada (obalne i otočne </w:t>
      </w:r>
      <w:commentRangeStart w:id="140"/>
      <w:r w:rsidRPr="00CF311C">
        <w:t>JLS</w:t>
      </w:r>
      <w:commentRangeEnd w:id="140"/>
      <w:r w:rsidR="0069713A">
        <w:rPr>
          <w:rStyle w:val="Referencakomentara"/>
        </w:rPr>
        <w:commentReference w:id="140"/>
      </w:r>
      <w:r w:rsidRPr="00CF311C">
        <w:t>).</w:t>
      </w:r>
    </w:p>
    <w:p w14:paraId="1BAB3CA0" w14:textId="553008DF" w:rsidR="002252F5" w:rsidRPr="005B09E7" w:rsidRDefault="002252F5" w:rsidP="00A22739">
      <w:pPr>
        <w:pStyle w:val="IRNaslov4"/>
      </w:pPr>
      <w:r w:rsidRPr="005B09E7">
        <w:t>Građevine za biološku obradu otpada</w:t>
      </w:r>
    </w:p>
    <w:p w14:paraId="66145C7F" w14:textId="128781DF" w:rsidR="005B09E7" w:rsidRPr="00CF311C" w:rsidRDefault="005B09E7" w:rsidP="005B09E7">
      <w:r w:rsidRPr="00A262ED">
        <w:t>U 202</w:t>
      </w:r>
      <w:r>
        <w:t>1</w:t>
      </w:r>
      <w:r w:rsidRPr="00A262ED">
        <w:t>. godini 1</w:t>
      </w:r>
      <w:r w:rsidR="00280EDD">
        <w:t>6</w:t>
      </w:r>
      <w:r w:rsidRPr="00A262ED">
        <w:t xml:space="preserve"> </w:t>
      </w:r>
      <w:proofErr w:type="spellStart"/>
      <w:r w:rsidRPr="00A262ED">
        <w:t>kompostana</w:t>
      </w:r>
      <w:proofErr w:type="spellEnd"/>
      <w:r w:rsidRPr="00A262ED">
        <w:t xml:space="preserve"> je posjedovalo dozvolu za gospodarenje otpadom ukupnog kapaciteta oko </w:t>
      </w:r>
      <w:r w:rsidR="00280EDD">
        <w:t>152.280</w:t>
      </w:r>
      <w:r w:rsidRPr="00A262ED">
        <w:t xml:space="preserve"> t/god</w:t>
      </w:r>
      <w:r>
        <w:t xml:space="preserve"> (</w:t>
      </w:r>
      <w:r>
        <w:fldChar w:fldCharType="begin"/>
      </w:r>
      <w:r>
        <w:instrText xml:space="preserve"> REF _Ref111058409 \h </w:instrText>
      </w:r>
      <w:r>
        <w:fldChar w:fldCharType="separate"/>
      </w:r>
      <w:r w:rsidR="00F37B62">
        <w:t xml:space="preserve">Tablica </w:t>
      </w:r>
      <w:r w:rsidR="00F37B62">
        <w:rPr>
          <w:noProof/>
        </w:rPr>
        <w:t>16</w:t>
      </w:r>
      <w:r>
        <w:fldChar w:fldCharType="end"/>
      </w:r>
      <w:r>
        <w:t>)</w:t>
      </w:r>
      <w:r w:rsidRPr="00A262ED">
        <w:t xml:space="preserve">. </w:t>
      </w:r>
      <w:r>
        <w:t xml:space="preserve">U tijeku je </w:t>
      </w:r>
      <w:r w:rsidRPr="003B61D2">
        <w:t>sufinanciranje i</w:t>
      </w:r>
      <w:r>
        <w:t xml:space="preserve">zgradnje dodatnih 5 </w:t>
      </w:r>
      <w:proofErr w:type="spellStart"/>
      <w:r>
        <w:t>kompostana</w:t>
      </w:r>
      <w:proofErr w:type="spellEnd"/>
      <w:r>
        <w:t xml:space="preserve"> planiranog ukupnog kapaciteta od 16.220 tona/godina (</w:t>
      </w:r>
      <w:r>
        <w:fldChar w:fldCharType="begin"/>
      </w:r>
      <w:r>
        <w:instrText xml:space="preserve"> REF _Ref111058904 \h </w:instrText>
      </w:r>
      <w:r>
        <w:fldChar w:fldCharType="separate"/>
      </w:r>
      <w:r w:rsidR="00F37B62">
        <w:t xml:space="preserve">Tablica </w:t>
      </w:r>
      <w:r w:rsidR="00F37B62">
        <w:rPr>
          <w:noProof/>
        </w:rPr>
        <w:t>17</w:t>
      </w:r>
      <w:r>
        <w:fldChar w:fldCharType="end"/>
      </w:r>
      <w:r>
        <w:t xml:space="preserve">), a na dvije već postojeće </w:t>
      </w:r>
      <w:proofErr w:type="spellStart"/>
      <w:r>
        <w:t>kompostane</w:t>
      </w:r>
      <w:proofErr w:type="spellEnd"/>
      <w:r>
        <w:t xml:space="preserve"> (u Prelogu i Koprivnici) u proteklom planskom razdoblju sufinancirala se nadogradnja kapaciteta. </w:t>
      </w:r>
      <w:r w:rsidRPr="00CF311C">
        <w:t xml:space="preserve">U odnosu na 2016. godinu kada je bilo evidentirano 11 </w:t>
      </w:r>
      <w:proofErr w:type="spellStart"/>
      <w:r w:rsidRPr="00CF311C">
        <w:t>kompostana</w:t>
      </w:r>
      <w:proofErr w:type="spellEnd"/>
      <w:r w:rsidRPr="00CF311C">
        <w:t xml:space="preserve"> kapaciteta 103.397 t/god, ne može se govoriti o značajnom napretku izgradnje infrastrukture kompostiranje i potrebni su daljnji napori i ulaganja u njihovu uspostavu.</w:t>
      </w:r>
    </w:p>
    <w:p w14:paraId="68A046F9" w14:textId="638C1CFA" w:rsidR="005B09E7" w:rsidRPr="009105C7" w:rsidRDefault="005B09E7" w:rsidP="009105C7">
      <w:pPr>
        <w:pStyle w:val="Tablica"/>
      </w:pPr>
      <w:bookmarkStart w:id="141" w:name="_Ref111058409"/>
      <w:bookmarkStart w:id="142" w:name="_Toc125364405"/>
      <w:r>
        <w:t xml:space="preserve">Tablica </w:t>
      </w:r>
      <w:fldSimple w:instr=" SEQ Tablica \* ARABIC ">
        <w:r w:rsidR="00F37B62">
          <w:rPr>
            <w:noProof/>
          </w:rPr>
          <w:t>16</w:t>
        </w:r>
      </w:fldSimple>
      <w:bookmarkEnd w:id="141"/>
      <w:r>
        <w:t xml:space="preserve">. </w:t>
      </w:r>
      <w:r w:rsidRPr="005B09E7">
        <w:rPr>
          <w:b w:val="0"/>
          <w:bCs/>
        </w:rPr>
        <w:t xml:space="preserve">Popis </w:t>
      </w:r>
      <w:proofErr w:type="spellStart"/>
      <w:r w:rsidRPr="005B09E7">
        <w:rPr>
          <w:b w:val="0"/>
          <w:bCs/>
        </w:rPr>
        <w:t>kompostana</w:t>
      </w:r>
      <w:proofErr w:type="spellEnd"/>
      <w:r w:rsidRPr="005B09E7">
        <w:rPr>
          <w:b w:val="0"/>
          <w:bCs/>
        </w:rPr>
        <w:t xml:space="preserve"> s pripadajućim raspoloživim kapacitetima u 2021. godini</w:t>
      </w:r>
      <w:bookmarkEnd w:id="14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3591"/>
        <w:gridCol w:w="2976"/>
      </w:tblGrid>
      <w:tr w:rsidR="00CC41BC" w:rsidRPr="00C11A69" w14:paraId="3692875C" w14:textId="77777777" w:rsidTr="009105C7">
        <w:trPr>
          <w:trHeight w:val="300"/>
          <w:tblHeader/>
        </w:trPr>
        <w:tc>
          <w:tcPr>
            <w:tcW w:w="2500" w:type="dxa"/>
            <w:shd w:val="clear" w:color="auto" w:fill="002060"/>
            <w:noWrap/>
            <w:vAlign w:val="bottom"/>
            <w:hideMark/>
          </w:tcPr>
          <w:p w14:paraId="274900D4" w14:textId="77777777" w:rsidR="00CC41BC" w:rsidRPr="00C11A69" w:rsidRDefault="00CC41BC" w:rsidP="00CC41BC">
            <w:pPr>
              <w:spacing w:after="0" w:line="240" w:lineRule="auto"/>
              <w:jc w:val="center"/>
              <w:rPr>
                <w:rFonts w:eastAsia="Times New Roman" w:cstheme="minorHAnsi"/>
                <w:b/>
                <w:color w:val="FFFFFF" w:themeColor="background1"/>
                <w:sz w:val="20"/>
                <w:szCs w:val="20"/>
                <w:lang w:eastAsia="hr-HR"/>
              </w:rPr>
            </w:pPr>
            <w:r w:rsidRPr="00C11A69">
              <w:rPr>
                <w:rFonts w:eastAsia="Times New Roman" w:cstheme="minorHAnsi"/>
                <w:b/>
                <w:color w:val="FFFFFF" w:themeColor="background1"/>
                <w:sz w:val="20"/>
                <w:szCs w:val="20"/>
                <w:lang w:eastAsia="hr-HR"/>
              </w:rPr>
              <w:t>Županija</w:t>
            </w:r>
          </w:p>
        </w:tc>
        <w:tc>
          <w:tcPr>
            <w:tcW w:w="3591" w:type="dxa"/>
            <w:shd w:val="clear" w:color="auto" w:fill="002060"/>
            <w:noWrap/>
            <w:vAlign w:val="bottom"/>
            <w:hideMark/>
          </w:tcPr>
          <w:p w14:paraId="36B18681" w14:textId="77777777" w:rsidR="00CC41BC" w:rsidRPr="00C11A69" w:rsidRDefault="00CC41BC" w:rsidP="00CC41BC">
            <w:pPr>
              <w:spacing w:after="0" w:line="240" w:lineRule="auto"/>
              <w:jc w:val="center"/>
              <w:rPr>
                <w:rFonts w:eastAsia="Times New Roman" w:cstheme="minorHAnsi"/>
                <w:b/>
                <w:color w:val="FFFFFF" w:themeColor="background1"/>
                <w:sz w:val="20"/>
                <w:szCs w:val="20"/>
                <w:lang w:eastAsia="hr-HR"/>
              </w:rPr>
            </w:pPr>
            <w:r w:rsidRPr="00C11A69">
              <w:rPr>
                <w:rFonts w:eastAsia="Times New Roman" w:cstheme="minorHAnsi"/>
                <w:b/>
                <w:color w:val="FFFFFF" w:themeColor="background1"/>
                <w:sz w:val="20"/>
                <w:szCs w:val="20"/>
                <w:lang w:eastAsia="hr-HR"/>
              </w:rPr>
              <w:t>Lokacija objekta</w:t>
            </w:r>
          </w:p>
        </w:tc>
        <w:tc>
          <w:tcPr>
            <w:tcW w:w="2976" w:type="dxa"/>
            <w:shd w:val="clear" w:color="auto" w:fill="002060"/>
            <w:noWrap/>
            <w:vAlign w:val="bottom"/>
            <w:hideMark/>
          </w:tcPr>
          <w:p w14:paraId="5381D343" w14:textId="77777777" w:rsidR="00CC41BC" w:rsidRPr="00C11A69" w:rsidRDefault="00CC41BC" w:rsidP="00CC41BC">
            <w:pPr>
              <w:spacing w:after="0" w:line="240" w:lineRule="auto"/>
              <w:jc w:val="center"/>
              <w:rPr>
                <w:rFonts w:eastAsia="Times New Roman" w:cstheme="minorHAnsi"/>
                <w:b/>
                <w:color w:val="FFFFFF" w:themeColor="background1"/>
                <w:sz w:val="20"/>
                <w:szCs w:val="20"/>
                <w:lang w:eastAsia="hr-HR"/>
              </w:rPr>
            </w:pPr>
            <w:r w:rsidRPr="00C11A69">
              <w:rPr>
                <w:rFonts w:eastAsia="Times New Roman" w:cstheme="minorHAnsi"/>
                <w:b/>
                <w:color w:val="FFFFFF" w:themeColor="background1"/>
                <w:sz w:val="20"/>
                <w:szCs w:val="20"/>
                <w:lang w:eastAsia="hr-HR"/>
              </w:rPr>
              <w:t>Kapacitet (t/god)</w:t>
            </w:r>
          </w:p>
        </w:tc>
      </w:tr>
      <w:tr w:rsidR="00CC41BC" w:rsidRPr="00C11A69" w14:paraId="1EAC8970" w14:textId="77777777" w:rsidTr="00CC41BC">
        <w:trPr>
          <w:trHeight w:val="170"/>
        </w:trPr>
        <w:tc>
          <w:tcPr>
            <w:tcW w:w="2500" w:type="dxa"/>
            <w:vMerge w:val="restart"/>
            <w:shd w:val="clear" w:color="auto" w:fill="auto"/>
            <w:noWrap/>
            <w:vAlign w:val="center"/>
            <w:hideMark/>
          </w:tcPr>
          <w:p w14:paraId="2E5F9BFB"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Grad Zagreb</w:t>
            </w:r>
          </w:p>
        </w:tc>
        <w:tc>
          <w:tcPr>
            <w:tcW w:w="3591" w:type="dxa"/>
            <w:shd w:val="clear" w:color="auto" w:fill="auto"/>
            <w:noWrap/>
            <w:vAlign w:val="bottom"/>
            <w:hideMark/>
          </w:tcPr>
          <w:p w14:paraId="24EFB192"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Zagreb, Žitnjak</w:t>
            </w:r>
          </w:p>
        </w:tc>
        <w:tc>
          <w:tcPr>
            <w:tcW w:w="2976" w:type="dxa"/>
            <w:shd w:val="clear" w:color="auto" w:fill="auto"/>
            <w:noWrap/>
            <w:vAlign w:val="bottom"/>
            <w:hideMark/>
          </w:tcPr>
          <w:p w14:paraId="1A7BE929"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37,5</w:t>
            </w:r>
          </w:p>
        </w:tc>
      </w:tr>
      <w:tr w:rsidR="00CC41BC" w:rsidRPr="00C11A69" w14:paraId="001F54AC" w14:textId="77777777" w:rsidTr="00CC41BC">
        <w:trPr>
          <w:trHeight w:val="170"/>
        </w:trPr>
        <w:tc>
          <w:tcPr>
            <w:tcW w:w="2500" w:type="dxa"/>
            <w:vMerge/>
            <w:vAlign w:val="center"/>
            <w:hideMark/>
          </w:tcPr>
          <w:p w14:paraId="5C21425C" w14:textId="77777777" w:rsidR="00CC41BC" w:rsidRPr="00C11A69" w:rsidRDefault="00CC41BC" w:rsidP="00CC41BC">
            <w:pPr>
              <w:spacing w:after="0" w:line="240" w:lineRule="auto"/>
              <w:rPr>
                <w:rFonts w:eastAsia="Times New Roman" w:cstheme="minorHAnsi"/>
                <w:color w:val="000000"/>
                <w:sz w:val="20"/>
                <w:szCs w:val="20"/>
                <w:lang w:eastAsia="hr-HR"/>
              </w:rPr>
            </w:pPr>
          </w:p>
        </w:tc>
        <w:tc>
          <w:tcPr>
            <w:tcW w:w="3591" w:type="dxa"/>
            <w:shd w:val="clear" w:color="auto" w:fill="auto"/>
            <w:noWrap/>
            <w:vAlign w:val="bottom"/>
            <w:hideMark/>
          </w:tcPr>
          <w:p w14:paraId="02FBB7DD" w14:textId="78EB7E4B"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Zagreb, Markušev</w:t>
            </w:r>
            <w:r w:rsidR="00280EDD">
              <w:rPr>
                <w:rFonts w:eastAsia="Times New Roman" w:cstheme="minorHAnsi"/>
                <w:color w:val="000000"/>
                <w:sz w:val="20"/>
                <w:szCs w:val="20"/>
                <w:lang w:eastAsia="hr-HR"/>
              </w:rPr>
              <w:t>e</w:t>
            </w:r>
            <w:r w:rsidRPr="00C11A69">
              <w:rPr>
                <w:rFonts w:eastAsia="Times New Roman" w:cstheme="minorHAnsi"/>
                <w:color w:val="000000"/>
                <w:sz w:val="20"/>
                <w:szCs w:val="20"/>
                <w:lang w:eastAsia="hr-HR"/>
              </w:rPr>
              <w:t>c</w:t>
            </w:r>
          </w:p>
        </w:tc>
        <w:tc>
          <w:tcPr>
            <w:tcW w:w="2976" w:type="dxa"/>
            <w:shd w:val="clear" w:color="auto" w:fill="auto"/>
            <w:noWrap/>
            <w:vAlign w:val="bottom"/>
            <w:hideMark/>
          </w:tcPr>
          <w:p w14:paraId="0DC9571B"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10.000</w:t>
            </w:r>
          </w:p>
        </w:tc>
      </w:tr>
      <w:tr w:rsidR="00CC41BC" w:rsidRPr="00C11A69" w14:paraId="226D600B" w14:textId="77777777" w:rsidTr="00CC41BC">
        <w:trPr>
          <w:trHeight w:val="170"/>
        </w:trPr>
        <w:tc>
          <w:tcPr>
            <w:tcW w:w="2500" w:type="dxa"/>
            <w:vMerge/>
            <w:vAlign w:val="center"/>
            <w:hideMark/>
          </w:tcPr>
          <w:p w14:paraId="4CFFF4E5" w14:textId="77777777" w:rsidR="00CC41BC" w:rsidRPr="00C11A69" w:rsidRDefault="00CC41BC" w:rsidP="00CC41BC">
            <w:pPr>
              <w:spacing w:after="0" w:line="240" w:lineRule="auto"/>
              <w:rPr>
                <w:rFonts w:eastAsia="Times New Roman" w:cstheme="minorHAnsi"/>
                <w:color w:val="000000"/>
                <w:sz w:val="20"/>
                <w:szCs w:val="20"/>
                <w:lang w:eastAsia="hr-HR"/>
              </w:rPr>
            </w:pPr>
          </w:p>
        </w:tc>
        <w:tc>
          <w:tcPr>
            <w:tcW w:w="3591" w:type="dxa"/>
            <w:shd w:val="clear" w:color="auto" w:fill="auto"/>
            <w:noWrap/>
            <w:vAlign w:val="bottom"/>
            <w:hideMark/>
          </w:tcPr>
          <w:p w14:paraId="1262C7B1" w14:textId="7D58F3A3"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Zagreb, Jakušev</w:t>
            </w:r>
            <w:r w:rsidR="00280EDD">
              <w:rPr>
                <w:rFonts w:eastAsia="Times New Roman" w:cstheme="minorHAnsi"/>
                <w:color w:val="000000"/>
                <w:sz w:val="20"/>
                <w:szCs w:val="20"/>
                <w:lang w:eastAsia="hr-HR"/>
              </w:rPr>
              <w:t>e</w:t>
            </w:r>
            <w:r w:rsidRPr="00C11A69">
              <w:rPr>
                <w:rFonts w:eastAsia="Times New Roman" w:cstheme="minorHAnsi"/>
                <w:color w:val="000000"/>
                <w:sz w:val="20"/>
                <w:szCs w:val="20"/>
                <w:lang w:eastAsia="hr-HR"/>
              </w:rPr>
              <w:t>c</w:t>
            </w:r>
          </w:p>
        </w:tc>
        <w:tc>
          <w:tcPr>
            <w:tcW w:w="2976" w:type="dxa"/>
            <w:shd w:val="clear" w:color="auto" w:fill="auto"/>
            <w:noWrap/>
            <w:vAlign w:val="bottom"/>
            <w:hideMark/>
          </w:tcPr>
          <w:p w14:paraId="729392A3"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32.000</w:t>
            </w:r>
          </w:p>
        </w:tc>
      </w:tr>
      <w:tr w:rsidR="00CC41BC" w:rsidRPr="00C11A69" w14:paraId="60E4AF34" w14:textId="77777777" w:rsidTr="00CC41BC">
        <w:trPr>
          <w:trHeight w:val="170"/>
        </w:trPr>
        <w:tc>
          <w:tcPr>
            <w:tcW w:w="2500" w:type="dxa"/>
            <w:vMerge w:val="restart"/>
            <w:shd w:val="clear" w:color="auto" w:fill="auto"/>
            <w:noWrap/>
            <w:vAlign w:val="center"/>
            <w:hideMark/>
          </w:tcPr>
          <w:p w14:paraId="590A3DF7"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Koprivničko-križevačka</w:t>
            </w:r>
          </w:p>
        </w:tc>
        <w:tc>
          <w:tcPr>
            <w:tcW w:w="3591" w:type="dxa"/>
            <w:shd w:val="clear" w:color="auto" w:fill="auto"/>
            <w:noWrap/>
            <w:vAlign w:val="bottom"/>
            <w:hideMark/>
          </w:tcPr>
          <w:p w14:paraId="78F820DE" w14:textId="77777777" w:rsidR="00CC41BC" w:rsidRPr="00C11A69" w:rsidRDefault="00CC41BC" w:rsidP="00CC41BC">
            <w:pPr>
              <w:spacing w:after="0" w:line="240" w:lineRule="auto"/>
              <w:rPr>
                <w:rFonts w:eastAsia="Times New Roman" w:cstheme="minorHAnsi"/>
                <w:color w:val="000000"/>
                <w:sz w:val="20"/>
                <w:szCs w:val="20"/>
                <w:lang w:eastAsia="hr-HR"/>
              </w:rPr>
            </w:pPr>
            <w:proofErr w:type="spellStart"/>
            <w:r w:rsidRPr="00C11A69">
              <w:rPr>
                <w:rFonts w:eastAsia="Times New Roman" w:cstheme="minorHAnsi"/>
                <w:color w:val="000000"/>
                <w:sz w:val="20"/>
                <w:szCs w:val="20"/>
                <w:lang w:eastAsia="hr-HR"/>
              </w:rPr>
              <w:t>Imbriovec</w:t>
            </w:r>
            <w:proofErr w:type="spellEnd"/>
          </w:p>
        </w:tc>
        <w:tc>
          <w:tcPr>
            <w:tcW w:w="2976" w:type="dxa"/>
            <w:shd w:val="clear" w:color="auto" w:fill="auto"/>
            <w:noWrap/>
            <w:vAlign w:val="bottom"/>
            <w:hideMark/>
          </w:tcPr>
          <w:p w14:paraId="6211D351"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10.770</w:t>
            </w:r>
          </w:p>
        </w:tc>
      </w:tr>
      <w:tr w:rsidR="00CC41BC" w:rsidRPr="00C11A69" w14:paraId="0B509A3D" w14:textId="77777777" w:rsidTr="00CC41BC">
        <w:trPr>
          <w:trHeight w:val="170"/>
        </w:trPr>
        <w:tc>
          <w:tcPr>
            <w:tcW w:w="2500" w:type="dxa"/>
            <w:vMerge/>
            <w:vAlign w:val="center"/>
            <w:hideMark/>
          </w:tcPr>
          <w:p w14:paraId="4022437E" w14:textId="77777777" w:rsidR="00CC41BC" w:rsidRPr="00C11A69" w:rsidRDefault="00CC41BC" w:rsidP="00CC41BC">
            <w:pPr>
              <w:spacing w:after="0" w:line="240" w:lineRule="auto"/>
              <w:rPr>
                <w:rFonts w:eastAsia="Times New Roman" w:cstheme="minorHAnsi"/>
                <w:color w:val="000000"/>
                <w:sz w:val="20"/>
                <w:szCs w:val="20"/>
                <w:lang w:eastAsia="hr-HR"/>
              </w:rPr>
            </w:pPr>
          </w:p>
        </w:tc>
        <w:tc>
          <w:tcPr>
            <w:tcW w:w="3591" w:type="dxa"/>
            <w:shd w:val="clear" w:color="auto" w:fill="auto"/>
            <w:noWrap/>
            <w:vAlign w:val="bottom"/>
            <w:hideMark/>
          </w:tcPr>
          <w:p w14:paraId="7D841E4C" w14:textId="77777777" w:rsidR="00CC41BC" w:rsidRPr="00C11A69" w:rsidRDefault="00CC41BC" w:rsidP="00CC41BC">
            <w:pPr>
              <w:spacing w:after="0" w:line="240" w:lineRule="auto"/>
              <w:rPr>
                <w:rFonts w:eastAsia="Times New Roman" w:cstheme="minorHAnsi"/>
                <w:color w:val="000000"/>
                <w:sz w:val="20"/>
                <w:szCs w:val="20"/>
                <w:lang w:eastAsia="hr-HR"/>
              </w:rPr>
            </w:pPr>
            <w:proofErr w:type="spellStart"/>
            <w:r w:rsidRPr="00C11A69">
              <w:rPr>
                <w:rFonts w:eastAsia="Times New Roman" w:cstheme="minorHAnsi"/>
                <w:color w:val="000000"/>
                <w:sz w:val="20"/>
                <w:szCs w:val="20"/>
                <w:lang w:eastAsia="hr-HR"/>
              </w:rPr>
              <w:t>Herešin</w:t>
            </w:r>
            <w:proofErr w:type="spellEnd"/>
            <w:r w:rsidRPr="00C11A69">
              <w:rPr>
                <w:rFonts w:eastAsia="Times New Roman" w:cstheme="minorHAnsi"/>
                <w:color w:val="000000"/>
                <w:sz w:val="20"/>
                <w:szCs w:val="20"/>
                <w:lang w:eastAsia="hr-HR"/>
              </w:rPr>
              <w:t xml:space="preserve"> (Koprivnica)</w:t>
            </w:r>
          </w:p>
        </w:tc>
        <w:tc>
          <w:tcPr>
            <w:tcW w:w="2976" w:type="dxa"/>
            <w:shd w:val="clear" w:color="auto" w:fill="auto"/>
            <w:noWrap/>
            <w:vAlign w:val="bottom"/>
            <w:hideMark/>
          </w:tcPr>
          <w:p w14:paraId="508B4E88"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9.000</w:t>
            </w:r>
          </w:p>
        </w:tc>
      </w:tr>
      <w:tr w:rsidR="00CC41BC" w:rsidRPr="00C11A69" w14:paraId="1250306A" w14:textId="77777777" w:rsidTr="00CC41BC">
        <w:trPr>
          <w:trHeight w:val="170"/>
        </w:trPr>
        <w:tc>
          <w:tcPr>
            <w:tcW w:w="2500" w:type="dxa"/>
            <w:vMerge/>
            <w:vAlign w:val="center"/>
            <w:hideMark/>
          </w:tcPr>
          <w:p w14:paraId="2E39E00A" w14:textId="77777777" w:rsidR="00CC41BC" w:rsidRPr="00C11A69" w:rsidRDefault="00CC41BC" w:rsidP="00CC41BC">
            <w:pPr>
              <w:spacing w:after="0" w:line="240" w:lineRule="auto"/>
              <w:rPr>
                <w:rFonts w:eastAsia="Times New Roman" w:cstheme="minorHAnsi"/>
                <w:color w:val="000000"/>
                <w:sz w:val="20"/>
                <w:szCs w:val="20"/>
                <w:lang w:eastAsia="hr-HR"/>
              </w:rPr>
            </w:pPr>
          </w:p>
        </w:tc>
        <w:tc>
          <w:tcPr>
            <w:tcW w:w="3591" w:type="dxa"/>
            <w:shd w:val="clear" w:color="auto" w:fill="auto"/>
            <w:noWrap/>
            <w:vAlign w:val="bottom"/>
            <w:hideMark/>
          </w:tcPr>
          <w:p w14:paraId="7D54BD37"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Koprivnica</w:t>
            </w:r>
          </w:p>
        </w:tc>
        <w:tc>
          <w:tcPr>
            <w:tcW w:w="2976" w:type="dxa"/>
            <w:shd w:val="clear" w:color="auto" w:fill="auto"/>
            <w:noWrap/>
            <w:vAlign w:val="bottom"/>
            <w:hideMark/>
          </w:tcPr>
          <w:p w14:paraId="36EBE22A"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5.993</w:t>
            </w:r>
          </w:p>
        </w:tc>
      </w:tr>
      <w:tr w:rsidR="00CC41BC" w:rsidRPr="00C11A69" w14:paraId="11B5FCCA" w14:textId="77777777" w:rsidTr="00CC41BC">
        <w:trPr>
          <w:trHeight w:val="170"/>
        </w:trPr>
        <w:tc>
          <w:tcPr>
            <w:tcW w:w="2500" w:type="dxa"/>
            <w:vMerge w:val="restart"/>
            <w:shd w:val="clear" w:color="auto" w:fill="auto"/>
            <w:noWrap/>
            <w:vAlign w:val="center"/>
            <w:hideMark/>
          </w:tcPr>
          <w:p w14:paraId="295E0D1A"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Međimurska</w:t>
            </w:r>
          </w:p>
        </w:tc>
        <w:tc>
          <w:tcPr>
            <w:tcW w:w="3591" w:type="dxa"/>
            <w:shd w:val="clear" w:color="auto" w:fill="auto"/>
            <w:noWrap/>
            <w:vAlign w:val="bottom"/>
            <w:hideMark/>
          </w:tcPr>
          <w:p w14:paraId="182979EF" w14:textId="77777777" w:rsidR="00CC41BC" w:rsidRPr="00C11A69" w:rsidRDefault="00CC41BC" w:rsidP="00CC41BC">
            <w:pPr>
              <w:spacing w:after="0" w:line="240" w:lineRule="auto"/>
              <w:rPr>
                <w:rFonts w:eastAsia="Times New Roman" w:cstheme="minorHAnsi"/>
                <w:color w:val="000000"/>
                <w:sz w:val="20"/>
                <w:szCs w:val="20"/>
                <w:lang w:eastAsia="hr-HR"/>
              </w:rPr>
            </w:pPr>
            <w:proofErr w:type="spellStart"/>
            <w:r w:rsidRPr="00C11A69">
              <w:rPr>
                <w:rFonts w:eastAsia="Times New Roman" w:cstheme="minorHAnsi"/>
                <w:color w:val="000000"/>
                <w:sz w:val="20"/>
                <w:szCs w:val="20"/>
                <w:lang w:eastAsia="hr-HR"/>
              </w:rPr>
              <w:t>Totovec</w:t>
            </w:r>
            <w:proofErr w:type="spellEnd"/>
            <w:r w:rsidRPr="00C11A69">
              <w:rPr>
                <w:rFonts w:eastAsia="Times New Roman" w:cstheme="minorHAnsi"/>
                <w:color w:val="000000"/>
                <w:sz w:val="20"/>
                <w:szCs w:val="20"/>
                <w:lang w:eastAsia="hr-HR"/>
              </w:rPr>
              <w:t xml:space="preserve"> (Čakovec)</w:t>
            </w:r>
          </w:p>
        </w:tc>
        <w:tc>
          <w:tcPr>
            <w:tcW w:w="2976" w:type="dxa"/>
            <w:shd w:val="clear" w:color="auto" w:fill="auto"/>
            <w:noWrap/>
            <w:vAlign w:val="bottom"/>
            <w:hideMark/>
          </w:tcPr>
          <w:p w14:paraId="0A37975A"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6.140</w:t>
            </w:r>
          </w:p>
        </w:tc>
      </w:tr>
      <w:tr w:rsidR="00CC41BC" w:rsidRPr="00C11A69" w14:paraId="77509AC5" w14:textId="77777777" w:rsidTr="00CC41BC">
        <w:trPr>
          <w:trHeight w:val="170"/>
        </w:trPr>
        <w:tc>
          <w:tcPr>
            <w:tcW w:w="2500" w:type="dxa"/>
            <w:vMerge/>
            <w:vAlign w:val="center"/>
            <w:hideMark/>
          </w:tcPr>
          <w:p w14:paraId="0DAF817D" w14:textId="77777777" w:rsidR="00CC41BC" w:rsidRPr="00C11A69" w:rsidRDefault="00CC41BC" w:rsidP="00CC41BC">
            <w:pPr>
              <w:spacing w:after="0" w:line="240" w:lineRule="auto"/>
              <w:rPr>
                <w:rFonts w:eastAsia="Times New Roman" w:cstheme="minorHAnsi"/>
                <w:color w:val="000000"/>
                <w:sz w:val="20"/>
                <w:szCs w:val="20"/>
                <w:lang w:eastAsia="hr-HR"/>
              </w:rPr>
            </w:pPr>
          </w:p>
        </w:tc>
        <w:tc>
          <w:tcPr>
            <w:tcW w:w="3591" w:type="dxa"/>
            <w:shd w:val="clear" w:color="auto" w:fill="auto"/>
            <w:noWrap/>
            <w:vAlign w:val="bottom"/>
            <w:hideMark/>
          </w:tcPr>
          <w:p w14:paraId="2107636A"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 xml:space="preserve">Prelog </w:t>
            </w:r>
          </w:p>
        </w:tc>
        <w:tc>
          <w:tcPr>
            <w:tcW w:w="2976" w:type="dxa"/>
            <w:shd w:val="clear" w:color="auto" w:fill="auto"/>
            <w:noWrap/>
            <w:vAlign w:val="bottom"/>
            <w:hideMark/>
          </w:tcPr>
          <w:p w14:paraId="337DAC88"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7.200</w:t>
            </w:r>
          </w:p>
        </w:tc>
      </w:tr>
      <w:tr w:rsidR="00CC41BC" w:rsidRPr="00C11A69" w14:paraId="782165B1" w14:textId="77777777" w:rsidTr="00CC41BC">
        <w:trPr>
          <w:trHeight w:val="170"/>
        </w:trPr>
        <w:tc>
          <w:tcPr>
            <w:tcW w:w="2500" w:type="dxa"/>
            <w:vMerge/>
            <w:vAlign w:val="center"/>
            <w:hideMark/>
          </w:tcPr>
          <w:p w14:paraId="6A4E6EB3" w14:textId="77777777" w:rsidR="00CC41BC" w:rsidRPr="00C11A69" w:rsidRDefault="00CC41BC" w:rsidP="00CC41BC">
            <w:pPr>
              <w:spacing w:after="0" w:line="240" w:lineRule="auto"/>
              <w:rPr>
                <w:rFonts w:eastAsia="Times New Roman" w:cstheme="minorHAnsi"/>
                <w:color w:val="000000"/>
                <w:sz w:val="20"/>
                <w:szCs w:val="20"/>
                <w:lang w:eastAsia="hr-HR"/>
              </w:rPr>
            </w:pPr>
          </w:p>
        </w:tc>
        <w:tc>
          <w:tcPr>
            <w:tcW w:w="3591" w:type="dxa"/>
            <w:shd w:val="clear" w:color="auto" w:fill="auto"/>
            <w:noWrap/>
            <w:vAlign w:val="bottom"/>
            <w:hideMark/>
          </w:tcPr>
          <w:p w14:paraId="5DF9C209"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Mursko Središće</w:t>
            </w:r>
          </w:p>
        </w:tc>
        <w:tc>
          <w:tcPr>
            <w:tcW w:w="2976" w:type="dxa"/>
            <w:shd w:val="clear" w:color="auto" w:fill="auto"/>
            <w:noWrap/>
            <w:vAlign w:val="bottom"/>
            <w:hideMark/>
          </w:tcPr>
          <w:p w14:paraId="5195BA85"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1.700</w:t>
            </w:r>
          </w:p>
        </w:tc>
      </w:tr>
      <w:tr w:rsidR="00CC41BC" w:rsidRPr="00C11A69" w14:paraId="3496902E" w14:textId="77777777" w:rsidTr="00CC41BC">
        <w:trPr>
          <w:trHeight w:val="170"/>
        </w:trPr>
        <w:tc>
          <w:tcPr>
            <w:tcW w:w="2500" w:type="dxa"/>
            <w:vMerge/>
            <w:vAlign w:val="center"/>
            <w:hideMark/>
          </w:tcPr>
          <w:p w14:paraId="34472E4A" w14:textId="77777777" w:rsidR="00CC41BC" w:rsidRPr="00C11A69" w:rsidRDefault="00CC41BC" w:rsidP="00CC41BC">
            <w:pPr>
              <w:spacing w:after="0" w:line="240" w:lineRule="auto"/>
              <w:rPr>
                <w:rFonts w:eastAsia="Times New Roman" w:cstheme="minorHAnsi"/>
                <w:color w:val="000000"/>
                <w:sz w:val="20"/>
                <w:szCs w:val="20"/>
                <w:lang w:eastAsia="hr-HR"/>
              </w:rPr>
            </w:pPr>
          </w:p>
        </w:tc>
        <w:tc>
          <w:tcPr>
            <w:tcW w:w="3591" w:type="dxa"/>
            <w:shd w:val="clear" w:color="auto" w:fill="auto"/>
            <w:noWrap/>
            <w:vAlign w:val="bottom"/>
            <w:hideMark/>
          </w:tcPr>
          <w:p w14:paraId="29C79172"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 xml:space="preserve">Prelog </w:t>
            </w:r>
          </w:p>
        </w:tc>
        <w:tc>
          <w:tcPr>
            <w:tcW w:w="2976" w:type="dxa"/>
            <w:shd w:val="clear" w:color="auto" w:fill="auto"/>
            <w:noWrap/>
            <w:vAlign w:val="bottom"/>
            <w:hideMark/>
          </w:tcPr>
          <w:p w14:paraId="68237D9B"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1.740</w:t>
            </w:r>
          </w:p>
        </w:tc>
      </w:tr>
      <w:tr w:rsidR="00CC41BC" w:rsidRPr="00C11A69" w14:paraId="76E07471" w14:textId="77777777" w:rsidTr="00CC41BC">
        <w:trPr>
          <w:trHeight w:val="170"/>
        </w:trPr>
        <w:tc>
          <w:tcPr>
            <w:tcW w:w="2500" w:type="dxa"/>
            <w:shd w:val="clear" w:color="auto" w:fill="auto"/>
            <w:noWrap/>
            <w:vAlign w:val="bottom"/>
            <w:hideMark/>
          </w:tcPr>
          <w:p w14:paraId="0F260BA2"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Osječko-baranjska</w:t>
            </w:r>
          </w:p>
        </w:tc>
        <w:tc>
          <w:tcPr>
            <w:tcW w:w="3591" w:type="dxa"/>
            <w:shd w:val="clear" w:color="auto" w:fill="auto"/>
            <w:noWrap/>
            <w:vAlign w:val="bottom"/>
            <w:hideMark/>
          </w:tcPr>
          <w:p w14:paraId="4198EDF0"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Osijek</w:t>
            </w:r>
          </w:p>
        </w:tc>
        <w:tc>
          <w:tcPr>
            <w:tcW w:w="2976" w:type="dxa"/>
            <w:shd w:val="clear" w:color="auto" w:fill="auto"/>
            <w:noWrap/>
            <w:vAlign w:val="bottom"/>
            <w:hideMark/>
          </w:tcPr>
          <w:p w14:paraId="22ECF0D9"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4.499</w:t>
            </w:r>
          </w:p>
        </w:tc>
      </w:tr>
      <w:tr w:rsidR="00CC41BC" w:rsidRPr="00C11A69" w14:paraId="42A98A1F" w14:textId="77777777" w:rsidTr="00CC41BC">
        <w:trPr>
          <w:trHeight w:val="170"/>
        </w:trPr>
        <w:tc>
          <w:tcPr>
            <w:tcW w:w="2500" w:type="dxa"/>
            <w:shd w:val="clear" w:color="auto" w:fill="auto"/>
            <w:noWrap/>
            <w:vAlign w:val="bottom"/>
            <w:hideMark/>
          </w:tcPr>
          <w:p w14:paraId="1BE01B6C"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Primorsko-goranska</w:t>
            </w:r>
          </w:p>
        </w:tc>
        <w:tc>
          <w:tcPr>
            <w:tcW w:w="3591" w:type="dxa"/>
            <w:shd w:val="clear" w:color="auto" w:fill="auto"/>
            <w:noWrap/>
            <w:vAlign w:val="bottom"/>
            <w:hideMark/>
          </w:tcPr>
          <w:p w14:paraId="7F88C82F"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 xml:space="preserve">Krk </w:t>
            </w:r>
          </w:p>
        </w:tc>
        <w:tc>
          <w:tcPr>
            <w:tcW w:w="2976" w:type="dxa"/>
            <w:shd w:val="clear" w:color="auto" w:fill="auto"/>
            <w:noWrap/>
            <w:vAlign w:val="bottom"/>
            <w:hideMark/>
          </w:tcPr>
          <w:p w14:paraId="3D74BDFE"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2.000</w:t>
            </w:r>
          </w:p>
        </w:tc>
      </w:tr>
      <w:tr w:rsidR="00CC41BC" w:rsidRPr="00C11A69" w14:paraId="55B3FFF7" w14:textId="77777777" w:rsidTr="00CC41BC">
        <w:trPr>
          <w:trHeight w:val="170"/>
        </w:trPr>
        <w:tc>
          <w:tcPr>
            <w:tcW w:w="2500" w:type="dxa"/>
            <w:vMerge w:val="restart"/>
            <w:shd w:val="clear" w:color="auto" w:fill="auto"/>
            <w:noWrap/>
            <w:vAlign w:val="center"/>
            <w:hideMark/>
          </w:tcPr>
          <w:p w14:paraId="7D24A0B9"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Sisačko-moslavačka</w:t>
            </w:r>
          </w:p>
        </w:tc>
        <w:tc>
          <w:tcPr>
            <w:tcW w:w="3591" w:type="dxa"/>
            <w:shd w:val="clear" w:color="auto" w:fill="auto"/>
            <w:noWrap/>
            <w:vAlign w:val="bottom"/>
            <w:hideMark/>
          </w:tcPr>
          <w:p w14:paraId="0136D4C5" w14:textId="77777777" w:rsidR="00CC41BC" w:rsidRPr="00C11A69" w:rsidRDefault="00CC41BC" w:rsidP="00CC41BC">
            <w:pPr>
              <w:spacing w:after="0" w:line="240" w:lineRule="auto"/>
              <w:rPr>
                <w:rFonts w:eastAsia="Times New Roman" w:cstheme="minorHAnsi"/>
                <w:color w:val="000000"/>
                <w:sz w:val="20"/>
                <w:szCs w:val="20"/>
                <w:lang w:eastAsia="hr-HR"/>
              </w:rPr>
            </w:pPr>
            <w:proofErr w:type="spellStart"/>
            <w:r w:rsidRPr="00C11A69">
              <w:rPr>
                <w:rFonts w:eastAsia="Times New Roman" w:cstheme="minorHAnsi"/>
                <w:color w:val="000000"/>
                <w:sz w:val="20"/>
                <w:szCs w:val="20"/>
                <w:lang w:eastAsia="hr-HR"/>
              </w:rPr>
              <w:t>Stružec</w:t>
            </w:r>
            <w:proofErr w:type="spellEnd"/>
            <w:r w:rsidRPr="00C11A69">
              <w:rPr>
                <w:rFonts w:eastAsia="Times New Roman" w:cstheme="minorHAnsi"/>
                <w:color w:val="000000"/>
                <w:sz w:val="20"/>
                <w:szCs w:val="20"/>
                <w:lang w:eastAsia="hr-HR"/>
              </w:rPr>
              <w:t xml:space="preserve"> (Popovača)</w:t>
            </w:r>
          </w:p>
        </w:tc>
        <w:tc>
          <w:tcPr>
            <w:tcW w:w="2976" w:type="dxa"/>
            <w:shd w:val="clear" w:color="auto" w:fill="auto"/>
            <w:noWrap/>
            <w:vAlign w:val="bottom"/>
            <w:hideMark/>
          </w:tcPr>
          <w:p w14:paraId="2F8D2AE9"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27.000</w:t>
            </w:r>
          </w:p>
        </w:tc>
      </w:tr>
      <w:tr w:rsidR="00CC41BC" w:rsidRPr="00C11A69" w14:paraId="652B58A4" w14:textId="77777777" w:rsidTr="00CC41BC">
        <w:trPr>
          <w:trHeight w:val="170"/>
        </w:trPr>
        <w:tc>
          <w:tcPr>
            <w:tcW w:w="2500" w:type="dxa"/>
            <w:vMerge/>
            <w:vAlign w:val="center"/>
            <w:hideMark/>
          </w:tcPr>
          <w:p w14:paraId="756F8B78" w14:textId="77777777" w:rsidR="00CC41BC" w:rsidRPr="00C11A69" w:rsidRDefault="00CC41BC" w:rsidP="00CC41BC">
            <w:pPr>
              <w:spacing w:after="0" w:line="240" w:lineRule="auto"/>
              <w:rPr>
                <w:rFonts w:eastAsia="Times New Roman" w:cstheme="minorHAnsi"/>
                <w:color w:val="000000"/>
                <w:sz w:val="20"/>
                <w:szCs w:val="20"/>
                <w:lang w:eastAsia="hr-HR"/>
              </w:rPr>
            </w:pPr>
          </w:p>
        </w:tc>
        <w:tc>
          <w:tcPr>
            <w:tcW w:w="3591" w:type="dxa"/>
            <w:shd w:val="clear" w:color="auto" w:fill="auto"/>
            <w:noWrap/>
            <w:vAlign w:val="bottom"/>
            <w:hideMark/>
          </w:tcPr>
          <w:p w14:paraId="53466FEE"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Crnac (Sisak)</w:t>
            </w:r>
          </w:p>
        </w:tc>
        <w:tc>
          <w:tcPr>
            <w:tcW w:w="2976" w:type="dxa"/>
            <w:shd w:val="clear" w:color="auto" w:fill="auto"/>
            <w:noWrap/>
            <w:vAlign w:val="bottom"/>
            <w:hideMark/>
          </w:tcPr>
          <w:p w14:paraId="5040E8AF"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2.700</w:t>
            </w:r>
          </w:p>
        </w:tc>
      </w:tr>
      <w:tr w:rsidR="00CC41BC" w:rsidRPr="00C11A69" w14:paraId="47827595" w14:textId="77777777" w:rsidTr="00CC41BC">
        <w:trPr>
          <w:trHeight w:val="170"/>
        </w:trPr>
        <w:tc>
          <w:tcPr>
            <w:tcW w:w="2500" w:type="dxa"/>
            <w:shd w:val="clear" w:color="auto" w:fill="auto"/>
            <w:noWrap/>
            <w:vAlign w:val="bottom"/>
            <w:hideMark/>
          </w:tcPr>
          <w:p w14:paraId="4AF467F7"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Varaždinska</w:t>
            </w:r>
          </w:p>
        </w:tc>
        <w:tc>
          <w:tcPr>
            <w:tcW w:w="3591" w:type="dxa"/>
            <w:shd w:val="clear" w:color="auto" w:fill="auto"/>
            <w:noWrap/>
            <w:vAlign w:val="bottom"/>
            <w:hideMark/>
          </w:tcPr>
          <w:p w14:paraId="1D454726"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 xml:space="preserve">Trnovec </w:t>
            </w:r>
            <w:proofErr w:type="spellStart"/>
            <w:r w:rsidRPr="00C11A69">
              <w:rPr>
                <w:rFonts w:eastAsia="Times New Roman" w:cstheme="minorHAnsi"/>
                <w:color w:val="000000"/>
                <w:sz w:val="20"/>
                <w:szCs w:val="20"/>
                <w:lang w:eastAsia="hr-HR"/>
              </w:rPr>
              <w:t>Bartolovečki</w:t>
            </w:r>
            <w:proofErr w:type="spellEnd"/>
            <w:r w:rsidRPr="00C11A69">
              <w:rPr>
                <w:rFonts w:eastAsia="Times New Roman" w:cstheme="minorHAnsi"/>
                <w:color w:val="000000"/>
                <w:sz w:val="20"/>
                <w:szCs w:val="20"/>
                <w:lang w:eastAsia="hr-HR"/>
              </w:rPr>
              <w:t xml:space="preserve"> (Varaždin)</w:t>
            </w:r>
          </w:p>
        </w:tc>
        <w:tc>
          <w:tcPr>
            <w:tcW w:w="2976" w:type="dxa"/>
            <w:shd w:val="clear" w:color="auto" w:fill="auto"/>
            <w:noWrap/>
            <w:vAlign w:val="bottom"/>
            <w:hideMark/>
          </w:tcPr>
          <w:p w14:paraId="05C73D2C"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1.500</w:t>
            </w:r>
          </w:p>
        </w:tc>
      </w:tr>
      <w:tr w:rsidR="00CC41BC" w:rsidRPr="00C11A69" w14:paraId="3BDD7BA5" w14:textId="77777777" w:rsidTr="00CC41BC">
        <w:trPr>
          <w:trHeight w:val="170"/>
        </w:trPr>
        <w:tc>
          <w:tcPr>
            <w:tcW w:w="2500" w:type="dxa"/>
            <w:shd w:val="clear" w:color="auto" w:fill="auto"/>
            <w:noWrap/>
            <w:vAlign w:val="bottom"/>
            <w:hideMark/>
          </w:tcPr>
          <w:p w14:paraId="72E5C299"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Zagrebačka</w:t>
            </w:r>
          </w:p>
        </w:tc>
        <w:tc>
          <w:tcPr>
            <w:tcW w:w="3591" w:type="dxa"/>
            <w:shd w:val="clear" w:color="auto" w:fill="auto"/>
            <w:noWrap/>
            <w:vAlign w:val="bottom"/>
            <w:hideMark/>
          </w:tcPr>
          <w:p w14:paraId="73674FE1"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Kloštar Ivanić</w:t>
            </w:r>
          </w:p>
        </w:tc>
        <w:tc>
          <w:tcPr>
            <w:tcW w:w="2976" w:type="dxa"/>
            <w:shd w:val="clear" w:color="auto" w:fill="auto"/>
            <w:noWrap/>
            <w:vAlign w:val="bottom"/>
            <w:hideMark/>
          </w:tcPr>
          <w:p w14:paraId="5D7064F2"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30.000</w:t>
            </w:r>
          </w:p>
        </w:tc>
      </w:tr>
      <w:tr w:rsidR="00CC41BC" w:rsidRPr="00C11A69" w14:paraId="3471E0F9" w14:textId="77777777" w:rsidTr="00CC41BC">
        <w:trPr>
          <w:trHeight w:val="170"/>
        </w:trPr>
        <w:tc>
          <w:tcPr>
            <w:tcW w:w="2500" w:type="dxa"/>
            <w:shd w:val="clear" w:color="auto" w:fill="auto"/>
            <w:noWrap/>
            <w:vAlign w:val="bottom"/>
            <w:hideMark/>
          </w:tcPr>
          <w:p w14:paraId="3ADD39B7" w14:textId="77777777" w:rsidR="00CC41BC" w:rsidRPr="00C11A69" w:rsidRDefault="00CC41BC" w:rsidP="00CC41BC">
            <w:pPr>
              <w:spacing w:after="0" w:line="240" w:lineRule="auto"/>
              <w:rPr>
                <w:rFonts w:eastAsia="Times New Roman" w:cstheme="minorHAnsi"/>
                <w:b/>
                <w:color w:val="000000"/>
                <w:sz w:val="20"/>
                <w:szCs w:val="20"/>
                <w:lang w:eastAsia="hr-HR"/>
              </w:rPr>
            </w:pPr>
            <w:r w:rsidRPr="00C11A69">
              <w:rPr>
                <w:rFonts w:eastAsia="Times New Roman" w:cstheme="minorHAnsi"/>
                <w:b/>
                <w:color w:val="000000"/>
                <w:sz w:val="20"/>
                <w:szCs w:val="20"/>
                <w:lang w:eastAsia="hr-HR"/>
              </w:rPr>
              <w:t>Ukupno:</w:t>
            </w:r>
          </w:p>
        </w:tc>
        <w:tc>
          <w:tcPr>
            <w:tcW w:w="3591" w:type="dxa"/>
            <w:shd w:val="clear" w:color="auto" w:fill="auto"/>
            <w:noWrap/>
            <w:vAlign w:val="bottom"/>
            <w:hideMark/>
          </w:tcPr>
          <w:p w14:paraId="53FBF3FA" w14:textId="5887AB46" w:rsidR="00CC41BC" w:rsidRPr="00C11A69" w:rsidRDefault="00CC41BC" w:rsidP="00CC41BC">
            <w:pPr>
              <w:spacing w:after="0" w:line="240" w:lineRule="auto"/>
              <w:rPr>
                <w:rFonts w:eastAsia="Times New Roman" w:cstheme="minorHAnsi"/>
                <w:b/>
                <w:color w:val="000000"/>
                <w:sz w:val="20"/>
                <w:szCs w:val="20"/>
                <w:lang w:eastAsia="hr-HR"/>
              </w:rPr>
            </w:pPr>
            <w:r w:rsidRPr="00C11A69">
              <w:rPr>
                <w:rFonts w:eastAsia="Times New Roman" w:cstheme="minorHAnsi"/>
                <w:b/>
                <w:color w:val="000000"/>
                <w:sz w:val="20"/>
                <w:szCs w:val="20"/>
                <w:lang w:eastAsia="hr-HR"/>
              </w:rPr>
              <w:t>1</w:t>
            </w:r>
            <w:r w:rsidR="00280EDD">
              <w:rPr>
                <w:rFonts w:eastAsia="Times New Roman" w:cstheme="minorHAnsi"/>
                <w:b/>
                <w:color w:val="000000"/>
                <w:sz w:val="20"/>
                <w:szCs w:val="20"/>
                <w:lang w:eastAsia="hr-HR"/>
              </w:rPr>
              <w:t>6</w:t>
            </w:r>
          </w:p>
        </w:tc>
        <w:tc>
          <w:tcPr>
            <w:tcW w:w="2976" w:type="dxa"/>
            <w:shd w:val="clear" w:color="auto" w:fill="auto"/>
            <w:noWrap/>
            <w:vAlign w:val="bottom"/>
            <w:hideMark/>
          </w:tcPr>
          <w:p w14:paraId="03CB9724" w14:textId="77777777" w:rsidR="00CC41BC" w:rsidRPr="00C11A69" w:rsidRDefault="00CC41BC" w:rsidP="00CC41BC">
            <w:pPr>
              <w:spacing w:after="0" w:line="240" w:lineRule="auto"/>
              <w:jc w:val="right"/>
              <w:rPr>
                <w:rFonts w:eastAsia="Times New Roman" w:cstheme="minorHAnsi"/>
                <w:b/>
                <w:color w:val="000000"/>
                <w:sz w:val="20"/>
                <w:szCs w:val="20"/>
                <w:lang w:eastAsia="hr-HR"/>
              </w:rPr>
            </w:pPr>
            <w:r w:rsidRPr="00C11A69">
              <w:rPr>
                <w:rFonts w:eastAsia="Times New Roman" w:cstheme="minorHAnsi"/>
                <w:b/>
                <w:color w:val="000000"/>
                <w:sz w:val="20"/>
                <w:szCs w:val="20"/>
                <w:lang w:eastAsia="hr-HR"/>
              </w:rPr>
              <w:t>152.280</w:t>
            </w:r>
          </w:p>
        </w:tc>
      </w:tr>
    </w:tbl>
    <w:p w14:paraId="35D39789" w14:textId="6994A9B7" w:rsidR="00CC41BC" w:rsidRDefault="00E64A83" w:rsidP="005B09E7">
      <w:pPr>
        <w:spacing w:after="240"/>
        <w:jc w:val="right"/>
        <w:rPr>
          <w:i/>
          <w:iCs/>
          <w:sz w:val="18"/>
          <w:szCs w:val="20"/>
        </w:rPr>
      </w:pPr>
      <w:r w:rsidRPr="005B09E7">
        <w:rPr>
          <w:i/>
          <w:iCs/>
          <w:sz w:val="18"/>
          <w:szCs w:val="20"/>
        </w:rPr>
        <w:t>Izvor: MINGOR</w:t>
      </w:r>
    </w:p>
    <w:p w14:paraId="67CF9E23" w14:textId="0D7C08E4" w:rsidR="005B09E7" w:rsidRDefault="005B09E7" w:rsidP="005B09E7">
      <w:pPr>
        <w:pStyle w:val="Tablica"/>
      </w:pPr>
      <w:bookmarkStart w:id="143" w:name="_Ref111058904"/>
      <w:bookmarkStart w:id="144" w:name="_Toc125364406"/>
      <w:r>
        <w:lastRenderedPageBreak/>
        <w:t xml:space="preserve">Tablica </w:t>
      </w:r>
      <w:fldSimple w:instr=" SEQ Tablica \* ARABIC ">
        <w:r w:rsidR="00F37B62">
          <w:rPr>
            <w:noProof/>
          </w:rPr>
          <w:t>17</w:t>
        </w:r>
      </w:fldSimple>
      <w:bookmarkEnd w:id="143"/>
      <w:r>
        <w:t xml:space="preserve">. </w:t>
      </w:r>
      <w:r w:rsidRPr="005B09E7">
        <w:rPr>
          <w:b w:val="0"/>
          <w:bCs/>
        </w:rPr>
        <w:t xml:space="preserve">Projekti izgradnje novih </w:t>
      </w:r>
      <w:proofErr w:type="spellStart"/>
      <w:r w:rsidRPr="005B09E7">
        <w:rPr>
          <w:b w:val="0"/>
          <w:bCs/>
        </w:rPr>
        <w:t>kompostana</w:t>
      </w:r>
      <w:proofErr w:type="spellEnd"/>
      <w:r w:rsidRPr="005B09E7">
        <w:rPr>
          <w:b w:val="0"/>
          <w:bCs/>
        </w:rPr>
        <w:t xml:space="preserve"> koji su u provedbi</w:t>
      </w:r>
      <w:bookmarkEnd w:id="144"/>
    </w:p>
    <w:p w14:paraId="5FE571A2" w14:textId="77777777" w:rsidR="005B09E7" w:rsidRDefault="005B09E7" w:rsidP="005B09E7">
      <w:pPr>
        <w:spacing w:after="240"/>
        <w:jc w:val="right"/>
        <w:rPr>
          <w:i/>
          <w:iCs/>
          <w:sz w:val="18"/>
          <w:szCs w:val="20"/>
        </w:rPr>
      </w:pPr>
      <w:r w:rsidRPr="005B09E7">
        <w:rPr>
          <w:i/>
          <w:iCs/>
          <w:sz w:val="18"/>
          <w:szCs w:val="20"/>
        </w:rPr>
        <w:t>Izvor: MINGOR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2377"/>
        <w:gridCol w:w="3828"/>
        <w:gridCol w:w="2409"/>
      </w:tblGrid>
      <w:tr w:rsidR="00CC41BC" w:rsidRPr="00C11A69" w14:paraId="50A6C939" w14:textId="77777777" w:rsidTr="00CC41BC">
        <w:trPr>
          <w:trHeight w:val="170"/>
        </w:trPr>
        <w:tc>
          <w:tcPr>
            <w:tcW w:w="453" w:type="dxa"/>
            <w:shd w:val="clear" w:color="auto" w:fill="002060"/>
            <w:noWrap/>
            <w:vAlign w:val="bottom"/>
            <w:hideMark/>
          </w:tcPr>
          <w:p w14:paraId="637DB18C" w14:textId="77777777" w:rsidR="00CC41BC" w:rsidRPr="00C11A69" w:rsidRDefault="00CC41BC" w:rsidP="00CC41BC">
            <w:pPr>
              <w:spacing w:after="0" w:line="240" w:lineRule="auto"/>
              <w:rPr>
                <w:rFonts w:eastAsia="Times New Roman" w:cstheme="minorHAnsi"/>
                <w:b/>
                <w:color w:val="FFFFFF" w:themeColor="background1"/>
                <w:sz w:val="20"/>
                <w:szCs w:val="16"/>
                <w:lang w:eastAsia="hr-HR"/>
              </w:rPr>
            </w:pPr>
            <w:r w:rsidRPr="00C11A69">
              <w:rPr>
                <w:rFonts w:eastAsia="Times New Roman" w:cstheme="minorHAnsi"/>
                <w:b/>
                <w:color w:val="FFFFFF" w:themeColor="background1"/>
                <w:sz w:val="20"/>
                <w:szCs w:val="16"/>
                <w:lang w:eastAsia="hr-HR"/>
              </w:rPr>
              <w:t>Br.</w:t>
            </w:r>
          </w:p>
        </w:tc>
        <w:tc>
          <w:tcPr>
            <w:tcW w:w="2377" w:type="dxa"/>
            <w:shd w:val="clear" w:color="auto" w:fill="002060"/>
            <w:noWrap/>
            <w:vAlign w:val="bottom"/>
            <w:hideMark/>
          </w:tcPr>
          <w:p w14:paraId="68113E2B" w14:textId="77777777" w:rsidR="00CC41BC" w:rsidRPr="00C11A69" w:rsidRDefault="00CC41BC" w:rsidP="00CC41BC">
            <w:pPr>
              <w:spacing w:after="0" w:line="240" w:lineRule="auto"/>
              <w:rPr>
                <w:rFonts w:eastAsia="Times New Roman" w:cstheme="minorHAnsi"/>
                <w:b/>
                <w:color w:val="FFFFFF" w:themeColor="background1"/>
                <w:sz w:val="20"/>
                <w:szCs w:val="16"/>
                <w:lang w:eastAsia="hr-HR"/>
              </w:rPr>
            </w:pPr>
            <w:r w:rsidRPr="00C11A69">
              <w:rPr>
                <w:rFonts w:eastAsia="Times New Roman" w:cstheme="minorHAnsi"/>
                <w:b/>
                <w:color w:val="FFFFFF" w:themeColor="background1"/>
                <w:sz w:val="20"/>
                <w:szCs w:val="16"/>
                <w:lang w:eastAsia="hr-HR"/>
              </w:rPr>
              <w:t>Županija</w:t>
            </w:r>
          </w:p>
        </w:tc>
        <w:tc>
          <w:tcPr>
            <w:tcW w:w="3828" w:type="dxa"/>
            <w:shd w:val="clear" w:color="auto" w:fill="002060"/>
            <w:noWrap/>
            <w:vAlign w:val="bottom"/>
            <w:hideMark/>
          </w:tcPr>
          <w:p w14:paraId="788AF08D" w14:textId="77777777" w:rsidR="00CC41BC" w:rsidRPr="00C11A69" w:rsidRDefault="00CC41BC" w:rsidP="00CC41BC">
            <w:pPr>
              <w:spacing w:after="0" w:line="240" w:lineRule="auto"/>
              <w:rPr>
                <w:rFonts w:eastAsia="Times New Roman" w:cstheme="minorHAnsi"/>
                <w:b/>
                <w:color w:val="FFFFFF" w:themeColor="background1"/>
                <w:sz w:val="20"/>
                <w:szCs w:val="16"/>
                <w:lang w:eastAsia="hr-HR"/>
              </w:rPr>
            </w:pPr>
            <w:r w:rsidRPr="00C11A69">
              <w:rPr>
                <w:rFonts w:eastAsia="Times New Roman" w:cstheme="minorHAnsi"/>
                <w:b/>
                <w:color w:val="FFFFFF" w:themeColor="background1"/>
                <w:sz w:val="20"/>
                <w:szCs w:val="16"/>
                <w:lang w:eastAsia="hr-HR"/>
              </w:rPr>
              <w:t>Naziv korisnika</w:t>
            </w:r>
          </w:p>
        </w:tc>
        <w:tc>
          <w:tcPr>
            <w:tcW w:w="2409" w:type="dxa"/>
            <w:shd w:val="clear" w:color="auto" w:fill="002060"/>
            <w:noWrap/>
            <w:vAlign w:val="bottom"/>
            <w:hideMark/>
          </w:tcPr>
          <w:p w14:paraId="053B57DF" w14:textId="77777777" w:rsidR="00CC41BC" w:rsidRPr="00C11A69" w:rsidRDefault="00CC41BC" w:rsidP="00CC41BC">
            <w:pPr>
              <w:spacing w:after="0" w:line="240" w:lineRule="auto"/>
              <w:rPr>
                <w:rFonts w:eastAsia="Times New Roman" w:cstheme="minorHAnsi"/>
                <w:b/>
                <w:color w:val="FFFFFF" w:themeColor="background1"/>
                <w:sz w:val="20"/>
                <w:szCs w:val="16"/>
                <w:lang w:eastAsia="hr-HR"/>
              </w:rPr>
            </w:pPr>
            <w:r w:rsidRPr="00C11A69">
              <w:rPr>
                <w:rFonts w:eastAsia="Times New Roman" w:cstheme="minorHAnsi"/>
                <w:b/>
                <w:color w:val="FFFFFF" w:themeColor="background1"/>
                <w:sz w:val="20"/>
                <w:szCs w:val="16"/>
                <w:lang w:eastAsia="hr-HR"/>
              </w:rPr>
              <w:t>Planirani kapacitet (t/god)</w:t>
            </w:r>
          </w:p>
        </w:tc>
      </w:tr>
      <w:tr w:rsidR="00CC41BC" w:rsidRPr="00C11A69" w14:paraId="2BC65C15" w14:textId="77777777" w:rsidTr="00CC41BC">
        <w:trPr>
          <w:trHeight w:val="170"/>
        </w:trPr>
        <w:tc>
          <w:tcPr>
            <w:tcW w:w="453" w:type="dxa"/>
            <w:shd w:val="clear" w:color="auto" w:fill="auto"/>
            <w:noWrap/>
            <w:vAlign w:val="bottom"/>
            <w:hideMark/>
          </w:tcPr>
          <w:p w14:paraId="298266ED" w14:textId="77777777" w:rsidR="00CC41BC" w:rsidRPr="00C11A69" w:rsidRDefault="00CC41BC" w:rsidP="00CC41BC">
            <w:pPr>
              <w:spacing w:after="0" w:line="240" w:lineRule="auto"/>
              <w:jc w:val="center"/>
              <w:rPr>
                <w:rFonts w:eastAsia="Times New Roman" w:cstheme="minorHAnsi"/>
                <w:color w:val="000000"/>
                <w:sz w:val="20"/>
                <w:szCs w:val="16"/>
                <w:lang w:eastAsia="hr-HR"/>
              </w:rPr>
            </w:pPr>
            <w:r w:rsidRPr="00C11A69">
              <w:rPr>
                <w:rFonts w:eastAsia="Times New Roman" w:cstheme="minorHAnsi"/>
                <w:color w:val="000000"/>
                <w:sz w:val="20"/>
                <w:szCs w:val="16"/>
                <w:lang w:eastAsia="hr-HR"/>
              </w:rPr>
              <w:t>1</w:t>
            </w:r>
          </w:p>
        </w:tc>
        <w:tc>
          <w:tcPr>
            <w:tcW w:w="2377" w:type="dxa"/>
            <w:shd w:val="clear" w:color="auto" w:fill="auto"/>
            <w:noWrap/>
            <w:vAlign w:val="center"/>
            <w:hideMark/>
          </w:tcPr>
          <w:p w14:paraId="0AB35610" w14:textId="77777777" w:rsidR="00CC41BC" w:rsidRPr="00C11A69" w:rsidRDefault="00CC41BC" w:rsidP="00CC41BC">
            <w:pPr>
              <w:spacing w:after="0" w:line="240" w:lineRule="auto"/>
              <w:rPr>
                <w:rFonts w:eastAsia="Times New Roman" w:cstheme="minorHAnsi"/>
                <w:color w:val="000000"/>
                <w:sz w:val="20"/>
                <w:szCs w:val="16"/>
                <w:lang w:eastAsia="hr-HR"/>
              </w:rPr>
            </w:pPr>
            <w:r w:rsidRPr="00C11A69">
              <w:rPr>
                <w:rFonts w:eastAsia="Times New Roman" w:cstheme="minorHAnsi"/>
                <w:color w:val="000000"/>
                <w:sz w:val="20"/>
                <w:szCs w:val="16"/>
                <w:lang w:eastAsia="hr-HR"/>
              </w:rPr>
              <w:t>Dubrovačko-neretvanska</w:t>
            </w:r>
          </w:p>
        </w:tc>
        <w:tc>
          <w:tcPr>
            <w:tcW w:w="3828" w:type="dxa"/>
            <w:shd w:val="clear" w:color="auto" w:fill="auto"/>
            <w:noWrap/>
            <w:vAlign w:val="bottom"/>
            <w:hideMark/>
          </w:tcPr>
          <w:p w14:paraId="1CF94DA0" w14:textId="77777777" w:rsidR="00CC41BC" w:rsidRPr="00C11A69" w:rsidRDefault="00CC41BC" w:rsidP="00CC41BC">
            <w:pPr>
              <w:spacing w:after="0" w:line="240" w:lineRule="auto"/>
              <w:rPr>
                <w:rFonts w:eastAsia="Times New Roman" w:cstheme="minorHAnsi"/>
                <w:color w:val="000000"/>
                <w:sz w:val="20"/>
                <w:szCs w:val="16"/>
                <w:lang w:eastAsia="hr-HR"/>
              </w:rPr>
            </w:pPr>
            <w:r w:rsidRPr="00C11A69">
              <w:rPr>
                <w:rFonts w:eastAsia="Times New Roman" w:cstheme="minorHAnsi"/>
                <w:color w:val="000000"/>
                <w:sz w:val="20"/>
                <w:szCs w:val="16"/>
                <w:lang w:eastAsia="hr-HR"/>
              </w:rPr>
              <w:t>ČISTOĆA METKOVIĆ d.o.o. za obavljanje komunalnih djelatnosti, METKOVIĆ</w:t>
            </w:r>
          </w:p>
        </w:tc>
        <w:tc>
          <w:tcPr>
            <w:tcW w:w="2409" w:type="dxa"/>
            <w:shd w:val="clear" w:color="auto" w:fill="auto"/>
            <w:noWrap/>
            <w:vAlign w:val="center"/>
            <w:hideMark/>
          </w:tcPr>
          <w:p w14:paraId="2323B43D" w14:textId="77777777" w:rsidR="00CC41BC" w:rsidRPr="00C11A69" w:rsidRDefault="00CC41BC" w:rsidP="00CC41BC">
            <w:pPr>
              <w:spacing w:after="0" w:line="240" w:lineRule="auto"/>
              <w:jc w:val="right"/>
              <w:rPr>
                <w:rFonts w:eastAsia="Times New Roman" w:cstheme="minorHAnsi"/>
                <w:color w:val="000000"/>
                <w:sz w:val="20"/>
                <w:szCs w:val="16"/>
                <w:lang w:eastAsia="hr-HR"/>
              </w:rPr>
            </w:pPr>
            <w:r w:rsidRPr="00C11A69">
              <w:rPr>
                <w:rFonts w:eastAsia="Times New Roman" w:cstheme="minorHAnsi"/>
                <w:color w:val="000000"/>
                <w:sz w:val="20"/>
                <w:szCs w:val="16"/>
                <w:lang w:eastAsia="hr-HR"/>
              </w:rPr>
              <w:t>5.720</w:t>
            </w:r>
          </w:p>
        </w:tc>
      </w:tr>
      <w:tr w:rsidR="00CC41BC" w:rsidRPr="00C11A69" w14:paraId="34FADD54" w14:textId="77777777" w:rsidTr="00CC41BC">
        <w:trPr>
          <w:trHeight w:val="170"/>
        </w:trPr>
        <w:tc>
          <w:tcPr>
            <w:tcW w:w="453" w:type="dxa"/>
            <w:shd w:val="clear" w:color="auto" w:fill="auto"/>
            <w:noWrap/>
            <w:vAlign w:val="bottom"/>
            <w:hideMark/>
          </w:tcPr>
          <w:p w14:paraId="73C755E3" w14:textId="77777777" w:rsidR="00CC41BC" w:rsidRPr="00C11A69" w:rsidRDefault="00CC41BC" w:rsidP="00CC41BC">
            <w:pPr>
              <w:spacing w:after="0" w:line="240" w:lineRule="auto"/>
              <w:jc w:val="center"/>
              <w:rPr>
                <w:rFonts w:eastAsia="Times New Roman" w:cstheme="minorHAnsi"/>
                <w:color w:val="000000"/>
                <w:sz w:val="20"/>
                <w:szCs w:val="16"/>
                <w:lang w:eastAsia="hr-HR"/>
              </w:rPr>
            </w:pPr>
            <w:r w:rsidRPr="00C11A69">
              <w:rPr>
                <w:rFonts w:eastAsia="Times New Roman" w:cstheme="minorHAnsi"/>
                <w:color w:val="000000"/>
                <w:sz w:val="20"/>
                <w:szCs w:val="16"/>
                <w:lang w:eastAsia="hr-HR"/>
              </w:rPr>
              <w:t>2</w:t>
            </w:r>
          </w:p>
        </w:tc>
        <w:tc>
          <w:tcPr>
            <w:tcW w:w="2377" w:type="dxa"/>
            <w:shd w:val="clear" w:color="auto" w:fill="auto"/>
            <w:noWrap/>
            <w:vAlign w:val="center"/>
            <w:hideMark/>
          </w:tcPr>
          <w:p w14:paraId="4136D183" w14:textId="77777777" w:rsidR="00CC41BC" w:rsidRPr="00C11A69" w:rsidRDefault="00CC41BC" w:rsidP="00CC41BC">
            <w:pPr>
              <w:spacing w:after="0" w:line="240" w:lineRule="auto"/>
              <w:rPr>
                <w:rFonts w:eastAsia="Times New Roman" w:cstheme="minorHAnsi"/>
                <w:color w:val="000000"/>
                <w:sz w:val="20"/>
                <w:szCs w:val="16"/>
                <w:lang w:eastAsia="hr-HR"/>
              </w:rPr>
            </w:pPr>
            <w:r w:rsidRPr="00C11A69">
              <w:rPr>
                <w:rFonts w:eastAsia="Times New Roman" w:cstheme="minorHAnsi"/>
                <w:color w:val="000000"/>
                <w:sz w:val="20"/>
                <w:szCs w:val="16"/>
                <w:lang w:eastAsia="hr-HR"/>
              </w:rPr>
              <w:t>Koprivničko-križevačka</w:t>
            </w:r>
          </w:p>
        </w:tc>
        <w:tc>
          <w:tcPr>
            <w:tcW w:w="3828" w:type="dxa"/>
            <w:shd w:val="clear" w:color="auto" w:fill="auto"/>
            <w:noWrap/>
            <w:vAlign w:val="bottom"/>
            <w:hideMark/>
          </w:tcPr>
          <w:p w14:paraId="6F1065BB" w14:textId="77777777" w:rsidR="00CC41BC" w:rsidRPr="00C11A69" w:rsidRDefault="00CC41BC" w:rsidP="00CC41BC">
            <w:pPr>
              <w:spacing w:after="0" w:line="240" w:lineRule="auto"/>
              <w:rPr>
                <w:rFonts w:eastAsia="Times New Roman" w:cstheme="minorHAnsi"/>
                <w:color w:val="000000"/>
                <w:sz w:val="20"/>
                <w:szCs w:val="16"/>
                <w:lang w:eastAsia="hr-HR"/>
              </w:rPr>
            </w:pPr>
            <w:r w:rsidRPr="00C11A69">
              <w:rPr>
                <w:rFonts w:eastAsia="Times New Roman" w:cstheme="minorHAnsi"/>
                <w:color w:val="000000"/>
                <w:sz w:val="20"/>
                <w:szCs w:val="16"/>
                <w:lang w:eastAsia="hr-HR"/>
              </w:rPr>
              <w:t>KOMUNALNE USLUGE ĐURĐEVAC d.o.o. za obavljanje komunalnih djelatnosti, ĐURĐEVAC</w:t>
            </w:r>
          </w:p>
        </w:tc>
        <w:tc>
          <w:tcPr>
            <w:tcW w:w="2409" w:type="dxa"/>
            <w:shd w:val="clear" w:color="auto" w:fill="auto"/>
            <w:noWrap/>
            <w:vAlign w:val="center"/>
            <w:hideMark/>
          </w:tcPr>
          <w:p w14:paraId="631B9A49" w14:textId="77777777" w:rsidR="00CC41BC" w:rsidRPr="00C11A69" w:rsidRDefault="00CC41BC" w:rsidP="00CC41BC">
            <w:pPr>
              <w:spacing w:after="0" w:line="240" w:lineRule="auto"/>
              <w:jc w:val="right"/>
              <w:rPr>
                <w:rFonts w:eastAsia="Times New Roman" w:cstheme="minorHAnsi"/>
                <w:color w:val="000000"/>
                <w:sz w:val="20"/>
                <w:szCs w:val="16"/>
                <w:lang w:eastAsia="hr-HR"/>
              </w:rPr>
            </w:pPr>
            <w:r w:rsidRPr="00C11A69">
              <w:rPr>
                <w:rFonts w:eastAsia="Times New Roman" w:cstheme="minorHAnsi"/>
                <w:color w:val="000000"/>
                <w:sz w:val="20"/>
                <w:szCs w:val="16"/>
                <w:lang w:eastAsia="hr-HR"/>
              </w:rPr>
              <w:t>3.000</w:t>
            </w:r>
          </w:p>
        </w:tc>
      </w:tr>
      <w:tr w:rsidR="00CC41BC" w:rsidRPr="00C11A69" w14:paraId="5E1AE515" w14:textId="77777777" w:rsidTr="00CC41BC">
        <w:trPr>
          <w:trHeight w:val="170"/>
        </w:trPr>
        <w:tc>
          <w:tcPr>
            <w:tcW w:w="453" w:type="dxa"/>
            <w:shd w:val="clear" w:color="auto" w:fill="auto"/>
            <w:noWrap/>
            <w:vAlign w:val="bottom"/>
            <w:hideMark/>
          </w:tcPr>
          <w:p w14:paraId="1709AE31" w14:textId="77777777" w:rsidR="00CC41BC" w:rsidRPr="00C11A69" w:rsidRDefault="00CC41BC" w:rsidP="00CC41BC">
            <w:pPr>
              <w:spacing w:after="0" w:line="240" w:lineRule="auto"/>
              <w:jc w:val="center"/>
              <w:rPr>
                <w:rFonts w:eastAsia="Times New Roman" w:cstheme="minorHAnsi"/>
                <w:color w:val="000000"/>
                <w:sz w:val="20"/>
                <w:szCs w:val="16"/>
                <w:lang w:eastAsia="hr-HR"/>
              </w:rPr>
            </w:pPr>
            <w:r w:rsidRPr="00C11A69">
              <w:rPr>
                <w:rFonts w:eastAsia="Times New Roman" w:cstheme="minorHAnsi"/>
                <w:color w:val="000000"/>
                <w:sz w:val="20"/>
                <w:szCs w:val="16"/>
                <w:lang w:eastAsia="hr-HR"/>
              </w:rPr>
              <w:t>3</w:t>
            </w:r>
          </w:p>
        </w:tc>
        <w:tc>
          <w:tcPr>
            <w:tcW w:w="2377" w:type="dxa"/>
            <w:shd w:val="clear" w:color="auto" w:fill="auto"/>
            <w:noWrap/>
            <w:vAlign w:val="center"/>
            <w:hideMark/>
          </w:tcPr>
          <w:p w14:paraId="696C5CFF" w14:textId="77777777" w:rsidR="00CC41BC" w:rsidRPr="00C11A69" w:rsidRDefault="00CC41BC" w:rsidP="00CC41BC">
            <w:pPr>
              <w:spacing w:after="0" w:line="240" w:lineRule="auto"/>
              <w:rPr>
                <w:rFonts w:eastAsia="Times New Roman" w:cstheme="minorHAnsi"/>
                <w:color w:val="000000"/>
                <w:sz w:val="20"/>
                <w:szCs w:val="16"/>
                <w:lang w:eastAsia="hr-HR"/>
              </w:rPr>
            </w:pPr>
            <w:r w:rsidRPr="00C11A69">
              <w:rPr>
                <w:rFonts w:eastAsia="Times New Roman" w:cstheme="minorHAnsi"/>
                <w:color w:val="000000"/>
                <w:sz w:val="20"/>
                <w:szCs w:val="16"/>
                <w:lang w:eastAsia="hr-HR"/>
              </w:rPr>
              <w:t>Požeško-slavonska</w:t>
            </w:r>
          </w:p>
        </w:tc>
        <w:tc>
          <w:tcPr>
            <w:tcW w:w="3828" w:type="dxa"/>
            <w:shd w:val="clear" w:color="auto" w:fill="auto"/>
            <w:noWrap/>
            <w:vAlign w:val="bottom"/>
            <w:hideMark/>
          </w:tcPr>
          <w:p w14:paraId="7D38A29C" w14:textId="77777777" w:rsidR="00CC41BC" w:rsidRPr="00C11A69" w:rsidRDefault="00CC41BC" w:rsidP="00CC41BC">
            <w:pPr>
              <w:spacing w:after="0" w:line="240" w:lineRule="auto"/>
              <w:rPr>
                <w:rFonts w:eastAsia="Times New Roman" w:cstheme="minorHAnsi"/>
                <w:color w:val="000000"/>
                <w:sz w:val="20"/>
                <w:szCs w:val="16"/>
                <w:lang w:eastAsia="hr-HR"/>
              </w:rPr>
            </w:pPr>
            <w:r w:rsidRPr="00C11A69">
              <w:rPr>
                <w:rFonts w:eastAsia="Times New Roman" w:cstheme="minorHAnsi"/>
                <w:color w:val="000000"/>
                <w:sz w:val="20"/>
                <w:szCs w:val="16"/>
                <w:lang w:eastAsia="hr-HR"/>
              </w:rPr>
              <w:t>KOMUNALAC POŽEGA d.o.o. za komunalne djelatnosti, POŽEGA</w:t>
            </w:r>
          </w:p>
        </w:tc>
        <w:tc>
          <w:tcPr>
            <w:tcW w:w="2409" w:type="dxa"/>
            <w:shd w:val="clear" w:color="auto" w:fill="auto"/>
            <w:noWrap/>
            <w:vAlign w:val="center"/>
            <w:hideMark/>
          </w:tcPr>
          <w:p w14:paraId="00C3442B" w14:textId="77777777" w:rsidR="00CC41BC" w:rsidRPr="00C11A69" w:rsidRDefault="00CC41BC" w:rsidP="00CC41BC">
            <w:pPr>
              <w:spacing w:after="0" w:line="240" w:lineRule="auto"/>
              <w:jc w:val="right"/>
              <w:rPr>
                <w:rFonts w:eastAsia="Times New Roman" w:cstheme="minorHAnsi"/>
                <w:color w:val="000000"/>
                <w:sz w:val="20"/>
                <w:szCs w:val="16"/>
                <w:lang w:eastAsia="hr-HR"/>
              </w:rPr>
            </w:pPr>
            <w:r w:rsidRPr="00C11A69">
              <w:rPr>
                <w:rFonts w:eastAsia="Times New Roman" w:cstheme="minorHAnsi"/>
                <w:color w:val="000000"/>
                <w:sz w:val="20"/>
                <w:szCs w:val="16"/>
                <w:lang w:eastAsia="hr-HR"/>
              </w:rPr>
              <w:t>1.000</w:t>
            </w:r>
          </w:p>
        </w:tc>
      </w:tr>
      <w:tr w:rsidR="00CC41BC" w:rsidRPr="00C11A69" w14:paraId="542BED13" w14:textId="77777777" w:rsidTr="00CC41BC">
        <w:trPr>
          <w:trHeight w:val="170"/>
        </w:trPr>
        <w:tc>
          <w:tcPr>
            <w:tcW w:w="453" w:type="dxa"/>
            <w:shd w:val="clear" w:color="auto" w:fill="auto"/>
            <w:noWrap/>
            <w:vAlign w:val="bottom"/>
            <w:hideMark/>
          </w:tcPr>
          <w:p w14:paraId="48D35110" w14:textId="77777777" w:rsidR="00CC41BC" w:rsidRPr="00C11A69" w:rsidRDefault="00CC41BC" w:rsidP="00CC41BC">
            <w:pPr>
              <w:spacing w:after="0" w:line="240" w:lineRule="auto"/>
              <w:jc w:val="center"/>
              <w:rPr>
                <w:rFonts w:eastAsia="Times New Roman" w:cstheme="minorHAnsi"/>
                <w:color w:val="000000"/>
                <w:sz w:val="20"/>
                <w:szCs w:val="16"/>
                <w:lang w:eastAsia="hr-HR"/>
              </w:rPr>
            </w:pPr>
            <w:r w:rsidRPr="00C11A69">
              <w:rPr>
                <w:rFonts w:eastAsia="Times New Roman" w:cstheme="minorHAnsi"/>
                <w:color w:val="000000"/>
                <w:sz w:val="20"/>
                <w:szCs w:val="16"/>
                <w:lang w:eastAsia="hr-HR"/>
              </w:rPr>
              <w:t>4</w:t>
            </w:r>
          </w:p>
        </w:tc>
        <w:tc>
          <w:tcPr>
            <w:tcW w:w="2377" w:type="dxa"/>
            <w:shd w:val="clear" w:color="auto" w:fill="auto"/>
            <w:noWrap/>
            <w:vAlign w:val="center"/>
            <w:hideMark/>
          </w:tcPr>
          <w:p w14:paraId="6DD9B078" w14:textId="77777777" w:rsidR="00CC41BC" w:rsidRPr="00C11A69" w:rsidRDefault="00CC41BC" w:rsidP="00CC41BC">
            <w:pPr>
              <w:spacing w:after="0" w:line="240" w:lineRule="auto"/>
              <w:rPr>
                <w:rFonts w:eastAsia="Times New Roman" w:cstheme="minorHAnsi"/>
                <w:color w:val="000000"/>
                <w:sz w:val="20"/>
                <w:szCs w:val="16"/>
                <w:lang w:eastAsia="hr-HR"/>
              </w:rPr>
            </w:pPr>
            <w:r w:rsidRPr="00C11A69">
              <w:rPr>
                <w:rFonts w:eastAsia="Times New Roman" w:cstheme="minorHAnsi"/>
                <w:color w:val="000000"/>
                <w:sz w:val="20"/>
                <w:szCs w:val="16"/>
                <w:lang w:eastAsia="hr-HR"/>
              </w:rPr>
              <w:t>Bjelovarsko-bilogorska</w:t>
            </w:r>
          </w:p>
        </w:tc>
        <w:tc>
          <w:tcPr>
            <w:tcW w:w="3828" w:type="dxa"/>
            <w:shd w:val="clear" w:color="auto" w:fill="auto"/>
            <w:noWrap/>
            <w:vAlign w:val="bottom"/>
            <w:hideMark/>
          </w:tcPr>
          <w:p w14:paraId="5353EDBE" w14:textId="77777777" w:rsidR="00CC41BC" w:rsidRPr="00C11A69" w:rsidRDefault="00CC41BC" w:rsidP="00CC41BC">
            <w:pPr>
              <w:spacing w:after="0" w:line="240" w:lineRule="auto"/>
              <w:rPr>
                <w:rFonts w:eastAsia="Times New Roman" w:cstheme="minorHAnsi"/>
                <w:color w:val="000000"/>
                <w:sz w:val="20"/>
                <w:szCs w:val="16"/>
                <w:lang w:eastAsia="hr-HR"/>
              </w:rPr>
            </w:pPr>
            <w:r w:rsidRPr="00C11A69">
              <w:rPr>
                <w:rFonts w:eastAsia="Times New Roman" w:cstheme="minorHAnsi"/>
                <w:color w:val="000000"/>
                <w:sz w:val="20"/>
                <w:szCs w:val="16"/>
                <w:lang w:eastAsia="hr-HR"/>
              </w:rPr>
              <w:t>KOMUNALAC d.o.o. za obavljanje komunalnih djelatnosti, BJELOVAR</w:t>
            </w:r>
          </w:p>
        </w:tc>
        <w:tc>
          <w:tcPr>
            <w:tcW w:w="2409" w:type="dxa"/>
            <w:shd w:val="clear" w:color="auto" w:fill="auto"/>
            <w:noWrap/>
            <w:vAlign w:val="center"/>
            <w:hideMark/>
          </w:tcPr>
          <w:p w14:paraId="55D47F7E" w14:textId="77777777" w:rsidR="00CC41BC" w:rsidRPr="00C11A69" w:rsidRDefault="00CC41BC" w:rsidP="00CC41BC">
            <w:pPr>
              <w:spacing w:after="0" w:line="240" w:lineRule="auto"/>
              <w:jc w:val="right"/>
              <w:rPr>
                <w:rFonts w:eastAsia="Times New Roman" w:cstheme="minorHAnsi"/>
                <w:color w:val="000000"/>
                <w:sz w:val="20"/>
                <w:szCs w:val="16"/>
                <w:lang w:eastAsia="hr-HR"/>
              </w:rPr>
            </w:pPr>
            <w:r w:rsidRPr="00C11A69">
              <w:rPr>
                <w:rFonts w:eastAsia="Times New Roman" w:cstheme="minorHAnsi"/>
                <w:color w:val="000000"/>
                <w:sz w:val="20"/>
                <w:szCs w:val="16"/>
                <w:lang w:eastAsia="hr-HR"/>
              </w:rPr>
              <w:t>4.000</w:t>
            </w:r>
          </w:p>
        </w:tc>
      </w:tr>
      <w:tr w:rsidR="00CC41BC" w:rsidRPr="00C11A69" w14:paraId="4242C94C" w14:textId="77777777" w:rsidTr="00CC41BC">
        <w:trPr>
          <w:trHeight w:val="170"/>
        </w:trPr>
        <w:tc>
          <w:tcPr>
            <w:tcW w:w="453" w:type="dxa"/>
            <w:shd w:val="clear" w:color="auto" w:fill="auto"/>
            <w:noWrap/>
            <w:vAlign w:val="bottom"/>
            <w:hideMark/>
          </w:tcPr>
          <w:p w14:paraId="3432C5C0" w14:textId="77777777" w:rsidR="00CC41BC" w:rsidRPr="00C11A69" w:rsidRDefault="00CC41BC" w:rsidP="00CC41BC">
            <w:pPr>
              <w:spacing w:after="0" w:line="240" w:lineRule="auto"/>
              <w:jc w:val="center"/>
              <w:rPr>
                <w:rFonts w:eastAsia="Times New Roman" w:cstheme="minorHAnsi"/>
                <w:color w:val="000000"/>
                <w:sz w:val="20"/>
                <w:szCs w:val="16"/>
                <w:lang w:eastAsia="hr-HR"/>
              </w:rPr>
            </w:pPr>
            <w:r w:rsidRPr="00C11A69">
              <w:rPr>
                <w:rFonts w:eastAsia="Times New Roman" w:cstheme="minorHAnsi"/>
                <w:color w:val="000000"/>
                <w:sz w:val="20"/>
                <w:szCs w:val="16"/>
                <w:lang w:eastAsia="hr-HR"/>
              </w:rPr>
              <w:t>5</w:t>
            </w:r>
          </w:p>
        </w:tc>
        <w:tc>
          <w:tcPr>
            <w:tcW w:w="2377" w:type="dxa"/>
            <w:shd w:val="clear" w:color="auto" w:fill="auto"/>
            <w:noWrap/>
            <w:vAlign w:val="center"/>
            <w:hideMark/>
          </w:tcPr>
          <w:p w14:paraId="1AD9140B" w14:textId="77777777" w:rsidR="00CC41BC" w:rsidRPr="00C11A69" w:rsidRDefault="00CC41BC" w:rsidP="00CC41BC">
            <w:pPr>
              <w:spacing w:after="0" w:line="240" w:lineRule="auto"/>
              <w:rPr>
                <w:rFonts w:eastAsia="Times New Roman" w:cstheme="minorHAnsi"/>
                <w:color w:val="000000"/>
                <w:sz w:val="20"/>
                <w:szCs w:val="16"/>
                <w:lang w:eastAsia="hr-HR"/>
              </w:rPr>
            </w:pPr>
            <w:r w:rsidRPr="00C11A69">
              <w:rPr>
                <w:rFonts w:eastAsia="Times New Roman" w:cstheme="minorHAnsi"/>
                <w:color w:val="000000"/>
                <w:sz w:val="20"/>
                <w:szCs w:val="16"/>
                <w:lang w:eastAsia="hr-HR"/>
              </w:rPr>
              <w:t>Varaždinska</w:t>
            </w:r>
          </w:p>
        </w:tc>
        <w:tc>
          <w:tcPr>
            <w:tcW w:w="3828" w:type="dxa"/>
            <w:shd w:val="clear" w:color="auto" w:fill="auto"/>
            <w:noWrap/>
            <w:vAlign w:val="bottom"/>
            <w:hideMark/>
          </w:tcPr>
          <w:p w14:paraId="14E2B3CE" w14:textId="77777777" w:rsidR="00CC41BC" w:rsidRPr="00C11A69" w:rsidRDefault="00CC41BC" w:rsidP="00CC41BC">
            <w:pPr>
              <w:spacing w:after="0" w:line="240" w:lineRule="auto"/>
              <w:rPr>
                <w:rFonts w:eastAsia="Times New Roman" w:cstheme="minorHAnsi"/>
                <w:color w:val="000000"/>
                <w:sz w:val="20"/>
                <w:szCs w:val="16"/>
                <w:lang w:eastAsia="hr-HR"/>
              </w:rPr>
            </w:pPr>
            <w:proofErr w:type="spellStart"/>
            <w:r w:rsidRPr="00C11A69">
              <w:rPr>
                <w:rFonts w:eastAsia="Times New Roman" w:cstheme="minorHAnsi"/>
                <w:color w:val="000000"/>
                <w:sz w:val="20"/>
                <w:szCs w:val="16"/>
                <w:lang w:eastAsia="hr-HR"/>
              </w:rPr>
              <w:t>Clip</w:t>
            </w:r>
            <w:proofErr w:type="spellEnd"/>
            <w:r w:rsidRPr="00C11A69">
              <w:rPr>
                <w:rFonts w:eastAsia="Times New Roman" w:cstheme="minorHAnsi"/>
                <w:color w:val="000000"/>
                <w:sz w:val="20"/>
                <w:szCs w:val="16"/>
                <w:lang w:eastAsia="hr-HR"/>
              </w:rPr>
              <w:t xml:space="preserve"> Bio Plus d.o.o. za usluge, VARAŽDIN</w:t>
            </w:r>
          </w:p>
        </w:tc>
        <w:tc>
          <w:tcPr>
            <w:tcW w:w="2409" w:type="dxa"/>
            <w:shd w:val="clear" w:color="auto" w:fill="auto"/>
            <w:noWrap/>
            <w:vAlign w:val="center"/>
            <w:hideMark/>
          </w:tcPr>
          <w:p w14:paraId="58189617" w14:textId="77777777" w:rsidR="00CC41BC" w:rsidRPr="00C11A69" w:rsidRDefault="00CC41BC" w:rsidP="00CC41BC">
            <w:pPr>
              <w:spacing w:after="0" w:line="240" w:lineRule="auto"/>
              <w:jc w:val="right"/>
              <w:rPr>
                <w:rFonts w:eastAsia="Times New Roman" w:cstheme="minorHAnsi"/>
                <w:color w:val="000000"/>
                <w:sz w:val="20"/>
                <w:szCs w:val="16"/>
                <w:lang w:eastAsia="hr-HR"/>
              </w:rPr>
            </w:pPr>
            <w:r w:rsidRPr="00C11A69">
              <w:rPr>
                <w:rFonts w:eastAsia="Times New Roman" w:cstheme="minorHAnsi"/>
                <w:color w:val="000000"/>
                <w:sz w:val="20"/>
                <w:szCs w:val="16"/>
                <w:lang w:eastAsia="hr-HR"/>
              </w:rPr>
              <w:t>2.500</w:t>
            </w:r>
          </w:p>
        </w:tc>
      </w:tr>
      <w:tr w:rsidR="00CC41BC" w:rsidRPr="00C11A69" w14:paraId="27147C25" w14:textId="77777777" w:rsidTr="00CC41BC">
        <w:trPr>
          <w:trHeight w:val="170"/>
        </w:trPr>
        <w:tc>
          <w:tcPr>
            <w:tcW w:w="6658" w:type="dxa"/>
            <w:gridSpan w:val="3"/>
            <w:shd w:val="clear" w:color="auto" w:fill="auto"/>
            <w:noWrap/>
            <w:vAlign w:val="bottom"/>
            <w:hideMark/>
          </w:tcPr>
          <w:p w14:paraId="17313364" w14:textId="77777777" w:rsidR="00CC41BC" w:rsidRPr="00C11A69" w:rsidRDefault="00CC41BC" w:rsidP="00CC41BC">
            <w:pPr>
              <w:spacing w:after="0" w:line="240" w:lineRule="auto"/>
              <w:rPr>
                <w:rFonts w:eastAsia="Times New Roman" w:cstheme="minorHAnsi"/>
                <w:b/>
                <w:color w:val="000000"/>
                <w:sz w:val="20"/>
                <w:szCs w:val="16"/>
                <w:lang w:eastAsia="hr-HR"/>
              </w:rPr>
            </w:pPr>
            <w:r w:rsidRPr="00C11A69">
              <w:rPr>
                <w:rFonts w:eastAsia="Times New Roman" w:cstheme="minorHAnsi"/>
                <w:b/>
                <w:color w:val="000000"/>
                <w:sz w:val="20"/>
                <w:szCs w:val="16"/>
                <w:lang w:eastAsia="hr-HR"/>
              </w:rPr>
              <w:t>Ukupno</w:t>
            </w:r>
          </w:p>
        </w:tc>
        <w:tc>
          <w:tcPr>
            <w:tcW w:w="2409" w:type="dxa"/>
            <w:shd w:val="clear" w:color="auto" w:fill="auto"/>
            <w:noWrap/>
            <w:vAlign w:val="center"/>
            <w:hideMark/>
          </w:tcPr>
          <w:p w14:paraId="558D4171" w14:textId="77777777" w:rsidR="00CC41BC" w:rsidRPr="00C11A69" w:rsidRDefault="00CC41BC" w:rsidP="00CC41BC">
            <w:pPr>
              <w:spacing w:after="0" w:line="240" w:lineRule="auto"/>
              <w:jc w:val="right"/>
              <w:rPr>
                <w:rFonts w:eastAsia="Times New Roman" w:cstheme="minorHAnsi"/>
                <w:b/>
                <w:color w:val="000000"/>
                <w:sz w:val="20"/>
                <w:szCs w:val="16"/>
                <w:lang w:eastAsia="hr-HR"/>
              </w:rPr>
            </w:pPr>
            <w:r w:rsidRPr="00C11A69">
              <w:rPr>
                <w:rFonts w:eastAsia="Times New Roman" w:cstheme="minorHAnsi"/>
                <w:b/>
                <w:color w:val="000000"/>
                <w:sz w:val="20"/>
                <w:szCs w:val="16"/>
                <w:lang w:eastAsia="hr-HR"/>
              </w:rPr>
              <w:t>16.220</w:t>
            </w:r>
          </w:p>
        </w:tc>
      </w:tr>
    </w:tbl>
    <w:p w14:paraId="77F06A3B" w14:textId="77777777" w:rsidR="00CC41BC" w:rsidRPr="005B09E7" w:rsidRDefault="00CC41BC" w:rsidP="005B09E7">
      <w:pPr>
        <w:spacing w:after="240"/>
        <w:jc w:val="right"/>
        <w:rPr>
          <w:i/>
          <w:iCs/>
          <w:sz w:val="18"/>
          <w:szCs w:val="20"/>
        </w:rPr>
      </w:pPr>
    </w:p>
    <w:p w14:paraId="0045387C" w14:textId="1422C3AA" w:rsidR="005B09E7" w:rsidRPr="00D72386" w:rsidRDefault="005B09E7" w:rsidP="005B09E7">
      <w:r w:rsidRPr="00A262ED">
        <w:t xml:space="preserve">Najveći broj </w:t>
      </w:r>
      <w:r>
        <w:t xml:space="preserve">trenutno evidentiranih </w:t>
      </w:r>
      <w:proofErr w:type="spellStart"/>
      <w:r w:rsidRPr="00A262ED">
        <w:t>kompostana</w:t>
      </w:r>
      <w:proofErr w:type="spellEnd"/>
      <w:r w:rsidRPr="00A262ED">
        <w:t xml:space="preserve"> nalazi se na području središnje i sjeverozapadne RH (</w:t>
      </w:r>
      <w:r>
        <w:fldChar w:fldCharType="begin"/>
      </w:r>
      <w:r>
        <w:instrText xml:space="preserve"> REF _Ref111118315 \h </w:instrText>
      </w:r>
      <w:r>
        <w:fldChar w:fldCharType="separate"/>
      </w:r>
      <w:r w:rsidR="00F37B62">
        <w:t xml:space="preserve">Slika </w:t>
      </w:r>
      <w:r w:rsidR="00F37B62">
        <w:rPr>
          <w:noProof/>
        </w:rPr>
        <w:t>47</w:t>
      </w:r>
      <w:r>
        <w:fldChar w:fldCharType="end"/>
      </w:r>
      <w:r w:rsidRPr="00A262ED">
        <w:t>).</w:t>
      </w:r>
      <w:r>
        <w:t xml:space="preserve"> </w:t>
      </w:r>
    </w:p>
    <w:p w14:paraId="328BAA1B" w14:textId="26DCEBE7" w:rsidR="005B09E7" w:rsidRDefault="005B09E7" w:rsidP="005B09E7">
      <w:pPr>
        <w:pStyle w:val="Slika"/>
      </w:pPr>
      <w:bookmarkStart w:id="145" w:name="_Ref111118315"/>
      <w:bookmarkStart w:id="146" w:name="_Toc125363955"/>
      <w:r>
        <w:t xml:space="preserve">Slika </w:t>
      </w:r>
      <w:fldSimple w:instr=" SEQ Slika \* ARABIC ">
        <w:r w:rsidR="00F37B62">
          <w:rPr>
            <w:noProof/>
          </w:rPr>
          <w:t>47</w:t>
        </w:r>
      </w:fldSimple>
      <w:bookmarkEnd w:id="145"/>
      <w:r>
        <w:t xml:space="preserve">. </w:t>
      </w:r>
      <w:r w:rsidRPr="005B09E7">
        <w:rPr>
          <w:b w:val="0"/>
          <w:bCs/>
        </w:rPr>
        <w:t xml:space="preserve">Pregled </w:t>
      </w:r>
      <w:proofErr w:type="spellStart"/>
      <w:r w:rsidRPr="005B09E7">
        <w:rPr>
          <w:b w:val="0"/>
          <w:bCs/>
        </w:rPr>
        <w:t>kompostana</w:t>
      </w:r>
      <w:proofErr w:type="spellEnd"/>
      <w:r w:rsidRPr="005B09E7">
        <w:rPr>
          <w:b w:val="0"/>
          <w:bCs/>
        </w:rPr>
        <w:t xml:space="preserve"> u RH u 2021. godini</w:t>
      </w:r>
      <w:bookmarkEnd w:id="146"/>
    </w:p>
    <w:p w14:paraId="330993B8" w14:textId="6AF0972D" w:rsidR="005B09E7" w:rsidRDefault="00E64A83" w:rsidP="005B09E7">
      <w:r w:rsidRPr="00E64A83">
        <w:t>Za anaerobnu biološku obradu otpada u 2021. evidentirana su 22 bioplinska postrojenja, a ukupni kapacitet obrade tih postrojenja prema dozvolama iznosi 839.808 tona/godina.</w:t>
      </w:r>
      <w:r w:rsidR="005B09E7">
        <w:t xml:space="preserve"> Uz navedeno, MINGOR u evidenciji bioplinskih postrojenja prati i dodatnih 13 bioplinskih postrojenja koja rade temeljem ovlaštenja izdanog od strane Ministarstva poljoprivrede što čini ukupni broj od 35 bioplinska postrojenja s ukupnim kapacitetom od 1.800.487 tona/godina u RH</w:t>
      </w:r>
      <w:r w:rsidR="0018393A">
        <w:t>.</w:t>
      </w:r>
    </w:p>
    <w:p w14:paraId="1174BF61" w14:textId="6DDCB1E4" w:rsidR="005B09E7" w:rsidRPr="00CF311C" w:rsidRDefault="005B09E7" w:rsidP="005B09E7">
      <w:r>
        <w:t xml:space="preserve">U usporedbi s podacima iz 2016. godine kada je bilo ukupno 11 bioplinskih postrojenja (od kojih je 6 bioplinskih postrojenja imalo dozvolu za gospodarenje otpadom) ukupnog kapaciteta 234.800 t/god primjećuje se značajan porast, no, </w:t>
      </w:r>
      <w:r w:rsidRPr="00CF311C">
        <w:t xml:space="preserve">važno je naglasiti da je trenutni ukupni kapacitet bioplinskih postrojenja gotovo u cijelosti predviđen za obradu </w:t>
      </w:r>
      <w:proofErr w:type="spellStart"/>
      <w:r w:rsidRPr="00CF311C">
        <w:t>gnoj</w:t>
      </w:r>
      <w:r w:rsidR="00023C19">
        <w:t>o</w:t>
      </w:r>
      <w:r w:rsidRPr="00CF311C">
        <w:t>vke</w:t>
      </w:r>
      <w:proofErr w:type="spellEnd"/>
      <w:r w:rsidRPr="00CF311C">
        <w:t xml:space="preserve"> i biljnog materijala iz poljoprivrede. Raspoloživi kapaciteti se u minimalnom udjelu koriste za obradu biootpada</w:t>
      </w:r>
      <w:r w:rsidR="00283CB7">
        <w:t xml:space="preserve"> i muljeva (muljevi od obrade </w:t>
      </w:r>
      <w:proofErr w:type="spellStart"/>
      <w:r w:rsidR="00283CB7">
        <w:t>efluenata</w:t>
      </w:r>
      <w:proofErr w:type="spellEnd"/>
      <w:r w:rsidR="00283CB7">
        <w:t xml:space="preserve">, muljevi od biološke obrade industrijskih otpadnih voda, </w:t>
      </w:r>
      <w:r w:rsidR="00283CB7" w:rsidRPr="00283CB7">
        <w:t xml:space="preserve">muljevi od obrade </w:t>
      </w:r>
      <w:r w:rsidR="00283CB7">
        <w:t>komunalnih</w:t>
      </w:r>
      <w:r w:rsidR="00283CB7" w:rsidRPr="00283CB7">
        <w:t xml:space="preserve"> otpadnih voda</w:t>
      </w:r>
      <w:r w:rsidR="00283CB7">
        <w:t>)</w:t>
      </w:r>
      <w:r w:rsidRPr="00CF311C">
        <w:t>. Tijekom 2021. godine bioplinska po</w:t>
      </w:r>
      <w:r w:rsidR="00790F88">
        <w:t>s</w:t>
      </w:r>
      <w:r w:rsidRPr="00CF311C">
        <w:t>trojenja su obradila oko 80.000 tona biootpada</w:t>
      </w:r>
      <w:r w:rsidR="00283CB7">
        <w:t xml:space="preserve"> i oko 28.000 tona muljeva</w:t>
      </w:r>
      <w:r w:rsidRPr="00CF311C">
        <w:t>.</w:t>
      </w:r>
    </w:p>
    <w:p w14:paraId="46DEB54B" w14:textId="663231E2" w:rsidR="005B09E7" w:rsidRDefault="005B09E7" w:rsidP="005B09E7">
      <w:r>
        <w:t>Glavnina kapaciteta za an</w:t>
      </w:r>
      <w:r w:rsidR="0018393A">
        <w:t>a</w:t>
      </w:r>
      <w:r>
        <w:t>erobnu digestiju locirana je na području istočne i središnje RH (</w:t>
      </w:r>
      <w:commentRangeStart w:id="147"/>
      <w:r>
        <w:fldChar w:fldCharType="begin"/>
      </w:r>
      <w:r>
        <w:instrText xml:space="preserve"> REF _Ref111045539 \h </w:instrText>
      </w:r>
      <w:r>
        <w:fldChar w:fldCharType="separate"/>
      </w:r>
      <w:r w:rsidR="00F37B62">
        <w:t xml:space="preserve">Slika </w:t>
      </w:r>
      <w:r w:rsidR="00F37B62">
        <w:rPr>
          <w:noProof/>
        </w:rPr>
        <w:t>48</w:t>
      </w:r>
      <w:r>
        <w:fldChar w:fldCharType="end"/>
      </w:r>
      <w:commentRangeEnd w:id="147"/>
      <w:r w:rsidR="0069713A">
        <w:rPr>
          <w:rStyle w:val="Referencakomentara"/>
        </w:rPr>
        <w:commentReference w:id="147"/>
      </w:r>
      <w:r>
        <w:t>).</w:t>
      </w:r>
    </w:p>
    <w:p w14:paraId="2EB0A337" w14:textId="77777777" w:rsidR="00384E38" w:rsidRDefault="00384E38" w:rsidP="005B09E7"/>
    <w:p w14:paraId="224A2F12" w14:textId="66C9ECCA" w:rsidR="005B09E7" w:rsidRDefault="005B09E7" w:rsidP="005B09E7">
      <w:pPr>
        <w:pStyle w:val="Slika"/>
      </w:pPr>
      <w:bookmarkStart w:id="148" w:name="_Ref111045539"/>
      <w:bookmarkStart w:id="149" w:name="_Toc125363956"/>
      <w:r>
        <w:t xml:space="preserve">Slika </w:t>
      </w:r>
      <w:fldSimple w:instr=" SEQ Slika \* ARABIC ">
        <w:r w:rsidR="00F37B62">
          <w:rPr>
            <w:noProof/>
          </w:rPr>
          <w:t>48</w:t>
        </w:r>
      </w:fldSimple>
      <w:bookmarkEnd w:id="148"/>
      <w:r>
        <w:t xml:space="preserve">. </w:t>
      </w:r>
      <w:r w:rsidRPr="005B09E7">
        <w:rPr>
          <w:b w:val="0"/>
          <w:bCs/>
        </w:rPr>
        <w:t>Pregled bioplinskih postrojenja u RH u 2021. godini</w:t>
      </w:r>
      <w:bookmarkEnd w:id="149"/>
    </w:p>
    <w:p w14:paraId="533650B4" w14:textId="19BB4D08" w:rsidR="00CE014B" w:rsidRPr="00D058ED" w:rsidRDefault="002252F5" w:rsidP="00A22739">
      <w:pPr>
        <w:pStyle w:val="IRNaslov4"/>
        <w:rPr>
          <w:sz w:val="24"/>
        </w:rPr>
      </w:pPr>
      <w:r w:rsidRPr="00D058ED">
        <w:rPr>
          <w:sz w:val="24"/>
        </w:rPr>
        <w:t>Ostale građev</w:t>
      </w:r>
      <w:r w:rsidR="00E2720F" w:rsidRPr="00D058ED">
        <w:rPr>
          <w:sz w:val="24"/>
        </w:rPr>
        <w:t>i</w:t>
      </w:r>
      <w:r w:rsidRPr="00D058ED">
        <w:rPr>
          <w:sz w:val="24"/>
        </w:rPr>
        <w:t>ne za materijalnu oporabu otpada</w:t>
      </w:r>
    </w:p>
    <w:p w14:paraId="38C4A63E" w14:textId="6D35D290" w:rsidR="00CE014B" w:rsidRPr="00CE014B" w:rsidRDefault="00CE014B" w:rsidP="00A22739">
      <w:pPr>
        <w:pStyle w:val="IRNaslov5"/>
        <w:rPr>
          <w:rStyle w:val="zadanifontodlomka-000023"/>
          <w:rFonts w:asciiTheme="minorHAnsi" w:hAnsiTheme="minorHAnsi" w:cstheme="minorHAnsi"/>
          <w:color w:val="auto"/>
          <w:sz w:val="22"/>
          <w:szCs w:val="22"/>
        </w:rPr>
      </w:pPr>
      <w:proofErr w:type="spellStart"/>
      <w:r>
        <w:rPr>
          <w:rStyle w:val="zadanifontodlomka-000023"/>
          <w:rFonts w:asciiTheme="minorHAnsi" w:hAnsiTheme="minorHAnsi" w:cstheme="minorHAnsi"/>
          <w:color w:val="auto"/>
          <w:sz w:val="22"/>
          <w:szCs w:val="22"/>
        </w:rPr>
        <w:t>Sortirnice</w:t>
      </w:r>
      <w:proofErr w:type="spellEnd"/>
    </w:p>
    <w:p w14:paraId="77E9896B" w14:textId="76E7605D" w:rsidR="005F2AD3" w:rsidRDefault="005F2AD3" w:rsidP="005F2AD3">
      <w:pPr>
        <w:rPr>
          <w:rStyle w:val="zadanifontodlomka-000023"/>
          <w:rFonts w:asciiTheme="minorHAnsi" w:hAnsiTheme="minorHAnsi" w:cstheme="minorHAnsi"/>
          <w:color w:val="auto"/>
          <w:sz w:val="22"/>
          <w:szCs w:val="22"/>
        </w:rPr>
      </w:pPr>
      <w:r w:rsidRPr="005F2AD3">
        <w:rPr>
          <w:rStyle w:val="zadanifontodlomka-000023"/>
          <w:rFonts w:asciiTheme="minorHAnsi" w:hAnsiTheme="minorHAnsi" w:cstheme="minorHAnsi"/>
          <w:color w:val="auto"/>
          <w:sz w:val="22"/>
          <w:szCs w:val="22"/>
        </w:rPr>
        <w:t xml:space="preserve">Prilikom izrade analize postojećih kapaciteta </w:t>
      </w:r>
      <w:r>
        <w:rPr>
          <w:rStyle w:val="zadanifontodlomka-000023"/>
          <w:rFonts w:asciiTheme="minorHAnsi" w:hAnsiTheme="minorHAnsi" w:cstheme="minorHAnsi"/>
          <w:color w:val="auto"/>
          <w:sz w:val="22"/>
          <w:szCs w:val="22"/>
        </w:rPr>
        <w:t>za sortiranje odvojeno prikupljenog otpada</w:t>
      </w:r>
      <w:r w:rsidRPr="005F2AD3">
        <w:rPr>
          <w:rStyle w:val="zadanifontodlomka-000023"/>
          <w:rFonts w:asciiTheme="minorHAnsi" w:hAnsiTheme="minorHAnsi" w:cstheme="minorHAnsi"/>
          <w:color w:val="auto"/>
          <w:sz w:val="22"/>
          <w:szCs w:val="22"/>
        </w:rPr>
        <w:t xml:space="preserve"> koristili su se podaci o </w:t>
      </w:r>
      <w:r w:rsidR="00AD09CC">
        <w:rPr>
          <w:rStyle w:val="zadanifontodlomka-000023"/>
          <w:rFonts w:asciiTheme="minorHAnsi" w:hAnsiTheme="minorHAnsi" w:cstheme="minorHAnsi"/>
          <w:color w:val="auto"/>
          <w:sz w:val="22"/>
          <w:szCs w:val="22"/>
        </w:rPr>
        <w:t>prijavljenim</w:t>
      </w:r>
      <w:r w:rsidRPr="005F2AD3">
        <w:rPr>
          <w:rStyle w:val="zadanifontodlomka-000023"/>
          <w:rFonts w:asciiTheme="minorHAnsi" w:hAnsiTheme="minorHAnsi" w:cstheme="minorHAnsi"/>
          <w:color w:val="auto"/>
          <w:sz w:val="22"/>
          <w:szCs w:val="22"/>
        </w:rPr>
        <w:t xml:space="preserve"> kapacitetima iz</w:t>
      </w:r>
      <w:r w:rsidR="00AD09CC">
        <w:rPr>
          <w:rStyle w:val="zadanifontodlomka-000023"/>
          <w:rFonts w:asciiTheme="minorHAnsi" w:hAnsiTheme="minorHAnsi" w:cstheme="minorHAnsi"/>
          <w:color w:val="auto"/>
          <w:sz w:val="22"/>
          <w:szCs w:val="22"/>
        </w:rPr>
        <w:t xml:space="preserve"> ROO za tvrtke koje su tijekom 2021. godine prih</w:t>
      </w:r>
      <w:r w:rsidR="003D214B">
        <w:rPr>
          <w:rStyle w:val="zadanifontodlomka-000023"/>
          <w:rFonts w:asciiTheme="minorHAnsi" w:hAnsiTheme="minorHAnsi" w:cstheme="minorHAnsi"/>
          <w:color w:val="auto"/>
          <w:sz w:val="22"/>
          <w:szCs w:val="22"/>
        </w:rPr>
        <w:t>v</w:t>
      </w:r>
      <w:r w:rsidR="00AD09CC">
        <w:rPr>
          <w:rStyle w:val="zadanifontodlomka-000023"/>
          <w:rFonts w:asciiTheme="minorHAnsi" w:hAnsiTheme="minorHAnsi" w:cstheme="minorHAnsi"/>
          <w:color w:val="auto"/>
          <w:sz w:val="22"/>
          <w:szCs w:val="22"/>
        </w:rPr>
        <w:t>a</w:t>
      </w:r>
      <w:r w:rsidR="003D214B">
        <w:rPr>
          <w:rStyle w:val="zadanifontodlomka-000023"/>
          <w:rFonts w:asciiTheme="minorHAnsi" w:hAnsiTheme="minorHAnsi" w:cstheme="minorHAnsi"/>
          <w:color w:val="auto"/>
          <w:sz w:val="22"/>
          <w:szCs w:val="22"/>
        </w:rPr>
        <w:t>t</w:t>
      </w:r>
      <w:r w:rsidR="00AD09CC">
        <w:rPr>
          <w:rStyle w:val="zadanifontodlomka-000023"/>
          <w:rFonts w:asciiTheme="minorHAnsi" w:hAnsiTheme="minorHAnsi" w:cstheme="minorHAnsi"/>
          <w:color w:val="auto"/>
          <w:sz w:val="22"/>
          <w:szCs w:val="22"/>
        </w:rPr>
        <w:t>ile značajnije količine sortiranog otpada i</w:t>
      </w:r>
      <w:r w:rsidRPr="005F2AD3">
        <w:rPr>
          <w:rStyle w:val="zadanifontodlomka-000023"/>
          <w:rFonts w:asciiTheme="minorHAnsi" w:hAnsiTheme="minorHAnsi" w:cstheme="minorHAnsi"/>
          <w:color w:val="auto"/>
          <w:sz w:val="22"/>
          <w:szCs w:val="22"/>
        </w:rPr>
        <w:t xml:space="preserve"> </w:t>
      </w:r>
      <w:r>
        <w:rPr>
          <w:rStyle w:val="zadanifontodlomka-000023"/>
          <w:rFonts w:asciiTheme="minorHAnsi" w:hAnsiTheme="minorHAnsi" w:cstheme="minorHAnsi"/>
          <w:color w:val="auto"/>
          <w:sz w:val="22"/>
          <w:szCs w:val="22"/>
        </w:rPr>
        <w:t>to za postupak R12 (</w:t>
      </w:r>
      <w:r>
        <w:t>Razmjena otpada radi primjene bilo kojeg od postupaka oporabe navedenim pod R 1 – R 11</w:t>
      </w:r>
      <w:r>
        <w:rPr>
          <w:rStyle w:val="zadanifontodlomka-000023"/>
          <w:rFonts w:asciiTheme="minorHAnsi" w:hAnsiTheme="minorHAnsi" w:cstheme="minorHAnsi"/>
          <w:color w:val="auto"/>
          <w:sz w:val="22"/>
          <w:szCs w:val="22"/>
        </w:rPr>
        <w:t>)</w:t>
      </w:r>
      <w:r w:rsidR="00AD09CC">
        <w:rPr>
          <w:rStyle w:val="zadanifontodlomka-000023"/>
          <w:rFonts w:asciiTheme="minorHAnsi" w:hAnsiTheme="minorHAnsi" w:cstheme="minorHAnsi"/>
          <w:color w:val="auto"/>
          <w:sz w:val="22"/>
          <w:szCs w:val="22"/>
        </w:rPr>
        <w:t xml:space="preserve"> za sljedeće ključne brojeve: 15 01 01, 15 01 02, 15 01 04, 15 01 05, 15 01 06, 20 01 01, </w:t>
      </w:r>
      <w:r w:rsidR="00B6051A">
        <w:rPr>
          <w:rStyle w:val="zadanifontodlomka-000023"/>
          <w:rFonts w:asciiTheme="minorHAnsi" w:hAnsiTheme="minorHAnsi" w:cstheme="minorHAnsi"/>
          <w:color w:val="auto"/>
          <w:sz w:val="22"/>
          <w:szCs w:val="22"/>
        </w:rPr>
        <w:t>20 01 39 i 20 01 40</w:t>
      </w:r>
      <w:r>
        <w:rPr>
          <w:rStyle w:val="zadanifontodlomka-000023"/>
          <w:rFonts w:asciiTheme="minorHAnsi" w:hAnsiTheme="minorHAnsi" w:cstheme="minorHAnsi"/>
          <w:color w:val="auto"/>
          <w:sz w:val="22"/>
          <w:szCs w:val="22"/>
        </w:rPr>
        <w:t xml:space="preserve">. Kapaciteti evidentirani u </w:t>
      </w:r>
      <w:r w:rsidR="00AD09CC">
        <w:rPr>
          <w:rStyle w:val="zadanifontodlomka-000023"/>
          <w:rFonts w:asciiTheme="minorHAnsi" w:hAnsiTheme="minorHAnsi" w:cstheme="minorHAnsi"/>
          <w:color w:val="auto"/>
          <w:sz w:val="22"/>
          <w:szCs w:val="22"/>
        </w:rPr>
        <w:t>ROO</w:t>
      </w:r>
      <w:r>
        <w:rPr>
          <w:rStyle w:val="zadanifontodlomka-000023"/>
          <w:rFonts w:asciiTheme="minorHAnsi" w:hAnsiTheme="minorHAnsi" w:cstheme="minorHAnsi"/>
          <w:color w:val="auto"/>
          <w:sz w:val="22"/>
          <w:szCs w:val="22"/>
        </w:rPr>
        <w:t xml:space="preserve"> su uvećani za </w:t>
      </w:r>
      <w:r>
        <w:rPr>
          <w:rStyle w:val="zadanifontodlomka-000023"/>
          <w:rFonts w:asciiTheme="minorHAnsi" w:hAnsiTheme="minorHAnsi" w:cstheme="minorHAnsi"/>
          <w:color w:val="auto"/>
          <w:sz w:val="22"/>
          <w:szCs w:val="22"/>
        </w:rPr>
        <w:lastRenderedPageBreak/>
        <w:t xml:space="preserve">kapacitete </w:t>
      </w:r>
      <w:proofErr w:type="spellStart"/>
      <w:r>
        <w:rPr>
          <w:rStyle w:val="zadanifontodlomka-000023"/>
          <w:rFonts w:asciiTheme="minorHAnsi" w:hAnsiTheme="minorHAnsi" w:cstheme="minorHAnsi"/>
          <w:color w:val="auto"/>
          <w:sz w:val="22"/>
          <w:szCs w:val="22"/>
        </w:rPr>
        <w:t>sortirnica</w:t>
      </w:r>
      <w:proofErr w:type="spellEnd"/>
      <w:r>
        <w:rPr>
          <w:rStyle w:val="zadanifontodlomka-000023"/>
          <w:rFonts w:asciiTheme="minorHAnsi" w:hAnsiTheme="minorHAnsi" w:cstheme="minorHAnsi"/>
          <w:color w:val="auto"/>
          <w:sz w:val="22"/>
          <w:szCs w:val="22"/>
        </w:rPr>
        <w:t xml:space="preserve"> koje su u izgradnji kroz projekte Operativnog programa Konkurentnost i kohezija 2014.-2020.</w:t>
      </w:r>
    </w:p>
    <w:p w14:paraId="3FC32FD0" w14:textId="3E00484C" w:rsidR="005F2AD3" w:rsidRDefault="005F2AD3" w:rsidP="005F2AD3">
      <w:pPr>
        <w:rPr>
          <w:rFonts w:cstheme="minorHAnsi"/>
        </w:rPr>
      </w:pPr>
      <w:r>
        <w:rPr>
          <w:rStyle w:val="zadanifontodlomka-000023"/>
          <w:rFonts w:asciiTheme="minorHAnsi" w:hAnsiTheme="minorHAnsi" w:cstheme="minorHAnsi"/>
          <w:color w:val="auto"/>
          <w:sz w:val="22"/>
          <w:szCs w:val="22"/>
        </w:rPr>
        <w:t xml:space="preserve">S obzirom na planirani daljnji razvoj sustava odvojenog prikupljanja </w:t>
      </w:r>
      <w:r w:rsidR="004E05BA">
        <w:rPr>
          <w:rStyle w:val="zadanifontodlomka-000023"/>
          <w:rFonts w:asciiTheme="minorHAnsi" w:hAnsiTheme="minorHAnsi" w:cstheme="minorHAnsi"/>
          <w:color w:val="auto"/>
          <w:sz w:val="22"/>
          <w:szCs w:val="22"/>
        </w:rPr>
        <w:t xml:space="preserve">komunalnog otpada s ciljem ispunjavanja ciljeva određenih </w:t>
      </w:r>
      <w:r w:rsidR="004E05BA" w:rsidRPr="00307DF3">
        <w:rPr>
          <w:rFonts w:cstheme="minorHAnsi"/>
        </w:rPr>
        <w:t>Direktiv</w:t>
      </w:r>
      <w:r w:rsidR="004E05BA">
        <w:rPr>
          <w:rFonts w:cstheme="minorHAnsi"/>
        </w:rPr>
        <w:t>om</w:t>
      </w:r>
      <w:r w:rsidR="004E05BA" w:rsidRPr="00307DF3">
        <w:rPr>
          <w:rFonts w:cstheme="minorHAnsi"/>
        </w:rPr>
        <w:t xml:space="preserve"> (EU) 2008/98/EZ</w:t>
      </w:r>
      <w:r w:rsidR="004E05BA">
        <w:rPr>
          <w:rFonts w:cstheme="minorHAnsi"/>
        </w:rPr>
        <w:t xml:space="preserve"> i pripadajućim izmjenama potrebno je predvidjeti izgradnju dodatnih postrojenja za sortiranje.</w:t>
      </w:r>
    </w:p>
    <w:p w14:paraId="2BE26586" w14:textId="2DC6F3D8" w:rsidR="004E05BA" w:rsidRPr="005F2AD3" w:rsidRDefault="004E05BA" w:rsidP="005F2AD3">
      <w:pPr>
        <w:rPr>
          <w:rStyle w:val="zadanifontodlomka-000023"/>
          <w:rFonts w:asciiTheme="minorHAnsi" w:hAnsiTheme="minorHAnsi" w:cstheme="minorHAnsi"/>
          <w:color w:val="auto"/>
          <w:sz w:val="22"/>
          <w:szCs w:val="22"/>
        </w:rPr>
      </w:pPr>
      <w:r>
        <w:rPr>
          <w:rFonts w:cstheme="minorHAnsi"/>
        </w:rPr>
        <w:t>Postojeći kapaciteti postrojenja za sortiranje odvojeno prikupljenog otpada u 202</w:t>
      </w:r>
      <w:r w:rsidR="00934B32">
        <w:rPr>
          <w:rFonts w:cstheme="minorHAnsi"/>
        </w:rPr>
        <w:t>1</w:t>
      </w:r>
      <w:r>
        <w:rPr>
          <w:rFonts w:cstheme="minorHAnsi"/>
        </w:rPr>
        <w:t xml:space="preserve">. godini iznose </w:t>
      </w:r>
      <w:r w:rsidR="00A90B4B">
        <w:rPr>
          <w:rFonts w:cstheme="minorHAnsi"/>
          <w:b/>
          <w:bCs/>
          <w:u w:val="single"/>
        </w:rPr>
        <w:t>211</w:t>
      </w:r>
      <w:r w:rsidRPr="004E05BA">
        <w:rPr>
          <w:rFonts w:cstheme="minorHAnsi"/>
          <w:b/>
          <w:bCs/>
          <w:u w:val="single"/>
        </w:rPr>
        <w:t>.</w:t>
      </w:r>
      <w:r w:rsidR="00A90B4B">
        <w:rPr>
          <w:rFonts w:cstheme="minorHAnsi"/>
          <w:b/>
          <w:bCs/>
          <w:u w:val="single"/>
        </w:rPr>
        <w:t xml:space="preserve">800 </w:t>
      </w:r>
      <w:r w:rsidRPr="004E05BA">
        <w:rPr>
          <w:rFonts w:cstheme="minorHAnsi"/>
          <w:b/>
          <w:bCs/>
          <w:u w:val="single"/>
        </w:rPr>
        <w:t>tona/god</w:t>
      </w:r>
      <w:r>
        <w:rPr>
          <w:rFonts w:cstheme="minorHAnsi"/>
        </w:rPr>
        <w:t xml:space="preserve"> na razini cijele RH. Postojeći kapaciteti za sortiranje odvojeno prikupljenog komunalnog otpada kao i potrebni kapaciteti po pojedinim županijama su prikazani u</w:t>
      </w:r>
      <w:r w:rsidR="00A874F7">
        <w:rPr>
          <w:rFonts w:cstheme="minorHAnsi"/>
        </w:rPr>
        <w:t xml:space="preserve"> </w:t>
      </w:r>
      <w:r w:rsidR="00A874F7">
        <w:rPr>
          <w:rFonts w:cstheme="minorHAnsi"/>
        </w:rPr>
        <w:fldChar w:fldCharType="begin"/>
      </w:r>
      <w:r w:rsidR="00A874F7">
        <w:rPr>
          <w:rFonts w:cstheme="minorHAnsi"/>
        </w:rPr>
        <w:instrText xml:space="preserve"> REF _Ref115435276 \h </w:instrText>
      </w:r>
      <w:r w:rsidR="00A874F7">
        <w:rPr>
          <w:rFonts w:cstheme="minorHAnsi"/>
        </w:rPr>
      </w:r>
      <w:r w:rsidR="00A874F7">
        <w:rPr>
          <w:rFonts w:cstheme="minorHAnsi"/>
        </w:rPr>
        <w:fldChar w:fldCharType="separate"/>
      </w:r>
      <w:r w:rsidR="00F37B62">
        <w:t xml:space="preserve">Tablica </w:t>
      </w:r>
      <w:r w:rsidR="00F37B62">
        <w:rPr>
          <w:noProof/>
        </w:rPr>
        <w:t>32</w:t>
      </w:r>
      <w:r w:rsidR="00A874F7">
        <w:rPr>
          <w:rFonts w:cstheme="minorHAnsi"/>
        </w:rPr>
        <w:fldChar w:fldCharType="end"/>
      </w:r>
      <w:r w:rsidR="00A874F7">
        <w:rPr>
          <w:rFonts w:cstheme="minorHAnsi"/>
        </w:rPr>
        <w:t xml:space="preserve"> (za Scenarij 1) i </w:t>
      </w:r>
      <w:r w:rsidR="00A874F7">
        <w:rPr>
          <w:rFonts w:cstheme="minorHAnsi"/>
        </w:rPr>
        <w:fldChar w:fldCharType="begin"/>
      </w:r>
      <w:r w:rsidR="00A874F7">
        <w:rPr>
          <w:rFonts w:cstheme="minorHAnsi"/>
        </w:rPr>
        <w:instrText xml:space="preserve"> REF _Ref116284355 \h </w:instrText>
      </w:r>
      <w:r w:rsidR="00A874F7">
        <w:rPr>
          <w:rFonts w:cstheme="minorHAnsi"/>
        </w:rPr>
      </w:r>
      <w:r w:rsidR="00A874F7">
        <w:rPr>
          <w:rFonts w:cstheme="minorHAnsi"/>
        </w:rPr>
        <w:fldChar w:fldCharType="separate"/>
      </w:r>
      <w:r w:rsidR="00F37B62" w:rsidRPr="00A02E56">
        <w:t xml:space="preserve">Tablica </w:t>
      </w:r>
      <w:r w:rsidR="00F37B62">
        <w:rPr>
          <w:noProof/>
        </w:rPr>
        <w:t>33</w:t>
      </w:r>
      <w:r w:rsidR="00A874F7">
        <w:rPr>
          <w:rFonts w:cstheme="minorHAnsi"/>
        </w:rPr>
        <w:fldChar w:fldCharType="end"/>
      </w:r>
      <w:r w:rsidR="00A874F7">
        <w:rPr>
          <w:rFonts w:cstheme="minorHAnsi"/>
        </w:rPr>
        <w:t xml:space="preserve"> (za Scenarij 2).</w:t>
      </w:r>
    </w:p>
    <w:p w14:paraId="3E2B8B5C" w14:textId="63128648" w:rsidR="00CE014B" w:rsidRPr="00CE014B" w:rsidRDefault="00CE014B" w:rsidP="00A22739">
      <w:pPr>
        <w:pStyle w:val="IRNaslov5"/>
        <w:rPr>
          <w:rStyle w:val="zadanifontodlomka-000023"/>
          <w:rFonts w:asciiTheme="minorHAnsi" w:hAnsiTheme="minorHAnsi" w:cstheme="minorHAnsi"/>
          <w:color w:val="auto"/>
          <w:sz w:val="22"/>
          <w:szCs w:val="22"/>
        </w:rPr>
      </w:pPr>
      <w:r>
        <w:rPr>
          <w:rStyle w:val="zadanifontodlomka-000023"/>
          <w:rFonts w:asciiTheme="minorHAnsi" w:hAnsiTheme="minorHAnsi" w:cstheme="minorHAnsi"/>
          <w:color w:val="auto"/>
          <w:sz w:val="22"/>
          <w:szCs w:val="22"/>
        </w:rPr>
        <w:t xml:space="preserve">Drobilice </w:t>
      </w:r>
      <w:r w:rsidR="00934B32">
        <w:rPr>
          <w:rStyle w:val="zadanifontodlomka-000023"/>
          <w:rFonts w:asciiTheme="minorHAnsi" w:hAnsiTheme="minorHAnsi" w:cstheme="minorHAnsi"/>
          <w:color w:val="auto"/>
          <w:sz w:val="22"/>
          <w:szCs w:val="22"/>
        </w:rPr>
        <w:t xml:space="preserve">i postrojenja za oporabu </w:t>
      </w:r>
      <w:r>
        <w:rPr>
          <w:rStyle w:val="zadanifontodlomka-000023"/>
          <w:rFonts w:asciiTheme="minorHAnsi" w:hAnsiTheme="minorHAnsi" w:cstheme="minorHAnsi"/>
          <w:color w:val="auto"/>
          <w:sz w:val="22"/>
          <w:szCs w:val="22"/>
        </w:rPr>
        <w:t>građevn</w:t>
      </w:r>
      <w:r w:rsidR="00934B32">
        <w:rPr>
          <w:rStyle w:val="zadanifontodlomka-000023"/>
          <w:rFonts w:asciiTheme="minorHAnsi" w:hAnsiTheme="minorHAnsi" w:cstheme="minorHAnsi"/>
          <w:color w:val="auto"/>
          <w:sz w:val="22"/>
          <w:szCs w:val="22"/>
        </w:rPr>
        <w:t>og</w:t>
      </w:r>
      <w:r>
        <w:rPr>
          <w:rStyle w:val="zadanifontodlomka-000023"/>
          <w:rFonts w:asciiTheme="minorHAnsi" w:hAnsiTheme="minorHAnsi" w:cstheme="minorHAnsi"/>
          <w:color w:val="auto"/>
          <w:sz w:val="22"/>
          <w:szCs w:val="22"/>
        </w:rPr>
        <w:t xml:space="preserve"> otpad</w:t>
      </w:r>
      <w:r w:rsidR="00934B32">
        <w:rPr>
          <w:rStyle w:val="zadanifontodlomka-000023"/>
          <w:rFonts w:asciiTheme="minorHAnsi" w:hAnsiTheme="minorHAnsi" w:cstheme="minorHAnsi"/>
          <w:color w:val="auto"/>
          <w:sz w:val="22"/>
          <w:szCs w:val="22"/>
        </w:rPr>
        <w:t>a</w:t>
      </w:r>
    </w:p>
    <w:p w14:paraId="05942CDA" w14:textId="25F9CD59" w:rsidR="00934B32" w:rsidRPr="00934B32" w:rsidRDefault="003D214B" w:rsidP="00934B32">
      <w:pPr>
        <w:rPr>
          <w:rStyle w:val="zadanifontodlomka-000023"/>
          <w:rFonts w:asciiTheme="minorHAnsi" w:hAnsiTheme="minorHAnsi" w:cstheme="minorHAnsi"/>
          <w:color w:val="auto"/>
          <w:sz w:val="22"/>
          <w:szCs w:val="22"/>
        </w:rPr>
      </w:pPr>
      <w:r w:rsidRPr="005F2AD3">
        <w:rPr>
          <w:rStyle w:val="zadanifontodlomka-000023"/>
          <w:rFonts w:asciiTheme="minorHAnsi" w:hAnsiTheme="minorHAnsi" w:cstheme="minorHAnsi"/>
          <w:color w:val="auto"/>
          <w:sz w:val="22"/>
          <w:szCs w:val="22"/>
        </w:rPr>
        <w:t xml:space="preserve">Prilikom izrade analize postojećih kapaciteta </w:t>
      </w:r>
      <w:r>
        <w:rPr>
          <w:rStyle w:val="zadanifontodlomka-000023"/>
          <w:rFonts w:asciiTheme="minorHAnsi" w:hAnsiTheme="minorHAnsi" w:cstheme="minorHAnsi"/>
          <w:color w:val="auto"/>
          <w:sz w:val="22"/>
          <w:szCs w:val="22"/>
        </w:rPr>
        <w:t>za oporabu građevnog otpada</w:t>
      </w:r>
      <w:r w:rsidRPr="005F2AD3">
        <w:rPr>
          <w:rStyle w:val="zadanifontodlomka-000023"/>
          <w:rFonts w:asciiTheme="minorHAnsi" w:hAnsiTheme="minorHAnsi" w:cstheme="minorHAnsi"/>
          <w:color w:val="auto"/>
          <w:sz w:val="22"/>
          <w:szCs w:val="22"/>
        </w:rPr>
        <w:t xml:space="preserve"> koristili su se podaci o </w:t>
      </w:r>
      <w:r>
        <w:rPr>
          <w:rStyle w:val="zadanifontodlomka-000023"/>
          <w:rFonts w:asciiTheme="minorHAnsi" w:hAnsiTheme="minorHAnsi" w:cstheme="minorHAnsi"/>
          <w:color w:val="auto"/>
          <w:sz w:val="22"/>
          <w:szCs w:val="22"/>
        </w:rPr>
        <w:t>prijavljenim</w:t>
      </w:r>
      <w:r w:rsidRPr="005F2AD3">
        <w:rPr>
          <w:rStyle w:val="zadanifontodlomka-000023"/>
          <w:rFonts w:asciiTheme="minorHAnsi" w:hAnsiTheme="minorHAnsi" w:cstheme="minorHAnsi"/>
          <w:color w:val="auto"/>
          <w:sz w:val="22"/>
          <w:szCs w:val="22"/>
        </w:rPr>
        <w:t xml:space="preserve"> kapacitetima iz</w:t>
      </w:r>
      <w:r>
        <w:rPr>
          <w:rStyle w:val="zadanifontodlomka-000023"/>
          <w:rFonts w:asciiTheme="minorHAnsi" w:hAnsiTheme="minorHAnsi" w:cstheme="minorHAnsi"/>
          <w:color w:val="auto"/>
          <w:sz w:val="22"/>
          <w:szCs w:val="22"/>
        </w:rPr>
        <w:t xml:space="preserve"> ROO za tvrtke </w:t>
      </w:r>
      <w:r w:rsidR="00934B32">
        <w:rPr>
          <w:rStyle w:val="zadanifontodlomka-000023"/>
          <w:rFonts w:asciiTheme="minorHAnsi" w:hAnsiTheme="minorHAnsi" w:cstheme="minorHAnsi"/>
          <w:color w:val="auto"/>
          <w:sz w:val="22"/>
          <w:szCs w:val="22"/>
        </w:rPr>
        <w:t>za</w:t>
      </w:r>
      <w:r w:rsidR="00934B32" w:rsidRPr="00934B32">
        <w:rPr>
          <w:rStyle w:val="zadanifontodlomka-000023"/>
          <w:rFonts w:asciiTheme="minorHAnsi" w:hAnsiTheme="minorHAnsi" w:cstheme="minorHAnsi"/>
          <w:color w:val="auto"/>
          <w:sz w:val="22"/>
          <w:szCs w:val="22"/>
        </w:rPr>
        <w:t xml:space="preserve"> postupak R</w:t>
      </w:r>
      <w:r w:rsidR="00934B32">
        <w:rPr>
          <w:rStyle w:val="zadanifontodlomka-000023"/>
          <w:rFonts w:asciiTheme="minorHAnsi" w:hAnsiTheme="minorHAnsi" w:cstheme="minorHAnsi"/>
          <w:color w:val="auto"/>
          <w:sz w:val="22"/>
          <w:szCs w:val="22"/>
        </w:rPr>
        <w:t>5</w:t>
      </w:r>
      <w:r w:rsidR="00934B32" w:rsidRPr="00934B32">
        <w:rPr>
          <w:rStyle w:val="zadanifontodlomka-000023"/>
          <w:rFonts w:asciiTheme="minorHAnsi" w:hAnsiTheme="minorHAnsi" w:cstheme="minorHAnsi"/>
          <w:color w:val="auto"/>
          <w:sz w:val="22"/>
          <w:szCs w:val="22"/>
        </w:rPr>
        <w:t xml:space="preserve"> (</w:t>
      </w:r>
      <w:r w:rsidR="00934B32">
        <w:rPr>
          <w:rStyle w:val="zadanifontodlomka-000023"/>
          <w:rFonts w:asciiTheme="minorHAnsi" w:hAnsiTheme="minorHAnsi" w:cstheme="minorHAnsi"/>
          <w:color w:val="auto"/>
          <w:sz w:val="22"/>
          <w:szCs w:val="22"/>
        </w:rPr>
        <w:t>R</w:t>
      </w:r>
      <w:r w:rsidR="00934B32">
        <w:t>ecikliranje/obnavljanje drugih otpadnih anorganskih materijala</w:t>
      </w:r>
      <w:r w:rsidR="00934B32" w:rsidRPr="00934B32">
        <w:rPr>
          <w:rStyle w:val="zadanifontodlomka-000023"/>
          <w:rFonts w:asciiTheme="minorHAnsi" w:hAnsiTheme="minorHAnsi" w:cstheme="minorHAnsi"/>
          <w:color w:val="auto"/>
          <w:sz w:val="22"/>
          <w:szCs w:val="22"/>
        </w:rPr>
        <w:t xml:space="preserve">). Kapaciteti evidentirani u </w:t>
      </w:r>
      <w:r>
        <w:rPr>
          <w:rStyle w:val="zadanifontodlomka-000023"/>
          <w:rFonts w:asciiTheme="minorHAnsi" w:hAnsiTheme="minorHAnsi" w:cstheme="minorHAnsi"/>
          <w:color w:val="auto"/>
          <w:sz w:val="22"/>
          <w:szCs w:val="22"/>
        </w:rPr>
        <w:t>ROO</w:t>
      </w:r>
      <w:r w:rsidR="00934B32" w:rsidRPr="00934B32">
        <w:rPr>
          <w:rStyle w:val="zadanifontodlomka-000023"/>
          <w:rFonts w:asciiTheme="minorHAnsi" w:hAnsiTheme="minorHAnsi" w:cstheme="minorHAnsi"/>
          <w:color w:val="auto"/>
          <w:sz w:val="22"/>
          <w:szCs w:val="22"/>
        </w:rPr>
        <w:t xml:space="preserve"> su uvećani za kapacitete </w:t>
      </w:r>
      <w:r w:rsidR="00934B32">
        <w:rPr>
          <w:rStyle w:val="zadanifontodlomka-000023"/>
          <w:rFonts w:asciiTheme="minorHAnsi" w:hAnsiTheme="minorHAnsi" w:cstheme="minorHAnsi"/>
          <w:color w:val="auto"/>
          <w:sz w:val="22"/>
          <w:szCs w:val="22"/>
        </w:rPr>
        <w:t>drobilica/pogona</w:t>
      </w:r>
      <w:r w:rsidR="00934B32" w:rsidRPr="00934B32">
        <w:rPr>
          <w:rStyle w:val="zadanifontodlomka-000023"/>
          <w:rFonts w:asciiTheme="minorHAnsi" w:hAnsiTheme="minorHAnsi" w:cstheme="minorHAnsi"/>
          <w:color w:val="auto"/>
          <w:sz w:val="22"/>
          <w:szCs w:val="22"/>
        </w:rPr>
        <w:t xml:space="preserve"> koj</w:t>
      </w:r>
      <w:r w:rsidR="00934B32">
        <w:rPr>
          <w:rStyle w:val="zadanifontodlomka-000023"/>
          <w:rFonts w:asciiTheme="minorHAnsi" w:hAnsiTheme="minorHAnsi" w:cstheme="minorHAnsi"/>
          <w:color w:val="auto"/>
          <w:sz w:val="22"/>
          <w:szCs w:val="22"/>
        </w:rPr>
        <w:t>i</w:t>
      </w:r>
      <w:r w:rsidR="00934B32" w:rsidRPr="00934B32">
        <w:rPr>
          <w:rStyle w:val="zadanifontodlomka-000023"/>
          <w:rFonts w:asciiTheme="minorHAnsi" w:hAnsiTheme="minorHAnsi" w:cstheme="minorHAnsi"/>
          <w:color w:val="auto"/>
          <w:sz w:val="22"/>
          <w:szCs w:val="22"/>
        </w:rPr>
        <w:t xml:space="preserve"> su u izgradnji</w:t>
      </w:r>
      <w:r w:rsidR="00934B32">
        <w:rPr>
          <w:rStyle w:val="zadanifontodlomka-000023"/>
          <w:rFonts w:asciiTheme="minorHAnsi" w:hAnsiTheme="minorHAnsi" w:cstheme="minorHAnsi"/>
          <w:color w:val="auto"/>
          <w:sz w:val="22"/>
          <w:szCs w:val="22"/>
        </w:rPr>
        <w:t>/nabavi</w:t>
      </w:r>
      <w:r w:rsidR="00934B32" w:rsidRPr="00934B32">
        <w:rPr>
          <w:rStyle w:val="zadanifontodlomka-000023"/>
          <w:rFonts w:asciiTheme="minorHAnsi" w:hAnsiTheme="minorHAnsi" w:cstheme="minorHAnsi"/>
          <w:color w:val="auto"/>
          <w:sz w:val="22"/>
          <w:szCs w:val="22"/>
        </w:rPr>
        <w:t xml:space="preserve"> kroz projekte Operativnog programa Konkurentnost i kohezija 2014.-2020.</w:t>
      </w:r>
    </w:p>
    <w:p w14:paraId="641B8BF1" w14:textId="57F28548" w:rsidR="0086363E" w:rsidRPr="00934B32" w:rsidRDefault="00934B32" w:rsidP="00934B32">
      <w:pPr>
        <w:rPr>
          <w:rStyle w:val="zadanifontodlomka-000023"/>
          <w:rFonts w:asciiTheme="minorHAnsi" w:hAnsiTheme="minorHAnsi" w:cstheme="minorHAnsi"/>
          <w:color w:val="auto"/>
          <w:sz w:val="22"/>
          <w:szCs w:val="22"/>
        </w:rPr>
      </w:pPr>
      <w:r w:rsidRPr="00934B32">
        <w:rPr>
          <w:rFonts w:cstheme="minorHAnsi"/>
        </w:rPr>
        <w:t xml:space="preserve">Postojeći kapaciteti </w:t>
      </w:r>
      <w:r>
        <w:rPr>
          <w:rFonts w:cstheme="minorHAnsi"/>
        </w:rPr>
        <w:t xml:space="preserve">drobilica i </w:t>
      </w:r>
      <w:r w:rsidRPr="00934B32">
        <w:rPr>
          <w:rFonts w:cstheme="minorHAnsi"/>
        </w:rPr>
        <w:t>postrojenj</w:t>
      </w:r>
      <w:r>
        <w:rPr>
          <w:rFonts w:cstheme="minorHAnsi"/>
        </w:rPr>
        <w:t>a</w:t>
      </w:r>
      <w:r w:rsidRPr="00934B32">
        <w:rPr>
          <w:rFonts w:cstheme="minorHAnsi"/>
        </w:rPr>
        <w:t xml:space="preserve"> za </w:t>
      </w:r>
      <w:r>
        <w:rPr>
          <w:rFonts w:cstheme="minorHAnsi"/>
        </w:rPr>
        <w:t>oporabu građevnog</w:t>
      </w:r>
      <w:r w:rsidRPr="00934B32">
        <w:rPr>
          <w:rFonts w:cstheme="minorHAnsi"/>
        </w:rPr>
        <w:t xml:space="preserve"> otpada u 202</w:t>
      </w:r>
      <w:r>
        <w:rPr>
          <w:rFonts w:cstheme="minorHAnsi"/>
        </w:rPr>
        <w:t>1</w:t>
      </w:r>
      <w:r w:rsidRPr="00934B32">
        <w:rPr>
          <w:rFonts w:cstheme="minorHAnsi"/>
        </w:rPr>
        <w:t xml:space="preserve">. godini iznose </w:t>
      </w:r>
      <w:r w:rsidR="00A874F7">
        <w:rPr>
          <w:rFonts w:cstheme="minorHAnsi"/>
          <w:b/>
          <w:bCs/>
          <w:u w:val="single"/>
        </w:rPr>
        <w:t>5.662.222</w:t>
      </w:r>
      <w:r w:rsidRPr="00960117">
        <w:rPr>
          <w:rFonts w:cstheme="minorHAnsi"/>
          <w:b/>
          <w:bCs/>
          <w:u w:val="single"/>
        </w:rPr>
        <w:t xml:space="preserve"> tona/god</w:t>
      </w:r>
      <w:r w:rsidRPr="00934B32">
        <w:rPr>
          <w:rFonts w:cstheme="minorHAnsi"/>
        </w:rPr>
        <w:t xml:space="preserve"> na razini cijele RH. Postojeći kapaciteti za </w:t>
      </w:r>
      <w:r>
        <w:rPr>
          <w:rFonts w:cstheme="minorHAnsi"/>
        </w:rPr>
        <w:t>oporabu građevnog</w:t>
      </w:r>
      <w:r w:rsidRPr="00934B32">
        <w:rPr>
          <w:rFonts w:cstheme="minorHAnsi"/>
        </w:rPr>
        <w:t xml:space="preserve"> otpada kao i potrebni kapaciteti po pojedinim županijama su prikazani </w:t>
      </w:r>
      <w:r w:rsidR="00A874F7">
        <w:rPr>
          <w:rFonts w:cstheme="minorHAnsi"/>
        </w:rPr>
        <w:t xml:space="preserve">u </w:t>
      </w:r>
      <w:r w:rsidR="00A874F7">
        <w:rPr>
          <w:rFonts w:cstheme="minorHAnsi"/>
        </w:rPr>
        <w:fldChar w:fldCharType="begin"/>
      </w:r>
      <w:r w:rsidR="00A874F7">
        <w:rPr>
          <w:rFonts w:cstheme="minorHAnsi"/>
        </w:rPr>
        <w:instrText xml:space="preserve"> REF _Ref116637006 \h </w:instrText>
      </w:r>
      <w:r w:rsidR="00A874F7">
        <w:rPr>
          <w:rFonts w:cstheme="minorHAnsi"/>
        </w:rPr>
      </w:r>
      <w:r w:rsidR="00A874F7">
        <w:rPr>
          <w:rFonts w:cstheme="minorHAnsi"/>
        </w:rPr>
        <w:fldChar w:fldCharType="separate"/>
      </w:r>
      <w:r w:rsidR="00F37B62">
        <w:t xml:space="preserve">Tablica </w:t>
      </w:r>
      <w:r w:rsidR="00F37B62">
        <w:rPr>
          <w:noProof/>
        </w:rPr>
        <w:t>50</w:t>
      </w:r>
      <w:r w:rsidR="00A874F7">
        <w:rPr>
          <w:rFonts w:cstheme="minorHAnsi"/>
        </w:rPr>
        <w:fldChar w:fldCharType="end"/>
      </w:r>
      <w:r w:rsidR="00A874F7">
        <w:rPr>
          <w:rFonts w:cstheme="minorHAnsi"/>
        </w:rPr>
        <w:t>.</w:t>
      </w:r>
    </w:p>
    <w:p w14:paraId="7CCA1E2B" w14:textId="18778003" w:rsidR="0086363E" w:rsidRPr="00CE014B" w:rsidRDefault="0086363E" w:rsidP="00A22739">
      <w:pPr>
        <w:pStyle w:val="IRNaslov5"/>
        <w:rPr>
          <w:rStyle w:val="zadanifontodlomka-000023"/>
          <w:rFonts w:asciiTheme="minorHAnsi" w:hAnsiTheme="minorHAnsi" w:cstheme="minorHAnsi"/>
          <w:color w:val="auto"/>
          <w:sz w:val="22"/>
          <w:szCs w:val="22"/>
        </w:rPr>
      </w:pPr>
      <w:r w:rsidRPr="00CE014B">
        <w:rPr>
          <w:rStyle w:val="zadanifontodlomka-000023"/>
          <w:rFonts w:asciiTheme="minorHAnsi" w:hAnsiTheme="minorHAnsi" w:cstheme="minorHAnsi"/>
          <w:color w:val="auto"/>
          <w:sz w:val="22"/>
          <w:szCs w:val="22"/>
        </w:rPr>
        <w:t>Postrojenja za recikliranje</w:t>
      </w:r>
    </w:p>
    <w:p w14:paraId="4B367F40" w14:textId="2C7D9F48" w:rsidR="00A7229F" w:rsidRPr="00A7229F" w:rsidRDefault="00A7229F" w:rsidP="00A7229F">
      <w:pPr>
        <w:rPr>
          <w:rStyle w:val="zadanifontodlomka-000023"/>
          <w:rFonts w:asciiTheme="minorHAnsi" w:hAnsiTheme="minorHAnsi" w:cstheme="minorHAnsi"/>
          <w:color w:val="auto"/>
          <w:sz w:val="22"/>
          <w:szCs w:val="22"/>
        </w:rPr>
      </w:pPr>
      <w:r w:rsidRPr="00A7229F">
        <w:rPr>
          <w:rStyle w:val="zadanifontodlomka-000023"/>
          <w:rFonts w:asciiTheme="minorHAnsi" w:hAnsiTheme="minorHAnsi" w:cstheme="minorHAnsi"/>
          <w:color w:val="auto"/>
          <w:sz w:val="22"/>
          <w:szCs w:val="22"/>
        </w:rPr>
        <w:t xml:space="preserve">Prilikom izrade analize postojećih kapaciteta za recikliranje otpada koristili su se podaci o dozvoljenim kapacitetima </w:t>
      </w:r>
      <w:r w:rsidR="006B6FC7">
        <w:rPr>
          <w:rStyle w:val="zadanifontodlomka-000023"/>
          <w:rFonts w:asciiTheme="minorHAnsi" w:hAnsiTheme="minorHAnsi" w:cstheme="minorHAnsi"/>
          <w:color w:val="auto"/>
          <w:sz w:val="22"/>
          <w:szCs w:val="22"/>
        </w:rPr>
        <w:t>koji se navode u</w:t>
      </w:r>
      <w:r w:rsidR="006B6FC7">
        <w:t xml:space="preserve"> elaboratima gospodarenja otpadom koji su sastavni dio dozvola za gospodarenje otpadom </w:t>
      </w:r>
      <w:r w:rsidRPr="00A7229F">
        <w:rPr>
          <w:rStyle w:val="zadanifontodlomka-000023"/>
          <w:rFonts w:asciiTheme="minorHAnsi" w:hAnsiTheme="minorHAnsi" w:cstheme="minorHAnsi"/>
          <w:color w:val="auto"/>
          <w:sz w:val="22"/>
          <w:szCs w:val="22"/>
        </w:rPr>
        <w:t xml:space="preserve"> sadržanim u javno dostupnoj bazi Registar dozvola i potvrda za gospodarenje otpadom (</w:t>
      </w:r>
      <w:hyperlink r:id="rId12" w:history="1">
        <w:r w:rsidRPr="009B492B">
          <w:rPr>
            <w:rStyle w:val="Hiperveza"/>
            <w:rFonts w:cstheme="minorHAnsi"/>
          </w:rPr>
          <w:t>http://regdoz.azo.hr/</w:t>
        </w:r>
      </w:hyperlink>
      <w:r w:rsidRPr="00A7229F">
        <w:rPr>
          <w:rStyle w:val="zadanifontodlomka-000023"/>
          <w:rFonts w:asciiTheme="minorHAnsi" w:hAnsiTheme="minorHAnsi" w:cstheme="minorHAnsi"/>
          <w:color w:val="auto"/>
          <w:sz w:val="22"/>
          <w:szCs w:val="22"/>
        </w:rPr>
        <w:t xml:space="preserve">), koju vodi MINGOR. Navedena baza podataka daje cjeloviti uvid u valjane dozvole za gospodarenje otpadom. </w:t>
      </w:r>
    </w:p>
    <w:p w14:paraId="04BC99F0" w14:textId="189B432E" w:rsidR="00A7229F" w:rsidRPr="00A7229F" w:rsidRDefault="006B6FC7" w:rsidP="00A7229F">
      <w:pPr>
        <w:rPr>
          <w:rStyle w:val="zadanifontodlomka-000023"/>
          <w:rFonts w:asciiTheme="minorHAnsi" w:hAnsiTheme="minorHAnsi" w:cstheme="minorHAnsi"/>
          <w:color w:val="auto"/>
          <w:sz w:val="22"/>
          <w:szCs w:val="22"/>
        </w:rPr>
      </w:pPr>
      <w:r>
        <w:rPr>
          <w:rStyle w:val="zadanifontodlomka-000023"/>
          <w:rFonts w:asciiTheme="minorHAnsi" w:hAnsiTheme="minorHAnsi" w:cstheme="minorHAnsi"/>
          <w:color w:val="auto"/>
          <w:sz w:val="22"/>
          <w:szCs w:val="22"/>
        </w:rPr>
        <w:t>O</w:t>
      </w:r>
      <w:r w:rsidR="00A7229F" w:rsidRPr="00A7229F">
        <w:rPr>
          <w:rStyle w:val="zadanifontodlomka-000023"/>
          <w:rFonts w:asciiTheme="minorHAnsi" w:hAnsiTheme="minorHAnsi" w:cstheme="minorHAnsi"/>
          <w:color w:val="auto"/>
          <w:sz w:val="22"/>
          <w:szCs w:val="22"/>
        </w:rPr>
        <w:t xml:space="preserve">tpad za </w:t>
      </w:r>
      <w:r w:rsidRPr="00A7229F">
        <w:rPr>
          <w:rStyle w:val="zadanifontodlomka-000023"/>
          <w:rFonts w:asciiTheme="minorHAnsi" w:hAnsiTheme="minorHAnsi" w:cstheme="minorHAnsi"/>
          <w:color w:val="auto"/>
          <w:sz w:val="22"/>
          <w:szCs w:val="22"/>
        </w:rPr>
        <w:t>koj</w:t>
      </w:r>
      <w:r>
        <w:rPr>
          <w:rStyle w:val="zadanifontodlomka-000023"/>
          <w:rFonts w:asciiTheme="minorHAnsi" w:hAnsiTheme="minorHAnsi" w:cstheme="minorHAnsi"/>
          <w:color w:val="auto"/>
          <w:sz w:val="22"/>
          <w:szCs w:val="22"/>
        </w:rPr>
        <w:t>i</w:t>
      </w:r>
      <w:r w:rsidRPr="00A7229F">
        <w:rPr>
          <w:rStyle w:val="zadanifontodlomka-000023"/>
          <w:rFonts w:asciiTheme="minorHAnsi" w:hAnsiTheme="minorHAnsi" w:cstheme="minorHAnsi"/>
          <w:color w:val="auto"/>
          <w:sz w:val="22"/>
          <w:szCs w:val="22"/>
        </w:rPr>
        <w:t xml:space="preserve"> </w:t>
      </w:r>
      <w:r>
        <w:rPr>
          <w:rStyle w:val="zadanifontodlomka-000023"/>
          <w:rFonts w:asciiTheme="minorHAnsi" w:hAnsiTheme="minorHAnsi" w:cstheme="minorHAnsi"/>
          <w:color w:val="auto"/>
          <w:sz w:val="22"/>
          <w:szCs w:val="22"/>
        </w:rPr>
        <w:t>je</w:t>
      </w:r>
      <w:r w:rsidRPr="00A7229F">
        <w:rPr>
          <w:rStyle w:val="zadanifontodlomka-000023"/>
          <w:rFonts w:asciiTheme="minorHAnsi" w:hAnsiTheme="minorHAnsi" w:cstheme="minorHAnsi"/>
          <w:color w:val="auto"/>
          <w:sz w:val="22"/>
          <w:szCs w:val="22"/>
        </w:rPr>
        <w:t xml:space="preserve"> prove</w:t>
      </w:r>
      <w:r>
        <w:rPr>
          <w:rStyle w:val="zadanifontodlomka-000023"/>
          <w:rFonts w:asciiTheme="minorHAnsi" w:hAnsiTheme="minorHAnsi" w:cstheme="minorHAnsi"/>
          <w:color w:val="auto"/>
          <w:sz w:val="22"/>
          <w:szCs w:val="22"/>
        </w:rPr>
        <w:t>dena</w:t>
      </w:r>
      <w:r w:rsidRPr="00A7229F">
        <w:rPr>
          <w:rStyle w:val="zadanifontodlomka-000023"/>
          <w:rFonts w:asciiTheme="minorHAnsi" w:hAnsiTheme="minorHAnsi" w:cstheme="minorHAnsi"/>
          <w:color w:val="auto"/>
          <w:sz w:val="22"/>
          <w:szCs w:val="22"/>
        </w:rPr>
        <w:t xml:space="preserve"> </w:t>
      </w:r>
      <w:r w:rsidR="00A7229F" w:rsidRPr="00A7229F">
        <w:rPr>
          <w:rStyle w:val="zadanifontodlomka-000023"/>
          <w:rFonts w:asciiTheme="minorHAnsi" w:hAnsiTheme="minorHAnsi" w:cstheme="minorHAnsi"/>
          <w:color w:val="auto"/>
          <w:sz w:val="22"/>
          <w:szCs w:val="22"/>
        </w:rPr>
        <w:t>analiza</w:t>
      </w:r>
      <w:r>
        <w:rPr>
          <w:rStyle w:val="zadanifontodlomka-000023"/>
          <w:rFonts w:asciiTheme="minorHAnsi" w:hAnsiTheme="minorHAnsi" w:cstheme="minorHAnsi"/>
          <w:color w:val="auto"/>
          <w:sz w:val="22"/>
          <w:szCs w:val="22"/>
        </w:rPr>
        <w:t xml:space="preserve"> postojećih kapaciteta</w:t>
      </w:r>
      <w:r w:rsidR="00A7229F" w:rsidRPr="00A7229F">
        <w:rPr>
          <w:rStyle w:val="zadanifontodlomka-000023"/>
          <w:rFonts w:asciiTheme="minorHAnsi" w:hAnsiTheme="minorHAnsi" w:cstheme="minorHAnsi"/>
          <w:color w:val="auto"/>
          <w:sz w:val="22"/>
          <w:szCs w:val="22"/>
        </w:rPr>
        <w:t xml:space="preserve"> su: električni i elektronički otpad, otpadne baterije i akumulatori, otpadna vozila, otpadni papir, otpadna plastika i otpadno staklo.</w:t>
      </w:r>
    </w:p>
    <w:p w14:paraId="526A3DF0" w14:textId="15837819" w:rsidR="00A7229F" w:rsidRPr="00A7229F" w:rsidRDefault="00A7229F" w:rsidP="00A7229F">
      <w:pPr>
        <w:rPr>
          <w:rStyle w:val="zadanifontodlomka-000023"/>
          <w:rFonts w:asciiTheme="minorHAnsi" w:hAnsiTheme="minorHAnsi" w:cstheme="minorHAnsi"/>
          <w:color w:val="auto"/>
          <w:sz w:val="22"/>
          <w:szCs w:val="22"/>
        </w:rPr>
      </w:pPr>
      <w:r w:rsidRPr="00A7229F">
        <w:rPr>
          <w:rStyle w:val="zadanifontodlomka-000023"/>
          <w:rFonts w:asciiTheme="minorHAnsi" w:hAnsiTheme="minorHAnsi" w:cstheme="minorHAnsi"/>
          <w:color w:val="auto"/>
          <w:sz w:val="22"/>
          <w:szCs w:val="22"/>
        </w:rPr>
        <w:t xml:space="preserve">Iako su se razmatrale dozvole koje su izdane na jedan od postupaka oporabe (R3, R4, R5) iste su većini slučajeva izdavane za pripremne radnje odnosno postupak pripreme za recikliranje (npr. sortiranje, rezanje, </w:t>
      </w:r>
      <w:proofErr w:type="spellStart"/>
      <w:r w:rsidRPr="00A7229F">
        <w:rPr>
          <w:rStyle w:val="zadanifontodlomka-000023"/>
          <w:rFonts w:asciiTheme="minorHAnsi" w:hAnsiTheme="minorHAnsi" w:cstheme="minorHAnsi"/>
          <w:color w:val="auto"/>
          <w:sz w:val="22"/>
          <w:szCs w:val="22"/>
        </w:rPr>
        <w:t>baliranje</w:t>
      </w:r>
      <w:proofErr w:type="spellEnd"/>
      <w:r w:rsidRPr="00A7229F">
        <w:rPr>
          <w:rStyle w:val="zadanifontodlomka-000023"/>
          <w:rFonts w:asciiTheme="minorHAnsi" w:hAnsiTheme="minorHAnsi" w:cstheme="minorHAnsi"/>
          <w:color w:val="auto"/>
          <w:sz w:val="22"/>
          <w:szCs w:val="22"/>
        </w:rPr>
        <w:t xml:space="preserve"> i sl.)</w:t>
      </w:r>
      <w:r w:rsidR="00C248CC">
        <w:rPr>
          <w:rStyle w:val="zadanifontodlomka-000023"/>
          <w:rFonts w:asciiTheme="minorHAnsi" w:hAnsiTheme="minorHAnsi" w:cstheme="minorHAnsi"/>
          <w:color w:val="auto"/>
          <w:sz w:val="22"/>
          <w:szCs w:val="22"/>
        </w:rPr>
        <w:t>, a</w:t>
      </w:r>
      <w:r w:rsidRPr="00A7229F">
        <w:rPr>
          <w:rStyle w:val="zadanifontodlomka-000023"/>
          <w:rFonts w:asciiTheme="minorHAnsi" w:hAnsiTheme="minorHAnsi" w:cstheme="minorHAnsi"/>
          <w:color w:val="auto"/>
          <w:sz w:val="22"/>
          <w:szCs w:val="22"/>
        </w:rPr>
        <w:t xml:space="preserve"> što je bilo moguće zaključiti iz opisa tehnološkog procesa u samom elaboratu</w:t>
      </w:r>
      <w:r w:rsidR="006B6FC7">
        <w:rPr>
          <w:rStyle w:val="zadanifontodlomka-000023"/>
          <w:rFonts w:asciiTheme="minorHAnsi" w:hAnsiTheme="minorHAnsi" w:cstheme="minorHAnsi"/>
          <w:color w:val="auto"/>
          <w:sz w:val="22"/>
          <w:szCs w:val="22"/>
        </w:rPr>
        <w:t xml:space="preserve"> te se u</w:t>
      </w:r>
      <w:r w:rsidRPr="00A7229F">
        <w:rPr>
          <w:rStyle w:val="zadanifontodlomka-000023"/>
          <w:rFonts w:asciiTheme="minorHAnsi" w:hAnsiTheme="minorHAnsi" w:cstheme="minorHAnsi"/>
          <w:color w:val="auto"/>
          <w:sz w:val="22"/>
          <w:szCs w:val="22"/>
        </w:rPr>
        <w:t xml:space="preserve"> tom slučaju ti kapaciteti nisu uzimali u obzir. </w:t>
      </w:r>
    </w:p>
    <w:p w14:paraId="293E6FA7" w14:textId="577196CB" w:rsidR="00A7229F" w:rsidRDefault="00A7229F" w:rsidP="00A7229F">
      <w:pPr>
        <w:rPr>
          <w:rStyle w:val="zadanifontodlomka-000023"/>
          <w:rFonts w:asciiTheme="minorHAnsi" w:hAnsiTheme="minorHAnsi" w:cstheme="minorHAnsi"/>
          <w:color w:val="auto"/>
          <w:sz w:val="22"/>
          <w:szCs w:val="22"/>
        </w:rPr>
      </w:pPr>
      <w:r>
        <w:rPr>
          <w:rStyle w:val="zadanifontodlomka-000023"/>
          <w:rFonts w:asciiTheme="minorHAnsi" w:hAnsiTheme="minorHAnsi" w:cstheme="minorHAnsi"/>
          <w:color w:val="auto"/>
          <w:sz w:val="22"/>
          <w:szCs w:val="22"/>
        </w:rPr>
        <w:t xml:space="preserve">Prema navedenim podacima, u listopadu 2022. bilo je evidentirano ukupno 42 postrojenja za </w:t>
      </w:r>
      <w:r w:rsidR="00AB442A">
        <w:rPr>
          <w:rStyle w:val="zadanifontodlomka-000023"/>
          <w:rFonts w:asciiTheme="minorHAnsi" w:hAnsiTheme="minorHAnsi" w:cstheme="minorHAnsi"/>
          <w:color w:val="auto"/>
          <w:sz w:val="22"/>
          <w:szCs w:val="22"/>
        </w:rPr>
        <w:t xml:space="preserve">materijalnu </w:t>
      </w:r>
      <w:r>
        <w:rPr>
          <w:rStyle w:val="zadanifontodlomka-000023"/>
          <w:rFonts w:asciiTheme="minorHAnsi" w:hAnsiTheme="minorHAnsi" w:cstheme="minorHAnsi"/>
          <w:color w:val="auto"/>
          <w:sz w:val="22"/>
          <w:szCs w:val="22"/>
        </w:rPr>
        <w:t xml:space="preserve">oporabu plastike, pri čemu 7 od njih </w:t>
      </w:r>
      <w:r w:rsidRPr="00A7229F">
        <w:rPr>
          <w:rStyle w:val="zadanifontodlomka-000023"/>
          <w:rFonts w:asciiTheme="minorHAnsi" w:hAnsiTheme="minorHAnsi" w:cstheme="minorHAnsi"/>
          <w:color w:val="auto"/>
          <w:sz w:val="22"/>
          <w:szCs w:val="22"/>
        </w:rPr>
        <w:t>koriste otpad od plastike za proizvodnju proizvoda od plastike</w:t>
      </w:r>
      <w:r>
        <w:rPr>
          <w:rStyle w:val="zadanifontodlomka-000023"/>
          <w:rFonts w:asciiTheme="minorHAnsi" w:hAnsiTheme="minorHAnsi" w:cstheme="minorHAnsi"/>
          <w:color w:val="auto"/>
          <w:sz w:val="22"/>
          <w:szCs w:val="22"/>
        </w:rPr>
        <w:t xml:space="preserve">, dok </w:t>
      </w:r>
      <w:r w:rsidR="00792962">
        <w:rPr>
          <w:rStyle w:val="zadanifontodlomka-000023"/>
          <w:rFonts w:asciiTheme="minorHAnsi" w:hAnsiTheme="minorHAnsi" w:cstheme="minorHAnsi"/>
          <w:color w:val="auto"/>
          <w:sz w:val="22"/>
          <w:szCs w:val="22"/>
        </w:rPr>
        <w:t>ostala</w:t>
      </w:r>
      <w:r w:rsidRPr="00A7229F">
        <w:rPr>
          <w:rStyle w:val="zadanifontodlomka-000023"/>
          <w:rFonts w:asciiTheme="minorHAnsi" w:hAnsiTheme="minorHAnsi" w:cstheme="minorHAnsi"/>
          <w:color w:val="auto"/>
          <w:sz w:val="22"/>
          <w:szCs w:val="22"/>
        </w:rPr>
        <w:t xml:space="preserve"> proizvode granulat koji se predaje dalje proizvođačima proizvoda od plastike</w:t>
      </w:r>
      <w:r w:rsidR="00AB442A">
        <w:rPr>
          <w:rStyle w:val="zadanifontodlomka-000023"/>
          <w:rFonts w:asciiTheme="minorHAnsi" w:hAnsiTheme="minorHAnsi" w:cstheme="minorHAnsi"/>
          <w:color w:val="auto"/>
          <w:sz w:val="22"/>
          <w:szCs w:val="22"/>
        </w:rPr>
        <w:t xml:space="preserve"> (</w:t>
      </w:r>
      <w:r w:rsidR="009454AE">
        <w:rPr>
          <w:rStyle w:val="zadanifontodlomka-000023"/>
          <w:rFonts w:asciiTheme="minorHAnsi" w:hAnsiTheme="minorHAnsi" w:cstheme="minorHAnsi"/>
          <w:color w:val="auto"/>
          <w:sz w:val="22"/>
          <w:szCs w:val="22"/>
        </w:rPr>
        <w:fldChar w:fldCharType="begin"/>
      </w:r>
      <w:r w:rsidR="009454AE">
        <w:rPr>
          <w:rStyle w:val="zadanifontodlomka-000023"/>
          <w:rFonts w:asciiTheme="minorHAnsi" w:hAnsiTheme="minorHAnsi" w:cstheme="minorHAnsi"/>
          <w:color w:val="auto"/>
          <w:sz w:val="22"/>
          <w:szCs w:val="22"/>
        </w:rPr>
        <w:instrText xml:space="preserve"> REF _Ref116562340 \h </w:instrText>
      </w:r>
      <w:r w:rsidR="009454AE">
        <w:rPr>
          <w:rStyle w:val="zadanifontodlomka-000023"/>
          <w:rFonts w:asciiTheme="minorHAnsi" w:hAnsiTheme="minorHAnsi" w:cstheme="minorHAnsi"/>
          <w:color w:val="auto"/>
          <w:sz w:val="22"/>
          <w:szCs w:val="22"/>
        </w:rPr>
      </w:r>
      <w:r w:rsidR="009454AE">
        <w:rPr>
          <w:rStyle w:val="zadanifontodlomka-000023"/>
          <w:rFonts w:asciiTheme="minorHAnsi" w:hAnsiTheme="minorHAnsi" w:cstheme="minorHAnsi"/>
          <w:color w:val="auto"/>
          <w:sz w:val="22"/>
          <w:szCs w:val="22"/>
        </w:rPr>
        <w:fldChar w:fldCharType="separate"/>
      </w:r>
      <w:r w:rsidR="00F37B62">
        <w:t xml:space="preserve">Slika </w:t>
      </w:r>
      <w:r w:rsidR="00F37B62">
        <w:rPr>
          <w:noProof/>
        </w:rPr>
        <w:t>49</w:t>
      </w:r>
      <w:r w:rsidR="009454AE">
        <w:rPr>
          <w:rStyle w:val="zadanifontodlomka-000023"/>
          <w:rFonts w:asciiTheme="minorHAnsi" w:hAnsiTheme="minorHAnsi" w:cstheme="minorHAnsi"/>
          <w:color w:val="auto"/>
          <w:sz w:val="22"/>
          <w:szCs w:val="22"/>
        </w:rPr>
        <w:fldChar w:fldCharType="end"/>
      </w:r>
      <w:r w:rsidR="00AB442A">
        <w:rPr>
          <w:rStyle w:val="zadanifontodlomka-000023"/>
          <w:rFonts w:asciiTheme="minorHAnsi" w:hAnsiTheme="minorHAnsi" w:cstheme="minorHAnsi"/>
          <w:color w:val="auto"/>
          <w:sz w:val="22"/>
          <w:szCs w:val="22"/>
        </w:rPr>
        <w:t>)</w:t>
      </w:r>
      <w:r>
        <w:rPr>
          <w:rStyle w:val="zadanifontodlomka-000023"/>
          <w:rFonts w:asciiTheme="minorHAnsi" w:hAnsiTheme="minorHAnsi" w:cstheme="minorHAnsi"/>
          <w:color w:val="auto"/>
          <w:sz w:val="22"/>
          <w:szCs w:val="22"/>
        </w:rPr>
        <w:t>.</w:t>
      </w:r>
    </w:p>
    <w:p w14:paraId="6ADA286E" w14:textId="3C947890" w:rsidR="009454AE" w:rsidRDefault="009454AE" w:rsidP="009454AE">
      <w:pPr>
        <w:pStyle w:val="Slika"/>
        <w:rPr>
          <w:rStyle w:val="zadanifontodlomka-000023"/>
          <w:rFonts w:asciiTheme="minorHAnsi" w:hAnsiTheme="minorHAnsi" w:cstheme="minorHAnsi"/>
          <w:color w:val="auto"/>
          <w:sz w:val="22"/>
          <w:szCs w:val="22"/>
        </w:rPr>
      </w:pPr>
      <w:bookmarkStart w:id="150" w:name="_Ref116562340"/>
      <w:bookmarkStart w:id="151" w:name="_Toc125363957"/>
      <w:r>
        <w:t xml:space="preserve">Slika </w:t>
      </w:r>
      <w:fldSimple w:instr=" SEQ Slika \* ARABIC ">
        <w:r w:rsidR="00F37B62">
          <w:rPr>
            <w:noProof/>
          </w:rPr>
          <w:t>49</w:t>
        </w:r>
      </w:fldSimple>
      <w:bookmarkEnd w:id="150"/>
      <w:r>
        <w:t xml:space="preserve">. </w:t>
      </w:r>
      <w:r>
        <w:rPr>
          <w:b w:val="0"/>
          <w:bCs/>
        </w:rPr>
        <w:t>Prikaz</w:t>
      </w:r>
      <w:r w:rsidRPr="009454AE">
        <w:rPr>
          <w:b w:val="0"/>
          <w:bCs/>
        </w:rPr>
        <w:t xml:space="preserve"> postrojenja za materijalnu oporabu plastike</w:t>
      </w:r>
      <w:bookmarkEnd w:id="151"/>
    </w:p>
    <w:p w14:paraId="7BCDFA40" w14:textId="3C24EFBE" w:rsidR="00A7229F" w:rsidRDefault="00AB442A" w:rsidP="00A7229F">
      <w:pPr>
        <w:rPr>
          <w:rStyle w:val="zadanifontodlomka-000023"/>
          <w:rFonts w:asciiTheme="minorHAnsi" w:hAnsiTheme="minorHAnsi" w:cstheme="minorHAnsi"/>
          <w:color w:val="auto"/>
          <w:sz w:val="22"/>
          <w:szCs w:val="22"/>
        </w:rPr>
      </w:pPr>
      <w:r>
        <w:rPr>
          <w:rStyle w:val="zadanifontodlomka-000023"/>
          <w:rFonts w:asciiTheme="minorHAnsi" w:hAnsiTheme="minorHAnsi" w:cstheme="minorHAnsi"/>
          <w:color w:val="auto"/>
          <w:sz w:val="22"/>
          <w:szCs w:val="22"/>
        </w:rPr>
        <w:t xml:space="preserve">Prema navedenim podacima ukupni kapacitet za recikliranje plastike iznosi </w:t>
      </w:r>
      <w:r w:rsidRPr="005859E7">
        <w:rPr>
          <w:rStyle w:val="zadanifontodlomka-000023"/>
          <w:rFonts w:asciiTheme="minorHAnsi" w:hAnsiTheme="minorHAnsi" w:cstheme="minorHAnsi"/>
          <w:b/>
          <w:bCs/>
          <w:color w:val="auto"/>
          <w:sz w:val="22"/>
          <w:szCs w:val="22"/>
          <w:u w:val="single"/>
        </w:rPr>
        <w:t>64.248 tona/godina</w:t>
      </w:r>
      <w:r>
        <w:rPr>
          <w:rStyle w:val="zadanifontodlomka-000023"/>
          <w:rFonts w:asciiTheme="minorHAnsi" w:hAnsiTheme="minorHAnsi" w:cstheme="minorHAnsi"/>
          <w:color w:val="auto"/>
          <w:sz w:val="22"/>
          <w:szCs w:val="22"/>
        </w:rPr>
        <w:t>.</w:t>
      </w:r>
    </w:p>
    <w:p w14:paraId="7F5505D5" w14:textId="506B7F28" w:rsidR="00A7229F" w:rsidRDefault="00AB442A" w:rsidP="00A7229F">
      <w:pPr>
        <w:rPr>
          <w:rStyle w:val="zadanifontodlomka-000023"/>
          <w:rFonts w:asciiTheme="minorHAnsi" w:hAnsiTheme="minorHAnsi" w:cstheme="minorHAnsi"/>
          <w:color w:val="auto"/>
          <w:sz w:val="22"/>
          <w:szCs w:val="22"/>
        </w:rPr>
      </w:pPr>
      <w:r>
        <w:rPr>
          <w:rStyle w:val="zadanifontodlomka-000023"/>
          <w:rFonts w:asciiTheme="minorHAnsi" w:hAnsiTheme="minorHAnsi" w:cstheme="minorHAnsi"/>
          <w:color w:val="auto"/>
          <w:sz w:val="22"/>
          <w:szCs w:val="22"/>
        </w:rPr>
        <w:t xml:space="preserve">Ukupni kapacitet za recikliranje stakla u listopadu 2022. iznosio je </w:t>
      </w:r>
      <w:r w:rsidRPr="005859E7">
        <w:rPr>
          <w:rStyle w:val="zadanifontodlomka-000023"/>
          <w:rFonts w:asciiTheme="minorHAnsi" w:hAnsiTheme="minorHAnsi" w:cstheme="minorHAnsi"/>
          <w:b/>
          <w:bCs/>
          <w:color w:val="auto"/>
          <w:sz w:val="22"/>
          <w:szCs w:val="22"/>
          <w:u w:val="single"/>
        </w:rPr>
        <w:t>131.400 tona/godina</w:t>
      </w:r>
      <w:r>
        <w:rPr>
          <w:rStyle w:val="zadanifontodlomka-000023"/>
          <w:rFonts w:asciiTheme="minorHAnsi" w:hAnsiTheme="minorHAnsi" w:cstheme="minorHAnsi"/>
          <w:color w:val="auto"/>
          <w:sz w:val="22"/>
          <w:szCs w:val="22"/>
        </w:rPr>
        <w:t>. Iako je za recikliranje stakla registrirano ukupno 11 postrojenja (</w:t>
      </w:r>
      <w:r w:rsidR="009454AE">
        <w:rPr>
          <w:rStyle w:val="zadanifontodlomka-000023"/>
          <w:rFonts w:asciiTheme="minorHAnsi" w:hAnsiTheme="minorHAnsi" w:cstheme="minorHAnsi"/>
          <w:color w:val="auto"/>
          <w:sz w:val="22"/>
          <w:szCs w:val="22"/>
        </w:rPr>
        <w:fldChar w:fldCharType="begin"/>
      </w:r>
      <w:r w:rsidR="009454AE">
        <w:rPr>
          <w:rStyle w:val="zadanifontodlomka-000023"/>
          <w:rFonts w:asciiTheme="minorHAnsi" w:hAnsiTheme="minorHAnsi" w:cstheme="minorHAnsi"/>
          <w:color w:val="auto"/>
          <w:sz w:val="22"/>
          <w:szCs w:val="22"/>
        </w:rPr>
        <w:instrText xml:space="preserve"> REF _Ref116562433 \h </w:instrText>
      </w:r>
      <w:r w:rsidR="009454AE">
        <w:rPr>
          <w:rStyle w:val="zadanifontodlomka-000023"/>
          <w:rFonts w:asciiTheme="minorHAnsi" w:hAnsiTheme="minorHAnsi" w:cstheme="minorHAnsi"/>
          <w:color w:val="auto"/>
          <w:sz w:val="22"/>
          <w:szCs w:val="22"/>
        </w:rPr>
      </w:r>
      <w:r w:rsidR="009454AE">
        <w:rPr>
          <w:rStyle w:val="zadanifontodlomka-000023"/>
          <w:rFonts w:asciiTheme="minorHAnsi" w:hAnsiTheme="minorHAnsi" w:cstheme="minorHAnsi"/>
          <w:color w:val="auto"/>
          <w:sz w:val="22"/>
          <w:szCs w:val="22"/>
        </w:rPr>
        <w:fldChar w:fldCharType="separate"/>
      </w:r>
      <w:r w:rsidR="00F37B62">
        <w:t xml:space="preserve">Slika </w:t>
      </w:r>
      <w:r w:rsidR="00F37B62">
        <w:rPr>
          <w:noProof/>
        </w:rPr>
        <w:t>50</w:t>
      </w:r>
      <w:r w:rsidR="009454AE">
        <w:rPr>
          <w:rStyle w:val="zadanifontodlomka-000023"/>
          <w:rFonts w:asciiTheme="minorHAnsi" w:hAnsiTheme="minorHAnsi" w:cstheme="minorHAnsi"/>
          <w:color w:val="auto"/>
          <w:sz w:val="22"/>
          <w:szCs w:val="22"/>
        </w:rPr>
        <w:fldChar w:fldCharType="end"/>
      </w:r>
      <w:r>
        <w:rPr>
          <w:rStyle w:val="zadanifontodlomka-000023"/>
          <w:rFonts w:asciiTheme="minorHAnsi" w:hAnsiTheme="minorHAnsi" w:cstheme="minorHAnsi"/>
          <w:color w:val="auto"/>
          <w:sz w:val="22"/>
          <w:szCs w:val="22"/>
        </w:rPr>
        <w:t xml:space="preserve">), sva postrojenja izuzev jednog odnose se na </w:t>
      </w:r>
      <w:r w:rsidR="0091060F">
        <w:rPr>
          <w:rStyle w:val="zadanifontodlomka-000023"/>
          <w:rFonts w:asciiTheme="minorHAnsi" w:hAnsiTheme="minorHAnsi" w:cstheme="minorHAnsi"/>
          <w:color w:val="auto"/>
          <w:sz w:val="22"/>
          <w:szCs w:val="22"/>
        </w:rPr>
        <w:t>ona</w:t>
      </w:r>
      <w:r>
        <w:rPr>
          <w:rStyle w:val="zadanifontodlomka-000023"/>
          <w:rFonts w:asciiTheme="minorHAnsi" w:hAnsiTheme="minorHAnsi" w:cstheme="minorHAnsi"/>
          <w:color w:val="auto"/>
          <w:sz w:val="22"/>
          <w:szCs w:val="22"/>
        </w:rPr>
        <w:t xml:space="preserve"> u kojima se </w:t>
      </w:r>
      <w:r w:rsidRPr="00AB442A">
        <w:rPr>
          <w:rStyle w:val="zadanifontodlomka-000023"/>
          <w:rFonts w:asciiTheme="minorHAnsi" w:hAnsiTheme="minorHAnsi" w:cstheme="minorHAnsi"/>
          <w:color w:val="auto"/>
          <w:sz w:val="22"/>
          <w:szCs w:val="22"/>
        </w:rPr>
        <w:t>otpadno staklo</w:t>
      </w:r>
      <w:r>
        <w:rPr>
          <w:rStyle w:val="zadanifontodlomka-000023"/>
          <w:rFonts w:asciiTheme="minorHAnsi" w:hAnsiTheme="minorHAnsi" w:cstheme="minorHAnsi"/>
          <w:color w:val="auto"/>
          <w:sz w:val="22"/>
          <w:szCs w:val="22"/>
        </w:rPr>
        <w:t xml:space="preserve"> drobi</w:t>
      </w:r>
      <w:r w:rsidRPr="00AB442A">
        <w:rPr>
          <w:rStyle w:val="zadanifontodlomka-000023"/>
          <w:rFonts w:asciiTheme="minorHAnsi" w:hAnsiTheme="minorHAnsi" w:cstheme="minorHAnsi"/>
          <w:color w:val="auto"/>
          <w:sz w:val="22"/>
          <w:szCs w:val="22"/>
        </w:rPr>
        <w:t xml:space="preserve"> i pakira za daljnju predaju proizvođačima proizvoda od stakla</w:t>
      </w:r>
      <w:r>
        <w:rPr>
          <w:rStyle w:val="zadanifontodlomka-000023"/>
          <w:rFonts w:asciiTheme="minorHAnsi" w:hAnsiTheme="minorHAnsi" w:cstheme="minorHAnsi"/>
          <w:color w:val="auto"/>
          <w:sz w:val="22"/>
          <w:szCs w:val="22"/>
        </w:rPr>
        <w:t>. Iako te tvrtke imaju is</w:t>
      </w:r>
      <w:r w:rsidRPr="00AB442A">
        <w:rPr>
          <w:rStyle w:val="zadanifontodlomka-000023"/>
          <w:rFonts w:asciiTheme="minorHAnsi" w:hAnsiTheme="minorHAnsi" w:cstheme="minorHAnsi"/>
          <w:color w:val="auto"/>
          <w:sz w:val="22"/>
          <w:szCs w:val="22"/>
        </w:rPr>
        <w:t>hođenu dozvolu za R5</w:t>
      </w:r>
      <w:r>
        <w:rPr>
          <w:rStyle w:val="zadanifontodlomka-000023"/>
          <w:rFonts w:asciiTheme="minorHAnsi" w:hAnsiTheme="minorHAnsi" w:cstheme="minorHAnsi"/>
          <w:color w:val="auto"/>
          <w:sz w:val="22"/>
          <w:szCs w:val="22"/>
        </w:rPr>
        <w:t>, isto se</w:t>
      </w:r>
      <w:r w:rsidRPr="00AB442A">
        <w:rPr>
          <w:rStyle w:val="zadanifontodlomka-000023"/>
          <w:rFonts w:asciiTheme="minorHAnsi" w:hAnsiTheme="minorHAnsi" w:cstheme="minorHAnsi"/>
          <w:color w:val="auto"/>
          <w:sz w:val="22"/>
          <w:szCs w:val="22"/>
        </w:rPr>
        <w:t xml:space="preserve"> ne može se smatrati kapacitetom za recikliranje</w:t>
      </w:r>
      <w:r>
        <w:rPr>
          <w:rStyle w:val="zadanifontodlomka-000023"/>
          <w:rFonts w:asciiTheme="minorHAnsi" w:hAnsiTheme="minorHAnsi" w:cstheme="minorHAnsi"/>
          <w:color w:val="auto"/>
          <w:sz w:val="22"/>
          <w:szCs w:val="22"/>
        </w:rPr>
        <w:t>.</w:t>
      </w:r>
    </w:p>
    <w:p w14:paraId="7CABB9D4" w14:textId="689B1D29" w:rsidR="009454AE" w:rsidRPr="00A7229F" w:rsidRDefault="009454AE" w:rsidP="009454AE">
      <w:pPr>
        <w:pStyle w:val="Slika"/>
        <w:rPr>
          <w:rStyle w:val="zadanifontodlomka-000023"/>
          <w:rFonts w:asciiTheme="minorHAnsi" w:hAnsiTheme="minorHAnsi" w:cstheme="minorHAnsi"/>
          <w:color w:val="auto"/>
          <w:sz w:val="22"/>
          <w:szCs w:val="22"/>
        </w:rPr>
      </w:pPr>
      <w:bookmarkStart w:id="152" w:name="_Ref116562433"/>
      <w:bookmarkStart w:id="153" w:name="_Toc125363958"/>
      <w:r>
        <w:lastRenderedPageBreak/>
        <w:t xml:space="preserve">Slika </w:t>
      </w:r>
      <w:fldSimple w:instr=" SEQ Slika \* ARABIC ">
        <w:r w:rsidR="00F37B62">
          <w:rPr>
            <w:noProof/>
          </w:rPr>
          <w:t>50</w:t>
        </w:r>
      </w:fldSimple>
      <w:bookmarkEnd w:id="152"/>
      <w:r>
        <w:t xml:space="preserve">. </w:t>
      </w:r>
      <w:r w:rsidRPr="009454AE">
        <w:rPr>
          <w:b w:val="0"/>
          <w:bCs/>
        </w:rPr>
        <w:t>Prikaz postrojenja za recikliranje stakla</w:t>
      </w:r>
      <w:bookmarkEnd w:id="153"/>
    </w:p>
    <w:p w14:paraId="2E84A577" w14:textId="3FABD102" w:rsidR="00EE2FDC" w:rsidRDefault="00EE2FDC" w:rsidP="00A7229F">
      <w:pPr>
        <w:rPr>
          <w:rStyle w:val="zadanifontodlomka-000023"/>
          <w:rFonts w:asciiTheme="minorHAnsi" w:hAnsiTheme="minorHAnsi" w:cstheme="minorHAnsi"/>
          <w:color w:val="auto"/>
          <w:sz w:val="22"/>
          <w:szCs w:val="22"/>
        </w:rPr>
      </w:pPr>
      <w:r>
        <w:rPr>
          <w:rStyle w:val="zadanifontodlomka-000023"/>
          <w:rFonts w:asciiTheme="minorHAnsi" w:hAnsiTheme="minorHAnsi" w:cstheme="minorHAnsi"/>
          <w:color w:val="auto"/>
          <w:sz w:val="22"/>
          <w:szCs w:val="22"/>
        </w:rPr>
        <w:t xml:space="preserve">Recikliranjem papira bave se dvije tvrtke, te ukupni kapacitet za recikliranje papira iznosi </w:t>
      </w:r>
      <w:r w:rsidRPr="005859E7">
        <w:rPr>
          <w:rStyle w:val="zadanifontodlomka-000023"/>
          <w:rFonts w:asciiTheme="minorHAnsi" w:hAnsiTheme="minorHAnsi" w:cstheme="minorHAnsi"/>
          <w:b/>
          <w:bCs/>
          <w:color w:val="auto"/>
          <w:sz w:val="22"/>
          <w:szCs w:val="22"/>
          <w:u w:val="single"/>
        </w:rPr>
        <w:t>349.930 tona /godina</w:t>
      </w:r>
      <w:r>
        <w:rPr>
          <w:rStyle w:val="zadanifontodlomka-000023"/>
          <w:rFonts w:asciiTheme="minorHAnsi" w:hAnsiTheme="minorHAnsi" w:cstheme="minorHAnsi"/>
          <w:color w:val="auto"/>
          <w:sz w:val="22"/>
          <w:szCs w:val="22"/>
        </w:rPr>
        <w:t xml:space="preserve">. Ostale tvrtke koje imaju dozvolu za postupak R3 bave se pripremnim radnjama za recikliranje (sortiranje, </w:t>
      </w:r>
      <w:proofErr w:type="spellStart"/>
      <w:r>
        <w:rPr>
          <w:rStyle w:val="zadanifontodlomka-000023"/>
          <w:rFonts w:asciiTheme="minorHAnsi" w:hAnsiTheme="minorHAnsi" w:cstheme="minorHAnsi"/>
          <w:color w:val="auto"/>
          <w:sz w:val="22"/>
          <w:szCs w:val="22"/>
        </w:rPr>
        <w:t>baliranje</w:t>
      </w:r>
      <w:proofErr w:type="spellEnd"/>
      <w:r>
        <w:rPr>
          <w:rStyle w:val="zadanifontodlomka-000023"/>
          <w:rFonts w:asciiTheme="minorHAnsi" w:hAnsiTheme="minorHAnsi" w:cstheme="minorHAnsi"/>
          <w:color w:val="auto"/>
          <w:sz w:val="22"/>
          <w:szCs w:val="22"/>
        </w:rPr>
        <w:t>, sjeckanje…).</w:t>
      </w:r>
    </w:p>
    <w:p w14:paraId="3D7E1451" w14:textId="77777777" w:rsidR="00384E38" w:rsidRDefault="00384E38" w:rsidP="00A7229F">
      <w:pPr>
        <w:rPr>
          <w:rStyle w:val="zadanifontodlomka-000023"/>
          <w:rFonts w:asciiTheme="minorHAnsi" w:hAnsiTheme="minorHAnsi" w:cstheme="minorHAnsi"/>
          <w:color w:val="auto"/>
          <w:sz w:val="22"/>
          <w:szCs w:val="22"/>
        </w:rPr>
      </w:pPr>
    </w:p>
    <w:p w14:paraId="7665CEC3" w14:textId="54DEDEE8" w:rsidR="009454AE" w:rsidRDefault="009454AE" w:rsidP="009454AE">
      <w:pPr>
        <w:pStyle w:val="Slika"/>
        <w:rPr>
          <w:rStyle w:val="zadanifontodlomka-000023"/>
          <w:rFonts w:asciiTheme="minorHAnsi" w:hAnsiTheme="minorHAnsi" w:cstheme="minorHAnsi"/>
          <w:color w:val="auto"/>
          <w:sz w:val="22"/>
          <w:szCs w:val="22"/>
        </w:rPr>
      </w:pPr>
      <w:bookmarkStart w:id="154" w:name="_Toc125363959"/>
      <w:r>
        <w:t xml:space="preserve">Slika </w:t>
      </w:r>
      <w:fldSimple w:instr=" SEQ Slika \* ARABIC ">
        <w:r w:rsidR="00F37B62">
          <w:rPr>
            <w:noProof/>
          </w:rPr>
          <w:t>51</w:t>
        </w:r>
      </w:fldSimple>
      <w:r>
        <w:t xml:space="preserve">. </w:t>
      </w:r>
      <w:r w:rsidRPr="009454AE">
        <w:rPr>
          <w:b w:val="0"/>
          <w:bCs/>
        </w:rPr>
        <w:t xml:space="preserve">Prikaz postrojenja za recikliranje </w:t>
      </w:r>
      <w:r w:rsidR="00584916">
        <w:rPr>
          <w:b w:val="0"/>
          <w:bCs/>
        </w:rPr>
        <w:t xml:space="preserve"> papira</w:t>
      </w:r>
      <w:bookmarkEnd w:id="154"/>
    </w:p>
    <w:p w14:paraId="25605AD0" w14:textId="227DEA89" w:rsidR="00EE2FDC" w:rsidRDefault="00750C12" w:rsidP="00A7229F">
      <w:pPr>
        <w:rPr>
          <w:rStyle w:val="zadanifontodlomka-000023"/>
          <w:rFonts w:asciiTheme="minorHAnsi" w:hAnsiTheme="minorHAnsi" w:cstheme="minorHAnsi"/>
          <w:color w:val="auto"/>
          <w:sz w:val="22"/>
          <w:szCs w:val="22"/>
        </w:rPr>
      </w:pPr>
      <w:r>
        <w:rPr>
          <w:rStyle w:val="zadanifontodlomka-000023"/>
          <w:rFonts w:asciiTheme="minorHAnsi" w:hAnsiTheme="minorHAnsi" w:cstheme="minorHAnsi"/>
          <w:color w:val="auto"/>
          <w:sz w:val="22"/>
          <w:szCs w:val="22"/>
        </w:rPr>
        <w:t xml:space="preserve">Dozvolu za materijalnu oporabu električnih i </w:t>
      </w:r>
      <w:r w:rsidR="00623C76">
        <w:rPr>
          <w:rStyle w:val="zadanifontodlomka-000023"/>
          <w:rFonts w:asciiTheme="minorHAnsi" w:hAnsiTheme="minorHAnsi" w:cstheme="minorHAnsi"/>
          <w:color w:val="auto"/>
          <w:sz w:val="22"/>
          <w:szCs w:val="22"/>
        </w:rPr>
        <w:t>elektroničkih</w:t>
      </w:r>
      <w:r>
        <w:rPr>
          <w:rStyle w:val="zadanifontodlomka-000023"/>
          <w:rFonts w:asciiTheme="minorHAnsi" w:hAnsiTheme="minorHAnsi" w:cstheme="minorHAnsi"/>
          <w:color w:val="auto"/>
          <w:sz w:val="22"/>
          <w:szCs w:val="22"/>
        </w:rPr>
        <w:t xml:space="preserve"> uređaja postupkom R4 u listopadu 2022. imalo je ukupno 5 tvrtki </w:t>
      </w:r>
      <w:r w:rsidR="0091060F">
        <w:rPr>
          <w:rStyle w:val="zadanifontodlomka-000023"/>
          <w:rFonts w:asciiTheme="minorHAnsi" w:hAnsiTheme="minorHAnsi" w:cstheme="minorHAnsi"/>
          <w:color w:val="auto"/>
          <w:sz w:val="22"/>
          <w:szCs w:val="22"/>
        </w:rPr>
        <w:t xml:space="preserve">koje su oporabu EE otpada </w:t>
      </w:r>
      <w:r w:rsidR="00E22782">
        <w:rPr>
          <w:rStyle w:val="zadanifontodlomka-000023"/>
          <w:rFonts w:asciiTheme="minorHAnsi" w:hAnsiTheme="minorHAnsi" w:cstheme="minorHAnsi"/>
          <w:color w:val="auto"/>
          <w:sz w:val="22"/>
          <w:szCs w:val="22"/>
        </w:rPr>
        <w:t xml:space="preserve">provodile </w:t>
      </w:r>
      <w:r w:rsidR="0091060F">
        <w:rPr>
          <w:rStyle w:val="zadanifontodlomka-000023"/>
          <w:rFonts w:asciiTheme="minorHAnsi" w:hAnsiTheme="minorHAnsi" w:cstheme="minorHAnsi"/>
          <w:color w:val="auto"/>
          <w:sz w:val="22"/>
          <w:szCs w:val="22"/>
        </w:rPr>
        <w:t xml:space="preserve">na 18 lokacija </w:t>
      </w:r>
      <w:r w:rsidR="00AC70E5">
        <w:rPr>
          <w:rStyle w:val="zadanifontodlomka-000023"/>
          <w:rFonts w:asciiTheme="minorHAnsi" w:hAnsiTheme="minorHAnsi" w:cstheme="minorHAnsi"/>
          <w:color w:val="auto"/>
          <w:sz w:val="22"/>
          <w:szCs w:val="22"/>
        </w:rPr>
        <w:t xml:space="preserve">ukupnog kapaciteta </w:t>
      </w:r>
      <w:r w:rsidR="00AC70E5">
        <w:rPr>
          <w:rStyle w:val="zadanifontodlomka-000023"/>
          <w:rFonts w:asciiTheme="minorHAnsi" w:hAnsiTheme="minorHAnsi" w:cstheme="minorHAnsi"/>
          <w:b/>
          <w:bCs/>
          <w:color w:val="auto"/>
          <w:sz w:val="22"/>
          <w:szCs w:val="22"/>
          <w:u w:val="single"/>
        </w:rPr>
        <w:t>64</w:t>
      </w:r>
      <w:r w:rsidR="00AC70E5" w:rsidRPr="005859E7">
        <w:rPr>
          <w:rStyle w:val="zadanifontodlomka-000023"/>
          <w:rFonts w:asciiTheme="minorHAnsi" w:hAnsiTheme="minorHAnsi" w:cstheme="minorHAnsi"/>
          <w:b/>
          <w:bCs/>
          <w:color w:val="auto"/>
          <w:sz w:val="22"/>
          <w:szCs w:val="22"/>
          <w:u w:val="single"/>
        </w:rPr>
        <w:t>.</w:t>
      </w:r>
      <w:r w:rsidR="00AC70E5">
        <w:rPr>
          <w:rStyle w:val="zadanifontodlomka-000023"/>
          <w:rFonts w:asciiTheme="minorHAnsi" w:hAnsiTheme="minorHAnsi" w:cstheme="minorHAnsi"/>
          <w:b/>
          <w:bCs/>
          <w:color w:val="auto"/>
          <w:sz w:val="22"/>
          <w:szCs w:val="22"/>
          <w:u w:val="single"/>
        </w:rPr>
        <w:t>37</w:t>
      </w:r>
      <w:r w:rsidR="00AC70E5" w:rsidRPr="005859E7">
        <w:rPr>
          <w:rStyle w:val="zadanifontodlomka-000023"/>
          <w:rFonts w:asciiTheme="minorHAnsi" w:hAnsiTheme="minorHAnsi" w:cstheme="minorHAnsi"/>
          <w:b/>
          <w:bCs/>
          <w:color w:val="auto"/>
          <w:sz w:val="22"/>
          <w:szCs w:val="22"/>
          <w:u w:val="single"/>
        </w:rPr>
        <w:t>0 tona/godina</w:t>
      </w:r>
      <w:r w:rsidR="00AC70E5">
        <w:rPr>
          <w:rStyle w:val="zadanifontodlomka-000023"/>
          <w:rFonts w:asciiTheme="minorHAnsi" w:hAnsiTheme="minorHAnsi" w:cstheme="minorHAnsi"/>
          <w:color w:val="auto"/>
          <w:sz w:val="22"/>
          <w:szCs w:val="22"/>
        </w:rPr>
        <w:t xml:space="preserve"> za opasni i </w:t>
      </w:r>
      <w:r w:rsidR="00AC70E5">
        <w:rPr>
          <w:rStyle w:val="zadanifontodlomka-000023"/>
          <w:rFonts w:asciiTheme="minorHAnsi" w:hAnsiTheme="minorHAnsi" w:cstheme="minorHAnsi"/>
          <w:b/>
          <w:bCs/>
          <w:color w:val="auto"/>
          <w:sz w:val="22"/>
          <w:szCs w:val="22"/>
          <w:u w:val="single"/>
        </w:rPr>
        <w:t>500</w:t>
      </w:r>
      <w:r w:rsidR="00AC70E5" w:rsidRPr="005859E7">
        <w:rPr>
          <w:rStyle w:val="zadanifontodlomka-000023"/>
          <w:rFonts w:asciiTheme="minorHAnsi" w:hAnsiTheme="minorHAnsi" w:cstheme="minorHAnsi"/>
          <w:b/>
          <w:bCs/>
          <w:color w:val="auto"/>
          <w:sz w:val="22"/>
          <w:szCs w:val="22"/>
          <w:u w:val="single"/>
        </w:rPr>
        <w:t>.5</w:t>
      </w:r>
      <w:r w:rsidR="00AC70E5">
        <w:rPr>
          <w:rStyle w:val="zadanifontodlomka-000023"/>
          <w:rFonts w:asciiTheme="minorHAnsi" w:hAnsiTheme="minorHAnsi" w:cstheme="minorHAnsi"/>
          <w:b/>
          <w:bCs/>
          <w:color w:val="auto"/>
          <w:sz w:val="22"/>
          <w:szCs w:val="22"/>
          <w:u w:val="single"/>
        </w:rPr>
        <w:t>1</w:t>
      </w:r>
      <w:r w:rsidR="00AC70E5" w:rsidRPr="005859E7">
        <w:rPr>
          <w:rStyle w:val="zadanifontodlomka-000023"/>
          <w:rFonts w:asciiTheme="minorHAnsi" w:hAnsiTheme="minorHAnsi" w:cstheme="minorHAnsi"/>
          <w:b/>
          <w:bCs/>
          <w:color w:val="auto"/>
          <w:sz w:val="22"/>
          <w:szCs w:val="22"/>
          <w:u w:val="single"/>
        </w:rPr>
        <w:t>0 tona/godina</w:t>
      </w:r>
      <w:r w:rsidR="00AC70E5">
        <w:rPr>
          <w:rStyle w:val="zadanifontodlomka-000023"/>
          <w:rFonts w:asciiTheme="minorHAnsi" w:hAnsiTheme="minorHAnsi" w:cstheme="minorHAnsi"/>
          <w:color w:val="auto"/>
          <w:sz w:val="22"/>
          <w:szCs w:val="22"/>
        </w:rPr>
        <w:t xml:space="preserve"> za neopasni otpad </w:t>
      </w:r>
      <w:r>
        <w:rPr>
          <w:rStyle w:val="zadanifontodlomka-000023"/>
          <w:rFonts w:asciiTheme="minorHAnsi" w:hAnsiTheme="minorHAnsi" w:cstheme="minorHAnsi"/>
          <w:color w:val="auto"/>
          <w:sz w:val="22"/>
          <w:szCs w:val="22"/>
        </w:rPr>
        <w:t>(</w:t>
      </w:r>
      <w:r w:rsidR="009454AE">
        <w:rPr>
          <w:rStyle w:val="zadanifontodlomka-000023"/>
          <w:rFonts w:asciiTheme="minorHAnsi" w:hAnsiTheme="minorHAnsi" w:cstheme="minorHAnsi"/>
          <w:color w:val="auto"/>
          <w:sz w:val="22"/>
          <w:szCs w:val="22"/>
        </w:rPr>
        <w:fldChar w:fldCharType="begin"/>
      </w:r>
      <w:r w:rsidR="009454AE">
        <w:rPr>
          <w:rStyle w:val="zadanifontodlomka-000023"/>
          <w:rFonts w:asciiTheme="minorHAnsi" w:hAnsiTheme="minorHAnsi" w:cstheme="minorHAnsi"/>
          <w:color w:val="auto"/>
          <w:sz w:val="22"/>
          <w:szCs w:val="22"/>
        </w:rPr>
        <w:instrText xml:space="preserve"> REF _Ref116562589 \h </w:instrText>
      </w:r>
      <w:r w:rsidR="009454AE">
        <w:rPr>
          <w:rStyle w:val="zadanifontodlomka-000023"/>
          <w:rFonts w:asciiTheme="minorHAnsi" w:hAnsiTheme="minorHAnsi" w:cstheme="minorHAnsi"/>
          <w:color w:val="auto"/>
          <w:sz w:val="22"/>
          <w:szCs w:val="22"/>
        </w:rPr>
      </w:r>
      <w:r w:rsidR="009454AE">
        <w:rPr>
          <w:rStyle w:val="zadanifontodlomka-000023"/>
          <w:rFonts w:asciiTheme="minorHAnsi" w:hAnsiTheme="minorHAnsi" w:cstheme="minorHAnsi"/>
          <w:color w:val="auto"/>
          <w:sz w:val="22"/>
          <w:szCs w:val="22"/>
        </w:rPr>
        <w:fldChar w:fldCharType="separate"/>
      </w:r>
      <w:r w:rsidR="00F37B62">
        <w:t xml:space="preserve">Slika </w:t>
      </w:r>
      <w:r w:rsidR="00F37B62">
        <w:rPr>
          <w:noProof/>
        </w:rPr>
        <w:t>52</w:t>
      </w:r>
      <w:r w:rsidR="009454AE">
        <w:rPr>
          <w:rStyle w:val="zadanifontodlomka-000023"/>
          <w:rFonts w:asciiTheme="minorHAnsi" w:hAnsiTheme="minorHAnsi" w:cstheme="minorHAnsi"/>
          <w:color w:val="auto"/>
          <w:sz w:val="22"/>
          <w:szCs w:val="22"/>
        </w:rPr>
        <w:fldChar w:fldCharType="end"/>
      </w:r>
      <w:r>
        <w:rPr>
          <w:rStyle w:val="zadanifontodlomka-000023"/>
          <w:rFonts w:asciiTheme="minorHAnsi" w:hAnsiTheme="minorHAnsi" w:cstheme="minorHAnsi"/>
          <w:color w:val="auto"/>
          <w:sz w:val="22"/>
          <w:szCs w:val="22"/>
        </w:rPr>
        <w:t>).</w:t>
      </w:r>
    </w:p>
    <w:p w14:paraId="539B3EAB" w14:textId="77777777" w:rsidR="00384E38" w:rsidRDefault="00384E38" w:rsidP="00A7229F">
      <w:pPr>
        <w:rPr>
          <w:rStyle w:val="zadanifontodlomka-000023"/>
          <w:rFonts w:asciiTheme="minorHAnsi" w:hAnsiTheme="minorHAnsi" w:cstheme="minorHAnsi"/>
          <w:color w:val="auto"/>
          <w:sz w:val="22"/>
          <w:szCs w:val="22"/>
        </w:rPr>
      </w:pPr>
    </w:p>
    <w:p w14:paraId="1D2ABD35" w14:textId="5F52BC21" w:rsidR="009454AE" w:rsidRPr="00AB442A" w:rsidRDefault="009454AE" w:rsidP="009454AE">
      <w:pPr>
        <w:pStyle w:val="Slika"/>
        <w:rPr>
          <w:rStyle w:val="zadanifontodlomka-000023"/>
          <w:rFonts w:asciiTheme="minorHAnsi" w:hAnsiTheme="minorHAnsi" w:cstheme="minorHAnsi"/>
          <w:color w:val="auto"/>
          <w:sz w:val="22"/>
          <w:szCs w:val="22"/>
        </w:rPr>
      </w:pPr>
      <w:bookmarkStart w:id="155" w:name="_Ref116562589"/>
      <w:bookmarkStart w:id="156" w:name="_Toc125363960"/>
      <w:r>
        <w:t xml:space="preserve">Slika </w:t>
      </w:r>
      <w:fldSimple w:instr=" SEQ Slika \* ARABIC ">
        <w:r w:rsidR="00F37B62">
          <w:rPr>
            <w:noProof/>
          </w:rPr>
          <w:t>52</w:t>
        </w:r>
      </w:fldSimple>
      <w:bookmarkEnd w:id="155"/>
      <w:r>
        <w:t xml:space="preserve">. </w:t>
      </w:r>
      <w:r w:rsidRPr="009454AE">
        <w:rPr>
          <w:b w:val="0"/>
          <w:bCs/>
        </w:rPr>
        <w:t>Prikaz postrojenja za oporabu električnog i elektroničkog otpada</w:t>
      </w:r>
      <w:bookmarkEnd w:id="156"/>
    </w:p>
    <w:p w14:paraId="194A3A7E" w14:textId="779157C9" w:rsidR="00623C76" w:rsidRDefault="00CE014B" w:rsidP="00A7229F">
      <w:pPr>
        <w:rPr>
          <w:rStyle w:val="zadanifontodlomka-000023"/>
          <w:rFonts w:asciiTheme="minorHAnsi" w:hAnsiTheme="minorHAnsi" w:cstheme="minorHAnsi"/>
          <w:color w:val="auto"/>
          <w:sz w:val="22"/>
          <w:szCs w:val="22"/>
        </w:rPr>
      </w:pPr>
      <w:r>
        <w:rPr>
          <w:rStyle w:val="zadanifontodlomka-000023"/>
          <w:rFonts w:asciiTheme="minorHAnsi" w:hAnsiTheme="minorHAnsi" w:cstheme="minorHAnsi"/>
          <w:color w:val="auto"/>
          <w:sz w:val="22"/>
          <w:szCs w:val="22"/>
        </w:rPr>
        <w:t>Oporabu</w:t>
      </w:r>
      <w:r w:rsidR="00623C76">
        <w:rPr>
          <w:rStyle w:val="zadanifontodlomka-000023"/>
          <w:rFonts w:asciiTheme="minorHAnsi" w:hAnsiTheme="minorHAnsi" w:cstheme="minorHAnsi"/>
          <w:color w:val="auto"/>
          <w:sz w:val="22"/>
          <w:szCs w:val="22"/>
        </w:rPr>
        <w:t xml:space="preserve"> otpadnih vozila postupkom R4 </w:t>
      </w:r>
      <w:r w:rsidR="00E22782">
        <w:rPr>
          <w:rStyle w:val="zadanifontodlomka-000023"/>
          <w:rFonts w:asciiTheme="minorHAnsi" w:hAnsiTheme="minorHAnsi" w:cstheme="minorHAnsi"/>
          <w:color w:val="auto"/>
          <w:sz w:val="22"/>
          <w:szCs w:val="22"/>
        </w:rPr>
        <w:t xml:space="preserve">provodi </w:t>
      </w:r>
      <w:r w:rsidR="00623C76">
        <w:rPr>
          <w:rStyle w:val="zadanifontodlomka-000023"/>
          <w:rFonts w:asciiTheme="minorHAnsi" w:hAnsiTheme="minorHAnsi" w:cstheme="minorHAnsi"/>
          <w:color w:val="auto"/>
          <w:sz w:val="22"/>
          <w:szCs w:val="22"/>
        </w:rPr>
        <w:t xml:space="preserve">5 tvrtki kroz 16 postrojenja ukupnog kapaciteta </w:t>
      </w:r>
      <w:r w:rsidR="00623C76" w:rsidRPr="005859E7">
        <w:rPr>
          <w:rStyle w:val="zadanifontodlomka-000023"/>
          <w:rFonts w:asciiTheme="minorHAnsi" w:hAnsiTheme="minorHAnsi" w:cstheme="minorHAnsi"/>
          <w:b/>
          <w:bCs/>
          <w:color w:val="auto"/>
          <w:sz w:val="22"/>
          <w:szCs w:val="22"/>
          <w:u w:val="single"/>
        </w:rPr>
        <w:t>84.100 tona/godina</w:t>
      </w:r>
      <w:r w:rsidR="00623C76">
        <w:rPr>
          <w:rStyle w:val="zadanifontodlomka-000023"/>
          <w:rFonts w:asciiTheme="minorHAnsi" w:hAnsiTheme="minorHAnsi" w:cstheme="minorHAnsi"/>
          <w:color w:val="auto"/>
          <w:sz w:val="22"/>
          <w:szCs w:val="22"/>
        </w:rPr>
        <w:t xml:space="preserve"> za opasni i </w:t>
      </w:r>
      <w:r w:rsidR="00623C76" w:rsidRPr="005859E7">
        <w:rPr>
          <w:rStyle w:val="zadanifontodlomka-000023"/>
          <w:rFonts w:asciiTheme="minorHAnsi" w:hAnsiTheme="minorHAnsi" w:cstheme="minorHAnsi"/>
          <w:b/>
          <w:bCs/>
          <w:color w:val="auto"/>
          <w:sz w:val="22"/>
          <w:szCs w:val="22"/>
          <w:u w:val="single"/>
        </w:rPr>
        <w:t>453.500 tona/godina</w:t>
      </w:r>
      <w:r w:rsidR="00623C76">
        <w:rPr>
          <w:rStyle w:val="zadanifontodlomka-000023"/>
          <w:rFonts w:asciiTheme="minorHAnsi" w:hAnsiTheme="minorHAnsi" w:cstheme="minorHAnsi"/>
          <w:color w:val="auto"/>
          <w:sz w:val="22"/>
          <w:szCs w:val="22"/>
        </w:rPr>
        <w:t xml:space="preserve"> za neopasni otpad (</w:t>
      </w:r>
      <w:r w:rsidR="009454AE">
        <w:rPr>
          <w:rStyle w:val="zadanifontodlomka-000023"/>
          <w:rFonts w:asciiTheme="minorHAnsi" w:hAnsiTheme="minorHAnsi" w:cstheme="minorHAnsi"/>
          <w:color w:val="auto"/>
          <w:sz w:val="22"/>
          <w:szCs w:val="22"/>
        </w:rPr>
        <w:fldChar w:fldCharType="begin"/>
      </w:r>
      <w:r w:rsidR="009454AE">
        <w:rPr>
          <w:rStyle w:val="zadanifontodlomka-000023"/>
          <w:rFonts w:asciiTheme="minorHAnsi" w:hAnsiTheme="minorHAnsi" w:cstheme="minorHAnsi"/>
          <w:color w:val="auto"/>
          <w:sz w:val="22"/>
          <w:szCs w:val="22"/>
        </w:rPr>
        <w:instrText xml:space="preserve"> REF _Ref116562662 \h </w:instrText>
      </w:r>
      <w:r w:rsidR="009454AE">
        <w:rPr>
          <w:rStyle w:val="zadanifontodlomka-000023"/>
          <w:rFonts w:asciiTheme="minorHAnsi" w:hAnsiTheme="minorHAnsi" w:cstheme="minorHAnsi"/>
          <w:color w:val="auto"/>
          <w:sz w:val="22"/>
          <w:szCs w:val="22"/>
        </w:rPr>
      </w:r>
      <w:r w:rsidR="009454AE">
        <w:rPr>
          <w:rStyle w:val="zadanifontodlomka-000023"/>
          <w:rFonts w:asciiTheme="minorHAnsi" w:hAnsiTheme="minorHAnsi" w:cstheme="minorHAnsi"/>
          <w:color w:val="auto"/>
          <w:sz w:val="22"/>
          <w:szCs w:val="22"/>
        </w:rPr>
        <w:fldChar w:fldCharType="separate"/>
      </w:r>
      <w:r w:rsidR="00F37B62">
        <w:t xml:space="preserve">Slika </w:t>
      </w:r>
      <w:r w:rsidR="00F37B62">
        <w:rPr>
          <w:noProof/>
        </w:rPr>
        <w:t>53</w:t>
      </w:r>
      <w:r w:rsidR="009454AE">
        <w:rPr>
          <w:rStyle w:val="zadanifontodlomka-000023"/>
          <w:rFonts w:asciiTheme="minorHAnsi" w:hAnsiTheme="minorHAnsi" w:cstheme="minorHAnsi"/>
          <w:color w:val="auto"/>
          <w:sz w:val="22"/>
          <w:szCs w:val="22"/>
        </w:rPr>
        <w:fldChar w:fldCharType="end"/>
      </w:r>
      <w:r w:rsidR="00623C76">
        <w:rPr>
          <w:rStyle w:val="zadanifontodlomka-000023"/>
          <w:rFonts w:asciiTheme="minorHAnsi" w:hAnsiTheme="minorHAnsi" w:cstheme="minorHAnsi"/>
          <w:color w:val="auto"/>
          <w:sz w:val="22"/>
          <w:szCs w:val="22"/>
        </w:rPr>
        <w:t>).</w:t>
      </w:r>
    </w:p>
    <w:p w14:paraId="1DE1B26F" w14:textId="77777777" w:rsidR="005D5B78" w:rsidRDefault="005D5B78" w:rsidP="00A7229F">
      <w:pPr>
        <w:rPr>
          <w:rStyle w:val="zadanifontodlomka-000023"/>
          <w:rFonts w:asciiTheme="minorHAnsi" w:hAnsiTheme="minorHAnsi" w:cstheme="minorHAnsi"/>
          <w:color w:val="auto"/>
          <w:sz w:val="22"/>
          <w:szCs w:val="22"/>
        </w:rPr>
      </w:pPr>
    </w:p>
    <w:p w14:paraId="2F8969CC" w14:textId="5D68DE13" w:rsidR="009454AE" w:rsidRPr="009454AE" w:rsidRDefault="009454AE" w:rsidP="009454AE">
      <w:pPr>
        <w:pStyle w:val="Slika"/>
        <w:rPr>
          <w:rStyle w:val="zadanifontodlomka-000023"/>
          <w:rFonts w:asciiTheme="minorHAnsi" w:hAnsiTheme="minorHAnsi" w:cstheme="minorHAnsi"/>
          <w:b w:val="0"/>
          <w:bCs/>
          <w:color w:val="auto"/>
          <w:sz w:val="22"/>
          <w:szCs w:val="22"/>
        </w:rPr>
      </w:pPr>
      <w:bookmarkStart w:id="157" w:name="_Ref116562662"/>
      <w:bookmarkStart w:id="158" w:name="_Toc125363961"/>
      <w:r>
        <w:t xml:space="preserve">Slika </w:t>
      </w:r>
      <w:fldSimple w:instr=" SEQ Slika \* ARABIC ">
        <w:r w:rsidR="00F37B62">
          <w:rPr>
            <w:noProof/>
          </w:rPr>
          <w:t>53</w:t>
        </w:r>
      </w:fldSimple>
      <w:bookmarkEnd w:id="157"/>
      <w:r>
        <w:t xml:space="preserve">. </w:t>
      </w:r>
      <w:r w:rsidRPr="009454AE">
        <w:rPr>
          <w:b w:val="0"/>
          <w:bCs/>
        </w:rPr>
        <w:t>Prikaz postrojenja za oporabu otpadnih vozila</w:t>
      </w:r>
      <w:bookmarkEnd w:id="158"/>
      <w:r w:rsidRPr="009454AE">
        <w:rPr>
          <w:b w:val="0"/>
          <w:bCs/>
        </w:rPr>
        <w:t xml:space="preserve"> </w:t>
      </w:r>
    </w:p>
    <w:p w14:paraId="4766CE42" w14:textId="58EF0B4F" w:rsidR="0086363E" w:rsidRPr="0086363E" w:rsidRDefault="0086363E" w:rsidP="00835847">
      <w:pPr>
        <w:rPr>
          <w:rStyle w:val="zadanifontodlomka-000023"/>
          <w:rFonts w:asciiTheme="minorHAnsi" w:hAnsiTheme="minorHAnsi" w:cstheme="minorHAnsi"/>
          <w:color w:val="auto"/>
          <w:sz w:val="22"/>
          <w:szCs w:val="22"/>
        </w:rPr>
      </w:pPr>
      <w:r w:rsidRPr="0086363E">
        <w:rPr>
          <w:rStyle w:val="zadanifontodlomka-000023"/>
          <w:rFonts w:asciiTheme="minorHAnsi" w:hAnsiTheme="minorHAnsi" w:cstheme="minorHAnsi"/>
          <w:color w:val="auto"/>
          <w:sz w:val="22"/>
          <w:szCs w:val="22"/>
        </w:rPr>
        <w:t>Dozvolu za oporabu otpadnih baterija ima samo jedna tvrtka</w:t>
      </w:r>
      <w:r w:rsidR="00C248CC">
        <w:rPr>
          <w:rStyle w:val="zadanifontodlomka-000023"/>
          <w:rFonts w:asciiTheme="minorHAnsi" w:hAnsiTheme="minorHAnsi" w:cstheme="minorHAnsi"/>
          <w:color w:val="auto"/>
          <w:sz w:val="22"/>
          <w:szCs w:val="22"/>
        </w:rPr>
        <w:t xml:space="preserve"> </w:t>
      </w:r>
      <w:r w:rsidRPr="0086363E">
        <w:rPr>
          <w:rStyle w:val="zadanifontodlomka-000023"/>
          <w:rFonts w:asciiTheme="minorHAnsi" w:hAnsiTheme="minorHAnsi" w:cstheme="minorHAnsi"/>
          <w:color w:val="auto"/>
          <w:sz w:val="22"/>
          <w:szCs w:val="22"/>
        </w:rPr>
        <w:t xml:space="preserve">čije se postrojenje ukupnog kapaciteta </w:t>
      </w:r>
      <w:r w:rsidRPr="005859E7">
        <w:rPr>
          <w:rStyle w:val="zadanifontodlomka-000023"/>
          <w:rFonts w:asciiTheme="minorHAnsi" w:hAnsiTheme="minorHAnsi" w:cstheme="minorHAnsi"/>
          <w:b/>
          <w:bCs/>
          <w:color w:val="auto"/>
          <w:sz w:val="22"/>
          <w:szCs w:val="22"/>
          <w:u w:val="single"/>
        </w:rPr>
        <w:t>10.000 tona/godina</w:t>
      </w:r>
      <w:r w:rsidRPr="0086363E">
        <w:rPr>
          <w:rStyle w:val="zadanifontodlomka-000023"/>
          <w:rFonts w:asciiTheme="minorHAnsi" w:hAnsiTheme="minorHAnsi" w:cstheme="minorHAnsi"/>
          <w:color w:val="auto"/>
          <w:sz w:val="22"/>
          <w:szCs w:val="22"/>
        </w:rPr>
        <w:t xml:space="preserve"> nalazi u Krapinsko-zagorskoj županiji. </w:t>
      </w:r>
    </w:p>
    <w:p w14:paraId="533094E1" w14:textId="1ACA1292" w:rsidR="002252F5" w:rsidRPr="00D058ED" w:rsidRDefault="002252F5" w:rsidP="00D058ED">
      <w:pPr>
        <w:pStyle w:val="IRNaslov4"/>
        <w:rPr>
          <w:sz w:val="24"/>
        </w:rPr>
      </w:pPr>
      <w:r w:rsidRPr="00D058ED">
        <w:rPr>
          <w:sz w:val="24"/>
        </w:rPr>
        <w:t>Građevine za energetsku oporabu i suspaljivanje otpada</w:t>
      </w:r>
      <w:r w:rsidR="0055793F" w:rsidRPr="00D058ED">
        <w:rPr>
          <w:sz w:val="24"/>
        </w:rPr>
        <w:t xml:space="preserve"> postupkom R1</w:t>
      </w:r>
    </w:p>
    <w:p w14:paraId="55848718" w14:textId="262EE5CD" w:rsidR="005B09E7" w:rsidRDefault="005B09E7" w:rsidP="005B09E7">
      <w:bookmarkStart w:id="159" w:name="_Hlk114838099"/>
      <w:r>
        <w:t xml:space="preserve">Ukupno su u RH do kolovoza 2022. godine četiri tvrtke posjedovale dozvolu za energetsku oporabu </w:t>
      </w:r>
      <w:r w:rsidR="0055793F">
        <w:t xml:space="preserve">postupkom R1 </w:t>
      </w:r>
      <w:r>
        <w:t>na pet lokacija ukupnog kapaciteta 392.479 tona/godina (</w:t>
      </w:r>
      <w:r>
        <w:fldChar w:fldCharType="begin"/>
      </w:r>
      <w:r>
        <w:instrText xml:space="preserve"> REF _Ref111049652 \h </w:instrText>
      </w:r>
      <w:r>
        <w:fldChar w:fldCharType="separate"/>
      </w:r>
      <w:r w:rsidR="00F37B62">
        <w:t xml:space="preserve">Slika </w:t>
      </w:r>
      <w:r w:rsidR="00F37B62">
        <w:rPr>
          <w:noProof/>
        </w:rPr>
        <w:t>54</w:t>
      </w:r>
      <w:r>
        <w:fldChar w:fldCharType="end"/>
      </w:r>
      <w:r>
        <w:t xml:space="preserve">). </w:t>
      </w:r>
    </w:p>
    <w:p w14:paraId="583F7A1C" w14:textId="46C43560" w:rsidR="005B09E7" w:rsidRPr="00184F89" w:rsidRDefault="005B09E7" w:rsidP="005B09E7">
      <w:r>
        <w:t xml:space="preserve">Dodatno je evidentirano 36 energetskih </w:t>
      </w:r>
      <w:proofErr w:type="spellStart"/>
      <w:r>
        <w:t>oporabitelja</w:t>
      </w:r>
      <w:proofErr w:type="spellEnd"/>
      <w:r>
        <w:t xml:space="preserve"> koji sukladno </w:t>
      </w:r>
      <w:r w:rsidR="0004270E">
        <w:t xml:space="preserve"> </w:t>
      </w:r>
      <w:r w:rsidR="00337986">
        <w:t>ZGO</w:t>
      </w:r>
      <w:r w:rsidR="00D222B3">
        <w:t xml:space="preserve"> i Pravilniku o gospodarenju otpadom</w:t>
      </w:r>
      <w:r w:rsidR="00DD4D4C">
        <w:t xml:space="preserve"> </w:t>
      </w:r>
      <w:r>
        <w:t xml:space="preserve">nisu obvezni ishoditi dozvolu za gospodarenje otpadom već djelatnost obavljaju temeljem upisa u Očevidnik sakupljača i </w:t>
      </w:r>
      <w:proofErr w:type="spellStart"/>
      <w:r>
        <w:t>oporabitelja</w:t>
      </w:r>
      <w:proofErr w:type="spellEnd"/>
      <w:r>
        <w:t>.</w:t>
      </w:r>
      <w:r w:rsidRPr="005D5472">
        <w:rPr>
          <w:rStyle w:val="Referencafusnote"/>
        </w:rPr>
        <w:t xml:space="preserve"> </w:t>
      </w:r>
      <w:r>
        <w:rPr>
          <w:rStyle w:val="Referencafusnote"/>
        </w:rPr>
        <w:footnoteReference w:id="27"/>
      </w:r>
      <w:r w:rsidR="00D222B3">
        <w:t xml:space="preserve"> </w:t>
      </w:r>
      <w:r w:rsidR="00D222B3" w:rsidRPr="00D222B3">
        <w:t>Dodatkom VII. Pravilnika o gospodarenju otpadom propisan je način izvođenja postupaka oporabe za koje se ne izdaje dozvola gospodarenja otpadom, te vrste i količine otpada koje je dopušteno obrađivati tim postupcima.</w:t>
      </w:r>
      <w:r w:rsidR="00D222B3">
        <w:t xml:space="preserve"> </w:t>
      </w:r>
    </w:p>
    <w:p w14:paraId="163C6E93" w14:textId="77777777" w:rsidR="005B09E7" w:rsidRDefault="005B09E7" w:rsidP="005B09E7">
      <w:r>
        <w:t>Ishođenu dozvolu za spaljivanje otpada bez energetske oporabe nema niti jedna tvrtka.</w:t>
      </w:r>
    </w:p>
    <w:p w14:paraId="276AAE2F" w14:textId="70407A3A" w:rsidR="005B09E7" w:rsidRDefault="005B09E7" w:rsidP="005B09E7"/>
    <w:p w14:paraId="6827A678" w14:textId="11B62B64" w:rsidR="005B09E7" w:rsidRDefault="005B09E7" w:rsidP="005B09E7">
      <w:pPr>
        <w:pStyle w:val="Slika"/>
      </w:pPr>
      <w:bookmarkStart w:id="160" w:name="_Ref111049652"/>
      <w:bookmarkStart w:id="161" w:name="_Toc125363962"/>
      <w:bookmarkEnd w:id="159"/>
      <w:r>
        <w:t xml:space="preserve">Slika </w:t>
      </w:r>
      <w:fldSimple w:instr=" SEQ Slika \* ARABIC ">
        <w:r w:rsidR="00F37B62">
          <w:rPr>
            <w:noProof/>
          </w:rPr>
          <w:t>54</w:t>
        </w:r>
      </w:fldSimple>
      <w:bookmarkEnd w:id="160"/>
      <w:r>
        <w:t xml:space="preserve">. </w:t>
      </w:r>
      <w:r w:rsidRPr="005B09E7">
        <w:rPr>
          <w:b w:val="0"/>
          <w:bCs/>
        </w:rPr>
        <w:t>Pregled lokacija postrojenja koja imaju dozvolu za gospodarenje otpadom za postupak R1 u 2022. godini</w:t>
      </w:r>
      <w:bookmarkEnd w:id="161"/>
    </w:p>
    <w:p w14:paraId="0D6CA78E" w14:textId="42EF717D" w:rsidR="002252F5" w:rsidRPr="00D058ED" w:rsidRDefault="002252F5" w:rsidP="00D058ED">
      <w:pPr>
        <w:pStyle w:val="IRNaslov4"/>
        <w:rPr>
          <w:sz w:val="24"/>
        </w:rPr>
      </w:pPr>
      <w:r w:rsidRPr="00D058ED">
        <w:rPr>
          <w:sz w:val="24"/>
        </w:rPr>
        <w:t>Centri za gospodarenje otpadom</w:t>
      </w:r>
    </w:p>
    <w:p w14:paraId="5267F5A2" w14:textId="77777777" w:rsidR="005B09E7" w:rsidRDefault="005B09E7" w:rsidP="005B09E7">
      <w:r>
        <w:t>C</w:t>
      </w:r>
      <w:r w:rsidRPr="001B387F">
        <w:t>entar za gospodarenje otpadom je sklop više međusobno funkcionalno i/ili tehnološki povezanih građevina i uređaja za obradu komunalnog otpada</w:t>
      </w:r>
      <w:r>
        <w:t xml:space="preserve">. </w:t>
      </w:r>
      <w:r w:rsidRPr="001B387F">
        <w:t xml:space="preserve">Dio ovog sustava čine i pretovarne stanice na </w:t>
      </w:r>
      <w:r w:rsidRPr="001B387F">
        <w:lastRenderedPageBreak/>
        <w:t>kojima se obavlja skladištenje, priprema i pretovar otpada za prijevoz prema postrojenju za obradu otpada.</w:t>
      </w:r>
    </w:p>
    <w:p w14:paraId="79471F37" w14:textId="77777777" w:rsidR="005B09E7" w:rsidRPr="00CF311C" w:rsidRDefault="005B09E7" w:rsidP="005B09E7">
      <w:r w:rsidRPr="00CF311C">
        <w:t>Odlukom Vlade o koordinaciji aktivnosti vezanih uz izgradnju i opremanje centara za gospodarenjem otpadom iz svibnja 2019. godine, financiranje izgradnje i nabave opreme za centre za gospodarenje otpadom ostvaruje se prema udjelima Europska unija i FZOEU – 90 %, a jedinice lokalne i područne (regionalne) samouprave – 10 %.</w:t>
      </w:r>
    </w:p>
    <w:p w14:paraId="3885793E" w14:textId="41A46E68" w:rsidR="005B09E7" w:rsidRDefault="005B09E7" w:rsidP="005B09E7">
      <w:r w:rsidRPr="005859E7">
        <w:t xml:space="preserve">Od 11 planiranih centara u RH, do </w:t>
      </w:r>
      <w:r w:rsidR="005859E7" w:rsidRPr="005859E7">
        <w:t>listopada</w:t>
      </w:r>
      <w:r w:rsidRPr="005859E7">
        <w:t xml:space="preserve"> 2022. godine, izgrađena su i u funkciji </w:t>
      </w:r>
      <w:r w:rsidR="005859E7" w:rsidRPr="005859E7">
        <w:t>tri</w:t>
      </w:r>
      <w:r w:rsidRPr="005859E7">
        <w:t xml:space="preserve"> centra za</w:t>
      </w:r>
      <w:r w:rsidRPr="006B27D3">
        <w:t xml:space="preserve"> gospodarenje otpadom: </w:t>
      </w:r>
      <w:r>
        <w:t xml:space="preserve">CGO </w:t>
      </w:r>
      <w:proofErr w:type="spellStart"/>
      <w:r w:rsidRPr="006B27D3">
        <w:t>Marišćina</w:t>
      </w:r>
      <w:proofErr w:type="spellEnd"/>
      <w:r w:rsidRPr="006B27D3">
        <w:t>, kapaciteta 100.000 t</w:t>
      </w:r>
      <w:r>
        <w:t>ona</w:t>
      </w:r>
      <w:r w:rsidRPr="006B27D3">
        <w:t>/god</w:t>
      </w:r>
      <w:r>
        <w:t>ina</w:t>
      </w:r>
      <w:r w:rsidR="005859E7">
        <w:t xml:space="preserve">, </w:t>
      </w:r>
      <w:r>
        <w:t xml:space="preserve">CGO </w:t>
      </w:r>
      <w:proofErr w:type="spellStart"/>
      <w:r w:rsidRPr="006B27D3">
        <w:t>Kaštijun</w:t>
      </w:r>
      <w:proofErr w:type="spellEnd"/>
      <w:r w:rsidRPr="006B27D3">
        <w:t>, kapaciteta 9</w:t>
      </w:r>
      <w:r>
        <w:t>4</w:t>
      </w:r>
      <w:r w:rsidRPr="006B27D3">
        <w:t>.000 tona/godina</w:t>
      </w:r>
      <w:r w:rsidR="005859E7">
        <w:t xml:space="preserve"> i CGO </w:t>
      </w:r>
      <w:proofErr w:type="spellStart"/>
      <w:r w:rsidR="005859E7">
        <w:t>Bikarac</w:t>
      </w:r>
      <w:proofErr w:type="spellEnd"/>
      <w:r w:rsidR="005859E7">
        <w:t xml:space="preserve"> kapaciteta 40.000 </w:t>
      </w:r>
      <w:r w:rsidR="005859E7" w:rsidRPr="006B27D3">
        <w:t>tona/godina</w:t>
      </w:r>
      <w:r w:rsidR="005859E7">
        <w:t xml:space="preserve">. </w:t>
      </w:r>
    </w:p>
    <w:p w14:paraId="73890787" w14:textId="5C2C7641" w:rsidR="005B09E7" w:rsidRDefault="005B09E7" w:rsidP="005B09E7">
      <w:r>
        <w:t xml:space="preserve">CGO </w:t>
      </w:r>
      <w:r w:rsidRPr="006B27D3">
        <w:t>Biljane Donje</w:t>
      </w:r>
      <w:r>
        <w:t xml:space="preserve"> planiranog </w:t>
      </w:r>
      <w:r w:rsidRPr="006B27D3">
        <w:t xml:space="preserve">kapaciteta </w:t>
      </w:r>
      <w:r>
        <w:t>75</w:t>
      </w:r>
      <w:r w:rsidRPr="006B27D3">
        <w:t>.000 tona/godina</w:t>
      </w:r>
      <w:r>
        <w:t xml:space="preserve"> je u izgradnji, a probni rad je planiran za početak 2023. godine, dok je početak rada planiran za kraj iste godine. </w:t>
      </w:r>
    </w:p>
    <w:p w14:paraId="6AF2B53C" w14:textId="4D1B84D9" w:rsidR="005B09E7" w:rsidRDefault="005B09E7" w:rsidP="005B09E7">
      <w:r>
        <w:t>Za č</w:t>
      </w:r>
      <w:r w:rsidRPr="006B27D3">
        <w:t xml:space="preserve">etiri </w:t>
      </w:r>
      <w:r>
        <w:t>CGO</w:t>
      </w:r>
      <w:r w:rsidRPr="006B27D3">
        <w:t xml:space="preserve"> su odobrena</w:t>
      </w:r>
      <w:r>
        <w:t xml:space="preserve"> sredstva</w:t>
      </w:r>
      <w:r w:rsidRPr="006B27D3">
        <w:t xml:space="preserve"> za EU financiranje </w:t>
      </w:r>
      <w:r w:rsidR="0050217C">
        <w:t xml:space="preserve">od kojih su tri u fazi izgradnje (Babina Gora, </w:t>
      </w:r>
      <w:proofErr w:type="spellStart"/>
      <w:r w:rsidR="0050217C">
        <w:t>Lučino</w:t>
      </w:r>
      <w:proofErr w:type="spellEnd"/>
      <w:r w:rsidR="0050217C">
        <w:t xml:space="preserve"> </w:t>
      </w:r>
      <w:proofErr w:type="spellStart"/>
      <w:r w:rsidR="0050217C">
        <w:t>Razdolje</w:t>
      </w:r>
      <w:proofErr w:type="spellEnd"/>
      <w:r w:rsidR="0050217C">
        <w:t xml:space="preserve"> i </w:t>
      </w:r>
      <w:proofErr w:type="spellStart"/>
      <w:r w:rsidR="0050217C">
        <w:t>Lećevica</w:t>
      </w:r>
      <w:proofErr w:type="spellEnd"/>
      <w:r w:rsidR="0050217C">
        <w:t xml:space="preserve">) dok je CGO </w:t>
      </w:r>
      <w:proofErr w:type="spellStart"/>
      <w:r w:rsidR="0050217C">
        <w:t>Piškornica</w:t>
      </w:r>
      <w:proofErr w:type="spellEnd"/>
      <w:r w:rsidR="0050217C" w:rsidRPr="006B27D3">
        <w:t xml:space="preserve"> </w:t>
      </w:r>
      <w:r w:rsidRPr="006B27D3">
        <w:t xml:space="preserve">u fazi </w:t>
      </w:r>
      <w:r>
        <w:t xml:space="preserve">provedbe javne nabave za </w:t>
      </w:r>
      <w:r w:rsidR="0050217C" w:rsidRPr="006B27D3">
        <w:t>ugovaranj</w:t>
      </w:r>
      <w:r w:rsidR="0050217C">
        <w:t>e</w:t>
      </w:r>
      <w:r w:rsidR="0050217C" w:rsidRPr="006B27D3">
        <w:t xml:space="preserve"> </w:t>
      </w:r>
      <w:r w:rsidRPr="006B27D3">
        <w:t xml:space="preserve">radova </w:t>
      </w:r>
      <w:r>
        <w:t xml:space="preserve">na </w:t>
      </w:r>
      <w:r w:rsidR="0050217C">
        <w:t xml:space="preserve">projektiranju i </w:t>
      </w:r>
      <w:r>
        <w:t>izgradnji</w:t>
      </w:r>
      <w:r w:rsidR="0050217C">
        <w:t>.</w:t>
      </w:r>
      <w:r>
        <w:t xml:space="preserve"> </w:t>
      </w:r>
    </w:p>
    <w:p w14:paraId="7C1FADEA" w14:textId="4D3FCBAA" w:rsidR="005B09E7" w:rsidRDefault="005B09E7" w:rsidP="005B09E7">
      <w:r>
        <w:t>Za</w:t>
      </w:r>
      <w:r w:rsidRPr="006B27D3">
        <w:t xml:space="preserve"> preostala tri centra </w:t>
      </w:r>
      <w:r>
        <w:t xml:space="preserve">u tijeku je </w:t>
      </w:r>
      <w:r w:rsidRPr="006B27D3">
        <w:t>priprem</w:t>
      </w:r>
      <w:r>
        <w:t>a</w:t>
      </w:r>
      <w:r w:rsidRPr="006B27D3">
        <w:t xml:space="preserve"> dokumentacije za prijavu </w:t>
      </w:r>
      <w:r>
        <w:t>za</w:t>
      </w:r>
      <w:r w:rsidRPr="006B27D3">
        <w:t xml:space="preserve"> EU sufinanciranje (</w:t>
      </w:r>
      <w:proofErr w:type="spellStart"/>
      <w:r w:rsidRPr="006B27D3">
        <w:t>Orlovnjak</w:t>
      </w:r>
      <w:proofErr w:type="spellEnd"/>
      <w:r w:rsidRPr="006B27D3">
        <w:t xml:space="preserve">, </w:t>
      </w:r>
      <w:proofErr w:type="spellStart"/>
      <w:r w:rsidRPr="006B27D3">
        <w:t>Šagulje</w:t>
      </w:r>
      <w:proofErr w:type="spellEnd"/>
      <w:r w:rsidRPr="006B27D3">
        <w:t xml:space="preserve"> i Zagreb) </w:t>
      </w:r>
      <w:r>
        <w:t>(</w:t>
      </w:r>
      <w:r>
        <w:fldChar w:fldCharType="begin"/>
      </w:r>
      <w:r>
        <w:instrText xml:space="preserve"> REF _Ref111060796 \h </w:instrText>
      </w:r>
      <w:r>
        <w:fldChar w:fldCharType="separate"/>
      </w:r>
      <w:r w:rsidR="00F37B62" w:rsidRPr="005859E7">
        <w:t xml:space="preserve">Tablica </w:t>
      </w:r>
      <w:r w:rsidR="00F37B62">
        <w:rPr>
          <w:noProof/>
        </w:rPr>
        <w:t>18</w:t>
      </w:r>
      <w:r>
        <w:fldChar w:fldCharType="end"/>
      </w:r>
      <w:r>
        <w:t xml:space="preserve">, </w:t>
      </w:r>
      <w:r>
        <w:fldChar w:fldCharType="begin"/>
      </w:r>
      <w:r>
        <w:instrText xml:space="preserve"> REF _Ref111118696 \h </w:instrText>
      </w:r>
      <w:r>
        <w:fldChar w:fldCharType="separate"/>
      </w:r>
      <w:r w:rsidR="00F37B62" w:rsidRPr="005859E7">
        <w:t xml:space="preserve">Slika </w:t>
      </w:r>
      <w:r w:rsidR="00F37B62">
        <w:rPr>
          <w:noProof/>
        </w:rPr>
        <w:t>55</w:t>
      </w:r>
      <w:r>
        <w:fldChar w:fldCharType="end"/>
      </w:r>
      <w:r>
        <w:t xml:space="preserve">). </w:t>
      </w:r>
    </w:p>
    <w:p w14:paraId="665FD23B" w14:textId="77777777" w:rsidR="005B09E7" w:rsidRDefault="005B09E7" w:rsidP="005B09E7">
      <w:r w:rsidRPr="006B27D3">
        <w:t xml:space="preserve">Osim navedenih CGO-a, privatnim sredstvima izgrađeno je postrojenje za MBO u gradu Varaždinu </w:t>
      </w:r>
      <w:r>
        <w:t xml:space="preserve">kapaciteta </w:t>
      </w:r>
      <w:r w:rsidRPr="006B27D3">
        <w:t>95.000 t/god.</w:t>
      </w:r>
    </w:p>
    <w:p w14:paraId="051114C1" w14:textId="79C422B2" w:rsidR="005B09E7" w:rsidRPr="005B09E7" w:rsidRDefault="005B09E7" w:rsidP="005B09E7">
      <w:pPr>
        <w:pStyle w:val="Tablica"/>
        <w:rPr>
          <w:b w:val="0"/>
          <w:bCs/>
        </w:rPr>
      </w:pPr>
      <w:bookmarkStart w:id="162" w:name="_Ref111060796"/>
      <w:bookmarkStart w:id="163" w:name="_Toc125364407"/>
      <w:r w:rsidRPr="005859E7">
        <w:t xml:space="preserve">Tablica </w:t>
      </w:r>
      <w:fldSimple w:instr=" SEQ Tablica \* ARABIC ">
        <w:r w:rsidR="00F37B62">
          <w:rPr>
            <w:noProof/>
          </w:rPr>
          <w:t>18</w:t>
        </w:r>
      </w:fldSimple>
      <w:bookmarkEnd w:id="162"/>
      <w:r w:rsidRPr="005859E7">
        <w:t xml:space="preserve">. </w:t>
      </w:r>
      <w:r w:rsidRPr="005859E7">
        <w:rPr>
          <w:b w:val="0"/>
          <w:bCs/>
        </w:rPr>
        <w:t xml:space="preserve">Status realizacije planiranih centara za gospodarenje otpadom, </w:t>
      </w:r>
      <w:r w:rsidR="005859E7" w:rsidRPr="005859E7">
        <w:rPr>
          <w:b w:val="0"/>
          <w:bCs/>
        </w:rPr>
        <w:t>listopad</w:t>
      </w:r>
      <w:r w:rsidRPr="005859E7">
        <w:rPr>
          <w:b w:val="0"/>
          <w:bCs/>
        </w:rPr>
        <w:t xml:space="preserve"> 2022. godine</w:t>
      </w:r>
      <w:bookmarkEnd w:id="163"/>
    </w:p>
    <w:tbl>
      <w:tblPr>
        <w:tblStyle w:val="Reetkatablice"/>
        <w:tblW w:w="5000" w:type="pct"/>
        <w:tblLook w:val="04A0" w:firstRow="1" w:lastRow="0" w:firstColumn="1" w:lastColumn="0" w:noHBand="0" w:noVBand="1"/>
      </w:tblPr>
      <w:tblGrid>
        <w:gridCol w:w="1126"/>
        <w:gridCol w:w="3398"/>
        <w:gridCol w:w="4516"/>
      </w:tblGrid>
      <w:tr w:rsidR="008F31A2" w:rsidRPr="005B09E7" w14:paraId="44DDF6CD" w14:textId="77777777" w:rsidTr="004348AA">
        <w:trPr>
          <w:tblHeader/>
        </w:trPr>
        <w:tc>
          <w:tcPr>
            <w:tcW w:w="622" w:type="pct"/>
            <w:shd w:val="clear" w:color="auto" w:fill="002060"/>
          </w:tcPr>
          <w:p w14:paraId="7B55D221" w14:textId="77777777" w:rsidR="008F31A2" w:rsidRPr="005B09E7" w:rsidRDefault="008F31A2" w:rsidP="00CC41BC">
            <w:pPr>
              <w:jc w:val="center"/>
              <w:rPr>
                <w:rFonts w:cstheme="minorHAnsi"/>
                <w:b/>
                <w:bCs/>
                <w:color w:val="FFFFFF" w:themeColor="background1"/>
                <w:sz w:val="20"/>
                <w:szCs w:val="20"/>
              </w:rPr>
            </w:pPr>
            <w:r w:rsidRPr="005B09E7">
              <w:rPr>
                <w:rFonts w:cstheme="minorHAnsi"/>
                <w:b/>
                <w:bCs/>
                <w:color w:val="FFFFFF" w:themeColor="background1"/>
                <w:sz w:val="20"/>
                <w:szCs w:val="20"/>
              </w:rPr>
              <w:t>Br.</w:t>
            </w:r>
          </w:p>
        </w:tc>
        <w:tc>
          <w:tcPr>
            <w:tcW w:w="1879" w:type="pct"/>
            <w:shd w:val="clear" w:color="auto" w:fill="002060"/>
          </w:tcPr>
          <w:p w14:paraId="266B27AA" w14:textId="77777777" w:rsidR="008F31A2" w:rsidRPr="005B09E7" w:rsidRDefault="008F31A2" w:rsidP="00CC41BC">
            <w:pPr>
              <w:jc w:val="center"/>
              <w:rPr>
                <w:rFonts w:cstheme="minorHAnsi"/>
                <w:b/>
                <w:bCs/>
                <w:color w:val="FFFFFF" w:themeColor="background1"/>
                <w:sz w:val="20"/>
                <w:szCs w:val="20"/>
              </w:rPr>
            </w:pPr>
            <w:r w:rsidRPr="005B09E7">
              <w:rPr>
                <w:rFonts w:cstheme="minorHAnsi"/>
                <w:b/>
                <w:bCs/>
                <w:color w:val="FFFFFF" w:themeColor="background1"/>
                <w:sz w:val="20"/>
                <w:szCs w:val="20"/>
              </w:rPr>
              <w:t>Naziv</w:t>
            </w:r>
          </w:p>
        </w:tc>
        <w:tc>
          <w:tcPr>
            <w:tcW w:w="2498" w:type="pct"/>
            <w:shd w:val="clear" w:color="auto" w:fill="002060"/>
          </w:tcPr>
          <w:p w14:paraId="2C4742E4" w14:textId="512AD383" w:rsidR="008F31A2" w:rsidRPr="005B09E7" w:rsidRDefault="008F31A2" w:rsidP="00CC41BC">
            <w:pPr>
              <w:jc w:val="center"/>
              <w:rPr>
                <w:rFonts w:cstheme="minorHAnsi"/>
                <w:b/>
                <w:bCs/>
                <w:color w:val="FFFFFF" w:themeColor="background1"/>
                <w:sz w:val="20"/>
                <w:szCs w:val="20"/>
              </w:rPr>
            </w:pPr>
            <w:r w:rsidRPr="005B09E7">
              <w:rPr>
                <w:rFonts w:cstheme="minorHAnsi"/>
                <w:b/>
                <w:bCs/>
                <w:color w:val="FFFFFF" w:themeColor="background1"/>
                <w:sz w:val="20"/>
                <w:szCs w:val="20"/>
              </w:rPr>
              <w:t>Status</w:t>
            </w:r>
            <w:r w:rsidR="00DD3BC4">
              <w:rPr>
                <w:rFonts w:cstheme="minorHAnsi"/>
                <w:b/>
                <w:bCs/>
                <w:color w:val="FFFFFF" w:themeColor="background1"/>
                <w:sz w:val="20"/>
                <w:szCs w:val="20"/>
              </w:rPr>
              <w:t xml:space="preserve"> realizacije</w:t>
            </w:r>
          </w:p>
        </w:tc>
      </w:tr>
      <w:tr w:rsidR="008F31A2" w:rsidRPr="005B09E7" w14:paraId="0AF1F6A9" w14:textId="77777777" w:rsidTr="004348AA">
        <w:tc>
          <w:tcPr>
            <w:tcW w:w="622" w:type="pct"/>
            <w:vAlign w:val="center"/>
          </w:tcPr>
          <w:p w14:paraId="1251FC61" w14:textId="77777777" w:rsidR="008F31A2" w:rsidRPr="005B09E7" w:rsidRDefault="008F31A2" w:rsidP="00CC41BC">
            <w:pPr>
              <w:rPr>
                <w:rFonts w:cstheme="minorHAnsi"/>
                <w:sz w:val="20"/>
                <w:szCs w:val="20"/>
              </w:rPr>
            </w:pPr>
            <w:r w:rsidRPr="005B09E7">
              <w:rPr>
                <w:rFonts w:cstheme="minorHAnsi"/>
                <w:sz w:val="20"/>
                <w:szCs w:val="20"/>
              </w:rPr>
              <w:t>1.</w:t>
            </w:r>
          </w:p>
        </w:tc>
        <w:tc>
          <w:tcPr>
            <w:tcW w:w="1879" w:type="pct"/>
            <w:vAlign w:val="center"/>
          </w:tcPr>
          <w:p w14:paraId="6E4BC9E9" w14:textId="77777777" w:rsidR="008F31A2" w:rsidRPr="005B09E7" w:rsidRDefault="008F31A2" w:rsidP="00CC41BC">
            <w:pPr>
              <w:rPr>
                <w:rFonts w:cstheme="minorHAnsi"/>
                <w:sz w:val="20"/>
                <w:szCs w:val="20"/>
              </w:rPr>
            </w:pPr>
            <w:r w:rsidRPr="005B09E7">
              <w:rPr>
                <w:rFonts w:cstheme="minorHAnsi"/>
                <w:sz w:val="20"/>
                <w:szCs w:val="20"/>
              </w:rPr>
              <w:t xml:space="preserve">CGO </w:t>
            </w:r>
            <w:proofErr w:type="spellStart"/>
            <w:r w:rsidRPr="005B09E7">
              <w:rPr>
                <w:rFonts w:cstheme="minorHAnsi"/>
                <w:sz w:val="20"/>
                <w:szCs w:val="20"/>
              </w:rPr>
              <w:t>Marišćina</w:t>
            </w:r>
            <w:proofErr w:type="spellEnd"/>
          </w:p>
        </w:tc>
        <w:tc>
          <w:tcPr>
            <w:tcW w:w="2498" w:type="pct"/>
            <w:vAlign w:val="center"/>
          </w:tcPr>
          <w:p w14:paraId="6A16E23C" w14:textId="77777777" w:rsidR="008F31A2" w:rsidRPr="005B09E7" w:rsidRDefault="008F31A2" w:rsidP="00CC41BC">
            <w:pPr>
              <w:rPr>
                <w:rFonts w:cstheme="minorHAnsi"/>
                <w:sz w:val="20"/>
                <w:szCs w:val="20"/>
              </w:rPr>
            </w:pPr>
            <w:r w:rsidRPr="005B09E7">
              <w:rPr>
                <w:rFonts w:cstheme="minorHAnsi"/>
                <w:sz w:val="20"/>
                <w:szCs w:val="20"/>
              </w:rPr>
              <w:t xml:space="preserve">U funkciji </w:t>
            </w:r>
          </w:p>
        </w:tc>
      </w:tr>
      <w:tr w:rsidR="008F31A2" w:rsidRPr="005B09E7" w14:paraId="75E55B96" w14:textId="77777777" w:rsidTr="004348AA">
        <w:tc>
          <w:tcPr>
            <w:tcW w:w="622" w:type="pct"/>
            <w:vAlign w:val="center"/>
          </w:tcPr>
          <w:p w14:paraId="7F906338" w14:textId="77777777" w:rsidR="008F31A2" w:rsidRPr="005B09E7" w:rsidRDefault="008F31A2" w:rsidP="00CC41BC">
            <w:pPr>
              <w:rPr>
                <w:rFonts w:cstheme="minorHAnsi"/>
                <w:sz w:val="20"/>
                <w:szCs w:val="20"/>
              </w:rPr>
            </w:pPr>
            <w:r w:rsidRPr="005B09E7">
              <w:rPr>
                <w:rFonts w:cstheme="minorHAnsi"/>
                <w:sz w:val="20"/>
                <w:szCs w:val="20"/>
              </w:rPr>
              <w:t>2.</w:t>
            </w:r>
          </w:p>
        </w:tc>
        <w:tc>
          <w:tcPr>
            <w:tcW w:w="1879" w:type="pct"/>
            <w:vAlign w:val="center"/>
          </w:tcPr>
          <w:p w14:paraId="613B5387" w14:textId="77777777" w:rsidR="008F31A2" w:rsidRPr="005B09E7" w:rsidRDefault="008F31A2" w:rsidP="00CC41BC">
            <w:pPr>
              <w:rPr>
                <w:rFonts w:cstheme="minorHAnsi"/>
                <w:sz w:val="20"/>
                <w:szCs w:val="20"/>
              </w:rPr>
            </w:pPr>
            <w:r w:rsidRPr="005B09E7">
              <w:rPr>
                <w:rFonts w:cstheme="minorHAnsi"/>
                <w:sz w:val="20"/>
                <w:szCs w:val="20"/>
              </w:rPr>
              <w:t xml:space="preserve">CGO </w:t>
            </w:r>
            <w:proofErr w:type="spellStart"/>
            <w:r w:rsidRPr="005B09E7">
              <w:rPr>
                <w:rFonts w:cstheme="minorHAnsi"/>
                <w:sz w:val="20"/>
                <w:szCs w:val="20"/>
              </w:rPr>
              <w:t>Kaštijun</w:t>
            </w:r>
            <w:proofErr w:type="spellEnd"/>
          </w:p>
        </w:tc>
        <w:tc>
          <w:tcPr>
            <w:tcW w:w="2498" w:type="pct"/>
            <w:vAlign w:val="center"/>
          </w:tcPr>
          <w:p w14:paraId="3F59DFA4" w14:textId="77777777" w:rsidR="008F31A2" w:rsidRPr="005B09E7" w:rsidRDefault="008F31A2" w:rsidP="00CC41BC">
            <w:pPr>
              <w:rPr>
                <w:rFonts w:cstheme="minorHAnsi"/>
                <w:sz w:val="20"/>
                <w:szCs w:val="20"/>
              </w:rPr>
            </w:pPr>
            <w:bookmarkStart w:id="164" w:name="_Hlk116373980"/>
            <w:r w:rsidRPr="005B09E7">
              <w:rPr>
                <w:rFonts w:cstheme="minorHAnsi"/>
                <w:sz w:val="20"/>
                <w:szCs w:val="20"/>
              </w:rPr>
              <w:t>U funkciji</w:t>
            </w:r>
            <w:bookmarkEnd w:id="164"/>
          </w:p>
        </w:tc>
      </w:tr>
      <w:tr w:rsidR="008F31A2" w:rsidRPr="005B09E7" w14:paraId="22A7440B" w14:textId="77777777" w:rsidTr="004348AA">
        <w:tc>
          <w:tcPr>
            <w:tcW w:w="622" w:type="pct"/>
            <w:vAlign w:val="center"/>
          </w:tcPr>
          <w:p w14:paraId="7AF76E7E" w14:textId="77777777" w:rsidR="008F31A2" w:rsidRPr="005B09E7" w:rsidRDefault="008F31A2" w:rsidP="00CC41BC">
            <w:pPr>
              <w:rPr>
                <w:rFonts w:cstheme="minorHAnsi"/>
                <w:sz w:val="20"/>
                <w:szCs w:val="20"/>
              </w:rPr>
            </w:pPr>
            <w:r w:rsidRPr="005B09E7">
              <w:rPr>
                <w:rFonts w:cstheme="minorHAnsi"/>
                <w:sz w:val="20"/>
                <w:szCs w:val="20"/>
              </w:rPr>
              <w:t>3.</w:t>
            </w:r>
          </w:p>
        </w:tc>
        <w:tc>
          <w:tcPr>
            <w:tcW w:w="1879" w:type="pct"/>
            <w:vAlign w:val="center"/>
          </w:tcPr>
          <w:p w14:paraId="0156D249" w14:textId="77777777" w:rsidR="008F31A2" w:rsidRPr="005B09E7" w:rsidRDefault="008F31A2" w:rsidP="00CC41BC">
            <w:pPr>
              <w:rPr>
                <w:rFonts w:cstheme="minorHAnsi"/>
                <w:sz w:val="20"/>
                <w:szCs w:val="20"/>
              </w:rPr>
            </w:pPr>
            <w:r w:rsidRPr="005B09E7">
              <w:rPr>
                <w:rFonts w:cstheme="minorHAnsi"/>
                <w:sz w:val="20"/>
                <w:szCs w:val="20"/>
              </w:rPr>
              <w:t xml:space="preserve">CGO </w:t>
            </w:r>
            <w:proofErr w:type="spellStart"/>
            <w:r w:rsidRPr="005B09E7">
              <w:rPr>
                <w:rFonts w:cstheme="minorHAnsi"/>
                <w:sz w:val="20"/>
                <w:szCs w:val="20"/>
              </w:rPr>
              <w:t>Bikarac</w:t>
            </w:r>
            <w:proofErr w:type="spellEnd"/>
          </w:p>
        </w:tc>
        <w:tc>
          <w:tcPr>
            <w:tcW w:w="2498" w:type="pct"/>
            <w:vAlign w:val="center"/>
          </w:tcPr>
          <w:p w14:paraId="64476980" w14:textId="1FF7A610" w:rsidR="008F31A2" w:rsidRPr="005B09E7" w:rsidRDefault="008F31A2" w:rsidP="00CC41BC">
            <w:pPr>
              <w:rPr>
                <w:rFonts w:cstheme="minorHAnsi"/>
                <w:sz w:val="20"/>
                <w:szCs w:val="20"/>
              </w:rPr>
            </w:pPr>
            <w:r w:rsidRPr="005B09E7">
              <w:rPr>
                <w:rFonts w:cstheme="minorHAnsi"/>
                <w:sz w:val="20"/>
                <w:szCs w:val="20"/>
              </w:rPr>
              <w:t>U funkciji</w:t>
            </w:r>
          </w:p>
        </w:tc>
      </w:tr>
      <w:tr w:rsidR="008F31A2" w:rsidRPr="005B09E7" w14:paraId="72C55448" w14:textId="77777777" w:rsidTr="004348AA">
        <w:tc>
          <w:tcPr>
            <w:tcW w:w="622" w:type="pct"/>
            <w:vAlign w:val="center"/>
          </w:tcPr>
          <w:p w14:paraId="05EA2D18" w14:textId="77777777" w:rsidR="008F31A2" w:rsidRPr="005B09E7" w:rsidRDefault="008F31A2" w:rsidP="00CC41BC">
            <w:pPr>
              <w:rPr>
                <w:rFonts w:cstheme="minorHAnsi"/>
                <w:sz w:val="20"/>
                <w:szCs w:val="20"/>
              </w:rPr>
            </w:pPr>
            <w:r w:rsidRPr="005B09E7">
              <w:rPr>
                <w:rFonts w:cstheme="minorHAnsi"/>
                <w:sz w:val="20"/>
                <w:szCs w:val="20"/>
              </w:rPr>
              <w:t>4.</w:t>
            </w:r>
          </w:p>
        </w:tc>
        <w:tc>
          <w:tcPr>
            <w:tcW w:w="1879" w:type="pct"/>
            <w:vAlign w:val="center"/>
          </w:tcPr>
          <w:p w14:paraId="03D0B60F" w14:textId="77777777" w:rsidR="008F31A2" w:rsidRPr="005B09E7" w:rsidRDefault="008F31A2" w:rsidP="00CC41BC">
            <w:pPr>
              <w:rPr>
                <w:rFonts w:cstheme="minorHAnsi"/>
                <w:sz w:val="20"/>
                <w:szCs w:val="20"/>
              </w:rPr>
            </w:pPr>
            <w:r w:rsidRPr="005B09E7">
              <w:rPr>
                <w:rFonts w:cstheme="minorHAnsi"/>
                <w:sz w:val="20"/>
                <w:szCs w:val="20"/>
              </w:rPr>
              <w:t>CGO Biljane Donje</w:t>
            </w:r>
          </w:p>
        </w:tc>
        <w:tc>
          <w:tcPr>
            <w:tcW w:w="2498" w:type="pct"/>
            <w:vAlign w:val="center"/>
          </w:tcPr>
          <w:p w14:paraId="50980359" w14:textId="77777777" w:rsidR="008F31A2" w:rsidRPr="005B09E7" w:rsidRDefault="008F31A2" w:rsidP="00CC41BC">
            <w:pPr>
              <w:rPr>
                <w:rFonts w:cstheme="minorHAnsi"/>
                <w:sz w:val="20"/>
                <w:szCs w:val="20"/>
              </w:rPr>
            </w:pPr>
            <w:r w:rsidRPr="005B09E7">
              <w:rPr>
                <w:rFonts w:cstheme="minorHAnsi"/>
                <w:sz w:val="20"/>
                <w:szCs w:val="20"/>
              </w:rPr>
              <w:t>CGO u izgradnji, probni rad planiran za početak 2023., a početak rada CGO-a krajem 2023.</w:t>
            </w:r>
          </w:p>
        </w:tc>
      </w:tr>
      <w:tr w:rsidR="008F31A2" w:rsidRPr="005B09E7" w14:paraId="5E96EDF1" w14:textId="77777777" w:rsidTr="004348AA">
        <w:tc>
          <w:tcPr>
            <w:tcW w:w="622" w:type="pct"/>
            <w:vAlign w:val="center"/>
          </w:tcPr>
          <w:p w14:paraId="173F3E07" w14:textId="77777777" w:rsidR="008F31A2" w:rsidRPr="005B09E7" w:rsidRDefault="008F31A2" w:rsidP="00CC41BC">
            <w:pPr>
              <w:rPr>
                <w:rFonts w:cstheme="minorHAnsi"/>
                <w:sz w:val="20"/>
                <w:szCs w:val="20"/>
              </w:rPr>
            </w:pPr>
            <w:r w:rsidRPr="005B09E7">
              <w:rPr>
                <w:rFonts w:cstheme="minorHAnsi"/>
                <w:sz w:val="20"/>
                <w:szCs w:val="20"/>
              </w:rPr>
              <w:t>5.</w:t>
            </w:r>
          </w:p>
        </w:tc>
        <w:tc>
          <w:tcPr>
            <w:tcW w:w="1879" w:type="pct"/>
            <w:vAlign w:val="center"/>
          </w:tcPr>
          <w:p w14:paraId="703B4D5C" w14:textId="77777777" w:rsidR="008F31A2" w:rsidRPr="005B09E7" w:rsidRDefault="008F31A2" w:rsidP="00CC41BC">
            <w:pPr>
              <w:rPr>
                <w:rFonts w:cstheme="minorHAnsi"/>
                <w:sz w:val="20"/>
                <w:szCs w:val="20"/>
              </w:rPr>
            </w:pPr>
            <w:r w:rsidRPr="005B09E7">
              <w:rPr>
                <w:rFonts w:cstheme="minorHAnsi"/>
                <w:sz w:val="20"/>
                <w:szCs w:val="20"/>
              </w:rPr>
              <w:t>CGO Babina gora</w:t>
            </w:r>
          </w:p>
        </w:tc>
        <w:tc>
          <w:tcPr>
            <w:tcW w:w="2498" w:type="pct"/>
            <w:vAlign w:val="center"/>
          </w:tcPr>
          <w:p w14:paraId="0B5F3593" w14:textId="33C446C2" w:rsidR="008F31A2" w:rsidRPr="005B09E7" w:rsidRDefault="0050217C" w:rsidP="00CC41BC">
            <w:pPr>
              <w:rPr>
                <w:rFonts w:cstheme="minorHAnsi"/>
                <w:sz w:val="20"/>
                <w:szCs w:val="20"/>
              </w:rPr>
            </w:pPr>
            <w:r w:rsidRPr="005B09E7">
              <w:rPr>
                <w:rFonts w:cstheme="minorHAnsi"/>
                <w:sz w:val="20"/>
                <w:szCs w:val="20"/>
              </w:rPr>
              <w:t>CGO u izgradnji, probni rad planiran za 202</w:t>
            </w:r>
            <w:r>
              <w:rPr>
                <w:rFonts w:cstheme="minorHAnsi"/>
                <w:sz w:val="20"/>
                <w:szCs w:val="20"/>
              </w:rPr>
              <w:t>7</w:t>
            </w:r>
            <w:r w:rsidRPr="005B09E7">
              <w:rPr>
                <w:rFonts w:cstheme="minorHAnsi"/>
                <w:sz w:val="20"/>
                <w:szCs w:val="20"/>
              </w:rPr>
              <w:t>.</w:t>
            </w:r>
            <w:r w:rsidRPr="005B09E7" w:rsidDel="0050217C">
              <w:rPr>
                <w:rFonts w:cstheme="minorHAnsi"/>
                <w:sz w:val="20"/>
                <w:szCs w:val="20"/>
              </w:rPr>
              <w:t xml:space="preserve"> </w:t>
            </w:r>
          </w:p>
        </w:tc>
      </w:tr>
      <w:tr w:rsidR="008F31A2" w:rsidRPr="005B09E7" w14:paraId="5009D47D" w14:textId="77777777" w:rsidTr="004348AA">
        <w:tc>
          <w:tcPr>
            <w:tcW w:w="622" w:type="pct"/>
            <w:vAlign w:val="center"/>
          </w:tcPr>
          <w:p w14:paraId="5F331077" w14:textId="77777777" w:rsidR="008F31A2" w:rsidRPr="005B09E7" w:rsidRDefault="008F31A2" w:rsidP="00CC41BC">
            <w:pPr>
              <w:rPr>
                <w:rFonts w:cstheme="minorHAnsi"/>
                <w:sz w:val="20"/>
                <w:szCs w:val="20"/>
              </w:rPr>
            </w:pPr>
            <w:r w:rsidRPr="005B09E7">
              <w:rPr>
                <w:rFonts w:cstheme="minorHAnsi"/>
                <w:sz w:val="20"/>
                <w:szCs w:val="20"/>
              </w:rPr>
              <w:t>6.</w:t>
            </w:r>
          </w:p>
        </w:tc>
        <w:tc>
          <w:tcPr>
            <w:tcW w:w="1879" w:type="pct"/>
            <w:vAlign w:val="center"/>
          </w:tcPr>
          <w:p w14:paraId="450B7DDF" w14:textId="77777777" w:rsidR="008F31A2" w:rsidRPr="005B09E7" w:rsidRDefault="008F31A2" w:rsidP="00CC41BC">
            <w:pPr>
              <w:rPr>
                <w:rFonts w:cstheme="minorHAnsi"/>
                <w:sz w:val="20"/>
                <w:szCs w:val="20"/>
              </w:rPr>
            </w:pPr>
            <w:r w:rsidRPr="005B09E7">
              <w:rPr>
                <w:rFonts w:cstheme="minorHAnsi"/>
                <w:sz w:val="20"/>
                <w:szCs w:val="20"/>
              </w:rPr>
              <w:t xml:space="preserve">CGO </w:t>
            </w:r>
            <w:proofErr w:type="spellStart"/>
            <w:r w:rsidRPr="005B09E7">
              <w:rPr>
                <w:rFonts w:cstheme="minorHAnsi"/>
                <w:sz w:val="20"/>
                <w:szCs w:val="20"/>
              </w:rPr>
              <w:t>Lećevica</w:t>
            </w:r>
            <w:proofErr w:type="spellEnd"/>
          </w:p>
        </w:tc>
        <w:tc>
          <w:tcPr>
            <w:tcW w:w="2498" w:type="pct"/>
            <w:vAlign w:val="center"/>
          </w:tcPr>
          <w:p w14:paraId="09BDC3B6" w14:textId="0BDB56B9" w:rsidR="008F31A2" w:rsidRPr="005B09E7" w:rsidRDefault="0050217C" w:rsidP="00CC41BC">
            <w:pPr>
              <w:rPr>
                <w:rFonts w:cstheme="minorHAnsi"/>
                <w:sz w:val="20"/>
                <w:szCs w:val="20"/>
              </w:rPr>
            </w:pPr>
            <w:r w:rsidRPr="005B09E7">
              <w:rPr>
                <w:rFonts w:cstheme="minorHAnsi"/>
                <w:sz w:val="20"/>
                <w:szCs w:val="20"/>
              </w:rPr>
              <w:t>CGO u izgradnji, probni rad planiran za 202</w:t>
            </w:r>
            <w:r>
              <w:rPr>
                <w:rFonts w:cstheme="minorHAnsi"/>
                <w:sz w:val="20"/>
                <w:szCs w:val="20"/>
              </w:rPr>
              <w:t>8</w:t>
            </w:r>
            <w:r w:rsidRPr="005B09E7">
              <w:rPr>
                <w:rFonts w:cstheme="minorHAnsi"/>
                <w:sz w:val="20"/>
                <w:szCs w:val="20"/>
              </w:rPr>
              <w:t>.</w:t>
            </w:r>
          </w:p>
        </w:tc>
      </w:tr>
      <w:tr w:rsidR="008F31A2" w:rsidRPr="005B09E7" w14:paraId="7572EF1E" w14:textId="77777777" w:rsidTr="004348AA">
        <w:tc>
          <w:tcPr>
            <w:tcW w:w="622" w:type="pct"/>
            <w:vAlign w:val="center"/>
          </w:tcPr>
          <w:p w14:paraId="2429A22B" w14:textId="77777777" w:rsidR="008F31A2" w:rsidRPr="005B09E7" w:rsidRDefault="008F31A2" w:rsidP="00CC41BC">
            <w:pPr>
              <w:rPr>
                <w:rFonts w:cstheme="minorHAnsi"/>
                <w:sz w:val="20"/>
                <w:szCs w:val="20"/>
              </w:rPr>
            </w:pPr>
            <w:r w:rsidRPr="005B09E7">
              <w:rPr>
                <w:rFonts w:cstheme="minorHAnsi"/>
                <w:sz w:val="20"/>
                <w:szCs w:val="20"/>
              </w:rPr>
              <w:t>7.</w:t>
            </w:r>
          </w:p>
        </w:tc>
        <w:tc>
          <w:tcPr>
            <w:tcW w:w="1879" w:type="pct"/>
            <w:vAlign w:val="center"/>
          </w:tcPr>
          <w:p w14:paraId="6C3F0E88" w14:textId="77777777" w:rsidR="008F31A2" w:rsidRPr="005B09E7" w:rsidRDefault="008F31A2" w:rsidP="00CC41BC">
            <w:pPr>
              <w:rPr>
                <w:rFonts w:cstheme="minorHAnsi"/>
                <w:sz w:val="20"/>
                <w:szCs w:val="20"/>
              </w:rPr>
            </w:pPr>
            <w:r w:rsidRPr="005B09E7">
              <w:rPr>
                <w:rFonts w:cstheme="minorHAnsi"/>
                <w:sz w:val="20"/>
                <w:szCs w:val="20"/>
              </w:rPr>
              <w:t xml:space="preserve">CGO </w:t>
            </w:r>
            <w:proofErr w:type="spellStart"/>
            <w:r w:rsidRPr="005B09E7">
              <w:rPr>
                <w:rFonts w:cstheme="minorHAnsi"/>
                <w:sz w:val="20"/>
                <w:szCs w:val="20"/>
              </w:rPr>
              <w:t>Lučino</w:t>
            </w:r>
            <w:proofErr w:type="spellEnd"/>
            <w:r w:rsidRPr="005B09E7">
              <w:rPr>
                <w:rFonts w:cstheme="minorHAnsi"/>
                <w:sz w:val="20"/>
                <w:szCs w:val="20"/>
              </w:rPr>
              <w:t xml:space="preserve"> </w:t>
            </w:r>
            <w:proofErr w:type="spellStart"/>
            <w:r w:rsidRPr="005B09E7">
              <w:rPr>
                <w:rFonts w:cstheme="minorHAnsi"/>
                <w:sz w:val="20"/>
                <w:szCs w:val="20"/>
              </w:rPr>
              <w:t>razdolje</w:t>
            </w:r>
            <w:proofErr w:type="spellEnd"/>
          </w:p>
        </w:tc>
        <w:tc>
          <w:tcPr>
            <w:tcW w:w="2498" w:type="pct"/>
            <w:vAlign w:val="center"/>
          </w:tcPr>
          <w:p w14:paraId="3FB748DC" w14:textId="789AAD4D" w:rsidR="008F31A2" w:rsidRPr="005B09E7" w:rsidRDefault="0050217C" w:rsidP="00CC41BC">
            <w:pPr>
              <w:rPr>
                <w:rFonts w:cstheme="minorHAnsi"/>
                <w:sz w:val="20"/>
                <w:szCs w:val="20"/>
              </w:rPr>
            </w:pPr>
            <w:r w:rsidRPr="005B09E7">
              <w:rPr>
                <w:rFonts w:cstheme="minorHAnsi"/>
                <w:sz w:val="20"/>
                <w:szCs w:val="20"/>
              </w:rPr>
              <w:t>CGO u izgradnji, probni rad planiran za 202</w:t>
            </w:r>
            <w:r>
              <w:rPr>
                <w:rFonts w:cstheme="minorHAnsi"/>
                <w:sz w:val="20"/>
                <w:szCs w:val="20"/>
              </w:rPr>
              <w:t>7</w:t>
            </w:r>
            <w:r w:rsidRPr="005B09E7">
              <w:rPr>
                <w:rFonts w:cstheme="minorHAnsi"/>
                <w:sz w:val="20"/>
                <w:szCs w:val="20"/>
              </w:rPr>
              <w:t>.</w:t>
            </w:r>
          </w:p>
        </w:tc>
      </w:tr>
      <w:tr w:rsidR="008F31A2" w:rsidRPr="005B09E7" w14:paraId="4C551A49" w14:textId="77777777" w:rsidTr="004348AA">
        <w:tc>
          <w:tcPr>
            <w:tcW w:w="622" w:type="pct"/>
            <w:vAlign w:val="center"/>
          </w:tcPr>
          <w:p w14:paraId="554C51E0" w14:textId="77777777" w:rsidR="008F31A2" w:rsidRPr="005B09E7" w:rsidRDefault="008F31A2" w:rsidP="00CC41BC">
            <w:pPr>
              <w:rPr>
                <w:rFonts w:cstheme="minorHAnsi"/>
                <w:sz w:val="20"/>
                <w:szCs w:val="20"/>
              </w:rPr>
            </w:pPr>
            <w:r w:rsidRPr="005B09E7">
              <w:rPr>
                <w:rFonts w:cstheme="minorHAnsi"/>
                <w:sz w:val="20"/>
                <w:szCs w:val="20"/>
              </w:rPr>
              <w:t>8.</w:t>
            </w:r>
          </w:p>
        </w:tc>
        <w:tc>
          <w:tcPr>
            <w:tcW w:w="1879" w:type="pct"/>
            <w:vAlign w:val="center"/>
          </w:tcPr>
          <w:p w14:paraId="6BEDE181" w14:textId="77777777" w:rsidR="008F31A2" w:rsidRPr="005B09E7" w:rsidRDefault="008F31A2" w:rsidP="00CC41BC">
            <w:pPr>
              <w:rPr>
                <w:rFonts w:cstheme="minorHAnsi"/>
                <w:sz w:val="20"/>
                <w:szCs w:val="20"/>
              </w:rPr>
            </w:pPr>
            <w:r w:rsidRPr="005B09E7">
              <w:rPr>
                <w:rFonts w:cstheme="minorHAnsi"/>
                <w:sz w:val="20"/>
                <w:szCs w:val="20"/>
              </w:rPr>
              <w:t xml:space="preserve">CGO </w:t>
            </w:r>
            <w:proofErr w:type="spellStart"/>
            <w:r w:rsidRPr="005B09E7">
              <w:rPr>
                <w:rFonts w:cstheme="minorHAnsi"/>
                <w:sz w:val="20"/>
                <w:szCs w:val="20"/>
              </w:rPr>
              <w:t>Piškornica</w:t>
            </w:r>
            <w:proofErr w:type="spellEnd"/>
          </w:p>
        </w:tc>
        <w:tc>
          <w:tcPr>
            <w:tcW w:w="2498" w:type="pct"/>
            <w:vAlign w:val="center"/>
          </w:tcPr>
          <w:p w14:paraId="250F0590" w14:textId="77777777" w:rsidR="008F31A2" w:rsidRPr="005B09E7" w:rsidRDefault="008F31A2" w:rsidP="00CC41BC">
            <w:pPr>
              <w:rPr>
                <w:rFonts w:cstheme="minorHAnsi"/>
                <w:sz w:val="20"/>
                <w:szCs w:val="20"/>
              </w:rPr>
            </w:pPr>
            <w:r w:rsidRPr="005B09E7">
              <w:rPr>
                <w:rFonts w:cstheme="minorHAnsi"/>
                <w:sz w:val="20"/>
                <w:szCs w:val="20"/>
              </w:rPr>
              <w:t>U tijeku postupak javne nabave za radove na izgradnji CGO-a</w:t>
            </w:r>
          </w:p>
        </w:tc>
      </w:tr>
      <w:tr w:rsidR="008F31A2" w:rsidRPr="005B09E7" w14:paraId="3E23E744" w14:textId="77777777" w:rsidTr="004348AA">
        <w:tc>
          <w:tcPr>
            <w:tcW w:w="622" w:type="pct"/>
            <w:vAlign w:val="center"/>
          </w:tcPr>
          <w:p w14:paraId="77DE4C77" w14:textId="77777777" w:rsidR="008F31A2" w:rsidRPr="005B09E7" w:rsidRDefault="008F31A2" w:rsidP="00CC41BC">
            <w:pPr>
              <w:rPr>
                <w:rFonts w:cstheme="minorHAnsi"/>
                <w:sz w:val="20"/>
                <w:szCs w:val="20"/>
              </w:rPr>
            </w:pPr>
            <w:r w:rsidRPr="005B09E7">
              <w:rPr>
                <w:rFonts w:cstheme="minorHAnsi"/>
                <w:sz w:val="20"/>
                <w:szCs w:val="20"/>
              </w:rPr>
              <w:t>9.</w:t>
            </w:r>
          </w:p>
        </w:tc>
        <w:tc>
          <w:tcPr>
            <w:tcW w:w="1879" w:type="pct"/>
            <w:vAlign w:val="center"/>
          </w:tcPr>
          <w:p w14:paraId="26286B4A" w14:textId="77777777" w:rsidR="008F31A2" w:rsidRPr="005B09E7" w:rsidRDefault="008F31A2" w:rsidP="00CC41BC">
            <w:pPr>
              <w:rPr>
                <w:rFonts w:cstheme="minorHAnsi"/>
                <w:sz w:val="20"/>
                <w:szCs w:val="20"/>
              </w:rPr>
            </w:pPr>
            <w:r w:rsidRPr="005B09E7">
              <w:rPr>
                <w:rFonts w:cstheme="minorHAnsi"/>
                <w:sz w:val="20"/>
                <w:szCs w:val="20"/>
              </w:rPr>
              <w:t xml:space="preserve">CGO </w:t>
            </w:r>
            <w:proofErr w:type="spellStart"/>
            <w:r w:rsidRPr="005B09E7">
              <w:rPr>
                <w:rFonts w:cstheme="minorHAnsi"/>
                <w:sz w:val="20"/>
                <w:szCs w:val="20"/>
              </w:rPr>
              <w:t>Orlovnjak</w:t>
            </w:r>
            <w:proofErr w:type="spellEnd"/>
          </w:p>
        </w:tc>
        <w:tc>
          <w:tcPr>
            <w:tcW w:w="2498" w:type="pct"/>
            <w:vAlign w:val="center"/>
          </w:tcPr>
          <w:p w14:paraId="3FE7E408" w14:textId="77777777" w:rsidR="008F31A2" w:rsidRPr="005B09E7" w:rsidRDefault="008F31A2" w:rsidP="00CC41BC">
            <w:pPr>
              <w:rPr>
                <w:rFonts w:cstheme="minorHAnsi"/>
                <w:sz w:val="20"/>
                <w:szCs w:val="20"/>
              </w:rPr>
            </w:pPr>
            <w:r w:rsidRPr="005B09E7">
              <w:rPr>
                <w:rFonts w:cstheme="minorHAnsi"/>
                <w:sz w:val="20"/>
                <w:szCs w:val="20"/>
              </w:rPr>
              <w:t xml:space="preserve">Priprema dokumentacije za prijavu za EU sufinanciranje </w:t>
            </w:r>
          </w:p>
        </w:tc>
      </w:tr>
      <w:tr w:rsidR="008F31A2" w:rsidRPr="005B09E7" w14:paraId="6578F31F" w14:textId="77777777" w:rsidTr="004348AA">
        <w:tc>
          <w:tcPr>
            <w:tcW w:w="622" w:type="pct"/>
            <w:vAlign w:val="center"/>
          </w:tcPr>
          <w:p w14:paraId="026BE5D0" w14:textId="77777777" w:rsidR="008F31A2" w:rsidRPr="005B09E7" w:rsidRDefault="008F31A2" w:rsidP="00CC41BC">
            <w:pPr>
              <w:rPr>
                <w:rFonts w:cstheme="minorHAnsi"/>
                <w:sz w:val="20"/>
                <w:szCs w:val="20"/>
              </w:rPr>
            </w:pPr>
            <w:r w:rsidRPr="005B09E7">
              <w:rPr>
                <w:rFonts w:cstheme="minorHAnsi"/>
                <w:sz w:val="20"/>
                <w:szCs w:val="20"/>
              </w:rPr>
              <w:t>10.</w:t>
            </w:r>
          </w:p>
        </w:tc>
        <w:tc>
          <w:tcPr>
            <w:tcW w:w="1879" w:type="pct"/>
            <w:vAlign w:val="center"/>
          </w:tcPr>
          <w:p w14:paraId="005C0255" w14:textId="77777777" w:rsidR="008F31A2" w:rsidRPr="005B09E7" w:rsidRDefault="008F31A2" w:rsidP="00CC41BC">
            <w:pPr>
              <w:rPr>
                <w:rFonts w:cstheme="minorHAnsi"/>
                <w:sz w:val="20"/>
                <w:szCs w:val="20"/>
              </w:rPr>
            </w:pPr>
            <w:r w:rsidRPr="005B09E7">
              <w:rPr>
                <w:rFonts w:cstheme="minorHAnsi"/>
                <w:sz w:val="20"/>
                <w:szCs w:val="20"/>
              </w:rPr>
              <w:t xml:space="preserve">CGO </w:t>
            </w:r>
            <w:proofErr w:type="spellStart"/>
            <w:r w:rsidRPr="005B09E7">
              <w:rPr>
                <w:rFonts w:cstheme="minorHAnsi"/>
                <w:sz w:val="20"/>
                <w:szCs w:val="20"/>
              </w:rPr>
              <w:t>Šagulje</w:t>
            </w:r>
            <w:proofErr w:type="spellEnd"/>
          </w:p>
        </w:tc>
        <w:tc>
          <w:tcPr>
            <w:tcW w:w="2498" w:type="pct"/>
            <w:vAlign w:val="center"/>
          </w:tcPr>
          <w:p w14:paraId="1CA4485E" w14:textId="77777777" w:rsidR="008F31A2" w:rsidRPr="005B09E7" w:rsidRDefault="008F31A2" w:rsidP="00CC41BC">
            <w:pPr>
              <w:rPr>
                <w:rFonts w:cstheme="minorHAnsi"/>
                <w:sz w:val="20"/>
                <w:szCs w:val="20"/>
              </w:rPr>
            </w:pPr>
            <w:r w:rsidRPr="005B09E7">
              <w:rPr>
                <w:rFonts w:cstheme="minorHAnsi"/>
                <w:sz w:val="20"/>
                <w:szCs w:val="20"/>
              </w:rPr>
              <w:t xml:space="preserve">Priprema dokumentacije za prijavu za EU sufinanciranje </w:t>
            </w:r>
          </w:p>
        </w:tc>
      </w:tr>
      <w:tr w:rsidR="008F31A2" w:rsidRPr="005B09E7" w14:paraId="01FFF42B" w14:textId="77777777" w:rsidTr="004348AA">
        <w:tc>
          <w:tcPr>
            <w:tcW w:w="622" w:type="pct"/>
            <w:vAlign w:val="center"/>
          </w:tcPr>
          <w:p w14:paraId="6C13D635" w14:textId="77777777" w:rsidR="008F31A2" w:rsidRPr="005B09E7" w:rsidRDefault="008F31A2" w:rsidP="00CC41BC">
            <w:pPr>
              <w:rPr>
                <w:rFonts w:cstheme="minorHAnsi"/>
                <w:sz w:val="20"/>
                <w:szCs w:val="20"/>
              </w:rPr>
            </w:pPr>
            <w:r w:rsidRPr="005B09E7">
              <w:rPr>
                <w:rFonts w:cstheme="minorHAnsi"/>
                <w:sz w:val="20"/>
                <w:szCs w:val="20"/>
              </w:rPr>
              <w:t>11.</w:t>
            </w:r>
          </w:p>
        </w:tc>
        <w:tc>
          <w:tcPr>
            <w:tcW w:w="1879" w:type="pct"/>
            <w:vAlign w:val="center"/>
          </w:tcPr>
          <w:p w14:paraId="500DA950" w14:textId="77777777" w:rsidR="008F31A2" w:rsidRPr="005B09E7" w:rsidRDefault="008F31A2" w:rsidP="00CC41BC">
            <w:pPr>
              <w:rPr>
                <w:rFonts w:cstheme="minorHAnsi"/>
                <w:sz w:val="20"/>
                <w:szCs w:val="20"/>
              </w:rPr>
            </w:pPr>
            <w:r w:rsidRPr="005B09E7">
              <w:rPr>
                <w:rFonts w:cstheme="minorHAnsi"/>
                <w:sz w:val="20"/>
                <w:szCs w:val="20"/>
              </w:rPr>
              <w:t>CGO Zagreb</w:t>
            </w:r>
          </w:p>
        </w:tc>
        <w:tc>
          <w:tcPr>
            <w:tcW w:w="2498" w:type="pct"/>
            <w:vAlign w:val="center"/>
          </w:tcPr>
          <w:p w14:paraId="10C8CA27" w14:textId="77777777" w:rsidR="008F31A2" w:rsidRPr="005B09E7" w:rsidRDefault="008F31A2" w:rsidP="00CC41BC">
            <w:pPr>
              <w:rPr>
                <w:rFonts w:cstheme="minorHAnsi"/>
                <w:sz w:val="20"/>
                <w:szCs w:val="20"/>
              </w:rPr>
            </w:pPr>
            <w:r w:rsidRPr="005B09E7">
              <w:rPr>
                <w:rFonts w:cstheme="minorHAnsi"/>
                <w:sz w:val="20"/>
                <w:szCs w:val="20"/>
              </w:rPr>
              <w:t xml:space="preserve">Priprema dokumentacije za prijavu za EU sufinanciranje </w:t>
            </w:r>
          </w:p>
        </w:tc>
      </w:tr>
    </w:tbl>
    <w:p w14:paraId="5346B95C" w14:textId="61294355" w:rsidR="005B09E7" w:rsidRDefault="005B09E7" w:rsidP="005B09E7">
      <w:pPr>
        <w:spacing w:after="240"/>
        <w:jc w:val="right"/>
        <w:rPr>
          <w:i/>
          <w:iCs/>
          <w:sz w:val="18"/>
          <w:szCs w:val="20"/>
        </w:rPr>
      </w:pPr>
      <w:r w:rsidRPr="005B09E7">
        <w:rPr>
          <w:i/>
          <w:iCs/>
          <w:sz w:val="18"/>
          <w:szCs w:val="20"/>
        </w:rPr>
        <w:t>Izvor: MINGOR</w:t>
      </w:r>
    </w:p>
    <w:p w14:paraId="070900D4" w14:textId="7940144A" w:rsidR="008F31A2" w:rsidRPr="00BB2706" w:rsidRDefault="007A6D0F" w:rsidP="00BB2706">
      <w:pPr>
        <w:pStyle w:val="Tablica"/>
        <w:rPr>
          <w:szCs w:val="20"/>
        </w:rPr>
      </w:pPr>
      <w:bookmarkStart w:id="165" w:name="_Toc125364408"/>
      <w:r w:rsidRPr="00BB2706">
        <w:t xml:space="preserve">Tablica </w:t>
      </w:r>
      <w:fldSimple w:instr=" SEQ Tablica \* ARABIC ">
        <w:r w:rsidR="00F37B62">
          <w:rPr>
            <w:noProof/>
          </w:rPr>
          <w:t>19</w:t>
        </w:r>
      </w:fldSimple>
      <w:r w:rsidRPr="00BB2706">
        <w:t xml:space="preserve">. </w:t>
      </w:r>
      <w:r w:rsidRPr="00BB2706">
        <w:rPr>
          <w:b w:val="0"/>
        </w:rPr>
        <w:t>Popis CGO s pripadajućim JLS</w:t>
      </w:r>
      <w:bookmarkEnd w:id="165"/>
      <w:r w:rsidR="007D607C" w:rsidRPr="00BB2706">
        <w:t xml:space="preserve"> </w:t>
      </w:r>
    </w:p>
    <w:tbl>
      <w:tblPr>
        <w:tblStyle w:val="Reetkatablice"/>
        <w:tblW w:w="5000" w:type="pct"/>
        <w:tblLook w:val="04A0" w:firstRow="1" w:lastRow="0" w:firstColumn="1" w:lastColumn="0" w:noHBand="0" w:noVBand="1"/>
      </w:tblPr>
      <w:tblGrid>
        <w:gridCol w:w="471"/>
        <w:gridCol w:w="1340"/>
        <w:gridCol w:w="2000"/>
        <w:gridCol w:w="5229"/>
      </w:tblGrid>
      <w:tr w:rsidR="007D607C" w:rsidRPr="007D607C" w14:paraId="1834AD20" w14:textId="68C26CCD" w:rsidTr="007D607C">
        <w:trPr>
          <w:tblHeader/>
        </w:trPr>
        <w:tc>
          <w:tcPr>
            <w:tcW w:w="261" w:type="pct"/>
            <w:shd w:val="clear" w:color="auto" w:fill="002060"/>
          </w:tcPr>
          <w:p w14:paraId="250E6B60" w14:textId="77777777" w:rsidR="00D91FCA" w:rsidRPr="004348AA" w:rsidRDefault="00D91FCA" w:rsidP="00A41D37">
            <w:pPr>
              <w:jc w:val="center"/>
              <w:rPr>
                <w:rFonts w:cstheme="minorHAnsi"/>
                <w:b/>
                <w:bCs/>
                <w:color w:val="FFFFFF" w:themeColor="background1"/>
                <w:sz w:val="16"/>
                <w:szCs w:val="16"/>
              </w:rPr>
            </w:pPr>
            <w:r w:rsidRPr="004348AA">
              <w:rPr>
                <w:rFonts w:cstheme="minorHAnsi"/>
                <w:b/>
                <w:bCs/>
                <w:color w:val="FFFFFF" w:themeColor="background1"/>
                <w:sz w:val="16"/>
                <w:szCs w:val="16"/>
              </w:rPr>
              <w:t>Br.</w:t>
            </w:r>
          </w:p>
        </w:tc>
        <w:tc>
          <w:tcPr>
            <w:tcW w:w="741" w:type="pct"/>
            <w:shd w:val="clear" w:color="auto" w:fill="002060"/>
          </w:tcPr>
          <w:p w14:paraId="353A0F80" w14:textId="77777777" w:rsidR="00D91FCA" w:rsidRPr="004348AA" w:rsidRDefault="00D91FCA" w:rsidP="00A41D37">
            <w:pPr>
              <w:jc w:val="center"/>
              <w:rPr>
                <w:rFonts w:cstheme="minorHAnsi"/>
                <w:b/>
                <w:bCs/>
                <w:color w:val="FFFFFF" w:themeColor="background1"/>
                <w:sz w:val="16"/>
                <w:szCs w:val="16"/>
              </w:rPr>
            </w:pPr>
            <w:r w:rsidRPr="004348AA">
              <w:rPr>
                <w:rFonts w:cstheme="minorHAnsi"/>
                <w:b/>
                <w:bCs/>
                <w:color w:val="FFFFFF" w:themeColor="background1"/>
                <w:sz w:val="16"/>
                <w:szCs w:val="16"/>
              </w:rPr>
              <w:t>Naziv</w:t>
            </w:r>
          </w:p>
        </w:tc>
        <w:tc>
          <w:tcPr>
            <w:tcW w:w="1106" w:type="pct"/>
            <w:shd w:val="clear" w:color="auto" w:fill="002060"/>
          </w:tcPr>
          <w:p w14:paraId="0F71823C" w14:textId="1CB04DA3" w:rsidR="00D91FCA" w:rsidRPr="004348AA" w:rsidRDefault="00D91FCA" w:rsidP="00A41D37">
            <w:pPr>
              <w:jc w:val="center"/>
              <w:rPr>
                <w:rFonts w:cstheme="minorHAnsi"/>
                <w:b/>
                <w:bCs/>
                <w:color w:val="FFFFFF" w:themeColor="background1"/>
                <w:sz w:val="16"/>
                <w:szCs w:val="16"/>
              </w:rPr>
            </w:pPr>
            <w:r w:rsidRPr="004348AA">
              <w:rPr>
                <w:rFonts w:cstheme="minorHAnsi"/>
                <w:b/>
                <w:bCs/>
                <w:color w:val="FFFFFF" w:themeColor="background1"/>
                <w:sz w:val="16"/>
                <w:szCs w:val="16"/>
              </w:rPr>
              <w:t>Županij</w:t>
            </w:r>
            <w:r w:rsidR="00780DC9">
              <w:rPr>
                <w:rFonts w:cstheme="minorHAnsi"/>
                <w:b/>
                <w:bCs/>
                <w:color w:val="FFFFFF" w:themeColor="background1"/>
                <w:sz w:val="16"/>
                <w:szCs w:val="16"/>
              </w:rPr>
              <w:t>a</w:t>
            </w:r>
          </w:p>
        </w:tc>
        <w:tc>
          <w:tcPr>
            <w:tcW w:w="2892" w:type="pct"/>
            <w:shd w:val="clear" w:color="auto" w:fill="002060"/>
          </w:tcPr>
          <w:p w14:paraId="05D4DD4D" w14:textId="4E53EC8D" w:rsidR="00D91FCA" w:rsidRPr="004348AA" w:rsidRDefault="00780DC9" w:rsidP="00A41D37">
            <w:pPr>
              <w:jc w:val="center"/>
              <w:rPr>
                <w:rFonts w:cstheme="minorHAnsi"/>
                <w:b/>
                <w:bCs/>
                <w:color w:val="FFFFFF" w:themeColor="background1"/>
                <w:sz w:val="16"/>
                <w:szCs w:val="16"/>
              </w:rPr>
            </w:pPr>
            <w:r>
              <w:rPr>
                <w:rFonts w:cstheme="minorHAnsi"/>
                <w:b/>
                <w:bCs/>
                <w:color w:val="FFFFFF" w:themeColor="background1"/>
                <w:sz w:val="16"/>
                <w:szCs w:val="16"/>
              </w:rPr>
              <w:t xml:space="preserve">Pripadajuća </w:t>
            </w:r>
            <w:r w:rsidR="00D91FCA" w:rsidRPr="004348AA">
              <w:rPr>
                <w:rFonts w:cstheme="minorHAnsi"/>
                <w:b/>
                <w:bCs/>
                <w:color w:val="FFFFFF" w:themeColor="background1"/>
                <w:sz w:val="16"/>
                <w:szCs w:val="16"/>
              </w:rPr>
              <w:t>JLS</w:t>
            </w:r>
          </w:p>
        </w:tc>
      </w:tr>
      <w:tr w:rsidR="007D607C" w:rsidRPr="007D607C" w14:paraId="3771498B" w14:textId="523A8ADE" w:rsidTr="007D607C">
        <w:tc>
          <w:tcPr>
            <w:tcW w:w="261" w:type="pct"/>
            <w:vAlign w:val="center"/>
          </w:tcPr>
          <w:p w14:paraId="37E26EF4" w14:textId="77777777" w:rsidR="00D91FCA" w:rsidRPr="004348AA" w:rsidRDefault="00D91FCA" w:rsidP="00A41D37">
            <w:pPr>
              <w:rPr>
                <w:rFonts w:cstheme="minorHAnsi"/>
                <w:sz w:val="16"/>
                <w:szCs w:val="16"/>
              </w:rPr>
            </w:pPr>
            <w:r w:rsidRPr="004348AA">
              <w:rPr>
                <w:rFonts w:cstheme="minorHAnsi"/>
                <w:sz w:val="16"/>
                <w:szCs w:val="16"/>
              </w:rPr>
              <w:t>1.</w:t>
            </w:r>
          </w:p>
        </w:tc>
        <w:tc>
          <w:tcPr>
            <w:tcW w:w="741" w:type="pct"/>
            <w:vAlign w:val="center"/>
          </w:tcPr>
          <w:p w14:paraId="04C767AD" w14:textId="77777777" w:rsidR="00D91FCA" w:rsidRPr="004348AA" w:rsidRDefault="00D91FCA" w:rsidP="00A41D37">
            <w:pPr>
              <w:rPr>
                <w:rFonts w:cstheme="minorHAnsi"/>
                <w:sz w:val="16"/>
                <w:szCs w:val="16"/>
              </w:rPr>
            </w:pPr>
            <w:r w:rsidRPr="004348AA">
              <w:rPr>
                <w:rFonts w:cstheme="minorHAnsi"/>
                <w:sz w:val="16"/>
                <w:szCs w:val="16"/>
              </w:rPr>
              <w:t xml:space="preserve">CGO </w:t>
            </w:r>
            <w:proofErr w:type="spellStart"/>
            <w:r w:rsidRPr="004348AA">
              <w:rPr>
                <w:rFonts w:cstheme="minorHAnsi"/>
                <w:sz w:val="16"/>
                <w:szCs w:val="16"/>
              </w:rPr>
              <w:t>Marišćina</w:t>
            </w:r>
            <w:proofErr w:type="spellEnd"/>
          </w:p>
        </w:tc>
        <w:tc>
          <w:tcPr>
            <w:tcW w:w="1106" w:type="pct"/>
            <w:vAlign w:val="center"/>
          </w:tcPr>
          <w:p w14:paraId="70E113F0" w14:textId="5F42EA57" w:rsidR="00D91FCA" w:rsidRPr="004348AA" w:rsidRDefault="00D91FCA" w:rsidP="00A41D37">
            <w:pPr>
              <w:rPr>
                <w:rFonts w:cstheme="minorHAnsi"/>
                <w:sz w:val="16"/>
                <w:szCs w:val="16"/>
              </w:rPr>
            </w:pPr>
            <w:r w:rsidRPr="004348AA">
              <w:rPr>
                <w:rFonts w:cstheme="minorHAnsi"/>
                <w:sz w:val="16"/>
                <w:szCs w:val="16"/>
              </w:rPr>
              <w:t xml:space="preserve">Primorsko – goranska </w:t>
            </w:r>
          </w:p>
        </w:tc>
        <w:tc>
          <w:tcPr>
            <w:tcW w:w="2892" w:type="pct"/>
          </w:tcPr>
          <w:p w14:paraId="4619A435" w14:textId="77777777" w:rsidR="00D91FCA" w:rsidRPr="004348AA" w:rsidRDefault="00D91FCA" w:rsidP="00A41D37">
            <w:pPr>
              <w:rPr>
                <w:rFonts w:cstheme="minorHAnsi"/>
                <w:sz w:val="16"/>
                <w:szCs w:val="16"/>
              </w:rPr>
            </w:pPr>
            <w:r w:rsidRPr="004348AA">
              <w:rPr>
                <w:rFonts w:cstheme="minorHAnsi"/>
                <w:sz w:val="16"/>
                <w:szCs w:val="16"/>
              </w:rPr>
              <w:t xml:space="preserve">Gradovi: Bakar, Cres, Crikvenica, Čabar, Delnice, Kastav, Kraljevica, Krk, Mali Lošinj, Novi Vinodolski, Opatija, Rab, Rijeka, Vrbovsko; </w:t>
            </w:r>
          </w:p>
          <w:p w14:paraId="4D88C05C" w14:textId="77777777" w:rsidR="00FE032F" w:rsidRPr="004348AA" w:rsidRDefault="00FE032F" w:rsidP="00A41D37">
            <w:pPr>
              <w:rPr>
                <w:rFonts w:cstheme="minorHAnsi"/>
                <w:sz w:val="16"/>
                <w:szCs w:val="16"/>
              </w:rPr>
            </w:pPr>
          </w:p>
          <w:p w14:paraId="2AEE53D2" w14:textId="03765727" w:rsidR="00D91FCA" w:rsidRPr="004348AA" w:rsidRDefault="00D91FCA" w:rsidP="00A41D37">
            <w:pPr>
              <w:rPr>
                <w:rFonts w:cstheme="minorHAnsi"/>
                <w:sz w:val="16"/>
                <w:szCs w:val="16"/>
              </w:rPr>
            </w:pPr>
            <w:r w:rsidRPr="004348AA">
              <w:rPr>
                <w:rFonts w:cstheme="minorHAnsi"/>
                <w:sz w:val="16"/>
                <w:szCs w:val="16"/>
              </w:rPr>
              <w:t xml:space="preserve">Općine: Baška, Brod Moravice, Čavle, </w:t>
            </w:r>
            <w:proofErr w:type="spellStart"/>
            <w:r w:rsidRPr="004348AA">
              <w:rPr>
                <w:rFonts w:cstheme="minorHAnsi"/>
                <w:sz w:val="16"/>
                <w:szCs w:val="16"/>
              </w:rPr>
              <w:t>Dobrinj</w:t>
            </w:r>
            <w:proofErr w:type="spellEnd"/>
            <w:r w:rsidRPr="004348AA">
              <w:rPr>
                <w:rFonts w:cstheme="minorHAnsi"/>
                <w:sz w:val="16"/>
                <w:szCs w:val="16"/>
              </w:rPr>
              <w:t>, Fužine, Jelenje, Klana, Kostrena, Lokve, Lopar, Lovran, Malinska-</w:t>
            </w:r>
            <w:proofErr w:type="spellStart"/>
            <w:r w:rsidRPr="004348AA">
              <w:rPr>
                <w:rFonts w:cstheme="minorHAnsi"/>
                <w:sz w:val="16"/>
                <w:szCs w:val="16"/>
              </w:rPr>
              <w:t>Dubašnica</w:t>
            </w:r>
            <w:proofErr w:type="spellEnd"/>
            <w:r w:rsidRPr="004348AA">
              <w:rPr>
                <w:rFonts w:cstheme="minorHAnsi"/>
                <w:sz w:val="16"/>
                <w:szCs w:val="16"/>
              </w:rPr>
              <w:t>, Matulji, Mošćenička Draga, Mrkopalj, Omišalj, Punat, Ravna Gora, Skrad, Vinodolska općina, Viškovo i</w:t>
            </w:r>
            <w:r w:rsidR="008D2880">
              <w:rPr>
                <w:rFonts w:cstheme="minorHAnsi"/>
                <w:sz w:val="16"/>
                <w:szCs w:val="16"/>
              </w:rPr>
              <w:t xml:space="preserve"> </w:t>
            </w:r>
            <w:r w:rsidRPr="004348AA">
              <w:rPr>
                <w:rFonts w:cstheme="minorHAnsi"/>
                <w:sz w:val="16"/>
                <w:szCs w:val="16"/>
              </w:rPr>
              <w:t>Vrbnik.</w:t>
            </w:r>
          </w:p>
        </w:tc>
      </w:tr>
      <w:tr w:rsidR="007D607C" w:rsidRPr="007D607C" w14:paraId="03D5A95B" w14:textId="14126BB8" w:rsidTr="007D607C">
        <w:tc>
          <w:tcPr>
            <w:tcW w:w="261" w:type="pct"/>
            <w:vAlign w:val="center"/>
          </w:tcPr>
          <w:p w14:paraId="101F336A" w14:textId="77777777" w:rsidR="00D91FCA" w:rsidRPr="004348AA" w:rsidRDefault="00D91FCA" w:rsidP="00A41D37">
            <w:pPr>
              <w:rPr>
                <w:rFonts w:cstheme="minorHAnsi"/>
                <w:sz w:val="16"/>
                <w:szCs w:val="16"/>
              </w:rPr>
            </w:pPr>
            <w:r w:rsidRPr="004348AA">
              <w:rPr>
                <w:rFonts w:cstheme="minorHAnsi"/>
                <w:sz w:val="16"/>
                <w:szCs w:val="16"/>
              </w:rPr>
              <w:t>2.</w:t>
            </w:r>
          </w:p>
        </w:tc>
        <w:tc>
          <w:tcPr>
            <w:tcW w:w="741" w:type="pct"/>
            <w:vAlign w:val="center"/>
          </w:tcPr>
          <w:p w14:paraId="18041BCA" w14:textId="77777777" w:rsidR="00D91FCA" w:rsidRPr="004348AA" w:rsidRDefault="00D91FCA" w:rsidP="00A41D37">
            <w:pPr>
              <w:rPr>
                <w:rFonts w:cstheme="minorHAnsi"/>
                <w:sz w:val="16"/>
                <w:szCs w:val="16"/>
              </w:rPr>
            </w:pPr>
            <w:r w:rsidRPr="004348AA">
              <w:rPr>
                <w:rFonts w:cstheme="minorHAnsi"/>
                <w:sz w:val="16"/>
                <w:szCs w:val="16"/>
              </w:rPr>
              <w:t xml:space="preserve">CGO </w:t>
            </w:r>
            <w:proofErr w:type="spellStart"/>
            <w:r w:rsidRPr="004348AA">
              <w:rPr>
                <w:rFonts w:cstheme="minorHAnsi"/>
                <w:sz w:val="16"/>
                <w:szCs w:val="16"/>
              </w:rPr>
              <w:t>Kaštijun</w:t>
            </w:r>
            <w:proofErr w:type="spellEnd"/>
          </w:p>
        </w:tc>
        <w:tc>
          <w:tcPr>
            <w:tcW w:w="1106" w:type="pct"/>
            <w:vAlign w:val="center"/>
          </w:tcPr>
          <w:p w14:paraId="70AAC349" w14:textId="6C0D432B" w:rsidR="00D91FCA" w:rsidRPr="004348AA" w:rsidRDefault="00D91FCA" w:rsidP="00A41D37">
            <w:pPr>
              <w:rPr>
                <w:rFonts w:cstheme="minorHAnsi"/>
                <w:sz w:val="16"/>
                <w:szCs w:val="16"/>
              </w:rPr>
            </w:pPr>
            <w:r w:rsidRPr="004348AA">
              <w:rPr>
                <w:rFonts w:cstheme="minorHAnsi"/>
                <w:sz w:val="16"/>
                <w:szCs w:val="16"/>
              </w:rPr>
              <w:t xml:space="preserve">Istarska </w:t>
            </w:r>
          </w:p>
        </w:tc>
        <w:tc>
          <w:tcPr>
            <w:tcW w:w="2892" w:type="pct"/>
          </w:tcPr>
          <w:p w14:paraId="3B3C06CE" w14:textId="2EC4F88F" w:rsidR="00F55C2A" w:rsidRPr="004348AA" w:rsidRDefault="00F55C2A" w:rsidP="00A41D37">
            <w:pPr>
              <w:rPr>
                <w:rFonts w:cstheme="minorHAnsi"/>
                <w:i/>
                <w:iCs/>
                <w:sz w:val="16"/>
                <w:szCs w:val="16"/>
              </w:rPr>
            </w:pPr>
            <w:r w:rsidRPr="004348AA">
              <w:rPr>
                <w:rFonts w:cstheme="minorHAnsi"/>
                <w:i/>
                <w:iCs/>
                <w:sz w:val="16"/>
                <w:szCs w:val="16"/>
              </w:rPr>
              <w:t>Sve JLS</w:t>
            </w:r>
          </w:p>
          <w:p w14:paraId="4C9B34B3" w14:textId="68EBDAF6" w:rsidR="00FE032F" w:rsidRPr="004348AA" w:rsidRDefault="00D91FCA" w:rsidP="00A41D37">
            <w:pPr>
              <w:rPr>
                <w:rFonts w:cstheme="minorHAnsi"/>
                <w:sz w:val="16"/>
                <w:szCs w:val="16"/>
              </w:rPr>
            </w:pPr>
            <w:r w:rsidRPr="004348AA">
              <w:rPr>
                <w:rFonts w:cstheme="minorHAnsi"/>
                <w:sz w:val="16"/>
                <w:szCs w:val="16"/>
              </w:rPr>
              <w:t xml:space="preserve">Gradovi: Buje, Buzet, Labin, Novigrad, Pazin, Poreč ,Pula, Rovinj, Umag, Vodnjan; </w:t>
            </w:r>
          </w:p>
          <w:p w14:paraId="23475116" w14:textId="77777777" w:rsidR="00FE032F" w:rsidRPr="004348AA" w:rsidRDefault="00FE032F" w:rsidP="00A41D37">
            <w:pPr>
              <w:rPr>
                <w:rFonts w:cstheme="minorHAnsi"/>
                <w:sz w:val="16"/>
                <w:szCs w:val="16"/>
              </w:rPr>
            </w:pPr>
          </w:p>
          <w:p w14:paraId="21BB2FD0" w14:textId="50D07E5E" w:rsidR="00D91FCA" w:rsidRPr="004348AA" w:rsidRDefault="00D91FCA" w:rsidP="00A41D37">
            <w:pPr>
              <w:rPr>
                <w:rFonts w:cstheme="minorHAnsi"/>
                <w:sz w:val="16"/>
                <w:szCs w:val="16"/>
              </w:rPr>
            </w:pPr>
            <w:r w:rsidRPr="004348AA">
              <w:rPr>
                <w:rFonts w:cstheme="minorHAnsi"/>
                <w:sz w:val="16"/>
                <w:szCs w:val="16"/>
              </w:rPr>
              <w:t xml:space="preserve">Općine: Bale, Barban, Brtonigla, </w:t>
            </w:r>
            <w:proofErr w:type="spellStart"/>
            <w:r w:rsidRPr="004348AA">
              <w:rPr>
                <w:rFonts w:cstheme="minorHAnsi"/>
                <w:sz w:val="16"/>
                <w:szCs w:val="16"/>
              </w:rPr>
              <w:t>Cerovlje</w:t>
            </w:r>
            <w:proofErr w:type="spellEnd"/>
            <w:r w:rsidRPr="004348AA">
              <w:rPr>
                <w:rFonts w:cstheme="minorHAnsi"/>
                <w:sz w:val="16"/>
                <w:szCs w:val="16"/>
              </w:rPr>
              <w:t xml:space="preserve">, Fažana, Funtana, </w:t>
            </w:r>
            <w:proofErr w:type="spellStart"/>
            <w:r w:rsidRPr="004348AA">
              <w:rPr>
                <w:rFonts w:cstheme="minorHAnsi"/>
                <w:sz w:val="16"/>
                <w:szCs w:val="16"/>
              </w:rPr>
              <w:t>Gračišće</w:t>
            </w:r>
            <w:proofErr w:type="spellEnd"/>
            <w:r w:rsidRPr="004348AA">
              <w:rPr>
                <w:rFonts w:cstheme="minorHAnsi"/>
                <w:sz w:val="16"/>
                <w:szCs w:val="16"/>
              </w:rPr>
              <w:t xml:space="preserve">, Grožnjan, Kanfanar, </w:t>
            </w:r>
            <w:proofErr w:type="spellStart"/>
            <w:r w:rsidRPr="004348AA">
              <w:rPr>
                <w:rFonts w:cstheme="minorHAnsi"/>
                <w:sz w:val="16"/>
                <w:szCs w:val="16"/>
              </w:rPr>
              <w:t>Karojba</w:t>
            </w:r>
            <w:proofErr w:type="spellEnd"/>
            <w:r w:rsidRPr="004348AA">
              <w:rPr>
                <w:rFonts w:cstheme="minorHAnsi"/>
                <w:sz w:val="16"/>
                <w:szCs w:val="16"/>
              </w:rPr>
              <w:t xml:space="preserve">, </w:t>
            </w:r>
            <w:proofErr w:type="spellStart"/>
            <w:r w:rsidRPr="004348AA">
              <w:rPr>
                <w:rFonts w:cstheme="minorHAnsi"/>
                <w:sz w:val="16"/>
                <w:szCs w:val="16"/>
              </w:rPr>
              <w:t>Kaštelir</w:t>
            </w:r>
            <w:proofErr w:type="spellEnd"/>
            <w:r w:rsidRPr="004348AA">
              <w:rPr>
                <w:rFonts w:cstheme="minorHAnsi"/>
                <w:sz w:val="16"/>
                <w:szCs w:val="16"/>
              </w:rPr>
              <w:t xml:space="preserve">-Labinci, Kršan, </w:t>
            </w:r>
            <w:proofErr w:type="spellStart"/>
            <w:r w:rsidRPr="004348AA">
              <w:rPr>
                <w:rFonts w:cstheme="minorHAnsi"/>
                <w:sz w:val="16"/>
                <w:szCs w:val="16"/>
              </w:rPr>
              <w:t>Lanišće</w:t>
            </w:r>
            <w:proofErr w:type="spellEnd"/>
            <w:r w:rsidRPr="004348AA">
              <w:rPr>
                <w:rFonts w:cstheme="minorHAnsi"/>
                <w:sz w:val="16"/>
                <w:szCs w:val="16"/>
              </w:rPr>
              <w:t xml:space="preserve">, </w:t>
            </w:r>
            <w:proofErr w:type="spellStart"/>
            <w:r w:rsidRPr="004348AA">
              <w:rPr>
                <w:rFonts w:cstheme="minorHAnsi"/>
                <w:sz w:val="16"/>
                <w:szCs w:val="16"/>
              </w:rPr>
              <w:t>Ližnjan</w:t>
            </w:r>
            <w:proofErr w:type="spellEnd"/>
            <w:r w:rsidRPr="004348AA">
              <w:rPr>
                <w:rFonts w:cstheme="minorHAnsi"/>
                <w:sz w:val="16"/>
                <w:szCs w:val="16"/>
              </w:rPr>
              <w:t xml:space="preserve">, Lupoglav, </w:t>
            </w:r>
            <w:proofErr w:type="spellStart"/>
            <w:r w:rsidRPr="004348AA">
              <w:rPr>
                <w:rFonts w:cstheme="minorHAnsi"/>
                <w:sz w:val="16"/>
                <w:szCs w:val="16"/>
              </w:rPr>
              <w:t>Marčana</w:t>
            </w:r>
            <w:proofErr w:type="spellEnd"/>
            <w:r w:rsidRPr="004348AA">
              <w:rPr>
                <w:rFonts w:cstheme="minorHAnsi"/>
                <w:sz w:val="16"/>
                <w:szCs w:val="16"/>
              </w:rPr>
              <w:t xml:space="preserve">, Medulin, Motovun, Oprtalj, </w:t>
            </w:r>
            <w:proofErr w:type="spellStart"/>
            <w:r w:rsidRPr="004348AA">
              <w:rPr>
                <w:rFonts w:cstheme="minorHAnsi"/>
                <w:sz w:val="16"/>
                <w:szCs w:val="16"/>
              </w:rPr>
              <w:t>Pićan</w:t>
            </w:r>
            <w:proofErr w:type="spellEnd"/>
            <w:r w:rsidRPr="004348AA">
              <w:rPr>
                <w:rFonts w:cstheme="minorHAnsi"/>
                <w:sz w:val="16"/>
                <w:szCs w:val="16"/>
              </w:rPr>
              <w:t>, Raša,</w:t>
            </w:r>
            <w:r w:rsidR="00FE032F" w:rsidRPr="004348AA">
              <w:rPr>
                <w:rFonts w:cstheme="minorHAnsi"/>
                <w:sz w:val="16"/>
                <w:szCs w:val="16"/>
              </w:rPr>
              <w:t xml:space="preserve"> </w:t>
            </w:r>
            <w:r w:rsidRPr="004348AA">
              <w:rPr>
                <w:rFonts w:cstheme="minorHAnsi"/>
                <w:sz w:val="16"/>
                <w:szCs w:val="16"/>
              </w:rPr>
              <w:t xml:space="preserve">Sveta </w:t>
            </w:r>
            <w:proofErr w:type="spellStart"/>
            <w:r w:rsidRPr="004348AA">
              <w:rPr>
                <w:rFonts w:cstheme="minorHAnsi"/>
                <w:sz w:val="16"/>
                <w:szCs w:val="16"/>
              </w:rPr>
              <w:t>Nedelja</w:t>
            </w:r>
            <w:proofErr w:type="spellEnd"/>
            <w:r w:rsidRPr="004348AA">
              <w:rPr>
                <w:rFonts w:cstheme="minorHAnsi"/>
                <w:sz w:val="16"/>
                <w:szCs w:val="16"/>
              </w:rPr>
              <w:t xml:space="preserve">, Sveti </w:t>
            </w:r>
            <w:proofErr w:type="spellStart"/>
            <w:r w:rsidRPr="004348AA">
              <w:rPr>
                <w:rFonts w:cstheme="minorHAnsi"/>
                <w:sz w:val="16"/>
                <w:szCs w:val="16"/>
              </w:rPr>
              <w:t>Lovreč</w:t>
            </w:r>
            <w:proofErr w:type="spellEnd"/>
            <w:r w:rsidRPr="004348AA">
              <w:rPr>
                <w:rFonts w:cstheme="minorHAnsi"/>
                <w:sz w:val="16"/>
                <w:szCs w:val="16"/>
              </w:rPr>
              <w:t>,</w:t>
            </w:r>
            <w:r w:rsidR="00D222B3">
              <w:rPr>
                <w:rFonts w:cstheme="minorHAnsi"/>
                <w:sz w:val="16"/>
                <w:szCs w:val="16"/>
              </w:rPr>
              <w:t xml:space="preserve"> </w:t>
            </w:r>
            <w:r w:rsidRPr="004348AA">
              <w:rPr>
                <w:rFonts w:cstheme="minorHAnsi"/>
                <w:sz w:val="16"/>
                <w:szCs w:val="16"/>
              </w:rPr>
              <w:t xml:space="preserve">Sveti Petar u Šumi, Svetvinčenat, Tar-Vabriga, </w:t>
            </w:r>
            <w:proofErr w:type="spellStart"/>
            <w:r w:rsidRPr="004348AA">
              <w:rPr>
                <w:rFonts w:cstheme="minorHAnsi"/>
                <w:sz w:val="16"/>
                <w:szCs w:val="16"/>
              </w:rPr>
              <w:t>Tinjan</w:t>
            </w:r>
            <w:proofErr w:type="spellEnd"/>
            <w:r w:rsidRPr="004348AA">
              <w:rPr>
                <w:rFonts w:cstheme="minorHAnsi"/>
                <w:sz w:val="16"/>
                <w:szCs w:val="16"/>
              </w:rPr>
              <w:t xml:space="preserve">, Višnjan, </w:t>
            </w:r>
            <w:proofErr w:type="spellStart"/>
            <w:r w:rsidRPr="004348AA">
              <w:rPr>
                <w:rFonts w:cstheme="minorHAnsi"/>
                <w:sz w:val="16"/>
                <w:szCs w:val="16"/>
              </w:rPr>
              <w:t>Vižinada</w:t>
            </w:r>
            <w:proofErr w:type="spellEnd"/>
            <w:r w:rsidRPr="004348AA">
              <w:rPr>
                <w:rFonts w:cstheme="minorHAnsi"/>
                <w:sz w:val="16"/>
                <w:szCs w:val="16"/>
              </w:rPr>
              <w:t>, Vrsar, Žminj.</w:t>
            </w:r>
          </w:p>
        </w:tc>
      </w:tr>
      <w:tr w:rsidR="007D607C" w:rsidRPr="007D607C" w14:paraId="5B49850C" w14:textId="2525FA5B" w:rsidTr="007D607C">
        <w:tc>
          <w:tcPr>
            <w:tcW w:w="261" w:type="pct"/>
            <w:vAlign w:val="center"/>
          </w:tcPr>
          <w:p w14:paraId="36CEC666" w14:textId="77777777" w:rsidR="00D91FCA" w:rsidRPr="004348AA" w:rsidRDefault="00D91FCA" w:rsidP="00A41D37">
            <w:pPr>
              <w:rPr>
                <w:rFonts w:cstheme="minorHAnsi"/>
                <w:sz w:val="16"/>
                <w:szCs w:val="16"/>
              </w:rPr>
            </w:pPr>
            <w:r w:rsidRPr="004348AA">
              <w:rPr>
                <w:rFonts w:cstheme="minorHAnsi"/>
                <w:sz w:val="16"/>
                <w:szCs w:val="16"/>
              </w:rPr>
              <w:lastRenderedPageBreak/>
              <w:t>3.</w:t>
            </w:r>
          </w:p>
        </w:tc>
        <w:tc>
          <w:tcPr>
            <w:tcW w:w="741" w:type="pct"/>
            <w:vAlign w:val="center"/>
          </w:tcPr>
          <w:p w14:paraId="359E15B1" w14:textId="77777777" w:rsidR="00D91FCA" w:rsidRPr="004348AA" w:rsidRDefault="00D91FCA" w:rsidP="00A41D37">
            <w:pPr>
              <w:rPr>
                <w:rFonts w:cstheme="minorHAnsi"/>
                <w:sz w:val="16"/>
                <w:szCs w:val="16"/>
              </w:rPr>
            </w:pPr>
            <w:r w:rsidRPr="004348AA">
              <w:rPr>
                <w:rFonts w:cstheme="minorHAnsi"/>
                <w:sz w:val="16"/>
                <w:szCs w:val="16"/>
              </w:rPr>
              <w:t xml:space="preserve">CGO </w:t>
            </w:r>
            <w:proofErr w:type="spellStart"/>
            <w:r w:rsidRPr="004348AA">
              <w:rPr>
                <w:rFonts w:cstheme="minorHAnsi"/>
                <w:sz w:val="16"/>
                <w:szCs w:val="16"/>
              </w:rPr>
              <w:t>Bikarac</w:t>
            </w:r>
            <w:proofErr w:type="spellEnd"/>
          </w:p>
        </w:tc>
        <w:tc>
          <w:tcPr>
            <w:tcW w:w="1106" w:type="pct"/>
            <w:vAlign w:val="center"/>
          </w:tcPr>
          <w:p w14:paraId="0CB2EA97" w14:textId="2BB86F37" w:rsidR="00D91FCA" w:rsidRPr="004348AA" w:rsidRDefault="00D91FCA" w:rsidP="00A41D37">
            <w:pPr>
              <w:rPr>
                <w:rFonts w:cstheme="minorHAnsi"/>
                <w:sz w:val="16"/>
                <w:szCs w:val="16"/>
              </w:rPr>
            </w:pPr>
            <w:r w:rsidRPr="004348AA">
              <w:rPr>
                <w:rFonts w:cstheme="minorHAnsi"/>
                <w:sz w:val="16"/>
                <w:szCs w:val="16"/>
              </w:rPr>
              <w:t xml:space="preserve">Šibensko-kninska </w:t>
            </w:r>
          </w:p>
        </w:tc>
        <w:tc>
          <w:tcPr>
            <w:tcW w:w="2892" w:type="pct"/>
          </w:tcPr>
          <w:p w14:paraId="648EBA0B" w14:textId="77777777" w:rsidR="00F55C2A" w:rsidRPr="004348AA" w:rsidRDefault="00F55C2A" w:rsidP="00F55C2A">
            <w:pPr>
              <w:rPr>
                <w:rFonts w:cstheme="minorHAnsi"/>
                <w:i/>
                <w:iCs/>
                <w:sz w:val="16"/>
                <w:szCs w:val="16"/>
              </w:rPr>
            </w:pPr>
            <w:r w:rsidRPr="004348AA">
              <w:rPr>
                <w:rFonts w:cstheme="minorHAnsi"/>
                <w:i/>
                <w:iCs/>
                <w:sz w:val="16"/>
                <w:szCs w:val="16"/>
              </w:rPr>
              <w:t>Sve JLS</w:t>
            </w:r>
          </w:p>
          <w:p w14:paraId="2545D64D" w14:textId="1A9FE6F5" w:rsidR="00D91FCA" w:rsidRPr="004348AA" w:rsidRDefault="00FE032F" w:rsidP="00A41D37">
            <w:pPr>
              <w:rPr>
                <w:rFonts w:cstheme="minorHAnsi"/>
                <w:sz w:val="16"/>
                <w:szCs w:val="16"/>
              </w:rPr>
            </w:pPr>
            <w:r w:rsidRPr="004348AA">
              <w:rPr>
                <w:rFonts w:cstheme="minorHAnsi"/>
                <w:sz w:val="16"/>
                <w:szCs w:val="16"/>
              </w:rPr>
              <w:t>Gradovi: Drniš, Knin, Skradin, Šibenik, Vodice;</w:t>
            </w:r>
          </w:p>
          <w:p w14:paraId="0C9F60F3" w14:textId="77777777" w:rsidR="00FE032F" w:rsidRPr="004348AA" w:rsidRDefault="00FE032F" w:rsidP="00A41D37">
            <w:pPr>
              <w:rPr>
                <w:rFonts w:cstheme="minorHAnsi"/>
                <w:sz w:val="16"/>
                <w:szCs w:val="16"/>
              </w:rPr>
            </w:pPr>
          </w:p>
          <w:p w14:paraId="005E8C5D" w14:textId="77777777" w:rsidR="00FE032F" w:rsidRDefault="00FE032F" w:rsidP="00A41D37">
            <w:pPr>
              <w:rPr>
                <w:rFonts w:cstheme="minorHAnsi"/>
                <w:sz w:val="16"/>
                <w:szCs w:val="16"/>
              </w:rPr>
            </w:pPr>
            <w:r w:rsidRPr="004348AA">
              <w:rPr>
                <w:rFonts w:cstheme="minorHAnsi"/>
                <w:sz w:val="16"/>
                <w:szCs w:val="16"/>
              </w:rPr>
              <w:t xml:space="preserve">Općine: Bilice, Biskupija, </w:t>
            </w:r>
            <w:proofErr w:type="spellStart"/>
            <w:r w:rsidRPr="004348AA">
              <w:rPr>
                <w:rFonts w:cstheme="minorHAnsi"/>
                <w:sz w:val="16"/>
                <w:szCs w:val="16"/>
              </w:rPr>
              <w:t>Civljane</w:t>
            </w:r>
            <w:proofErr w:type="spellEnd"/>
            <w:r w:rsidRPr="004348AA">
              <w:rPr>
                <w:rFonts w:cstheme="minorHAnsi"/>
                <w:sz w:val="16"/>
                <w:szCs w:val="16"/>
              </w:rPr>
              <w:t xml:space="preserve">, </w:t>
            </w:r>
            <w:proofErr w:type="spellStart"/>
            <w:r w:rsidRPr="004348AA">
              <w:rPr>
                <w:rFonts w:cstheme="minorHAnsi"/>
                <w:sz w:val="16"/>
                <w:szCs w:val="16"/>
              </w:rPr>
              <w:t>Ervenik</w:t>
            </w:r>
            <w:proofErr w:type="spellEnd"/>
            <w:r w:rsidRPr="004348AA">
              <w:rPr>
                <w:rFonts w:cstheme="minorHAnsi"/>
                <w:sz w:val="16"/>
                <w:szCs w:val="16"/>
              </w:rPr>
              <w:t xml:space="preserve">, </w:t>
            </w:r>
            <w:proofErr w:type="spellStart"/>
            <w:r w:rsidRPr="004348AA">
              <w:rPr>
                <w:rFonts w:cstheme="minorHAnsi"/>
                <w:sz w:val="16"/>
                <w:szCs w:val="16"/>
              </w:rPr>
              <w:t>Kijevo</w:t>
            </w:r>
            <w:proofErr w:type="spellEnd"/>
            <w:r w:rsidRPr="004348AA">
              <w:rPr>
                <w:rFonts w:cstheme="minorHAnsi"/>
                <w:sz w:val="16"/>
                <w:szCs w:val="16"/>
              </w:rPr>
              <w:t xml:space="preserve">, Kistanje, Murter-Kornati, Pirovac, Primošten, Promina, Rogoznica, Ružić, Tisno, Tribunj, </w:t>
            </w:r>
            <w:proofErr w:type="spellStart"/>
            <w:r w:rsidRPr="004348AA">
              <w:rPr>
                <w:rFonts w:cstheme="minorHAnsi"/>
                <w:sz w:val="16"/>
                <w:szCs w:val="16"/>
              </w:rPr>
              <w:t>Unešić</w:t>
            </w:r>
            <w:proofErr w:type="spellEnd"/>
            <w:r w:rsidRPr="004348AA">
              <w:rPr>
                <w:rFonts w:cstheme="minorHAnsi"/>
                <w:sz w:val="16"/>
                <w:szCs w:val="16"/>
              </w:rPr>
              <w:t>.</w:t>
            </w:r>
          </w:p>
          <w:p w14:paraId="3D024CF3" w14:textId="682C2399" w:rsidR="007D607C" w:rsidRPr="004348AA" w:rsidRDefault="007D607C" w:rsidP="00A41D37">
            <w:pPr>
              <w:rPr>
                <w:rFonts w:cstheme="minorHAnsi"/>
                <w:sz w:val="16"/>
                <w:szCs w:val="16"/>
              </w:rPr>
            </w:pPr>
          </w:p>
        </w:tc>
      </w:tr>
      <w:tr w:rsidR="00776655" w:rsidRPr="007D607C" w14:paraId="10F7F601" w14:textId="77777777" w:rsidTr="004348AA">
        <w:tc>
          <w:tcPr>
            <w:tcW w:w="261" w:type="pct"/>
            <w:vMerge w:val="restart"/>
            <w:vAlign w:val="center"/>
          </w:tcPr>
          <w:p w14:paraId="2E821446" w14:textId="77777777" w:rsidR="00F55C2A" w:rsidRPr="004348AA" w:rsidRDefault="00F55C2A" w:rsidP="00A41D37">
            <w:pPr>
              <w:rPr>
                <w:rFonts w:cstheme="minorHAnsi"/>
                <w:sz w:val="16"/>
                <w:szCs w:val="16"/>
              </w:rPr>
            </w:pPr>
            <w:r w:rsidRPr="004348AA">
              <w:rPr>
                <w:rFonts w:cstheme="minorHAnsi"/>
                <w:sz w:val="16"/>
                <w:szCs w:val="16"/>
              </w:rPr>
              <w:t>4.</w:t>
            </w:r>
          </w:p>
        </w:tc>
        <w:tc>
          <w:tcPr>
            <w:tcW w:w="741" w:type="pct"/>
            <w:vMerge w:val="restart"/>
            <w:vAlign w:val="center"/>
          </w:tcPr>
          <w:p w14:paraId="4F507F05" w14:textId="77777777" w:rsidR="00F55C2A" w:rsidRPr="004348AA" w:rsidRDefault="00F55C2A" w:rsidP="00A41D37">
            <w:pPr>
              <w:rPr>
                <w:rFonts w:cstheme="minorHAnsi"/>
                <w:sz w:val="16"/>
                <w:szCs w:val="16"/>
              </w:rPr>
            </w:pPr>
            <w:r w:rsidRPr="004348AA">
              <w:rPr>
                <w:rFonts w:cstheme="minorHAnsi"/>
                <w:sz w:val="16"/>
                <w:szCs w:val="16"/>
              </w:rPr>
              <w:t>CGO Biljane Donje</w:t>
            </w:r>
          </w:p>
        </w:tc>
        <w:tc>
          <w:tcPr>
            <w:tcW w:w="1106" w:type="pct"/>
            <w:vAlign w:val="center"/>
          </w:tcPr>
          <w:p w14:paraId="5E25C87E" w14:textId="33554EB9" w:rsidR="00F55C2A" w:rsidRPr="004348AA" w:rsidRDefault="00F55C2A" w:rsidP="00A41D37">
            <w:pPr>
              <w:rPr>
                <w:rFonts w:cstheme="minorHAnsi"/>
                <w:sz w:val="16"/>
                <w:szCs w:val="16"/>
              </w:rPr>
            </w:pPr>
            <w:r w:rsidRPr="004348AA">
              <w:rPr>
                <w:rFonts w:cstheme="minorHAnsi"/>
                <w:sz w:val="16"/>
                <w:szCs w:val="16"/>
              </w:rPr>
              <w:t xml:space="preserve">Zadarska </w:t>
            </w:r>
          </w:p>
        </w:tc>
        <w:tc>
          <w:tcPr>
            <w:tcW w:w="2892" w:type="pct"/>
          </w:tcPr>
          <w:p w14:paraId="26180903" w14:textId="77777777" w:rsidR="00F55C2A" w:rsidRPr="004348AA" w:rsidRDefault="00F55C2A" w:rsidP="00F55C2A">
            <w:pPr>
              <w:rPr>
                <w:rFonts w:cstheme="minorHAnsi"/>
                <w:i/>
                <w:iCs/>
                <w:sz w:val="16"/>
                <w:szCs w:val="16"/>
              </w:rPr>
            </w:pPr>
            <w:r w:rsidRPr="004348AA">
              <w:rPr>
                <w:rFonts w:cstheme="minorHAnsi"/>
                <w:i/>
                <w:iCs/>
                <w:sz w:val="16"/>
                <w:szCs w:val="16"/>
              </w:rPr>
              <w:t>Sve JLS</w:t>
            </w:r>
          </w:p>
          <w:p w14:paraId="2E16C151" w14:textId="4C22AAAC" w:rsidR="00F55C2A" w:rsidRPr="004348AA" w:rsidRDefault="00F55C2A" w:rsidP="00A41D37">
            <w:pPr>
              <w:rPr>
                <w:rFonts w:cstheme="minorHAnsi"/>
                <w:sz w:val="16"/>
                <w:szCs w:val="16"/>
              </w:rPr>
            </w:pPr>
            <w:r w:rsidRPr="004348AA">
              <w:rPr>
                <w:rFonts w:cstheme="minorHAnsi"/>
                <w:sz w:val="16"/>
                <w:szCs w:val="16"/>
              </w:rPr>
              <w:t>Gradovi: Benkovac, Biograd na Moru, Nin, Obrovac, Pag, Zadar;</w:t>
            </w:r>
          </w:p>
          <w:p w14:paraId="67593620" w14:textId="77777777" w:rsidR="00F55C2A" w:rsidRPr="004348AA" w:rsidRDefault="00F55C2A" w:rsidP="00A41D37">
            <w:pPr>
              <w:rPr>
                <w:rFonts w:cstheme="minorHAnsi"/>
                <w:sz w:val="16"/>
                <w:szCs w:val="16"/>
              </w:rPr>
            </w:pPr>
          </w:p>
          <w:p w14:paraId="53154FCA" w14:textId="77777777" w:rsidR="00F55C2A" w:rsidRDefault="00F55C2A" w:rsidP="00A41D37">
            <w:pPr>
              <w:rPr>
                <w:rFonts w:cstheme="minorHAnsi"/>
                <w:sz w:val="16"/>
                <w:szCs w:val="16"/>
              </w:rPr>
            </w:pPr>
            <w:r w:rsidRPr="004348AA">
              <w:rPr>
                <w:rFonts w:cstheme="minorHAnsi"/>
                <w:sz w:val="16"/>
                <w:szCs w:val="16"/>
              </w:rPr>
              <w:t xml:space="preserve">Općine: Bibinje, Galovac, Gračac, Jasenice, Kali, Kolan, Kukljica,  </w:t>
            </w:r>
            <w:proofErr w:type="spellStart"/>
            <w:r w:rsidRPr="004348AA">
              <w:rPr>
                <w:rFonts w:cstheme="minorHAnsi"/>
                <w:sz w:val="16"/>
                <w:szCs w:val="16"/>
              </w:rPr>
              <w:t>Lišane</w:t>
            </w:r>
            <w:proofErr w:type="spellEnd"/>
            <w:r w:rsidRPr="004348AA">
              <w:rPr>
                <w:rFonts w:cstheme="minorHAnsi"/>
                <w:sz w:val="16"/>
                <w:szCs w:val="16"/>
              </w:rPr>
              <w:t xml:space="preserve"> </w:t>
            </w:r>
            <w:proofErr w:type="spellStart"/>
            <w:r w:rsidRPr="004348AA">
              <w:rPr>
                <w:rFonts w:cstheme="minorHAnsi"/>
                <w:sz w:val="16"/>
                <w:szCs w:val="16"/>
              </w:rPr>
              <w:t>Ostrovičke</w:t>
            </w:r>
            <w:proofErr w:type="spellEnd"/>
            <w:r w:rsidRPr="004348AA">
              <w:rPr>
                <w:rFonts w:cstheme="minorHAnsi"/>
                <w:sz w:val="16"/>
                <w:szCs w:val="16"/>
              </w:rPr>
              <w:t xml:space="preserve">, Novigrad, Pakoštane, Pašman, </w:t>
            </w:r>
            <w:proofErr w:type="spellStart"/>
            <w:r w:rsidRPr="004348AA">
              <w:rPr>
                <w:rFonts w:cstheme="minorHAnsi"/>
                <w:sz w:val="16"/>
                <w:szCs w:val="16"/>
              </w:rPr>
              <w:t>Polača</w:t>
            </w:r>
            <w:proofErr w:type="spellEnd"/>
            <w:r w:rsidRPr="004348AA">
              <w:rPr>
                <w:rFonts w:cstheme="minorHAnsi"/>
                <w:sz w:val="16"/>
                <w:szCs w:val="16"/>
              </w:rPr>
              <w:t xml:space="preserve">, Poličnik, Posedarje, Povljana, Preko, Privlaka, Ražanac, Sali, </w:t>
            </w:r>
            <w:proofErr w:type="spellStart"/>
            <w:r w:rsidRPr="004348AA">
              <w:rPr>
                <w:rFonts w:cstheme="minorHAnsi"/>
                <w:sz w:val="16"/>
                <w:szCs w:val="16"/>
              </w:rPr>
              <w:t>Stankovci</w:t>
            </w:r>
            <w:proofErr w:type="spellEnd"/>
            <w:r w:rsidRPr="004348AA">
              <w:rPr>
                <w:rFonts w:cstheme="minorHAnsi"/>
                <w:sz w:val="16"/>
                <w:szCs w:val="16"/>
              </w:rPr>
              <w:t xml:space="preserve">, Starigrad, Sukošan, Sveti Filip i Jakov, Škabrnja, </w:t>
            </w:r>
            <w:proofErr w:type="spellStart"/>
            <w:r w:rsidRPr="004348AA">
              <w:rPr>
                <w:rFonts w:cstheme="minorHAnsi"/>
                <w:sz w:val="16"/>
                <w:szCs w:val="16"/>
              </w:rPr>
              <w:t>Tkon</w:t>
            </w:r>
            <w:proofErr w:type="spellEnd"/>
            <w:r w:rsidRPr="004348AA">
              <w:rPr>
                <w:rFonts w:cstheme="minorHAnsi"/>
                <w:sz w:val="16"/>
                <w:szCs w:val="16"/>
              </w:rPr>
              <w:t xml:space="preserve">, Vir, Vrsi, Zemunik Donji. </w:t>
            </w:r>
          </w:p>
          <w:p w14:paraId="19578C4E" w14:textId="129401CA" w:rsidR="007D607C" w:rsidRPr="004348AA" w:rsidRDefault="007D607C" w:rsidP="00A41D37">
            <w:pPr>
              <w:rPr>
                <w:rFonts w:cstheme="minorHAnsi"/>
                <w:sz w:val="16"/>
                <w:szCs w:val="16"/>
              </w:rPr>
            </w:pPr>
          </w:p>
        </w:tc>
      </w:tr>
      <w:tr w:rsidR="00776655" w:rsidRPr="007D607C" w14:paraId="0E96D555" w14:textId="77777777" w:rsidTr="004348AA">
        <w:trPr>
          <w:trHeight w:val="782"/>
        </w:trPr>
        <w:tc>
          <w:tcPr>
            <w:tcW w:w="261" w:type="pct"/>
            <w:vMerge/>
            <w:vAlign w:val="center"/>
          </w:tcPr>
          <w:p w14:paraId="41370AB4" w14:textId="77777777" w:rsidR="00F55C2A" w:rsidRPr="00E25425" w:rsidRDefault="00F55C2A" w:rsidP="00A41D37">
            <w:pPr>
              <w:rPr>
                <w:rFonts w:cstheme="minorHAnsi"/>
                <w:sz w:val="16"/>
                <w:szCs w:val="16"/>
              </w:rPr>
            </w:pPr>
          </w:p>
        </w:tc>
        <w:tc>
          <w:tcPr>
            <w:tcW w:w="741" w:type="pct"/>
            <w:vMerge/>
            <w:vAlign w:val="center"/>
          </w:tcPr>
          <w:p w14:paraId="77A27261" w14:textId="77777777" w:rsidR="00F55C2A" w:rsidRPr="00E25425" w:rsidRDefault="00F55C2A" w:rsidP="00A41D37">
            <w:pPr>
              <w:rPr>
                <w:rFonts w:cstheme="minorHAnsi"/>
                <w:sz w:val="16"/>
                <w:szCs w:val="16"/>
              </w:rPr>
            </w:pPr>
          </w:p>
        </w:tc>
        <w:tc>
          <w:tcPr>
            <w:tcW w:w="1106" w:type="pct"/>
            <w:vAlign w:val="center"/>
          </w:tcPr>
          <w:p w14:paraId="2E0AEF05" w14:textId="1CE4AB0A" w:rsidR="00F55C2A" w:rsidRPr="00E25425" w:rsidRDefault="00F55C2A" w:rsidP="00A41D37">
            <w:pPr>
              <w:rPr>
                <w:rFonts w:cstheme="minorHAnsi"/>
                <w:sz w:val="16"/>
                <w:szCs w:val="16"/>
              </w:rPr>
            </w:pPr>
            <w:r w:rsidRPr="00E25425">
              <w:rPr>
                <w:rFonts w:cstheme="minorHAnsi"/>
                <w:sz w:val="16"/>
                <w:szCs w:val="16"/>
              </w:rPr>
              <w:t xml:space="preserve">Dio Ličko-senjske </w:t>
            </w:r>
          </w:p>
        </w:tc>
        <w:tc>
          <w:tcPr>
            <w:tcW w:w="2892" w:type="pct"/>
          </w:tcPr>
          <w:p w14:paraId="295E5809" w14:textId="77777777" w:rsidR="00F55C2A" w:rsidRPr="00E25425" w:rsidRDefault="00F55C2A" w:rsidP="00A41D37">
            <w:pPr>
              <w:rPr>
                <w:rFonts w:cstheme="minorHAnsi"/>
                <w:sz w:val="16"/>
                <w:szCs w:val="16"/>
              </w:rPr>
            </w:pPr>
            <w:r w:rsidRPr="00E25425">
              <w:rPr>
                <w:rFonts w:cstheme="minorHAnsi"/>
                <w:sz w:val="16"/>
                <w:szCs w:val="16"/>
              </w:rPr>
              <w:t>Gradovi: Gospić i Novalja;</w:t>
            </w:r>
          </w:p>
          <w:p w14:paraId="28A7A6F5" w14:textId="77777777" w:rsidR="007D607C" w:rsidRDefault="007D607C" w:rsidP="00A41D37">
            <w:pPr>
              <w:rPr>
                <w:rFonts w:cstheme="minorHAnsi"/>
                <w:sz w:val="16"/>
                <w:szCs w:val="16"/>
              </w:rPr>
            </w:pPr>
          </w:p>
          <w:p w14:paraId="74806F5A" w14:textId="416BE5A7" w:rsidR="00F55C2A" w:rsidRPr="004348AA" w:rsidRDefault="00F55C2A" w:rsidP="00A41D37">
            <w:pPr>
              <w:rPr>
                <w:rFonts w:cstheme="minorHAnsi"/>
                <w:sz w:val="16"/>
                <w:szCs w:val="16"/>
              </w:rPr>
            </w:pPr>
            <w:r w:rsidRPr="004348AA">
              <w:rPr>
                <w:rFonts w:cstheme="minorHAnsi"/>
                <w:sz w:val="16"/>
                <w:szCs w:val="16"/>
              </w:rPr>
              <w:t xml:space="preserve">Općine: Karlobag, </w:t>
            </w:r>
            <w:r w:rsidR="001721E2" w:rsidRPr="00462FEB">
              <w:rPr>
                <w:rFonts w:cstheme="minorHAnsi"/>
                <w:sz w:val="16"/>
                <w:szCs w:val="16"/>
              </w:rPr>
              <w:t>Lovinac</w:t>
            </w:r>
            <w:r w:rsidR="001721E2">
              <w:rPr>
                <w:rFonts w:cstheme="minorHAnsi"/>
                <w:sz w:val="16"/>
                <w:szCs w:val="16"/>
              </w:rPr>
              <w:t>,</w:t>
            </w:r>
            <w:r w:rsidR="001721E2" w:rsidRPr="001721E2">
              <w:rPr>
                <w:rFonts w:cstheme="minorHAnsi"/>
                <w:sz w:val="16"/>
                <w:szCs w:val="16"/>
              </w:rPr>
              <w:t xml:space="preserve"> </w:t>
            </w:r>
            <w:r w:rsidR="001721E2" w:rsidRPr="00B22A91">
              <w:rPr>
                <w:rFonts w:cstheme="minorHAnsi"/>
                <w:sz w:val="16"/>
                <w:szCs w:val="16"/>
              </w:rPr>
              <w:t>Donji Lapac</w:t>
            </w:r>
            <w:r w:rsidR="001721E2">
              <w:rPr>
                <w:rFonts w:cstheme="minorHAnsi"/>
                <w:sz w:val="16"/>
                <w:szCs w:val="16"/>
              </w:rPr>
              <w:t>,</w:t>
            </w:r>
            <w:r w:rsidR="001721E2" w:rsidRPr="001721E2">
              <w:rPr>
                <w:rFonts w:cstheme="minorHAnsi"/>
                <w:sz w:val="16"/>
                <w:szCs w:val="16"/>
              </w:rPr>
              <w:t xml:space="preserve"> </w:t>
            </w:r>
            <w:r w:rsidRPr="004348AA">
              <w:rPr>
                <w:rFonts w:cstheme="minorHAnsi"/>
                <w:sz w:val="16"/>
                <w:szCs w:val="16"/>
              </w:rPr>
              <w:t>Perušić, Udbina.</w:t>
            </w:r>
          </w:p>
        </w:tc>
      </w:tr>
      <w:tr w:rsidR="00776655" w:rsidRPr="007D607C" w14:paraId="5C9C66DE" w14:textId="77777777" w:rsidTr="004348AA">
        <w:tc>
          <w:tcPr>
            <w:tcW w:w="261" w:type="pct"/>
            <w:vMerge w:val="restart"/>
            <w:vAlign w:val="center"/>
          </w:tcPr>
          <w:p w14:paraId="0FDEAAEC" w14:textId="77777777" w:rsidR="00F55C2A" w:rsidRPr="004348AA" w:rsidRDefault="00F55C2A" w:rsidP="00A41D37">
            <w:pPr>
              <w:rPr>
                <w:rFonts w:cstheme="minorHAnsi"/>
                <w:sz w:val="16"/>
                <w:szCs w:val="16"/>
              </w:rPr>
            </w:pPr>
            <w:r w:rsidRPr="004348AA">
              <w:rPr>
                <w:rFonts w:cstheme="minorHAnsi"/>
                <w:sz w:val="16"/>
                <w:szCs w:val="16"/>
              </w:rPr>
              <w:t>5.</w:t>
            </w:r>
          </w:p>
        </w:tc>
        <w:tc>
          <w:tcPr>
            <w:tcW w:w="741" w:type="pct"/>
            <w:vMerge w:val="restart"/>
            <w:vAlign w:val="center"/>
          </w:tcPr>
          <w:p w14:paraId="6C4FD827" w14:textId="77777777" w:rsidR="00F55C2A" w:rsidRPr="004348AA" w:rsidRDefault="00F55C2A" w:rsidP="00A41D37">
            <w:pPr>
              <w:rPr>
                <w:rFonts w:cstheme="minorHAnsi"/>
                <w:sz w:val="16"/>
                <w:szCs w:val="16"/>
              </w:rPr>
            </w:pPr>
            <w:r w:rsidRPr="004348AA">
              <w:rPr>
                <w:rFonts w:cstheme="minorHAnsi"/>
                <w:sz w:val="16"/>
                <w:szCs w:val="16"/>
              </w:rPr>
              <w:t>CGO Babina gora</w:t>
            </w:r>
          </w:p>
        </w:tc>
        <w:tc>
          <w:tcPr>
            <w:tcW w:w="1106" w:type="pct"/>
            <w:vAlign w:val="center"/>
          </w:tcPr>
          <w:p w14:paraId="4E2447C1" w14:textId="2249C294" w:rsidR="00F55C2A" w:rsidRPr="004348AA" w:rsidRDefault="00F55C2A" w:rsidP="00A41D37">
            <w:pPr>
              <w:rPr>
                <w:rFonts w:cstheme="minorHAnsi"/>
                <w:sz w:val="16"/>
                <w:szCs w:val="16"/>
              </w:rPr>
            </w:pPr>
            <w:r w:rsidRPr="004348AA">
              <w:rPr>
                <w:rFonts w:cstheme="minorHAnsi"/>
                <w:sz w:val="16"/>
                <w:szCs w:val="16"/>
              </w:rPr>
              <w:t xml:space="preserve">Karlovačka </w:t>
            </w:r>
          </w:p>
        </w:tc>
        <w:tc>
          <w:tcPr>
            <w:tcW w:w="2892" w:type="pct"/>
          </w:tcPr>
          <w:p w14:paraId="78BFBC60" w14:textId="77777777" w:rsidR="00F55C2A" w:rsidRPr="004348AA" w:rsidRDefault="00F55C2A" w:rsidP="00F55C2A">
            <w:pPr>
              <w:rPr>
                <w:rFonts w:cstheme="minorHAnsi"/>
                <w:i/>
                <w:iCs/>
                <w:sz w:val="16"/>
                <w:szCs w:val="16"/>
              </w:rPr>
            </w:pPr>
            <w:r w:rsidRPr="004348AA">
              <w:rPr>
                <w:rFonts w:cstheme="minorHAnsi"/>
                <w:i/>
                <w:iCs/>
                <w:sz w:val="16"/>
                <w:szCs w:val="16"/>
              </w:rPr>
              <w:t>Sve JLS</w:t>
            </w:r>
          </w:p>
          <w:p w14:paraId="1A79D02A" w14:textId="77777777" w:rsidR="00F55C2A" w:rsidRPr="004348AA" w:rsidRDefault="00F55C2A" w:rsidP="00A41D37">
            <w:pPr>
              <w:rPr>
                <w:rFonts w:cstheme="minorHAnsi"/>
                <w:sz w:val="16"/>
                <w:szCs w:val="16"/>
              </w:rPr>
            </w:pPr>
            <w:r w:rsidRPr="004348AA">
              <w:rPr>
                <w:rFonts w:cstheme="minorHAnsi"/>
                <w:sz w:val="16"/>
                <w:szCs w:val="16"/>
              </w:rPr>
              <w:t>Gradovi: Duga Resa, Karlovac, Ogulin, Ozalj, Slunj;</w:t>
            </w:r>
          </w:p>
          <w:p w14:paraId="6F41E63E" w14:textId="77777777" w:rsidR="00F55C2A" w:rsidRPr="004348AA" w:rsidRDefault="00F55C2A" w:rsidP="00A41D37">
            <w:pPr>
              <w:rPr>
                <w:rFonts w:cstheme="minorHAnsi"/>
                <w:sz w:val="16"/>
                <w:szCs w:val="16"/>
              </w:rPr>
            </w:pPr>
          </w:p>
          <w:p w14:paraId="105F62E1" w14:textId="50815F9A" w:rsidR="00F55C2A" w:rsidRPr="004348AA" w:rsidRDefault="00F55C2A" w:rsidP="00F55C2A">
            <w:pPr>
              <w:rPr>
                <w:rFonts w:cstheme="minorHAnsi"/>
                <w:sz w:val="16"/>
                <w:szCs w:val="16"/>
              </w:rPr>
            </w:pPr>
            <w:r w:rsidRPr="004348AA">
              <w:rPr>
                <w:rFonts w:cstheme="minorHAnsi"/>
                <w:sz w:val="16"/>
                <w:szCs w:val="16"/>
              </w:rPr>
              <w:t xml:space="preserve">Općine:  </w:t>
            </w:r>
            <w:proofErr w:type="spellStart"/>
            <w:r w:rsidRPr="004348AA">
              <w:rPr>
                <w:rFonts w:cstheme="minorHAnsi"/>
                <w:sz w:val="16"/>
                <w:szCs w:val="16"/>
              </w:rPr>
              <w:t>Barilović</w:t>
            </w:r>
            <w:proofErr w:type="spellEnd"/>
            <w:r w:rsidRPr="004348AA">
              <w:rPr>
                <w:rFonts w:cstheme="minorHAnsi"/>
                <w:sz w:val="16"/>
                <w:szCs w:val="16"/>
              </w:rPr>
              <w:t xml:space="preserve">, Bosiljevo, Cetingrad, Draganić, Generalski stol, </w:t>
            </w:r>
            <w:proofErr w:type="spellStart"/>
            <w:r w:rsidRPr="004348AA">
              <w:rPr>
                <w:rFonts w:cstheme="minorHAnsi"/>
                <w:sz w:val="16"/>
                <w:szCs w:val="16"/>
              </w:rPr>
              <w:t>Josipdol</w:t>
            </w:r>
            <w:proofErr w:type="spellEnd"/>
            <w:r w:rsidRPr="004348AA">
              <w:rPr>
                <w:rFonts w:cstheme="minorHAnsi"/>
                <w:sz w:val="16"/>
                <w:szCs w:val="16"/>
              </w:rPr>
              <w:t xml:space="preserve">, </w:t>
            </w:r>
            <w:proofErr w:type="spellStart"/>
            <w:r w:rsidRPr="004348AA">
              <w:rPr>
                <w:rFonts w:cstheme="minorHAnsi"/>
                <w:sz w:val="16"/>
                <w:szCs w:val="16"/>
              </w:rPr>
              <w:t>Kamanje</w:t>
            </w:r>
            <w:proofErr w:type="spellEnd"/>
            <w:r w:rsidRPr="004348AA">
              <w:rPr>
                <w:rFonts w:cstheme="minorHAnsi"/>
                <w:sz w:val="16"/>
                <w:szCs w:val="16"/>
              </w:rPr>
              <w:t xml:space="preserve">, Krnjak, Lasinja, </w:t>
            </w:r>
            <w:proofErr w:type="spellStart"/>
            <w:r w:rsidRPr="004348AA">
              <w:rPr>
                <w:rFonts w:cstheme="minorHAnsi"/>
                <w:sz w:val="16"/>
                <w:szCs w:val="16"/>
              </w:rPr>
              <w:t>Netretić</w:t>
            </w:r>
            <w:proofErr w:type="spellEnd"/>
            <w:r w:rsidRPr="004348AA">
              <w:rPr>
                <w:rFonts w:cstheme="minorHAnsi"/>
                <w:sz w:val="16"/>
                <w:szCs w:val="16"/>
              </w:rPr>
              <w:t xml:space="preserve">, Plaški, Rakovica, Ribnik, Saborsko, </w:t>
            </w:r>
            <w:proofErr w:type="spellStart"/>
            <w:r w:rsidRPr="004348AA">
              <w:rPr>
                <w:rFonts w:cstheme="minorHAnsi"/>
                <w:sz w:val="16"/>
                <w:szCs w:val="16"/>
              </w:rPr>
              <w:t>Tounj</w:t>
            </w:r>
            <w:proofErr w:type="spellEnd"/>
            <w:r w:rsidRPr="004348AA">
              <w:rPr>
                <w:rFonts w:cstheme="minorHAnsi"/>
                <w:sz w:val="16"/>
                <w:szCs w:val="16"/>
              </w:rPr>
              <w:t xml:space="preserve">, Vojnić, </w:t>
            </w:r>
            <w:proofErr w:type="spellStart"/>
            <w:r w:rsidRPr="004348AA">
              <w:rPr>
                <w:rFonts w:cstheme="minorHAnsi"/>
                <w:sz w:val="16"/>
                <w:szCs w:val="16"/>
              </w:rPr>
              <w:t>Žakanje</w:t>
            </w:r>
            <w:proofErr w:type="spellEnd"/>
            <w:r w:rsidRPr="004348AA">
              <w:rPr>
                <w:rFonts w:cstheme="minorHAnsi"/>
                <w:sz w:val="16"/>
                <w:szCs w:val="16"/>
              </w:rPr>
              <w:t>.</w:t>
            </w:r>
          </w:p>
        </w:tc>
      </w:tr>
      <w:tr w:rsidR="00776655" w:rsidRPr="007D607C" w14:paraId="7A931CA4" w14:textId="77777777" w:rsidTr="004348AA">
        <w:tc>
          <w:tcPr>
            <w:tcW w:w="261" w:type="pct"/>
            <w:vMerge/>
            <w:vAlign w:val="center"/>
          </w:tcPr>
          <w:p w14:paraId="7B3F0A09" w14:textId="77777777" w:rsidR="00F55C2A" w:rsidRPr="00E25425" w:rsidRDefault="00F55C2A" w:rsidP="00A41D37">
            <w:pPr>
              <w:rPr>
                <w:rFonts w:cstheme="minorHAnsi"/>
                <w:sz w:val="16"/>
                <w:szCs w:val="16"/>
              </w:rPr>
            </w:pPr>
          </w:p>
        </w:tc>
        <w:tc>
          <w:tcPr>
            <w:tcW w:w="741" w:type="pct"/>
            <w:vMerge/>
            <w:vAlign w:val="center"/>
          </w:tcPr>
          <w:p w14:paraId="3C70EE23" w14:textId="77777777" w:rsidR="00F55C2A" w:rsidRPr="00E25425" w:rsidRDefault="00F55C2A" w:rsidP="00A41D37">
            <w:pPr>
              <w:rPr>
                <w:rFonts w:cstheme="minorHAnsi"/>
                <w:sz w:val="16"/>
                <w:szCs w:val="16"/>
              </w:rPr>
            </w:pPr>
          </w:p>
        </w:tc>
        <w:tc>
          <w:tcPr>
            <w:tcW w:w="1106" w:type="pct"/>
            <w:vAlign w:val="center"/>
          </w:tcPr>
          <w:p w14:paraId="536C79B9" w14:textId="7CE9C5B4" w:rsidR="00F55C2A" w:rsidRPr="00E25425" w:rsidRDefault="00F55C2A" w:rsidP="00A41D37">
            <w:pPr>
              <w:rPr>
                <w:rFonts w:cstheme="minorHAnsi"/>
                <w:sz w:val="16"/>
                <w:szCs w:val="16"/>
              </w:rPr>
            </w:pPr>
            <w:r w:rsidRPr="00E25425">
              <w:rPr>
                <w:rFonts w:cstheme="minorHAnsi"/>
                <w:sz w:val="16"/>
                <w:szCs w:val="16"/>
              </w:rPr>
              <w:t>dio Ličko-senjske</w:t>
            </w:r>
          </w:p>
        </w:tc>
        <w:tc>
          <w:tcPr>
            <w:tcW w:w="2892" w:type="pct"/>
          </w:tcPr>
          <w:p w14:paraId="71313DA9" w14:textId="77777777" w:rsidR="00F55C2A" w:rsidRPr="00E25425" w:rsidRDefault="00F55C2A" w:rsidP="00A41D37">
            <w:pPr>
              <w:rPr>
                <w:rFonts w:cstheme="minorHAnsi"/>
                <w:sz w:val="16"/>
                <w:szCs w:val="16"/>
              </w:rPr>
            </w:pPr>
            <w:r w:rsidRPr="00E25425">
              <w:rPr>
                <w:rFonts w:cstheme="minorHAnsi"/>
                <w:sz w:val="16"/>
                <w:szCs w:val="16"/>
              </w:rPr>
              <w:t>Grad: Otočac;</w:t>
            </w:r>
          </w:p>
          <w:p w14:paraId="4CB8B7D0" w14:textId="77777777" w:rsidR="00F55C2A" w:rsidRPr="00E25425" w:rsidRDefault="00F55C2A" w:rsidP="00A41D37">
            <w:pPr>
              <w:rPr>
                <w:rFonts w:cstheme="minorHAnsi"/>
                <w:sz w:val="16"/>
                <w:szCs w:val="16"/>
              </w:rPr>
            </w:pPr>
          </w:p>
          <w:p w14:paraId="19797EEC" w14:textId="77777777" w:rsidR="00F55C2A" w:rsidRDefault="00F55C2A" w:rsidP="00A41D37">
            <w:pPr>
              <w:rPr>
                <w:rFonts w:cstheme="minorHAnsi"/>
                <w:sz w:val="16"/>
                <w:szCs w:val="16"/>
              </w:rPr>
            </w:pPr>
            <w:r w:rsidRPr="00E25425">
              <w:rPr>
                <w:rFonts w:cstheme="minorHAnsi"/>
                <w:sz w:val="16"/>
                <w:szCs w:val="16"/>
              </w:rPr>
              <w:t>Općine: Brinje, Plitvička jezera, Vrhovine.</w:t>
            </w:r>
          </w:p>
          <w:p w14:paraId="03869337" w14:textId="53EBD5E4" w:rsidR="007D607C" w:rsidRPr="004348AA" w:rsidRDefault="007D607C" w:rsidP="00A41D37">
            <w:pPr>
              <w:rPr>
                <w:rFonts w:cstheme="minorHAnsi"/>
                <w:sz w:val="16"/>
                <w:szCs w:val="16"/>
              </w:rPr>
            </w:pPr>
          </w:p>
        </w:tc>
      </w:tr>
      <w:tr w:rsidR="00776655" w:rsidRPr="007D607C" w14:paraId="37C9F2B1" w14:textId="77777777" w:rsidTr="004348AA">
        <w:tc>
          <w:tcPr>
            <w:tcW w:w="261" w:type="pct"/>
            <w:vMerge/>
            <w:vAlign w:val="center"/>
          </w:tcPr>
          <w:p w14:paraId="251F8B9D" w14:textId="77777777" w:rsidR="00F55C2A" w:rsidRPr="00E25425" w:rsidRDefault="00F55C2A" w:rsidP="00A41D37">
            <w:pPr>
              <w:rPr>
                <w:rFonts w:cstheme="minorHAnsi"/>
                <w:sz w:val="16"/>
                <w:szCs w:val="16"/>
              </w:rPr>
            </w:pPr>
          </w:p>
        </w:tc>
        <w:tc>
          <w:tcPr>
            <w:tcW w:w="741" w:type="pct"/>
            <w:vMerge/>
            <w:vAlign w:val="center"/>
          </w:tcPr>
          <w:p w14:paraId="463BC7D2" w14:textId="77777777" w:rsidR="00F55C2A" w:rsidRPr="00E25425" w:rsidRDefault="00F55C2A" w:rsidP="00A41D37">
            <w:pPr>
              <w:rPr>
                <w:rFonts w:cstheme="minorHAnsi"/>
                <w:sz w:val="16"/>
                <w:szCs w:val="16"/>
              </w:rPr>
            </w:pPr>
          </w:p>
        </w:tc>
        <w:tc>
          <w:tcPr>
            <w:tcW w:w="1106" w:type="pct"/>
            <w:vAlign w:val="center"/>
          </w:tcPr>
          <w:p w14:paraId="7E6DAF8F" w14:textId="6F58F29F" w:rsidR="00F55C2A" w:rsidRPr="00E25425" w:rsidRDefault="00F55C2A" w:rsidP="00A41D37">
            <w:pPr>
              <w:rPr>
                <w:rFonts w:cstheme="minorHAnsi"/>
                <w:sz w:val="16"/>
                <w:szCs w:val="16"/>
              </w:rPr>
            </w:pPr>
            <w:r w:rsidRPr="00E25425">
              <w:rPr>
                <w:rFonts w:cstheme="minorHAnsi"/>
                <w:sz w:val="16"/>
                <w:szCs w:val="16"/>
              </w:rPr>
              <w:t xml:space="preserve">dio Sisačko-moslavačke </w:t>
            </w:r>
          </w:p>
        </w:tc>
        <w:tc>
          <w:tcPr>
            <w:tcW w:w="2892" w:type="pct"/>
          </w:tcPr>
          <w:p w14:paraId="705F9052" w14:textId="4A22E90A" w:rsidR="00F55C2A" w:rsidRPr="00E25425" w:rsidRDefault="00F55C2A" w:rsidP="00A41D37">
            <w:pPr>
              <w:rPr>
                <w:rFonts w:cstheme="minorHAnsi"/>
                <w:sz w:val="16"/>
                <w:szCs w:val="16"/>
              </w:rPr>
            </w:pPr>
            <w:r w:rsidRPr="00E25425">
              <w:rPr>
                <w:rFonts w:cstheme="minorHAnsi"/>
                <w:sz w:val="16"/>
                <w:szCs w:val="16"/>
              </w:rPr>
              <w:t>Grad: Glina;</w:t>
            </w:r>
          </w:p>
          <w:p w14:paraId="66015657" w14:textId="77777777" w:rsidR="00F55C2A" w:rsidRPr="00E25425" w:rsidRDefault="00F55C2A" w:rsidP="00A41D37">
            <w:pPr>
              <w:rPr>
                <w:rFonts w:cstheme="minorHAnsi"/>
                <w:sz w:val="16"/>
                <w:szCs w:val="16"/>
              </w:rPr>
            </w:pPr>
          </w:p>
          <w:p w14:paraId="664A05EB" w14:textId="77777777" w:rsidR="00F55C2A" w:rsidRDefault="00F55C2A" w:rsidP="00A41D37">
            <w:pPr>
              <w:rPr>
                <w:rFonts w:cstheme="minorHAnsi"/>
                <w:sz w:val="16"/>
                <w:szCs w:val="16"/>
              </w:rPr>
            </w:pPr>
            <w:r w:rsidRPr="00E25425">
              <w:rPr>
                <w:rFonts w:cstheme="minorHAnsi"/>
                <w:sz w:val="16"/>
                <w:szCs w:val="16"/>
              </w:rPr>
              <w:t>Općine: Gvozd i Topusko.</w:t>
            </w:r>
          </w:p>
          <w:p w14:paraId="50F4ECD8" w14:textId="778C8EAA" w:rsidR="007D607C" w:rsidRPr="004348AA" w:rsidRDefault="007D607C" w:rsidP="00A41D37">
            <w:pPr>
              <w:rPr>
                <w:rFonts w:cstheme="minorHAnsi"/>
                <w:sz w:val="16"/>
                <w:szCs w:val="16"/>
              </w:rPr>
            </w:pPr>
          </w:p>
        </w:tc>
      </w:tr>
      <w:tr w:rsidR="007D607C" w:rsidRPr="007D607C" w14:paraId="262D680B" w14:textId="36611C5E" w:rsidTr="007D607C">
        <w:tc>
          <w:tcPr>
            <w:tcW w:w="261" w:type="pct"/>
            <w:vAlign w:val="center"/>
          </w:tcPr>
          <w:p w14:paraId="72B1FE22" w14:textId="77777777" w:rsidR="00D91FCA" w:rsidRPr="004348AA" w:rsidRDefault="00D91FCA" w:rsidP="00A41D37">
            <w:pPr>
              <w:rPr>
                <w:rFonts w:cstheme="minorHAnsi"/>
                <w:sz w:val="16"/>
                <w:szCs w:val="16"/>
              </w:rPr>
            </w:pPr>
            <w:r w:rsidRPr="004348AA">
              <w:rPr>
                <w:rFonts w:cstheme="minorHAnsi"/>
                <w:sz w:val="16"/>
                <w:szCs w:val="16"/>
              </w:rPr>
              <w:t>6.</w:t>
            </w:r>
          </w:p>
        </w:tc>
        <w:tc>
          <w:tcPr>
            <w:tcW w:w="741" w:type="pct"/>
            <w:vAlign w:val="center"/>
          </w:tcPr>
          <w:p w14:paraId="316F65D3" w14:textId="77777777" w:rsidR="00D91FCA" w:rsidRPr="004348AA" w:rsidRDefault="00D91FCA" w:rsidP="00A41D37">
            <w:pPr>
              <w:rPr>
                <w:rFonts w:cstheme="minorHAnsi"/>
                <w:sz w:val="16"/>
                <w:szCs w:val="16"/>
              </w:rPr>
            </w:pPr>
            <w:r w:rsidRPr="004348AA">
              <w:rPr>
                <w:rFonts w:cstheme="minorHAnsi"/>
                <w:sz w:val="16"/>
                <w:szCs w:val="16"/>
              </w:rPr>
              <w:t xml:space="preserve">CGO </w:t>
            </w:r>
            <w:proofErr w:type="spellStart"/>
            <w:r w:rsidRPr="004348AA">
              <w:rPr>
                <w:rFonts w:cstheme="minorHAnsi"/>
                <w:sz w:val="16"/>
                <w:szCs w:val="16"/>
              </w:rPr>
              <w:t>Lećevica</w:t>
            </w:r>
            <w:proofErr w:type="spellEnd"/>
          </w:p>
        </w:tc>
        <w:tc>
          <w:tcPr>
            <w:tcW w:w="1106" w:type="pct"/>
            <w:vAlign w:val="center"/>
          </w:tcPr>
          <w:p w14:paraId="19A212B7" w14:textId="482B0D4D" w:rsidR="00D91FCA" w:rsidRPr="004348AA" w:rsidRDefault="00D91FCA" w:rsidP="00A41D37">
            <w:pPr>
              <w:rPr>
                <w:rFonts w:cstheme="minorHAnsi"/>
                <w:sz w:val="16"/>
                <w:szCs w:val="16"/>
              </w:rPr>
            </w:pPr>
            <w:r w:rsidRPr="004348AA">
              <w:rPr>
                <w:rFonts w:cstheme="minorHAnsi"/>
                <w:sz w:val="16"/>
                <w:szCs w:val="16"/>
              </w:rPr>
              <w:t>Splitsko-dalmatinska</w:t>
            </w:r>
          </w:p>
        </w:tc>
        <w:tc>
          <w:tcPr>
            <w:tcW w:w="2892" w:type="pct"/>
          </w:tcPr>
          <w:p w14:paraId="13037CB6" w14:textId="77777777" w:rsidR="00F55C2A" w:rsidRPr="004348AA" w:rsidRDefault="00F55C2A" w:rsidP="00F55C2A">
            <w:pPr>
              <w:rPr>
                <w:rFonts w:cstheme="minorHAnsi"/>
                <w:i/>
                <w:iCs/>
                <w:sz w:val="16"/>
                <w:szCs w:val="16"/>
              </w:rPr>
            </w:pPr>
            <w:r w:rsidRPr="004348AA">
              <w:rPr>
                <w:rFonts w:cstheme="minorHAnsi"/>
                <w:i/>
                <w:iCs/>
                <w:sz w:val="16"/>
                <w:szCs w:val="16"/>
              </w:rPr>
              <w:t>Sve JLS</w:t>
            </w:r>
          </w:p>
          <w:p w14:paraId="40966BC8" w14:textId="77777777" w:rsidR="00F55C2A" w:rsidRPr="004348AA" w:rsidRDefault="00F55C2A" w:rsidP="00F55C2A">
            <w:pPr>
              <w:rPr>
                <w:rFonts w:cstheme="minorHAnsi"/>
                <w:sz w:val="16"/>
                <w:szCs w:val="16"/>
              </w:rPr>
            </w:pPr>
            <w:r w:rsidRPr="004348AA">
              <w:rPr>
                <w:rFonts w:cstheme="minorHAnsi"/>
                <w:sz w:val="16"/>
                <w:szCs w:val="16"/>
              </w:rPr>
              <w:t>Gradovi: Hvar, Imotski, Kaštela, Komiža, Makarska, Omiš, Sinj, Solin, Split, Stari Grad, Supetar, Trilj, Trogir, Vis, Vrgorac, Vrlika;</w:t>
            </w:r>
          </w:p>
          <w:p w14:paraId="3194CCF0" w14:textId="77777777" w:rsidR="00F55C2A" w:rsidRPr="004348AA" w:rsidRDefault="00F55C2A" w:rsidP="00F55C2A">
            <w:pPr>
              <w:rPr>
                <w:rFonts w:cstheme="minorHAnsi"/>
                <w:sz w:val="16"/>
                <w:szCs w:val="16"/>
              </w:rPr>
            </w:pPr>
          </w:p>
          <w:p w14:paraId="210FF4A5" w14:textId="77777777" w:rsidR="00D91FCA" w:rsidRDefault="00F55C2A" w:rsidP="00F55C2A">
            <w:pPr>
              <w:rPr>
                <w:rFonts w:cstheme="minorHAnsi"/>
                <w:sz w:val="16"/>
                <w:szCs w:val="16"/>
              </w:rPr>
            </w:pPr>
            <w:r w:rsidRPr="004348AA">
              <w:rPr>
                <w:rFonts w:cstheme="minorHAnsi"/>
                <w:sz w:val="16"/>
                <w:szCs w:val="16"/>
              </w:rPr>
              <w:t xml:space="preserve">Općine: Baška Voda, Bol, Brela, Cista Provo, </w:t>
            </w:r>
            <w:proofErr w:type="spellStart"/>
            <w:r w:rsidRPr="004348AA">
              <w:rPr>
                <w:rFonts w:cstheme="minorHAnsi"/>
                <w:sz w:val="16"/>
                <w:szCs w:val="16"/>
              </w:rPr>
              <w:t>Dicmo</w:t>
            </w:r>
            <w:proofErr w:type="spellEnd"/>
            <w:r w:rsidRPr="004348AA">
              <w:rPr>
                <w:rFonts w:cstheme="minorHAnsi"/>
                <w:sz w:val="16"/>
                <w:szCs w:val="16"/>
              </w:rPr>
              <w:t xml:space="preserve">, Dugi Rat, Dugopolje, Gradac, Hrvace, Jelsa, Klis, </w:t>
            </w:r>
            <w:proofErr w:type="spellStart"/>
            <w:r w:rsidRPr="004348AA">
              <w:rPr>
                <w:rFonts w:cstheme="minorHAnsi"/>
                <w:sz w:val="16"/>
                <w:szCs w:val="16"/>
              </w:rPr>
              <w:t>Lećevica</w:t>
            </w:r>
            <w:proofErr w:type="spellEnd"/>
            <w:r w:rsidRPr="004348AA">
              <w:rPr>
                <w:rFonts w:cstheme="minorHAnsi"/>
                <w:sz w:val="16"/>
                <w:szCs w:val="16"/>
              </w:rPr>
              <w:t xml:space="preserve">, </w:t>
            </w:r>
            <w:proofErr w:type="spellStart"/>
            <w:r w:rsidRPr="004348AA">
              <w:rPr>
                <w:rFonts w:cstheme="minorHAnsi"/>
                <w:sz w:val="16"/>
                <w:szCs w:val="16"/>
              </w:rPr>
              <w:t>Lokvičići</w:t>
            </w:r>
            <w:proofErr w:type="spellEnd"/>
            <w:r w:rsidRPr="004348AA">
              <w:rPr>
                <w:rFonts w:cstheme="minorHAnsi"/>
                <w:sz w:val="16"/>
                <w:szCs w:val="16"/>
              </w:rPr>
              <w:t xml:space="preserve">, Lovreć, Marina, </w:t>
            </w:r>
            <w:proofErr w:type="spellStart"/>
            <w:r w:rsidRPr="004348AA">
              <w:rPr>
                <w:rFonts w:cstheme="minorHAnsi"/>
                <w:sz w:val="16"/>
                <w:szCs w:val="16"/>
              </w:rPr>
              <w:t>Milna</w:t>
            </w:r>
            <w:proofErr w:type="spellEnd"/>
            <w:r w:rsidRPr="004348AA">
              <w:rPr>
                <w:rFonts w:cstheme="minorHAnsi"/>
                <w:sz w:val="16"/>
                <w:szCs w:val="16"/>
              </w:rPr>
              <w:t xml:space="preserve">, Muć, </w:t>
            </w:r>
            <w:proofErr w:type="spellStart"/>
            <w:r w:rsidRPr="004348AA">
              <w:rPr>
                <w:rFonts w:cstheme="minorHAnsi"/>
                <w:sz w:val="16"/>
                <w:szCs w:val="16"/>
              </w:rPr>
              <w:t>Nerežišća</w:t>
            </w:r>
            <w:proofErr w:type="spellEnd"/>
            <w:r w:rsidRPr="004348AA">
              <w:rPr>
                <w:rFonts w:cstheme="minorHAnsi"/>
                <w:sz w:val="16"/>
                <w:szCs w:val="16"/>
              </w:rPr>
              <w:t xml:space="preserve">, Okrug, Otok, </w:t>
            </w:r>
            <w:proofErr w:type="spellStart"/>
            <w:r w:rsidRPr="004348AA">
              <w:rPr>
                <w:rFonts w:cstheme="minorHAnsi"/>
                <w:sz w:val="16"/>
                <w:szCs w:val="16"/>
              </w:rPr>
              <w:t>Podbablje</w:t>
            </w:r>
            <w:proofErr w:type="spellEnd"/>
            <w:r w:rsidRPr="004348AA">
              <w:rPr>
                <w:rFonts w:cstheme="minorHAnsi"/>
                <w:sz w:val="16"/>
                <w:szCs w:val="16"/>
              </w:rPr>
              <w:t xml:space="preserve">, Podgora, Podstrana, </w:t>
            </w:r>
            <w:proofErr w:type="spellStart"/>
            <w:r w:rsidRPr="004348AA">
              <w:rPr>
                <w:rFonts w:cstheme="minorHAnsi"/>
                <w:sz w:val="16"/>
                <w:szCs w:val="16"/>
              </w:rPr>
              <w:t>Postira</w:t>
            </w:r>
            <w:proofErr w:type="spellEnd"/>
            <w:r w:rsidRPr="004348AA">
              <w:rPr>
                <w:rFonts w:cstheme="minorHAnsi"/>
                <w:sz w:val="16"/>
                <w:szCs w:val="16"/>
              </w:rPr>
              <w:t xml:space="preserve">, Prgomet, Primorski Dolac, Proložac, </w:t>
            </w:r>
            <w:proofErr w:type="spellStart"/>
            <w:r w:rsidRPr="004348AA">
              <w:rPr>
                <w:rFonts w:cstheme="minorHAnsi"/>
                <w:sz w:val="16"/>
                <w:szCs w:val="16"/>
              </w:rPr>
              <w:t>Pučišća</w:t>
            </w:r>
            <w:proofErr w:type="spellEnd"/>
            <w:r w:rsidRPr="004348AA">
              <w:rPr>
                <w:rFonts w:cstheme="minorHAnsi"/>
                <w:sz w:val="16"/>
                <w:szCs w:val="16"/>
              </w:rPr>
              <w:t xml:space="preserve">, Runovići, Seget, Selca, Sućuraj, </w:t>
            </w:r>
            <w:proofErr w:type="spellStart"/>
            <w:r w:rsidRPr="004348AA">
              <w:rPr>
                <w:rFonts w:cstheme="minorHAnsi"/>
                <w:sz w:val="16"/>
                <w:szCs w:val="16"/>
              </w:rPr>
              <w:t>Sutivan</w:t>
            </w:r>
            <w:proofErr w:type="spellEnd"/>
            <w:r w:rsidRPr="004348AA">
              <w:rPr>
                <w:rFonts w:cstheme="minorHAnsi"/>
                <w:sz w:val="16"/>
                <w:szCs w:val="16"/>
              </w:rPr>
              <w:t xml:space="preserve">, Šestanovac, Šolta, Tučepi, </w:t>
            </w:r>
            <w:proofErr w:type="spellStart"/>
            <w:r w:rsidRPr="004348AA">
              <w:rPr>
                <w:rFonts w:cstheme="minorHAnsi"/>
                <w:sz w:val="16"/>
                <w:szCs w:val="16"/>
              </w:rPr>
              <w:t>Zadvarje</w:t>
            </w:r>
            <w:proofErr w:type="spellEnd"/>
            <w:r w:rsidRPr="004348AA">
              <w:rPr>
                <w:rFonts w:cstheme="minorHAnsi"/>
                <w:sz w:val="16"/>
                <w:szCs w:val="16"/>
              </w:rPr>
              <w:t xml:space="preserve">, Zagvozd, </w:t>
            </w:r>
            <w:proofErr w:type="spellStart"/>
            <w:r w:rsidRPr="004348AA">
              <w:rPr>
                <w:rFonts w:cstheme="minorHAnsi"/>
                <w:sz w:val="16"/>
                <w:szCs w:val="16"/>
              </w:rPr>
              <w:t>Zmijavci</w:t>
            </w:r>
            <w:proofErr w:type="spellEnd"/>
            <w:r w:rsidRPr="004348AA">
              <w:rPr>
                <w:rFonts w:cstheme="minorHAnsi"/>
                <w:sz w:val="16"/>
                <w:szCs w:val="16"/>
              </w:rPr>
              <w:t>.</w:t>
            </w:r>
          </w:p>
          <w:p w14:paraId="468A18B1" w14:textId="535FE639" w:rsidR="007D607C" w:rsidRPr="004348AA" w:rsidRDefault="007D607C" w:rsidP="00F55C2A">
            <w:pPr>
              <w:rPr>
                <w:rFonts w:cstheme="minorHAnsi"/>
                <w:sz w:val="16"/>
                <w:szCs w:val="16"/>
              </w:rPr>
            </w:pPr>
          </w:p>
        </w:tc>
      </w:tr>
      <w:tr w:rsidR="007D607C" w:rsidRPr="007D607C" w14:paraId="500EF57D" w14:textId="3AE21046" w:rsidTr="007D607C">
        <w:tc>
          <w:tcPr>
            <w:tcW w:w="261" w:type="pct"/>
            <w:vAlign w:val="center"/>
          </w:tcPr>
          <w:p w14:paraId="36FD3D7F" w14:textId="77777777" w:rsidR="00D91FCA" w:rsidRPr="004348AA" w:rsidRDefault="00D91FCA" w:rsidP="00A41D37">
            <w:pPr>
              <w:rPr>
                <w:rFonts w:cstheme="minorHAnsi"/>
                <w:sz w:val="16"/>
                <w:szCs w:val="16"/>
              </w:rPr>
            </w:pPr>
            <w:r w:rsidRPr="004348AA">
              <w:rPr>
                <w:rFonts w:cstheme="minorHAnsi"/>
                <w:sz w:val="16"/>
                <w:szCs w:val="16"/>
              </w:rPr>
              <w:t>7.</w:t>
            </w:r>
          </w:p>
        </w:tc>
        <w:tc>
          <w:tcPr>
            <w:tcW w:w="741" w:type="pct"/>
            <w:vAlign w:val="center"/>
          </w:tcPr>
          <w:p w14:paraId="2C2D0043" w14:textId="77777777" w:rsidR="00D91FCA" w:rsidRPr="004348AA" w:rsidRDefault="00D91FCA" w:rsidP="00A41D37">
            <w:pPr>
              <w:rPr>
                <w:rFonts w:cstheme="minorHAnsi"/>
                <w:sz w:val="16"/>
                <w:szCs w:val="16"/>
              </w:rPr>
            </w:pPr>
            <w:r w:rsidRPr="004348AA">
              <w:rPr>
                <w:rFonts w:cstheme="minorHAnsi"/>
                <w:sz w:val="16"/>
                <w:szCs w:val="16"/>
              </w:rPr>
              <w:t xml:space="preserve">CGO </w:t>
            </w:r>
            <w:proofErr w:type="spellStart"/>
            <w:r w:rsidRPr="004348AA">
              <w:rPr>
                <w:rFonts w:cstheme="minorHAnsi"/>
                <w:sz w:val="16"/>
                <w:szCs w:val="16"/>
              </w:rPr>
              <w:t>Lučino</w:t>
            </w:r>
            <w:proofErr w:type="spellEnd"/>
            <w:r w:rsidRPr="004348AA">
              <w:rPr>
                <w:rFonts w:cstheme="minorHAnsi"/>
                <w:sz w:val="16"/>
                <w:szCs w:val="16"/>
              </w:rPr>
              <w:t xml:space="preserve"> </w:t>
            </w:r>
            <w:proofErr w:type="spellStart"/>
            <w:r w:rsidRPr="004348AA">
              <w:rPr>
                <w:rFonts w:cstheme="minorHAnsi"/>
                <w:sz w:val="16"/>
                <w:szCs w:val="16"/>
              </w:rPr>
              <w:t>razdolje</w:t>
            </w:r>
            <w:proofErr w:type="spellEnd"/>
          </w:p>
        </w:tc>
        <w:tc>
          <w:tcPr>
            <w:tcW w:w="1106" w:type="pct"/>
            <w:vAlign w:val="center"/>
          </w:tcPr>
          <w:p w14:paraId="556FDCFC" w14:textId="5585DF52" w:rsidR="00D91FCA" w:rsidRPr="004348AA" w:rsidRDefault="00D91FCA" w:rsidP="00A41D37">
            <w:pPr>
              <w:rPr>
                <w:rFonts w:cstheme="minorHAnsi"/>
                <w:sz w:val="16"/>
                <w:szCs w:val="16"/>
              </w:rPr>
            </w:pPr>
            <w:r w:rsidRPr="004348AA">
              <w:rPr>
                <w:rFonts w:cstheme="minorHAnsi"/>
                <w:sz w:val="16"/>
                <w:szCs w:val="16"/>
              </w:rPr>
              <w:t>Dubrovačko-neretvanska</w:t>
            </w:r>
          </w:p>
        </w:tc>
        <w:tc>
          <w:tcPr>
            <w:tcW w:w="2892" w:type="pct"/>
          </w:tcPr>
          <w:p w14:paraId="292A5936" w14:textId="77777777" w:rsidR="0098641B" w:rsidRPr="004348AA" w:rsidRDefault="0098641B" w:rsidP="0098641B">
            <w:pPr>
              <w:rPr>
                <w:rFonts w:cstheme="minorHAnsi"/>
                <w:i/>
                <w:iCs/>
                <w:sz w:val="16"/>
                <w:szCs w:val="16"/>
              </w:rPr>
            </w:pPr>
            <w:r w:rsidRPr="004348AA">
              <w:rPr>
                <w:rFonts w:cstheme="minorHAnsi"/>
                <w:i/>
                <w:iCs/>
                <w:sz w:val="16"/>
                <w:szCs w:val="16"/>
              </w:rPr>
              <w:t>Sve JLS</w:t>
            </w:r>
          </w:p>
          <w:p w14:paraId="6E2ECCDA" w14:textId="77777777" w:rsidR="0098641B" w:rsidRPr="004348AA" w:rsidRDefault="0098641B" w:rsidP="0098641B">
            <w:pPr>
              <w:rPr>
                <w:rFonts w:cstheme="minorHAnsi"/>
                <w:sz w:val="16"/>
                <w:szCs w:val="16"/>
              </w:rPr>
            </w:pPr>
            <w:r w:rsidRPr="004348AA">
              <w:rPr>
                <w:rFonts w:cstheme="minorHAnsi"/>
                <w:sz w:val="16"/>
                <w:szCs w:val="16"/>
              </w:rPr>
              <w:t>Gradovi: Dubrovnik, Korčula, Metković, Opuzen, Ploče;</w:t>
            </w:r>
          </w:p>
          <w:p w14:paraId="58ACB07A" w14:textId="77777777" w:rsidR="0098641B" w:rsidRPr="004348AA" w:rsidRDefault="0098641B" w:rsidP="0098641B">
            <w:pPr>
              <w:rPr>
                <w:rFonts w:cstheme="minorHAnsi"/>
                <w:sz w:val="16"/>
                <w:szCs w:val="16"/>
              </w:rPr>
            </w:pPr>
          </w:p>
          <w:p w14:paraId="393BE20B" w14:textId="77777777" w:rsidR="0098641B" w:rsidRDefault="0098641B" w:rsidP="0098641B">
            <w:pPr>
              <w:rPr>
                <w:rFonts w:cstheme="minorHAnsi"/>
                <w:sz w:val="16"/>
                <w:szCs w:val="16"/>
              </w:rPr>
            </w:pPr>
            <w:r w:rsidRPr="004348AA">
              <w:rPr>
                <w:rFonts w:cstheme="minorHAnsi"/>
                <w:sz w:val="16"/>
                <w:szCs w:val="16"/>
              </w:rPr>
              <w:t xml:space="preserve">Općine: Blato, Dubrovačko primorje, Janjina, Konavle, Kula </w:t>
            </w:r>
            <w:proofErr w:type="spellStart"/>
            <w:r w:rsidRPr="004348AA">
              <w:rPr>
                <w:rFonts w:cstheme="minorHAnsi"/>
                <w:sz w:val="16"/>
                <w:szCs w:val="16"/>
              </w:rPr>
              <w:t>Norinska</w:t>
            </w:r>
            <w:proofErr w:type="spellEnd"/>
            <w:r w:rsidRPr="004348AA">
              <w:rPr>
                <w:rFonts w:cstheme="minorHAnsi"/>
                <w:sz w:val="16"/>
                <w:szCs w:val="16"/>
              </w:rPr>
              <w:t xml:space="preserve">, Lastovo, Lumbarda, Mljet, Orebić, </w:t>
            </w:r>
            <w:proofErr w:type="spellStart"/>
            <w:r w:rsidRPr="004348AA">
              <w:rPr>
                <w:rFonts w:cstheme="minorHAnsi"/>
                <w:sz w:val="16"/>
                <w:szCs w:val="16"/>
              </w:rPr>
              <w:t>Pojezerje</w:t>
            </w:r>
            <w:proofErr w:type="spellEnd"/>
            <w:r w:rsidRPr="004348AA">
              <w:rPr>
                <w:rFonts w:cstheme="minorHAnsi"/>
                <w:sz w:val="16"/>
                <w:szCs w:val="16"/>
              </w:rPr>
              <w:t xml:space="preserve">, Slivno, Smokvica, Ston, Trpanj, Vela Luka, </w:t>
            </w:r>
            <w:proofErr w:type="spellStart"/>
            <w:r w:rsidRPr="004348AA">
              <w:rPr>
                <w:rFonts w:cstheme="minorHAnsi"/>
                <w:sz w:val="16"/>
                <w:szCs w:val="16"/>
              </w:rPr>
              <w:t>Zažablje</w:t>
            </w:r>
            <w:proofErr w:type="spellEnd"/>
            <w:r w:rsidRPr="004348AA">
              <w:rPr>
                <w:rFonts w:cstheme="minorHAnsi"/>
                <w:sz w:val="16"/>
                <w:szCs w:val="16"/>
              </w:rPr>
              <w:t>, Župa dubrovačka.</w:t>
            </w:r>
          </w:p>
          <w:p w14:paraId="0D971C55" w14:textId="3761AD23" w:rsidR="007D607C" w:rsidRPr="004348AA" w:rsidRDefault="007D607C" w:rsidP="0098641B">
            <w:pPr>
              <w:rPr>
                <w:rFonts w:cstheme="minorHAnsi"/>
                <w:sz w:val="16"/>
                <w:szCs w:val="16"/>
              </w:rPr>
            </w:pPr>
          </w:p>
        </w:tc>
      </w:tr>
      <w:tr w:rsidR="007D607C" w:rsidRPr="007D607C" w14:paraId="32A73E90" w14:textId="7926A69E" w:rsidTr="007D607C">
        <w:tc>
          <w:tcPr>
            <w:tcW w:w="261" w:type="pct"/>
            <w:vMerge w:val="restart"/>
            <w:vAlign w:val="center"/>
          </w:tcPr>
          <w:p w14:paraId="68EC8D08" w14:textId="77777777" w:rsidR="00BC69FB" w:rsidRPr="004348AA" w:rsidRDefault="00BC69FB" w:rsidP="00A41D37">
            <w:pPr>
              <w:rPr>
                <w:rFonts w:cstheme="minorHAnsi"/>
                <w:sz w:val="16"/>
                <w:szCs w:val="16"/>
              </w:rPr>
            </w:pPr>
            <w:r w:rsidRPr="004348AA">
              <w:rPr>
                <w:rFonts w:cstheme="minorHAnsi"/>
                <w:sz w:val="16"/>
                <w:szCs w:val="16"/>
              </w:rPr>
              <w:t>8.</w:t>
            </w:r>
          </w:p>
        </w:tc>
        <w:tc>
          <w:tcPr>
            <w:tcW w:w="741" w:type="pct"/>
            <w:vMerge w:val="restart"/>
            <w:vAlign w:val="center"/>
          </w:tcPr>
          <w:p w14:paraId="55EB56D4" w14:textId="77777777" w:rsidR="00BC69FB" w:rsidRPr="004348AA" w:rsidRDefault="00BC69FB" w:rsidP="00A41D37">
            <w:pPr>
              <w:rPr>
                <w:rFonts w:cstheme="minorHAnsi"/>
                <w:sz w:val="16"/>
                <w:szCs w:val="16"/>
              </w:rPr>
            </w:pPr>
            <w:r w:rsidRPr="004348AA">
              <w:rPr>
                <w:rFonts w:cstheme="minorHAnsi"/>
                <w:sz w:val="16"/>
                <w:szCs w:val="16"/>
              </w:rPr>
              <w:t xml:space="preserve">CGO </w:t>
            </w:r>
            <w:proofErr w:type="spellStart"/>
            <w:r w:rsidRPr="004348AA">
              <w:rPr>
                <w:rFonts w:cstheme="minorHAnsi"/>
                <w:sz w:val="16"/>
                <w:szCs w:val="16"/>
              </w:rPr>
              <w:t>Piškornica</w:t>
            </w:r>
            <w:proofErr w:type="spellEnd"/>
          </w:p>
        </w:tc>
        <w:tc>
          <w:tcPr>
            <w:tcW w:w="1106" w:type="pct"/>
            <w:vAlign w:val="center"/>
          </w:tcPr>
          <w:p w14:paraId="406EE493" w14:textId="6878271F" w:rsidR="00BC69FB" w:rsidRPr="004348AA" w:rsidRDefault="00BC69FB" w:rsidP="00A41D37">
            <w:pPr>
              <w:rPr>
                <w:rFonts w:cstheme="minorHAnsi"/>
                <w:sz w:val="16"/>
                <w:szCs w:val="16"/>
              </w:rPr>
            </w:pPr>
            <w:r w:rsidRPr="004348AA">
              <w:rPr>
                <w:rFonts w:cstheme="minorHAnsi"/>
                <w:sz w:val="16"/>
                <w:szCs w:val="16"/>
              </w:rPr>
              <w:t xml:space="preserve">Koprivničko-križevačka (sve JLS), </w:t>
            </w:r>
          </w:p>
        </w:tc>
        <w:tc>
          <w:tcPr>
            <w:tcW w:w="2892" w:type="pct"/>
          </w:tcPr>
          <w:p w14:paraId="5042D9CA" w14:textId="77777777" w:rsidR="00BC69FB" w:rsidRPr="004348AA" w:rsidRDefault="00BC69FB" w:rsidP="00BC69FB">
            <w:pPr>
              <w:rPr>
                <w:rFonts w:cstheme="minorHAnsi"/>
                <w:i/>
                <w:iCs/>
                <w:sz w:val="16"/>
                <w:szCs w:val="16"/>
              </w:rPr>
            </w:pPr>
            <w:r w:rsidRPr="004348AA">
              <w:rPr>
                <w:rFonts w:cstheme="minorHAnsi"/>
                <w:i/>
                <w:iCs/>
                <w:sz w:val="16"/>
                <w:szCs w:val="16"/>
              </w:rPr>
              <w:t>Sve JLS</w:t>
            </w:r>
          </w:p>
          <w:p w14:paraId="3AF73894" w14:textId="77777777" w:rsidR="00BC69FB" w:rsidRPr="004348AA" w:rsidRDefault="00BC69FB" w:rsidP="00BC69FB">
            <w:pPr>
              <w:rPr>
                <w:rFonts w:cstheme="minorHAnsi"/>
                <w:sz w:val="16"/>
                <w:szCs w:val="16"/>
              </w:rPr>
            </w:pPr>
            <w:r w:rsidRPr="004348AA">
              <w:rPr>
                <w:rFonts w:cstheme="minorHAnsi"/>
                <w:sz w:val="16"/>
                <w:szCs w:val="16"/>
              </w:rPr>
              <w:t>Gradovi: Đurđevac, Koprivnica, Križevci;</w:t>
            </w:r>
          </w:p>
          <w:p w14:paraId="3FE1DD22" w14:textId="77777777" w:rsidR="00BC69FB" w:rsidRPr="004348AA" w:rsidRDefault="00BC69FB" w:rsidP="00BC69FB">
            <w:pPr>
              <w:rPr>
                <w:rFonts w:cstheme="minorHAnsi"/>
                <w:sz w:val="16"/>
                <w:szCs w:val="16"/>
              </w:rPr>
            </w:pPr>
          </w:p>
          <w:p w14:paraId="6D46F9C5" w14:textId="77777777" w:rsidR="00BC69FB" w:rsidRDefault="00BC69FB" w:rsidP="00BC69FB">
            <w:pPr>
              <w:rPr>
                <w:rFonts w:cstheme="minorHAnsi"/>
                <w:sz w:val="16"/>
                <w:szCs w:val="16"/>
              </w:rPr>
            </w:pPr>
            <w:r w:rsidRPr="004348AA">
              <w:rPr>
                <w:rFonts w:cstheme="minorHAnsi"/>
                <w:sz w:val="16"/>
                <w:szCs w:val="16"/>
              </w:rPr>
              <w:t xml:space="preserve">Općine: </w:t>
            </w:r>
            <w:proofErr w:type="spellStart"/>
            <w:r w:rsidRPr="004348AA">
              <w:rPr>
                <w:rFonts w:cstheme="minorHAnsi"/>
                <w:sz w:val="16"/>
                <w:szCs w:val="16"/>
              </w:rPr>
              <w:t>Drnje</w:t>
            </w:r>
            <w:proofErr w:type="spellEnd"/>
            <w:r w:rsidRPr="004348AA">
              <w:rPr>
                <w:rFonts w:cstheme="minorHAnsi"/>
                <w:sz w:val="16"/>
                <w:szCs w:val="16"/>
              </w:rPr>
              <w:t xml:space="preserve">, </w:t>
            </w:r>
            <w:proofErr w:type="spellStart"/>
            <w:r w:rsidRPr="004348AA">
              <w:rPr>
                <w:rFonts w:cstheme="minorHAnsi"/>
                <w:sz w:val="16"/>
                <w:szCs w:val="16"/>
              </w:rPr>
              <w:t>Đelekovec</w:t>
            </w:r>
            <w:proofErr w:type="spellEnd"/>
            <w:r w:rsidRPr="004348AA">
              <w:rPr>
                <w:rFonts w:cstheme="minorHAnsi"/>
                <w:sz w:val="16"/>
                <w:szCs w:val="16"/>
              </w:rPr>
              <w:t xml:space="preserve">, Ferdinandovac, Gola, Gornja Rijeka, </w:t>
            </w:r>
            <w:proofErr w:type="spellStart"/>
            <w:r w:rsidRPr="004348AA">
              <w:rPr>
                <w:rFonts w:cstheme="minorHAnsi"/>
                <w:sz w:val="16"/>
                <w:szCs w:val="16"/>
              </w:rPr>
              <w:t>Hlebine</w:t>
            </w:r>
            <w:proofErr w:type="spellEnd"/>
            <w:r w:rsidRPr="004348AA">
              <w:rPr>
                <w:rFonts w:cstheme="minorHAnsi"/>
                <w:sz w:val="16"/>
                <w:szCs w:val="16"/>
              </w:rPr>
              <w:t xml:space="preserve">, Kalinovac, Kalnik, Kloštar Podravski, Koprivnički </w:t>
            </w:r>
            <w:proofErr w:type="spellStart"/>
            <w:r w:rsidRPr="004348AA">
              <w:rPr>
                <w:rFonts w:cstheme="minorHAnsi"/>
                <w:sz w:val="16"/>
                <w:szCs w:val="16"/>
              </w:rPr>
              <w:t>Bregi</w:t>
            </w:r>
            <w:proofErr w:type="spellEnd"/>
            <w:r w:rsidRPr="004348AA">
              <w:rPr>
                <w:rFonts w:cstheme="minorHAnsi"/>
                <w:sz w:val="16"/>
                <w:szCs w:val="16"/>
              </w:rPr>
              <w:t xml:space="preserve">, Koprivnički Ivanec, Legrad, Molve, Novigrad Podravski, Novo Virje, </w:t>
            </w:r>
            <w:proofErr w:type="spellStart"/>
            <w:r w:rsidRPr="004348AA">
              <w:rPr>
                <w:rFonts w:cstheme="minorHAnsi"/>
                <w:sz w:val="16"/>
                <w:szCs w:val="16"/>
              </w:rPr>
              <w:t>Peteranec</w:t>
            </w:r>
            <w:proofErr w:type="spellEnd"/>
            <w:r w:rsidRPr="004348AA">
              <w:rPr>
                <w:rFonts w:cstheme="minorHAnsi"/>
                <w:sz w:val="16"/>
                <w:szCs w:val="16"/>
              </w:rPr>
              <w:t>, Podravske Sesvete, Rasinja, Sokolovac, Sveti Ivan Žabno, Sveti Petar Orehovec, Virje.</w:t>
            </w:r>
          </w:p>
          <w:p w14:paraId="5AD2EF03" w14:textId="0802C4DD" w:rsidR="007D607C" w:rsidRPr="004348AA" w:rsidRDefault="007D607C" w:rsidP="00BC69FB">
            <w:pPr>
              <w:rPr>
                <w:rFonts w:cstheme="minorHAnsi"/>
                <w:sz w:val="16"/>
                <w:szCs w:val="16"/>
              </w:rPr>
            </w:pPr>
          </w:p>
        </w:tc>
      </w:tr>
      <w:tr w:rsidR="007D607C" w:rsidRPr="007D607C" w14:paraId="5E1D5063" w14:textId="77777777" w:rsidTr="007D607C">
        <w:tc>
          <w:tcPr>
            <w:tcW w:w="261" w:type="pct"/>
            <w:vMerge/>
            <w:vAlign w:val="center"/>
          </w:tcPr>
          <w:p w14:paraId="4AFD0444" w14:textId="77777777" w:rsidR="00BC69FB" w:rsidRPr="00E25425" w:rsidRDefault="00BC69FB" w:rsidP="00A41D37">
            <w:pPr>
              <w:rPr>
                <w:rFonts w:cstheme="minorHAnsi"/>
                <w:sz w:val="16"/>
                <w:szCs w:val="16"/>
              </w:rPr>
            </w:pPr>
          </w:p>
        </w:tc>
        <w:tc>
          <w:tcPr>
            <w:tcW w:w="741" w:type="pct"/>
            <w:vMerge/>
            <w:vAlign w:val="center"/>
          </w:tcPr>
          <w:p w14:paraId="679985F5" w14:textId="77777777" w:rsidR="00BC69FB" w:rsidRPr="00E25425" w:rsidRDefault="00BC69FB" w:rsidP="00A41D37">
            <w:pPr>
              <w:rPr>
                <w:rFonts w:cstheme="minorHAnsi"/>
                <w:sz w:val="16"/>
                <w:szCs w:val="16"/>
              </w:rPr>
            </w:pPr>
          </w:p>
        </w:tc>
        <w:tc>
          <w:tcPr>
            <w:tcW w:w="1106" w:type="pct"/>
            <w:vAlign w:val="center"/>
          </w:tcPr>
          <w:p w14:paraId="07B4FF5E" w14:textId="38D83A6D" w:rsidR="00BC69FB" w:rsidRPr="00E25425" w:rsidRDefault="00BC69FB" w:rsidP="00A41D37">
            <w:pPr>
              <w:rPr>
                <w:rFonts w:cstheme="minorHAnsi"/>
                <w:sz w:val="16"/>
                <w:szCs w:val="16"/>
              </w:rPr>
            </w:pPr>
            <w:r w:rsidRPr="00E25425">
              <w:rPr>
                <w:rFonts w:cstheme="minorHAnsi"/>
                <w:sz w:val="16"/>
                <w:szCs w:val="16"/>
              </w:rPr>
              <w:t>Krapinsko-zagorska (sve JLS),</w:t>
            </w:r>
          </w:p>
        </w:tc>
        <w:tc>
          <w:tcPr>
            <w:tcW w:w="2892" w:type="pct"/>
          </w:tcPr>
          <w:p w14:paraId="050F6FA4" w14:textId="77777777" w:rsidR="00BC69FB" w:rsidRPr="00E25425" w:rsidRDefault="00BC69FB" w:rsidP="00BC69FB">
            <w:pPr>
              <w:rPr>
                <w:rFonts w:cstheme="minorHAnsi"/>
                <w:i/>
                <w:iCs/>
                <w:sz w:val="16"/>
                <w:szCs w:val="16"/>
              </w:rPr>
            </w:pPr>
            <w:r w:rsidRPr="00E25425">
              <w:rPr>
                <w:rFonts w:cstheme="minorHAnsi"/>
                <w:i/>
                <w:iCs/>
                <w:sz w:val="16"/>
                <w:szCs w:val="16"/>
              </w:rPr>
              <w:t>Sve JLS</w:t>
            </w:r>
          </w:p>
          <w:p w14:paraId="5870133D" w14:textId="77777777" w:rsidR="00BC69FB" w:rsidRPr="00E25425" w:rsidRDefault="00BC69FB" w:rsidP="00A41D37">
            <w:pPr>
              <w:rPr>
                <w:rFonts w:cstheme="minorHAnsi"/>
                <w:sz w:val="16"/>
                <w:szCs w:val="16"/>
              </w:rPr>
            </w:pPr>
            <w:r w:rsidRPr="00E25425">
              <w:rPr>
                <w:rFonts w:cstheme="minorHAnsi"/>
                <w:sz w:val="16"/>
                <w:szCs w:val="16"/>
              </w:rPr>
              <w:t>Gradovi: Donja Stubica, Klanjec, Krapina, Oroslavje, Pregrada, Zabok, Zlatar;</w:t>
            </w:r>
          </w:p>
          <w:p w14:paraId="3BBEAAC0" w14:textId="77777777" w:rsidR="00BC69FB" w:rsidRPr="00E25425" w:rsidRDefault="00BC69FB" w:rsidP="00A41D37">
            <w:pPr>
              <w:rPr>
                <w:rFonts w:cstheme="minorHAnsi"/>
                <w:sz w:val="16"/>
                <w:szCs w:val="16"/>
              </w:rPr>
            </w:pPr>
          </w:p>
          <w:p w14:paraId="35EA7841" w14:textId="77777777" w:rsidR="00BC69FB" w:rsidRDefault="00BC69FB" w:rsidP="00A41D37">
            <w:pPr>
              <w:rPr>
                <w:rFonts w:cstheme="minorHAnsi"/>
                <w:sz w:val="16"/>
                <w:szCs w:val="16"/>
              </w:rPr>
            </w:pPr>
            <w:r w:rsidRPr="00E25425">
              <w:rPr>
                <w:rFonts w:cstheme="minorHAnsi"/>
                <w:sz w:val="16"/>
                <w:szCs w:val="16"/>
              </w:rPr>
              <w:t xml:space="preserve">Općine: Bedekovčina, </w:t>
            </w:r>
            <w:proofErr w:type="spellStart"/>
            <w:r w:rsidRPr="00E25425">
              <w:rPr>
                <w:rFonts w:cstheme="minorHAnsi"/>
                <w:sz w:val="16"/>
                <w:szCs w:val="16"/>
              </w:rPr>
              <w:t>Budinščina</w:t>
            </w:r>
            <w:proofErr w:type="spellEnd"/>
            <w:r w:rsidRPr="00E25425">
              <w:rPr>
                <w:rFonts w:cstheme="minorHAnsi"/>
                <w:sz w:val="16"/>
                <w:szCs w:val="16"/>
              </w:rPr>
              <w:t xml:space="preserve">, </w:t>
            </w:r>
            <w:proofErr w:type="spellStart"/>
            <w:r w:rsidRPr="00E25425">
              <w:rPr>
                <w:rFonts w:cstheme="minorHAnsi"/>
                <w:sz w:val="16"/>
                <w:szCs w:val="16"/>
              </w:rPr>
              <w:t>Desinić</w:t>
            </w:r>
            <w:proofErr w:type="spellEnd"/>
            <w:r w:rsidRPr="00E25425">
              <w:rPr>
                <w:rFonts w:cstheme="minorHAnsi"/>
                <w:sz w:val="16"/>
                <w:szCs w:val="16"/>
              </w:rPr>
              <w:t xml:space="preserve">, Đurmanec, Gornja Stubica, </w:t>
            </w:r>
            <w:proofErr w:type="spellStart"/>
            <w:r w:rsidRPr="00E25425">
              <w:rPr>
                <w:rFonts w:cstheme="minorHAnsi"/>
                <w:sz w:val="16"/>
                <w:szCs w:val="16"/>
              </w:rPr>
              <w:t>Hrašćina</w:t>
            </w:r>
            <w:proofErr w:type="spellEnd"/>
            <w:r w:rsidRPr="00E25425">
              <w:rPr>
                <w:rFonts w:cstheme="minorHAnsi"/>
                <w:sz w:val="16"/>
                <w:szCs w:val="16"/>
              </w:rPr>
              <w:t xml:space="preserve">, Hum na Sutli, Jesenje, Konjščina, Kraljevec na Sutli, Krapinske Toplice, Kumrovec, Lobor, Mače, Marija Bistrica, Mihovljan, Novi </w:t>
            </w:r>
            <w:proofErr w:type="spellStart"/>
            <w:r w:rsidRPr="00E25425">
              <w:rPr>
                <w:rFonts w:cstheme="minorHAnsi"/>
                <w:sz w:val="16"/>
                <w:szCs w:val="16"/>
              </w:rPr>
              <w:t>Golubovec</w:t>
            </w:r>
            <w:proofErr w:type="spellEnd"/>
            <w:r w:rsidRPr="00E25425">
              <w:rPr>
                <w:rFonts w:cstheme="minorHAnsi"/>
                <w:sz w:val="16"/>
                <w:szCs w:val="16"/>
              </w:rPr>
              <w:t xml:space="preserve">, </w:t>
            </w:r>
            <w:proofErr w:type="spellStart"/>
            <w:r w:rsidRPr="00E25425">
              <w:rPr>
                <w:rFonts w:cstheme="minorHAnsi"/>
                <w:sz w:val="16"/>
                <w:szCs w:val="16"/>
              </w:rPr>
              <w:lastRenderedPageBreak/>
              <w:t>Petrovsko</w:t>
            </w:r>
            <w:proofErr w:type="spellEnd"/>
            <w:r w:rsidRPr="00E25425">
              <w:rPr>
                <w:rFonts w:cstheme="minorHAnsi"/>
                <w:sz w:val="16"/>
                <w:szCs w:val="16"/>
              </w:rPr>
              <w:t>, Radoboj, Stubičke Toplice, Sveti Križ Začretje, Tuhelj, Veliko Trgovišće, Zagorska Sela, Zlatar Bistrica.</w:t>
            </w:r>
          </w:p>
          <w:p w14:paraId="45B57A30" w14:textId="0670F16C" w:rsidR="007D607C" w:rsidRPr="004348AA" w:rsidRDefault="007D607C" w:rsidP="00A41D37">
            <w:pPr>
              <w:rPr>
                <w:rFonts w:cstheme="minorHAnsi"/>
                <w:sz w:val="16"/>
                <w:szCs w:val="16"/>
              </w:rPr>
            </w:pPr>
          </w:p>
        </w:tc>
      </w:tr>
      <w:tr w:rsidR="007D607C" w:rsidRPr="007D607C" w14:paraId="48704468" w14:textId="77777777" w:rsidTr="007D607C">
        <w:tc>
          <w:tcPr>
            <w:tcW w:w="261" w:type="pct"/>
            <w:vMerge/>
            <w:vAlign w:val="center"/>
          </w:tcPr>
          <w:p w14:paraId="46160CFF" w14:textId="77777777" w:rsidR="00BC69FB" w:rsidRPr="00E25425" w:rsidRDefault="00BC69FB" w:rsidP="00A41D37">
            <w:pPr>
              <w:rPr>
                <w:rFonts w:cstheme="minorHAnsi"/>
                <w:sz w:val="16"/>
                <w:szCs w:val="16"/>
              </w:rPr>
            </w:pPr>
          </w:p>
        </w:tc>
        <w:tc>
          <w:tcPr>
            <w:tcW w:w="741" w:type="pct"/>
            <w:vMerge/>
            <w:vAlign w:val="center"/>
          </w:tcPr>
          <w:p w14:paraId="56FD71A6" w14:textId="77777777" w:rsidR="00BC69FB" w:rsidRPr="00E25425" w:rsidRDefault="00BC69FB" w:rsidP="00A41D37">
            <w:pPr>
              <w:rPr>
                <w:rFonts w:cstheme="minorHAnsi"/>
                <w:sz w:val="16"/>
                <w:szCs w:val="16"/>
              </w:rPr>
            </w:pPr>
          </w:p>
        </w:tc>
        <w:tc>
          <w:tcPr>
            <w:tcW w:w="1106" w:type="pct"/>
            <w:vAlign w:val="center"/>
          </w:tcPr>
          <w:p w14:paraId="53FDC412" w14:textId="59B72260" w:rsidR="00BC69FB" w:rsidRPr="00E25425" w:rsidRDefault="00BC69FB" w:rsidP="00A41D37">
            <w:pPr>
              <w:rPr>
                <w:rFonts w:cstheme="minorHAnsi"/>
                <w:sz w:val="16"/>
                <w:szCs w:val="16"/>
              </w:rPr>
            </w:pPr>
            <w:r w:rsidRPr="00E25425">
              <w:rPr>
                <w:rFonts w:cstheme="minorHAnsi"/>
                <w:sz w:val="16"/>
                <w:szCs w:val="16"/>
              </w:rPr>
              <w:t xml:space="preserve">Međimurska </w:t>
            </w:r>
          </w:p>
        </w:tc>
        <w:tc>
          <w:tcPr>
            <w:tcW w:w="2892" w:type="pct"/>
          </w:tcPr>
          <w:p w14:paraId="2658170C" w14:textId="7D9DD8D6" w:rsidR="00BC69FB" w:rsidRPr="00E25425" w:rsidRDefault="00BC69FB" w:rsidP="00BC69FB">
            <w:pPr>
              <w:rPr>
                <w:rFonts w:cstheme="minorHAnsi"/>
                <w:i/>
                <w:iCs/>
                <w:sz w:val="16"/>
                <w:szCs w:val="16"/>
              </w:rPr>
            </w:pPr>
            <w:r w:rsidRPr="00E25425">
              <w:rPr>
                <w:rFonts w:cstheme="minorHAnsi"/>
                <w:i/>
                <w:iCs/>
                <w:sz w:val="16"/>
                <w:szCs w:val="16"/>
              </w:rPr>
              <w:t>Sve JLS</w:t>
            </w:r>
          </w:p>
          <w:p w14:paraId="0DD92421" w14:textId="77777777" w:rsidR="00BC69FB" w:rsidRPr="004348AA" w:rsidRDefault="00BC69FB" w:rsidP="00BC69FB">
            <w:pPr>
              <w:rPr>
                <w:rFonts w:cstheme="minorHAnsi"/>
                <w:sz w:val="16"/>
                <w:szCs w:val="16"/>
              </w:rPr>
            </w:pPr>
            <w:r w:rsidRPr="004348AA">
              <w:rPr>
                <w:rFonts w:cstheme="minorHAnsi"/>
                <w:sz w:val="16"/>
                <w:szCs w:val="16"/>
              </w:rPr>
              <w:t>Gradovi: Čakovec, Mursko Središće, Prelog;</w:t>
            </w:r>
          </w:p>
          <w:p w14:paraId="0881D888" w14:textId="77777777" w:rsidR="00BC69FB" w:rsidRPr="004348AA" w:rsidRDefault="00BC69FB" w:rsidP="00BC69FB">
            <w:pPr>
              <w:rPr>
                <w:rFonts w:cstheme="minorHAnsi"/>
                <w:sz w:val="16"/>
                <w:szCs w:val="16"/>
              </w:rPr>
            </w:pPr>
          </w:p>
          <w:p w14:paraId="084EF197" w14:textId="77777777" w:rsidR="00BC69FB" w:rsidRDefault="00BC69FB" w:rsidP="00BC69FB">
            <w:pPr>
              <w:rPr>
                <w:rFonts w:cstheme="minorHAnsi"/>
                <w:sz w:val="16"/>
                <w:szCs w:val="16"/>
              </w:rPr>
            </w:pPr>
            <w:r w:rsidRPr="004348AA">
              <w:rPr>
                <w:rFonts w:cstheme="minorHAnsi"/>
                <w:sz w:val="16"/>
                <w:szCs w:val="16"/>
              </w:rPr>
              <w:t xml:space="preserve">Općine: </w:t>
            </w:r>
            <w:proofErr w:type="spellStart"/>
            <w:r w:rsidRPr="004348AA">
              <w:rPr>
                <w:rFonts w:cstheme="minorHAnsi"/>
                <w:sz w:val="16"/>
                <w:szCs w:val="16"/>
              </w:rPr>
              <w:t>Belica</w:t>
            </w:r>
            <w:proofErr w:type="spellEnd"/>
            <w:r w:rsidRPr="004348AA">
              <w:rPr>
                <w:rFonts w:cstheme="minorHAnsi"/>
                <w:sz w:val="16"/>
                <w:szCs w:val="16"/>
              </w:rPr>
              <w:t xml:space="preserve">, </w:t>
            </w:r>
            <w:proofErr w:type="spellStart"/>
            <w:r w:rsidRPr="004348AA">
              <w:rPr>
                <w:rFonts w:cstheme="minorHAnsi"/>
                <w:sz w:val="16"/>
                <w:szCs w:val="16"/>
              </w:rPr>
              <w:t>Dekanovec</w:t>
            </w:r>
            <w:proofErr w:type="spellEnd"/>
            <w:r w:rsidRPr="004348AA">
              <w:rPr>
                <w:rFonts w:cstheme="minorHAnsi"/>
                <w:sz w:val="16"/>
                <w:szCs w:val="16"/>
              </w:rPr>
              <w:t xml:space="preserve">, </w:t>
            </w:r>
            <w:proofErr w:type="spellStart"/>
            <w:r w:rsidRPr="004348AA">
              <w:rPr>
                <w:rFonts w:cstheme="minorHAnsi"/>
                <w:sz w:val="16"/>
                <w:szCs w:val="16"/>
              </w:rPr>
              <w:t>Domašinec</w:t>
            </w:r>
            <w:proofErr w:type="spellEnd"/>
            <w:r w:rsidRPr="004348AA">
              <w:rPr>
                <w:rFonts w:cstheme="minorHAnsi"/>
                <w:sz w:val="16"/>
                <w:szCs w:val="16"/>
              </w:rPr>
              <w:t xml:space="preserve">, Donja Dubrava, Donji Kraljevec, Donji Vidovec, Goričan, Gornji </w:t>
            </w:r>
            <w:proofErr w:type="spellStart"/>
            <w:r w:rsidRPr="004348AA">
              <w:rPr>
                <w:rFonts w:cstheme="minorHAnsi"/>
                <w:sz w:val="16"/>
                <w:szCs w:val="16"/>
              </w:rPr>
              <w:t>Mihaljevec</w:t>
            </w:r>
            <w:proofErr w:type="spellEnd"/>
            <w:r w:rsidRPr="004348AA">
              <w:rPr>
                <w:rFonts w:cstheme="minorHAnsi"/>
                <w:sz w:val="16"/>
                <w:szCs w:val="16"/>
              </w:rPr>
              <w:t xml:space="preserve">, Kotoriba, Mala Subotica, Nedelišće, Orehovica, Podturen, Pribislavec, Selnica, Strahoninec, Sveta Marija, Sveti Juraj na Bregu, Sveti Martin na Muri, Šenkovec, Štrigova, </w:t>
            </w:r>
            <w:proofErr w:type="spellStart"/>
            <w:r w:rsidRPr="004348AA">
              <w:rPr>
                <w:rFonts w:cstheme="minorHAnsi"/>
                <w:sz w:val="16"/>
                <w:szCs w:val="16"/>
              </w:rPr>
              <w:t>Vratišinec</w:t>
            </w:r>
            <w:proofErr w:type="spellEnd"/>
            <w:r w:rsidRPr="004348AA">
              <w:rPr>
                <w:rFonts w:cstheme="minorHAnsi"/>
                <w:sz w:val="16"/>
                <w:szCs w:val="16"/>
              </w:rPr>
              <w:t>.</w:t>
            </w:r>
          </w:p>
          <w:p w14:paraId="4957CD6A" w14:textId="2C6DB895" w:rsidR="007D607C" w:rsidRPr="004348AA" w:rsidRDefault="007D607C" w:rsidP="00BC69FB">
            <w:pPr>
              <w:rPr>
                <w:rFonts w:cstheme="minorHAnsi"/>
                <w:sz w:val="16"/>
                <w:szCs w:val="16"/>
              </w:rPr>
            </w:pPr>
          </w:p>
        </w:tc>
      </w:tr>
      <w:tr w:rsidR="007D607C" w:rsidRPr="007D607C" w14:paraId="3655DC8D" w14:textId="77777777" w:rsidTr="007D607C">
        <w:tc>
          <w:tcPr>
            <w:tcW w:w="261" w:type="pct"/>
            <w:vMerge/>
            <w:vAlign w:val="center"/>
          </w:tcPr>
          <w:p w14:paraId="5F3CC601" w14:textId="77777777" w:rsidR="00BC69FB" w:rsidRPr="00E25425" w:rsidRDefault="00BC69FB" w:rsidP="00A41D37">
            <w:pPr>
              <w:rPr>
                <w:rFonts w:cstheme="minorHAnsi"/>
                <w:sz w:val="16"/>
                <w:szCs w:val="16"/>
              </w:rPr>
            </w:pPr>
          </w:p>
        </w:tc>
        <w:tc>
          <w:tcPr>
            <w:tcW w:w="741" w:type="pct"/>
            <w:vMerge/>
            <w:vAlign w:val="center"/>
          </w:tcPr>
          <w:p w14:paraId="3984F1E0" w14:textId="77777777" w:rsidR="00BC69FB" w:rsidRPr="00E25425" w:rsidRDefault="00BC69FB" w:rsidP="00A41D37">
            <w:pPr>
              <w:rPr>
                <w:rFonts w:cstheme="minorHAnsi"/>
                <w:sz w:val="16"/>
                <w:szCs w:val="16"/>
              </w:rPr>
            </w:pPr>
          </w:p>
        </w:tc>
        <w:tc>
          <w:tcPr>
            <w:tcW w:w="1106" w:type="pct"/>
            <w:vAlign w:val="center"/>
          </w:tcPr>
          <w:p w14:paraId="3C3FEC3A" w14:textId="1F9F2470" w:rsidR="00BC69FB" w:rsidRPr="00E25425" w:rsidRDefault="00BC69FB" w:rsidP="00A41D37">
            <w:pPr>
              <w:rPr>
                <w:rFonts w:cstheme="minorHAnsi"/>
                <w:sz w:val="16"/>
                <w:szCs w:val="16"/>
              </w:rPr>
            </w:pPr>
            <w:r w:rsidRPr="00E25425">
              <w:rPr>
                <w:rFonts w:cstheme="minorHAnsi"/>
                <w:sz w:val="16"/>
                <w:szCs w:val="16"/>
              </w:rPr>
              <w:t xml:space="preserve">Varaždinska </w:t>
            </w:r>
          </w:p>
        </w:tc>
        <w:tc>
          <w:tcPr>
            <w:tcW w:w="2892" w:type="pct"/>
          </w:tcPr>
          <w:p w14:paraId="39ACE3F5" w14:textId="77777777" w:rsidR="00BC69FB" w:rsidRPr="00E25425" w:rsidRDefault="00BC69FB" w:rsidP="00BC69FB">
            <w:pPr>
              <w:rPr>
                <w:rFonts w:cstheme="minorHAnsi"/>
                <w:i/>
                <w:iCs/>
                <w:sz w:val="16"/>
                <w:szCs w:val="16"/>
              </w:rPr>
            </w:pPr>
            <w:r w:rsidRPr="00E25425">
              <w:rPr>
                <w:rFonts w:cstheme="minorHAnsi"/>
                <w:i/>
                <w:iCs/>
                <w:sz w:val="16"/>
                <w:szCs w:val="16"/>
              </w:rPr>
              <w:t>Sve JLS</w:t>
            </w:r>
          </w:p>
          <w:p w14:paraId="3960CB53" w14:textId="77777777" w:rsidR="00BC69FB" w:rsidRPr="00E25425" w:rsidRDefault="00BC69FB" w:rsidP="00A41D37">
            <w:pPr>
              <w:rPr>
                <w:rFonts w:cstheme="minorHAnsi"/>
                <w:sz w:val="16"/>
                <w:szCs w:val="16"/>
              </w:rPr>
            </w:pPr>
            <w:r w:rsidRPr="00E25425">
              <w:rPr>
                <w:rFonts w:cstheme="minorHAnsi"/>
                <w:sz w:val="16"/>
                <w:szCs w:val="16"/>
              </w:rPr>
              <w:t>Gradovi: Ivanec, Lepoglava, Ludbreg, Novi Marof, Varaždin, Varaždinske Toplice;</w:t>
            </w:r>
          </w:p>
          <w:p w14:paraId="4E42BCBC" w14:textId="77777777" w:rsidR="00BC69FB" w:rsidRPr="00E25425" w:rsidRDefault="00BC69FB" w:rsidP="00A41D37">
            <w:pPr>
              <w:rPr>
                <w:rFonts w:cstheme="minorHAnsi"/>
                <w:sz w:val="16"/>
                <w:szCs w:val="16"/>
              </w:rPr>
            </w:pPr>
          </w:p>
          <w:p w14:paraId="383267DA" w14:textId="77777777" w:rsidR="00BC69FB" w:rsidRDefault="00BC69FB" w:rsidP="00A41D37">
            <w:pPr>
              <w:rPr>
                <w:rFonts w:cstheme="minorHAnsi"/>
                <w:sz w:val="16"/>
                <w:szCs w:val="16"/>
              </w:rPr>
            </w:pPr>
            <w:r w:rsidRPr="00E25425">
              <w:rPr>
                <w:rFonts w:cstheme="minorHAnsi"/>
                <w:sz w:val="16"/>
                <w:szCs w:val="16"/>
              </w:rPr>
              <w:t xml:space="preserve">Općine: Bednja, </w:t>
            </w:r>
            <w:proofErr w:type="spellStart"/>
            <w:r w:rsidRPr="00E25425">
              <w:rPr>
                <w:rFonts w:cstheme="minorHAnsi"/>
                <w:sz w:val="16"/>
                <w:szCs w:val="16"/>
              </w:rPr>
              <w:t>Beretinec</w:t>
            </w:r>
            <w:proofErr w:type="spellEnd"/>
            <w:r w:rsidRPr="00E25425">
              <w:rPr>
                <w:rFonts w:cstheme="minorHAnsi"/>
                <w:sz w:val="16"/>
                <w:szCs w:val="16"/>
              </w:rPr>
              <w:t xml:space="preserve">, Breznica, Breznički Hum, Cestica, Donja Voća, Gornji Kneginec, Jalžabet, Klenovnik, </w:t>
            </w:r>
            <w:proofErr w:type="spellStart"/>
            <w:r w:rsidRPr="00E25425">
              <w:rPr>
                <w:rFonts w:cstheme="minorHAnsi"/>
                <w:sz w:val="16"/>
                <w:szCs w:val="16"/>
              </w:rPr>
              <w:t>Ljubešćica</w:t>
            </w:r>
            <w:proofErr w:type="spellEnd"/>
            <w:r w:rsidRPr="00E25425">
              <w:rPr>
                <w:rFonts w:cstheme="minorHAnsi"/>
                <w:sz w:val="16"/>
                <w:szCs w:val="16"/>
              </w:rPr>
              <w:t xml:space="preserve">, Mali Bukovec, Martijanec, Maruševec, Petrijanec, </w:t>
            </w:r>
            <w:proofErr w:type="spellStart"/>
            <w:r w:rsidRPr="00E25425">
              <w:rPr>
                <w:rFonts w:cstheme="minorHAnsi"/>
                <w:sz w:val="16"/>
                <w:szCs w:val="16"/>
              </w:rPr>
              <w:t>Sračinec</w:t>
            </w:r>
            <w:proofErr w:type="spellEnd"/>
            <w:r w:rsidRPr="00E25425">
              <w:rPr>
                <w:rFonts w:cstheme="minorHAnsi"/>
                <w:sz w:val="16"/>
                <w:szCs w:val="16"/>
              </w:rPr>
              <w:t xml:space="preserve">, Sveti </w:t>
            </w:r>
            <w:proofErr w:type="spellStart"/>
            <w:r w:rsidRPr="00E25425">
              <w:rPr>
                <w:rFonts w:cstheme="minorHAnsi"/>
                <w:sz w:val="16"/>
                <w:szCs w:val="16"/>
              </w:rPr>
              <w:t>Đurđ</w:t>
            </w:r>
            <w:proofErr w:type="spellEnd"/>
            <w:r w:rsidRPr="00E25425">
              <w:rPr>
                <w:rFonts w:cstheme="minorHAnsi"/>
                <w:sz w:val="16"/>
                <w:szCs w:val="16"/>
              </w:rPr>
              <w:t xml:space="preserve">, Sveti Ilija, Trnovec </w:t>
            </w:r>
            <w:proofErr w:type="spellStart"/>
            <w:r w:rsidRPr="00E25425">
              <w:rPr>
                <w:rFonts w:cstheme="minorHAnsi"/>
                <w:sz w:val="16"/>
                <w:szCs w:val="16"/>
              </w:rPr>
              <w:t>Bartolovečki</w:t>
            </w:r>
            <w:proofErr w:type="spellEnd"/>
            <w:r w:rsidRPr="00E25425">
              <w:rPr>
                <w:rFonts w:cstheme="minorHAnsi"/>
                <w:sz w:val="16"/>
                <w:szCs w:val="16"/>
              </w:rPr>
              <w:t>, Veliki Bukovec, Vidovec, Vinica, Visoko.</w:t>
            </w:r>
          </w:p>
          <w:p w14:paraId="7B563C57" w14:textId="7167DA66" w:rsidR="007D607C" w:rsidRPr="004348AA" w:rsidRDefault="007D607C" w:rsidP="00A41D37">
            <w:pPr>
              <w:rPr>
                <w:rFonts w:cstheme="minorHAnsi"/>
                <w:sz w:val="16"/>
                <w:szCs w:val="16"/>
              </w:rPr>
            </w:pPr>
          </w:p>
        </w:tc>
      </w:tr>
      <w:tr w:rsidR="007D607C" w:rsidRPr="007D607C" w14:paraId="7747C70F" w14:textId="77777777" w:rsidTr="007D607C">
        <w:tc>
          <w:tcPr>
            <w:tcW w:w="261" w:type="pct"/>
            <w:vMerge/>
            <w:vAlign w:val="center"/>
          </w:tcPr>
          <w:p w14:paraId="5289D364" w14:textId="77777777" w:rsidR="00BC69FB" w:rsidRPr="00E25425" w:rsidRDefault="00BC69FB" w:rsidP="00A41D37">
            <w:pPr>
              <w:rPr>
                <w:rFonts w:cstheme="minorHAnsi"/>
                <w:sz w:val="16"/>
                <w:szCs w:val="16"/>
              </w:rPr>
            </w:pPr>
          </w:p>
        </w:tc>
        <w:tc>
          <w:tcPr>
            <w:tcW w:w="741" w:type="pct"/>
            <w:vMerge/>
            <w:vAlign w:val="center"/>
          </w:tcPr>
          <w:p w14:paraId="0C7F7DC5" w14:textId="77777777" w:rsidR="00BC69FB" w:rsidRPr="00E25425" w:rsidRDefault="00BC69FB" w:rsidP="00A41D37">
            <w:pPr>
              <w:rPr>
                <w:rFonts w:cstheme="minorHAnsi"/>
                <w:sz w:val="16"/>
                <w:szCs w:val="16"/>
              </w:rPr>
            </w:pPr>
          </w:p>
        </w:tc>
        <w:tc>
          <w:tcPr>
            <w:tcW w:w="1106" w:type="pct"/>
            <w:vAlign w:val="center"/>
          </w:tcPr>
          <w:p w14:paraId="1208AB43" w14:textId="7E307737" w:rsidR="00BC69FB" w:rsidRPr="00E25425" w:rsidRDefault="00BC69FB" w:rsidP="00A41D37">
            <w:pPr>
              <w:rPr>
                <w:rFonts w:cstheme="minorHAnsi"/>
                <w:sz w:val="16"/>
                <w:szCs w:val="16"/>
              </w:rPr>
            </w:pPr>
            <w:r w:rsidRPr="00E25425">
              <w:rPr>
                <w:rFonts w:cstheme="minorHAnsi"/>
                <w:sz w:val="16"/>
                <w:szCs w:val="16"/>
              </w:rPr>
              <w:t xml:space="preserve">Bjelovarsko-bilogorska županija </w:t>
            </w:r>
          </w:p>
        </w:tc>
        <w:tc>
          <w:tcPr>
            <w:tcW w:w="2892" w:type="pct"/>
          </w:tcPr>
          <w:p w14:paraId="36911F18" w14:textId="77777777" w:rsidR="00BC69FB" w:rsidRPr="00E25425" w:rsidRDefault="00BC69FB" w:rsidP="00BC69FB">
            <w:pPr>
              <w:rPr>
                <w:rFonts w:cstheme="minorHAnsi"/>
                <w:i/>
                <w:iCs/>
                <w:sz w:val="16"/>
                <w:szCs w:val="16"/>
              </w:rPr>
            </w:pPr>
            <w:r w:rsidRPr="00E25425">
              <w:rPr>
                <w:rFonts w:cstheme="minorHAnsi"/>
                <w:i/>
                <w:iCs/>
                <w:sz w:val="16"/>
                <w:szCs w:val="16"/>
              </w:rPr>
              <w:t>Sve JLS</w:t>
            </w:r>
          </w:p>
          <w:p w14:paraId="55E3217A" w14:textId="77777777" w:rsidR="00BE49F8" w:rsidRPr="00E25425" w:rsidRDefault="00BE49F8" w:rsidP="00A41D37">
            <w:pPr>
              <w:rPr>
                <w:rFonts w:cstheme="minorHAnsi"/>
                <w:sz w:val="16"/>
                <w:szCs w:val="16"/>
              </w:rPr>
            </w:pPr>
            <w:r w:rsidRPr="00E25425">
              <w:rPr>
                <w:rFonts w:cstheme="minorHAnsi"/>
                <w:sz w:val="16"/>
                <w:szCs w:val="16"/>
              </w:rPr>
              <w:t>Gradovi: Bjelovar, Čazma, Daruvar, Garešnica, Grubišno Polje;</w:t>
            </w:r>
          </w:p>
          <w:p w14:paraId="15EC9B21" w14:textId="77777777" w:rsidR="001721E2" w:rsidRDefault="001721E2" w:rsidP="00A41D37">
            <w:pPr>
              <w:rPr>
                <w:rFonts w:cstheme="minorHAnsi"/>
                <w:sz w:val="16"/>
                <w:szCs w:val="16"/>
              </w:rPr>
            </w:pPr>
          </w:p>
          <w:p w14:paraId="3108F96A" w14:textId="146586AF" w:rsidR="00BC69FB" w:rsidRDefault="00BE49F8" w:rsidP="00A41D37">
            <w:pPr>
              <w:rPr>
                <w:rFonts w:cstheme="minorHAnsi"/>
                <w:sz w:val="16"/>
                <w:szCs w:val="16"/>
              </w:rPr>
            </w:pPr>
            <w:r w:rsidRPr="004348AA">
              <w:rPr>
                <w:rFonts w:cstheme="minorHAnsi"/>
                <w:sz w:val="16"/>
                <w:szCs w:val="16"/>
              </w:rPr>
              <w:t xml:space="preserve">Općine: </w:t>
            </w:r>
            <w:proofErr w:type="spellStart"/>
            <w:r w:rsidRPr="004348AA">
              <w:rPr>
                <w:rFonts w:cstheme="minorHAnsi"/>
                <w:sz w:val="16"/>
                <w:szCs w:val="16"/>
              </w:rPr>
              <w:t>Berek</w:t>
            </w:r>
            <w:proofErr w:type="spellEnd"/>
            <w:r w:rsidRPr="004348AA">
              <w:rPr>
                <w:rFonts w:cstheme="minorHAnsi"/>
                <w:sz w:val="16"/>
                <w:szCs w:val="16"/>
              </w:rPr>
              <w:t xml:space="preserve">, Dežanovac, </w:t>
            </w:r>
            <w:proofErr w:type="spellStart"/>
            <w:r w:rsidRPr="004348AA">
              <w:rPr>
                <w:rFonts w:cstheme="minorHAnsi"/>
                <w:sz w:val="16"/>
                <w:szCs w:val="16"/>
              </w:rPr>
              <w:t>Đulovac</w:t>
            </w:r>
            <w:proofErr w:type="spellEnd"/>
            <w:r w:rsidRPr="004348AA">
              <w:rPr>
                <w:rFonts w:cstheme="minorHAnsi"/>
                <w:sz w:val="16"/>
                <w:szCs w:val="16"/>
              </w:rPr>
              <w:t xml:space="preserve">, Hercegovac, </w:t>
            </w:r>
            <w:proofErr w:type="spellStart"/>
            <w:r w:rsidRPr="004348AA">
              <w:rPr>
                <w:rFonts w:cstheme="minorHAnsi"/>
                <w:sz w:val="16"/>
                <w:szCs w:val="16"/>
              </w:rPr>
              <w:t>Ivanska</w:t>
            </w:r>
            <w:proofErr w:type="spellEnd"/>
            <w:r w:rsidRPr="004348AA">
              <w:rPr>
                <w:rFonts w:cstheme="minorHAnsi"/>
                <w:sz w:val="16"/>
                <w:szCs w:val="16"/>
              </w:rPr>
              <w:t xml:space="preserve">, Kapela, Končanica, Nova Rača, Rovišće, Severin, Sirač, Šandrovac, </w:t>
            </w:r>
            <w:proofErr w:type="spellStart"/>
            <w:r w:rsidRPr="004348AA">
              <w:rPr>
                <w:rFonts w:cstheme="minorHAnsi"/>
                <w:sz w:val="16"/>
                <w:szCs w:val="16"/>
              </w:rPr>
              <w:t>Štefanje</w:t>
            </w:r>
            <w:proofErr w:type="spellEnd"/>
            <w:r w:rsidRPr="004348AA">
              <w:rPr>
                <w:rFonts w:cstheme="minorHAnsi"/>
                <w:sz w:val="16"/>
                <w:szCs w:val="16"/>
              </w:rPr>
              <w:t xml:space="preserve">, Velika Pisanica, Velika </w:t>
            </w:r>
            <w:proofErr w:type="spellStart"/>
            <w:r w:rsidRPr="004348AA">
              <w:rPr>
                <w:rFonts w:cstheme="minorHAnsi"/>
                <w:sz w:val="16"/>
                <w:szCs w:val="16"/>
              </w:rPr>
              <w:t>Trnovitica</w:t>
            </w:r>
            <w:proofErr w:type="spellEnd"/>
            <w:r w:rsidRPr="004348AA">
              <w:rPr>
                <w:rFonts w:cstheme="minorHAnsi"/>
                <w:sz w:val="16"/>
                <w:szCs w:val="16"/>
              </w:rPr>
              <w:t>, Veliki Grđevac, Veliko Trojstvo, Zrinski Topolovac.</w:t>
            </w:r>
          </w:p>
          <w:p w14:paraId="719EE1C2" w14:textId="71E31E29" w:rsidR="007D607C" w:rsidRPr="004348AA" w:rsidRDefault="007D607C" w:rsidP="00A41D37">
            <w:pPr>
              <w:rPr>
                <w:rFonts w:cstheme="minorHAnsi"/>
                <w:sz w:val="16"/>
                <w:szCs w:val="16"/>
              </w:rPr>
            </w:pPr>
          </w:p>
        </w:tc>
      </w:tr>
      <w:tr w:rsidR="00776655" w:rsidRPr="007D607C" w14:paraId="15B987F6" w14:textId="77777777" w:rsidTr="004348AA">
        <w:tc>
          <w:tcPr>
            <w:tcW w:w="261" w:type="pct"/>
            <w:vMerge w:val="restart"/>
            <w:vAlign w:val="center"/>
          </w:tcPr>
          <w:p w14:paraId="5517E8C3" w14:textId="77777777" w:rsidR="00BE49F8" w:rsidRPr="004348AA" w:rsidRDefault="00BE49F8" w:rsidP="00A41D37">
            <w:pPr>
              <w:rPr>
                <w:rFonts w:cstheme="minorHAnsi"/>
                <w:sz w:val="16"/>
                <w:szCs w:val="16"/>
              </w:rPr>
            </w:pPr>
            <w:r w:rsidRPr="004348AA">
              <w:rPr>
                <w:rFonts w:cstheme="minorHAnsi"/>
                <w:sz w:val="16"/>
                <w:szCs w:val="16"/>
              </w:rPr>
              <w:t>9.</w:t>
            </w:r>
          </w:p>
        </w:tc>
        <w:tc>
          <w:tcPr>
            <w:tcW w:w="741" w:type="pct"/>
            <w:vMerge w:val="restart"/>
            <w:vAlign w:val="center"/>
          </w:tcPr>
          <w:p w14:paraId="11496180" w14:textId="77777777" w:rsidR="00BE49F8" w:rsidRPr="004348AA" w:rsidRDefault="00BE49F8" w:rsidP="00A41D37">
            <w:pPr>
              <w:rPr>
                <w:rFonts w:cstheme="minorHAnsi"/>
                <w:sz w:val="16"/>
                <w:szCs w:val="16"/>
              </w:rPr>
            </w:pPr>
            <w:r w:rsidRPr="004348AA">
              <w:rPr>
                <w:rFonts w:cstheme="minorHAnsi"/>
                <w:sz w:val="16"/>
                <w:szCs w:val="16"/>
              </w:rPr>
              <w:t xml:space="preserve">CGO </w:t>
            </w:r>
            <w:proofErr w:type="spellStart"/>
            <w:r w:rsidRPr="004348AA">
              <w:rPr>
                <w:rFonts w:cstheme="minorHAnsi"/>
                <w:sz w:val="16"/>
                <w:szCs w:val="16"/>
              </w:rPr>
              <w:t>Orlovnjak</w:t>
            </w:r>
            <w:proofErr w:type="spellEnd"/>
          </w:p>
        </w:tc>
        <w:tc>
          <w:tcPr>
            <w:tcW w:w="1106" w:type="pct"/>
            <w:vAlign w:val="center"/>
          </w:tcPr>
          <w:p w14:paraId="472E2B1D" w14:textId="4679EE01" w:rsidR="00BE49F8" w:rsidRPr="004348AA" w:rsidRDefault="00BE49F8" w:rsidP="00A41D37">
            <w:pPr>
              <w:rPr>
                <w:rFonts w:cstheme="minorHAnsi"/>
                <w:sz w:val="16"/>
                <w:szCs w:val="16"/>
              </w:rPr>
            </w:pPr>
            <w:r w:rsidRPr="004348AA">
              <w:rPr>
                <w:rFonts w:cstheme="minorHAnsi"/>
                <w:sz w:val="16"/>
                <w:szCs w:val="16"/>
              </w:rPr>
              <w:t xml:space="preserve">Osječko-baranjska </w:t>
            </w:r>
          </w:p>
        </w:tc>
        <w:tc>
          <w:tcPr>
            <w:tcW w:w="2892" w:type="pct"/>
          </w:tcPr>
          <w:p w14:paraId="267E3266" w14:textId="77777777" w:rsidR="00BE49F8" w:rsidRPr="004348AA" w:rsidRDefault="00BE49F8" w:rsidP="00BC69FB">
            <w:pPr>
              <w:rPr>
                <w:rFonts w:cstheme="minorHAnsi"/>
                <w:i/>
                <w:iCs/>
                <w:sz w:val="16"/>
                <w:szCs w:val="16"/>
              </w:rPr>
            </w:pPr>
            <w:r w:rsidRPr="004348AA">
              <w:rPr>
                <w:rFonts w:cstheme="minorHAnsi"/>
                <w:i/>
                <w:iCs/>
                <w:sz w:val="16"/>
                <w:szCs w:val="16"/>
              </w:rPr>
              <w:t>Sve JLS</w:t>
            </w:r>
          </w:p>
          <w:p w14:paraId="3CE38311" w14:textId="77777777" w:rsidR="00BE49F8" w:rsidRPr="004348AA" w:rsidRDefault="00BE49F8" w:rsidP="00BE49F8">
            <w:pPr>
              <w:rPr>
                <w:rFonts w:cstheme="minorHAnsi"/>
                <w:sz w:val="16"/>
                <w:szCs w:val="16"/>
              </w:rPr>
            </w:pPr>
            <w:r w:rsidRPr="004348AA">
              <w:rPr>
                <w:rFonts w:cstheme="minorHAnsi"/>
                <w:sz w:val="16"/>
                <w:szCs w:val="16"/>
              </w:rPr>
              <w:t>Gradovi: Beli Manastir, Belišće, Donji Miholjac, Đakovo, Našice, Osijek, Valpovo;</w:t>
            </w:r>
          </w:p>
          <w:p w14:paraId="6E4B8CC0" w14:textId="77777777" w:rsidR="00BE49F8" w:rsidRPr="004348AA" w:rsidRDefault="00BE49F8" w:rsidP="00BE49F8">
            <w:pPr>
              <w:rPr>
                <w:rFonts w:cstheme="minorHAnsi"/>
                <w:sz w:val="16"/>
                <w:szCs w:val="16"/>
              </w:rPr>
            </w:pPr>
          </w:p>
          <w:p w14:paraId="65E5461E" w14:textId="77777777" w:rsidR="00BE49F8" w:rsidRDefault="00BE49F8" w:rsidP="00BE49F8">
            <w:pPr>
              <w:rPr>
                <w:rFonts w:cstheme="minorHAnsi"/>
                <w:sz w:val="16"/>
                <w:szCs w:val="16"/>
              </w:rPr>
            </w:pPr>
            <w:r w:rsidRPr="004348AA">
              <w:rPr>
                <w:rFonts w:cstheme="minorHAnsi"/>
                <w:sz w:val="16"/>
                <w:szCs w:val="16"/>
              </w:rPr>
              <w:t xml:space="preserve">Općine: Antunovac, Bilje, Bizovac, </w:t>
            </w:r>
            <w:proofErr w:type="spellStart"/>
            <w:r w:rsidRPr="004348AA">
              <w:rPr>
                <w:rFonts w:cstheme="minorHAnsi"/>
                <w:sz w:val="16"/>
                <w:szCs w:val="16"/>
              </w:rPr>
              <w:t>Čeminac</w:t>
            </w:r>
            <w:proofErr w:type="spellEnd"/>
            <w:r w:rsidRPr="004348AA">
              <w:rPr>
                <w:rFonts w:cstheme="minorHAnsi"/>
                <w:sz w:val="16"/>
                <w:szCs w:val="16"/>
              </w:rPr>
              <w:t xml:space="preserve">, Čepin, Darda, Donja </w:t>
            </w:r>
            <w:proofErr w:type="spellStart"/>
            <w:r w:rsidRPr="004348AA">
              <w:rPr>
                <w:rFonts w:cstheme="minorHAnsi"/>
                <w:sz w:val="16"/>
                <w:szCs w:val="16"/>
              </w:rPr>
              <w:t>Motičina</w:t>
            </w:r>
            <w:proofErr w:type="spellEnd"/>
            <w:r w:rsidRPr="004348AA">
              <w:rPr>
                <w:rFonts w:cstheme="minorHAnsi"/>
                <w:sz w:val="16"/>
                <w:szCs w:val="16"/>
              </w:rPr>
              <w:t xml:space="preserve">, Draž, </w:t>
            </w:r>
            <w:proofErr w:type="spellStart"/>
            <w:r w:rsidRPr="004348AA">
              <w:rPr>
                <w:rFonts w:cstheme="minorHAnsi"/>
                <w:sz w:val="16"/>
                <w:szCs w:val="16"/>
              </w:rPr>
              <w:t>Drenje</w:t>
            </w:r>
            <w:proofErr w:type="spellEnd"/>
            <w:r w:rsidRPr="004348AA">
              <w:rPr>
                <w:rFonts w:cstheme="minorHAnsi"/>
                <w:sz w:val="16"/>
                <w:szCs w:val="16"/>
              </w:rPr>
              <w:t xml:space="preserve">, Đurđenovac, Erdut, Ernestinovo, Feričanci, Gorjani, Jagodnjak, Kneževi Vinogradi, Koška, </w:t>
            </w:r>
            <w:proofErr w:type="spellStart"/>
            <w:r w:rsidRPr="004348AA">
              <w:rPr>
                <w:rFonts w:cstheme="minorHAnsi"/>
                <w:sz w:val="16"/>
                <w:szCs w:val="16"/>
              </w:rPr>
              <w:t>Levanjska</w:t>
            </w:r>
            <w:proofErr w:type="spellEnd"/>
            <w:r w:rsidRPr="004348AA">
              <w:rPr>
                <w:rFonts w:cstheme="minorHAnsi"/>
                <w:sz w:val="16"/>
                <w:szCs w:val="16"/>
              </w:rPr>
              <w:t xml:space="preserve"> Varoš, </w:t>
            </w:r>
            <w:proofErr w:type="spellStart"/>
            <w:r w:rsidRPr="004348AA">
              <w:rPr>
                <w:rFonts w:cstheme="minorHAnsi"/>
                <w:sz w:val="16"/>
                <w:szCs w:val="16"/>
              </w:rPr>
              <w:t>Magadenovac</w:t>
            </w:r>
            <w:proofErr w:type="spellEnd"/>
            <w:r w:rsidRPr="004348AA">
              <w:rPr>
                <w:rFonts w:cstheme="minorHAnsi"/>
                <w:sz w:val="16"/>
                <w:szCs w:val="16"/>
              </w:rPr>
              <w:t xml:space="preserve">, </w:t>
            </w:r>
            <w:proofErr w:type="spellStart"/>
            <w:r w:rsidRPr="004348AA">
              <w:rPr>
                <w:rFonts w:cstheme="minorHAnsi"/>
                <w:sz w:val="16"/>
                <w:szCs w:val="16"/>
              </w:rPr>
              <w:t>Marijanci</w:t>
            </w:r>
            <w:proofErr w:type="spellEnd"/>
            <w:r w:rsidRPr="004348AA">
              <w:rPr>
                <w:rFonts w:cstheme="minorHAnsi"/>
                <w:sz w:val="16"/>
                <w:szCs w:val="16"/>
              </w:rPr>
              <w:t xml:space="preserve">, </w:t>
            </w:r>
            <w:proofErr w:type="spellStart"/>
            <w:r w:rsidRPr="004348AA">
              <w:rPr>
                <w:rFonts w:cstheme="minorHAnsi"/>
                <w:sz w:val="16"/>
                <w:szCs w:val="16"/>
              </w:rPr>
              <w:t>Petlovac</w:t>
            </w:r>
            <w:proofErr w:type="spellEnd"/>
            <w:r w:rsidRPr="004348AA">
              <w:rPr>
                <w:rFonts w:cstheme="minorHAnsi"/>
                <w:sz w:val="16"/>
                <w:szCs w:val="16"/>
              </w:rPr>
              <w:t xml:space="preserve">, </w:t>
            </w:r>
            <w:proofErr w:type="spellStart"/>
            <w:r w:rsidRPr="004348AA">
              <w:rPr>
                <w:rFonts w:cstheme="minorHAnsi"/>
                <w:sz w:val="16"/>
                <w:szCs w:val="16"/>
              </w:rPr>
              <w:t>Petrijevci</w:t>
            </w:r>
            <w:proofErr w:type="spellEnd"/>
            <w:r w:rsidRPr="004348AA">
              <w:rPr>
                <w:rFonts w:cstheme="minorHAnsi"/>
                <w:sz w:val="16"/>
                <w:szCs w:val="16"/>
              </w:rPr>
              <w:t xml:space="preserve">, </w:t>
            </w:r>
            <w:proofErr w:type="spellStart"/>
            <w:r w:rsidRPr="004348AA">
              <w:rPr>
                <w:rFonts w:cstheme="minorHAnsi"/>
                <w:sz w:val="16"/>
                <w:szCs w:val="16"/>
              </w:rPr>
              <w:t>Podgorač</w:t>
            </w:r>
            <w:proofErr w:type="spellEnd"/>
            <w:r w:rsidRPr="004348AA">
              <w:rPr>
                <w:rFonts w:cstheme="minorHAnsi"/>
                <w:sz w:val="16"/>
                <w:szCs w:val="16"/>
              </w:rPr>
              <w:t xml:space="preserve">, Podravska Moslavina, Popovac, </w:t>
            </w:r>
            <w:proofErr w:type="spellStart"/>
            <w:r w:rsidRPr="004348AA">
              <w:rPr>
                <w:rFonts w:cstheme="minorHAnsi"/>
                <w:sz w:val="16"/>
                <w:szCs w:val="16"/>
              </w:rPr>
              <w:t>Punitovci</w:t>
            </w:r>
            <w:proofErr w:type="spellEnd"/>
            <w:r w:rsidRPr="004348AA">
              <w:rPr>
                <w:rFonts w:cstheme="minorHAnsi"/>
                <w:sz w:val="16"/>
                <w:szCs w:val="16"/>
              </w:rPr>
              <w:t xml:space="preserve">, Satnica Đakovačka, Semeljci, </w:t>
            </w:r>
            <w:proofErr w:type="spellStart"/>
            <w:r w:rsidRPr="004348AA">
              <w:rPr>
                <w:rFonts w:cstheme="minorHAnsi"/>
                <w:sz w:val="16"/>
                <w:szCs w:val="16"/>
              </w:rPr>
              <w:t>Strizivojna</w:t>
            </w:r>
            <w:proofErr w:type="spellEnd"/>
            <w:r w:rsidRPr="004348AA">
              <w:rPr>
                <w:rFonts w:cstheme="minorHAnsi"/>
                <w:sz w:val="16"/>
                <w:szCs w:val="16"/>
              </w:rPr>
              <w:t xml:space="preserve">, </w:t>
            </w:r>
            <w:proofErr w:type="spellStart"/>
            <w:r w:rsidRPr="004348AA">
              <w:rPr>
                <w:rFonts w:cstheme="minorHAnsi"/>
                <w:sz w:val="16"/>
                <w:szCs w:val="16"/>
              </w:rPr>
              <w:t>Šodolovci</w:t>
            </w:r>
            <w:proofErr w:type="spellEnd"/>
            <w:r w:rsidRPr="004348AA">
              <w:rPr>
                <w:rFonts w:cstheme="minorHAnsi"/>
                <w:sz w:val="16"/>
                <w:szCs w:val="16"/>
              </w:rPr>
              <w:t xml:space="preserve">, </w:t>
            </w:r>
            <w:proofErr w:type="spellStart"/>
            <w:r w:rsidRPr="004348AA">
              <w:rPr>
                <w:rFonts w:cstheme="minorHAnsi"/>
                <w:sz w:val="16"/>
                <w:szCs w:val="16"/>
              </w:rPr>
              <w:t>Trnava</w:t>
            </w:r>
            <w:proofErr w:type="spellEnd"/>
            <w:r w:rsidRPr="004348AA">
              <w:rPr>
                <w:rFonts w:cstheme="minorHAnsi"/>
                <w:sz w:val="16"/>
                <w:szCs w:val="16"/>
              </w:rPr>
              <w:t xml:space="preserve">, </w:t>
            </w:r>
            <w:proofErr w:type="spellStart"/>
            <w:r w:rsidRPr="004348AA">
              <w:rPr>
                <w:rFonts w:cstheme="minorHAnsi"/>
                <w:sz w:val="16"/>
                <w:szCs w:val="16"/>
              </w:rPr>
              <w:t>Viljevo</w:t>
            </w:r>
            <w:proofErr w:type="spellEnd"/>
            <w:r w:rsidRPr="004348AA">
              <w:rPr>
                <w:rFonts w:cstheme="minorHAnsi"/>
                <w:sz w:val="16"/>
                <w:szCs w:val="16"/>
              </w:rPr>
              <w:t xml:space="preserve">, </w:t>
            </w:r>
            <w:proofErr w:type="spellStart"/>
            <w:r w:rsidRPr="004348AA">
              <w:rPr>
                <w:rFonts w:cstheme="minorHAnsi"/>
                <w:sz w:val="16"/>
                <w:szCs w:val="16"/>
              </w:rPr>
              <w:t>Viškovci</w:t>
            </w:r>
            <w:proofErr w:type="spellEnd"/>
            <w:r w:rsidRPr="004348AA">
              <w:rPr>
                <w:rFonts w:cstheme="minorHAnsi"/>
                <w:sz w:val="16"/>
                <w:szCs w:val="16"/>
              </w:rPr>
              <w:t xml:space="preserve">, </w:t>
            </w:r>
            <w:proofErr w:type="spellStart"/>
            <w:r w:rsidRPr="004348AA">
              <w:rPr>
                <w:rFonts w:cstheme="minorHAnsi"/>
                <w:sz w:val="16"/>
                <w:szCs w:val="16"/>
              </w:rPr>
              <w:t>Vladislavci</w:t>
            </w:r>
            <w:proofErr w:type="spellEnd"/>
            <w:r w:rsidRPr="004348AA">
              <w:rPr>
                <w:rFonts w:cstheme="minorHAnsi"/>
                <w:sz w:val="16"/>
                <w:szCs w:val="16"/>
              </w:rPr>
              <w:t>, Vuka.</w:t>
            </w:r>
          </w:p>
          <w:p w14:paraId="44F02D07" w14:textId="1E956F8D" w:rsidR="007D607C" w:rsidRPr="004348AA" w:rsidRDefault="007D607C" w:rsidP="00BE49F8">
            <w:pPr>
              <w:rPr>
                <w:rFonts w:cstheme="minorHAnsi"/>
                <w:sz w:val="16"/>
                <w:szCs w:val="16"/>
              </w:rPr>
            </w:pPr>
          </w:p>
        </w:tc>
      </w:tr>
      <w:tr w:rsidR="00776655" w:rsidRPr="007D607C" w14:paraId="05BC9CFF" w14:textId="77777777" w:rsidTr="004348AA">
        <w:tc>
          <w:tcPr>
            <w:tcW w:w="261" w:type="pct"/>
            <w:vMerge/>
            <w:vAlign w:val="center"/>
          </w:tcPr>
          <w:p w14:paraId="23F4CB09" w14:textId="77777777" w:rsidR="00BE49F8" w:rsidRPr="00E25425" w:rsidRDefault="00BE49F8" w:rsidP="00A41D37">
            <w:pPr>
              <w:rPr>
                <w:rFonts w:cstheme="minorHAnsi"/>
                <w:sz w:val="16"/>
                <w:szCs w:val="16"/>
              </w:rPr>
            </w:pPr>
          </w:p>
        </w:tc>
        <w:tc>
          <w:tcPr>
            <w:tcW w:w="741" w:type="pct"/>
            <w:vMerge/>
            <w:vAlign w:val="center"/>
          </w:tcPr>
          <w:p w14:paraId="011DE154" w14:textId="77777777" w:rsidR="00BE49F8" w:rsidRPr="00E25425" w:rsidRDefault="00BE49F8" w:rsidP="00A41D37">
            <w:pPr>
              <w:rPr>
                <w:rFonts w:cstheme="minorHAnsi"/>
                <w:sz w:val="16"/>
                <w:szCs w:val="16"/>
              </w:rPr>
            </w:pPr>
          </w:p>
        </w:tc>
        <w:tc>
          <w:tcPr>
            <w:tcW w:w="1106" w:type="pct"/>
            <w:vAlign w:val="center"/>
          </w:tcPr>
          <w:p w14:paraId="725A0ACF" w14:textId="5E75349E" w:rsidR="00BE49F8" w:rsidRPr="00E25425" w:rsidRDefault="00BE49F8" w:rsidP="00A41D37">
            <w:pPr>
              <w:rPr>
                <w:rFonts w:cstheme="minorHAnsi"/>
                <w:sz w:val="16"/>
                <w:szCs w:val="16"/>
              </w:rPr>
            </w:pPr>
            <w:r w:rsidRPr="00E25425">
              <w:rPr>
                <w:rFonts w:cstheme="minorHAnsi"/>
                <w:sz w:val="16"/>
                <w:szCs w:val="16"/>
              </w:rPr>
              <w:t xml:space="preserve">Vukovarsko-srijemska </w:t>
            </w:r>
          </w:p>
        </w:tc>
        <w:tc>
          <w:tcPr>
            <w:tcW w:w="2892" w:type="pct"/>
          </w:tcPr>
          <w:p w14:paraId="5853CBEC" w14:textId="77777777" w:rsidR="00BE49F8" w:rsidRPr="00E25425" w:rsidRDefault="00BE49F8" w:rsidP="00BE49F8">
            <w:pPr>
              <w:rPr>
                <w:rFonts w:cstheme="minorHAnsi"/>
                <w:i/>
                <w:iCs/>
                <w:sz w:val="16"/>
                <w:szCs w:val="16"/>
              </w:rPr>
            </w:pPr>
            <w:r w:rsidRPr="00E25425">
              <w:rPr>
                <w:rFonts w:cstheme="minorHAnsi"/>
                <w:i/>
                <w:iCs/>
                <w:sz w:val="16"/>
                <w:szCs w:val="16"/>
              </w:rPr>
              <w:t>Sve JLS</w:t>
            </w:r>
          </w:p>
          <w:p w14:paraId="5366AE08" w14:textId="77777777" w:rsidR="005A6F49" w:rsidRPr="00E25425" w:rsidRDefault="00BE49F8" w:rsidP="00BE49F8">
            <w:pPr>
              <w:rPr>
                <w:rFonts w:cstheme="minorHAnsi"/>
                <w:sz w:val="16"/>
                <w:szCs w:val="16"/>
              </w:rPr>
            </w:pPr>
            <w:r w:rsidRPr="00E25425">
              <w:rPr>
                <w:rFonts w:cstheme="minorHAnsi"/>
                <w:sz w:val="16"/>
                <w:szCs w:val="16"/>
              </w:rPr>
              <w:t>Gradovi:</w:t>
            </w:r>
            <w:r w:rsidR="005A6F49" w:rsidRPr="00E25425">
              <w:rPr>
                <w:rFonts w:cstheme="minorHAnsi"/>
                <w:sz w:val="16"/>
                <w:szCs w:val="16"/>
              </w:rPr>
              <w:t xml:space="preserve"> Ilok, Otok, Vinkovci, Vukovar, Županja;</w:t>
            </w:r>
          </w:p>
          <w:p w14:paraId="0DD4295C" w14:textId="77777777" w:rsidR="005A6F49" w:rsidRPr="00E25425" w:rsidRDefault="005A6F49" w:rsidP="00BE49F8">
            <w:pPr>
              <w:rPr>
                <w:rFonts w:cstheme="minorHAnsi"/>
                <w:sz w:val="16"/>
                <w:szCs w:val="16"/>
              </w:rPr>
            </w:pPr>
          </w:p>
          <w:p w14:paraId="21C30F01" w14:textId="2385FB80" w:rsidR="00BE49F8" w:rsidRPr="00E25425" w:rsidRDefault="005A6F49" w:rsidP="00BE49F8">
            <w:pPr>
              <w:rPr>
                <w:rFonts w:cstheme="minorHAnsi"/>
                <w:sz w:val="16"/>
                <w:szCs w:val="16"/>
              </w:rPr>
            </w:pPr>
            <w:r w:rsidRPr="00E25425">
              <w:rPr>
                <w:rFonts w:cstheme="minorHAnsi"/>
                <w:sz w:val="16"/>
                <w:szCs w:val="16"/>
              </w:rPr>
              <w:t xml:space="preserve">Općine: </w:t>
            </w:r>
            <w:proofErr w:type="spellStart"/>
            <w:r w:rsidRPr="00E25425">
              <w:rPr>
                <w:rFonts w:cstheme="minorHAnsi"/>
                <w:sz w:val="16"/>
                <w:szCs w:val="16"/>
              </w:rPr>
              <w:t>Andrijaševci</w:t>
            </w:r>
            <w:proofErr w:type="spellEnd"/>
            <w:r w:rsidRPr="00E25425">
              <w:rPr>
                <w:rFonts w:cstheme="minorHAnsi"/>
                <w:sz w:val="16"/>
                <w:szCs w:val="16"/>
              </w:rPr>
              <w:t xml:space="preserve">, Babina Greda, </w:t>
            </w:r>
            <w:proofErr w:type="spellStart"/>
            <w:r w:rsidRPr="00E25425">
              <w:rPr>
                <w:rFonts w:cstheme="minorHAnsi"/>
                <w:sz w:val="16"/>
                <w:szCs w:val="16"/>
              </w:rPr>
              <w:t>Bogdanovci</w:t>
            </w:r>
            <w:proofErr w:type="spellEnd"/>
            <w:r w:rsidRPr="00E25425">
              <w:rPr>
                <w:rFonts w:cstheme="minorHAnsi"/>
                <w:sz w:val="16"/>
                <w:szCs w:val="16"/>
              </w:rPr>
              <w:t xml:space="preserve">, Borovo, Bošnjaci, Cerna, Drenovci, Gradište, Gunja, Ivankovo, </w:t>
            </w:r>
            <w:proofErr w:type="spellStart"/>
            <w:r w:rsidRPr="00E25425">
              <w:rPr>
                <w:rFonts w:cstheme="minorHAnsi"/>
                <w:sz w:val="16"/>
                <w:szCs w:val="16"/>
              </w:rPr>
              <w:t>Jarmina</w:t>
            </w:r>
            <w:proofErr w:type="spellEnd"/>
            <w:r w:rsidRPr="00E25425">
              <w:rPr>
                <w:rFonts w:cstheme="minorHAnsi"/>
                <w:sz w:val="16"/>
                <w:szCs w:val="16"/>
              </w:rPr>
              <w:t xml:space="preserve">, </w:t>
            </w:r>
            <w:proofErr w:type="spellStart"/>
            <w:r w:rsidRPr="00E25425">
              <w:rPr>
                <w:rFonts w:cstheme="minorHAnsi"/>
                <w:sz w:val="16"/>
                <w:szCs w:val="16"/>
              </w:rPr>
              <w:t>Lovas</w:t>
            </w:r>
            <w:proofErr w:type="spellEnd"/>
            <w:r w:rsidRPr="00E25425">
              <w:rPr>
                <w:rFonts w:cstheme="minorHAnsi"/>
                <w:sz w:val="16"/>
                <w:szCs w:val="16"/>
              </w:rPr>
              <w:t xml:space="preserve">, </w:t>
            </w:r>
            <w:proofErr w:type="spellStart"/>
            <w:r w:rsidRPr="00E25425">
              <w:rPr>
                <w:rFonts w:cstheme="minorHAnsi"/>
                <w:sz w:val="16"/>
                <w:szCs w:val="16"/>
              </w:rPr>
              <w:t>Markušica</w:t>
            </w:r>
            <w:proofErr w:type="spellEnd"/>
            <w:r w:rsidRPr="00E25425">
              <w:rPr>
                <w:rFonts w:cstheme="minorHAnsi"/>
                <w:sz w:val="16"/>
                <w:szCs w:val="16"/>
              </w:rPr>
              <w:t xml:space="preserve">, </w:t>
            </w:r>
            <w:proofErr w:type="spellStart"/>
            <w:r w:rsidRPr="00E25425">
              <w:rPr>
                <w:rFonts w:cstheme="minorHAnsi"/>
                <w:sz w:val="16"/>
                <w:szCs w:val="16"/>
              </w:rPr>
              <w:t>Negoslavci</w:t>
            </w:r>
            <w:proofErr w:type="spellEnd"/>
            <w:r w:rsidRPr="00E25425">
              <w:rPr>
                <w:rFonts w:cstheme="minorHAnsi"/>
                <w:sz w:val="16"/>
                <w:szCs w:val="16"/>
              </w:rPr>
              <w:t xml:space="preserve">, Nijemci, Nuštar, Privlaka, Stari </w:t>
            </w:r>
            <w:proofErr w:type="spellStart"/>
            <w:r w:rsidRPr="00E25425">
              <w:rPr>
                <w:rFonts w:cstheme="minorHAnsi"/>
                <w:sz w:val="16"/>
                <w:szCs w:val="16"/>
              </w:rPr>
              <w:t>Jankovci</w:t>
            </w:r>
            <w:proofErr w:type="spellEnd"/>
            <w:r w:rsidRPr="00E25425">
              <w:rPr>
                <w:rFonts w:cstheme="minorHAnsi"/>
                <w:sz w:val="16"/>
                <w:szCs w:val="16"/>
              </w:rPr>
              <w:t xml:space="preserve">, Stari </w:t>
            </w:r>
            <w:proofErr w:type="spellStart"/>
            <w:r w:rsidRPr="00E25425">
              <w:rPr>
                <w:rFonts w:cstheme="minorHAnsi"/>
                <w:sz w:val="16"/>
                <w:szCs w:val="16"/>
              </w:rPr>
              <w:t>Mikanovci</w:t>
            </w:r>
            <w:proofErr w:type="spellEnd"/>
            <w:r w:rsidRPr="00E25425">
              <w:rPr>
                <w:rFonts w:cstheme="minorHAnsi"/>
                <w:sz w:val="16"/>
                <w:szCs w:val="16"/>
              </w:rPr>
              <w:t xml:space="preserve">, Štitar, </w:t>
            </w:r>
            <w:proofErr w:type="spellStart"/>
            <w:r w:rsidRPr="00E25425">
              <w:rPr>
                <w:rFonts w:cstheme="minorHAnsi"/>
                <w:sz w:val="16"/>
                <w:szCs w:val="16"/>
              </w:rPr>
              <w:t>Tompojevci</w:t>
            </w:r>
            <w:proofErr w:type="spellEnd"/>
            <w:r w:rsidRPr="00E25425">
              <w:rPr>
                <w:rFonts w:cstheme="minorHAnsi"/>
                <w:sz w:val="16"/>
                <w:szCs w:val="16"/>
              </w:rPr>
              <w:t xml:space="preserve">, Tordinci, Tovarnik, </w:t>
            </w:r>
            <w:proofErr w:type="spellStart"/>
            <w:r w:rsidRPr="00E25425">
              <w:rPr>
                <w:rFonts w:cstheme="minorHAnsi"/>
                <w:sz w:val="16"/>
                <w:szCs w:val="16"/>
              </w:rPr>
              <w:t>Trpinja</w:t>
            </w:r>
            <w:proofErr w:type="spellEnd"/>
            <w:r w:rsidRPr="00E25425">
              <w:rPr>
                <w:rFonts w:cstheme="minorHAnsi"/>
                <w:sz w:val="16"/>
                <w:szCs w:val="16"/>
              </w:rPr>
              <w:t xml:space="preserve">, </w:t>
            </w:r>
            <w:proofErr w:type="spellStart"/>
            <w:r w:rsidRPr="00E25425">
              <w:rPr>
                <w:rFonts w:cstheme="minorHAnsi"/>
                <w:sz w:val="16"/>
                <w:szCs w:val="16"/>
              </w:rPr>
              <w:t>Vođinci</w:t>
            </w:r>
            <w:proofErr w:type="spellEnd"/>
            <w:r w:rsidRPr="00E25425">
              <w:rPr>
                <w:rFonts w:cstheme="minorHAnsi"/>
                <w:sz w:val="16"/>
                <w:szCs w:val="16"/>
              </w:rPr>
              <w:t>, Vrbanja.</w:t>
            </w:r>
          </w:p>
          <w:p w14:paraId="035DA95B" w14:textId="77777777" w:rsidR="00BE49F8" w:rsidRPr="004348AA" w:rsidRDefault="00BE49F8" w:rsidP="00BC69FB">
            <w:pPr>
              <w:rPr>
                <w:rFonts w:cstheme="minorHAnsi"/>
                <w:sz w:val="16"/>
                <w:szCs w:val="16"/>
              </w:rPr>
            </w:pPr>
          </w:p>
        </w:tc>
      </w:tr>
      <w:tr w:rsidR="00194DBF" w:rsidRPr="007D607C" w14:paraId="73334B87" w14:textId="4CFC3D6F" w:rsidTr="007D607C">
        <w:tc>
          <w:tcPr>
            <w:tcW w:w="261" w:type="pct"/>
            <w:vMerge w:val="restart"/>
            <w:vAlign w:val="center"/>
          </w:tcPr>
          <w:p w14:paraId="189FE755" w14:textId="77777777" w:rsidR="00194DBF" w:rsidRPr="004348AA" w:rsidRDefault="00194DBF" w:rsidP="00A41D37">
            <w:pPr>
              <w:rPr>
                <w:rFonts w:cstheme="minorHAnsi"/>
                <w:sz w:val="16"/>
                <w:szCs w:val="16"/>
              </w:rPr>
            </w:pPr>
            <w:r w:rsidRPr="004348AA">
              <w:rPr>
                <w:rFonts w:cstheme="minorHAnsi"/>
                <w:sz w:val="16"/>
                <w:szCs w:val="16"/>
              </w:rPr>
              <w:t>10.</w:t>
            </w:r>
          </w:p>
        </w:tc>
        <w:tc>
          <w:tcPr>
            <w:tcW w:w="741" w:type="pct"/>
            <w:vMerge w:val="restart"/>
            <w:vAlign w:val="center"/>
          </w:tcPr>
          <w:p w14:paraId="497A7894" w14:textId="77777777" w:rsidR="00194DBF" w:rsidRPr="004348AA" w:rsidRDefault="00194DBF" w:rsidP="00A41D37">
            <w:pPr>
              <w:rPr>
                <w:rFonts w:cstheme="minorHAnsi"/>
                <w:sz w:val="16"/>
                <w:szCs w:val="16"/>
              </w:rPr>
            </w:pPr>
            <w:r w:rsidRPr="004348AA">
              <w:rPr>
                <w:rFonts w:cstheme="minorHAnsi"/>
                <w:sz w:val="16"/>
                <w:szCs w:val="16"/>
              </w:rPr>
              <w:t xml:space="preserve">CGO </w:t>
            </w:r>
            <w:proofErr w:type="spellStart"/>
            <w:r w:rsidRPr="004348AA">
              <w:rPr>
                <w:rFonts w:cstheme="minorHAnsi"/>
                <w:sz w:val="16"/>
                <w:szCs w:val="16"/>
              </w:rPr>
              <w:t>Šagulje</w:t>
            </w:r>
            <w:proofErr w:type="spellEnd"/>
          </w:p>
        </w:tc>
        <w:tc>
          <w:tcPr>
            <w:tcW w:w="1106" w:type="pct"/>
            <w:vAlign w:val="center"/>
          </w:tcPr>
          <w:p w14:paraId="7A70914A" w14:textId="21E0E6E7" w:rsidR="00194DBF" w:rsidRPr="004348AA" w:rsidRDefault="00194DBF" w:rsidP="00A41D37">
            <w:pPr>
              <w:rPr>
                <w:rFonts w:cstheme="minorHAnsi"/>
                <w:sz w:val="16"/>
                <w:szCs w:val="16"/>
              </w:rPr>
            </w:pPr>
            <w:r w:rsidRPr="004348AA">
              <w:rPr>
                <w:rFonts w:cstheme="minorHAnsi"/>
                <w:sz w:val="16"/>
                <w:szCs w:val="16"/>
              </w:rPr>
              <w:t xml:space="preserve">Brodsko-posavska  </w:t>
            </w:r>
          </w:p>
        </w:tc>
        <w:tc>
          <w:tcPr>
            <w:tcW w:w="2892" w:type="pct"/>
          </w:tcPr>
          <w:p w14:paraId="10F40AC5" w14:textId="77777777" w:rsidR="00194DBF" w:rsidRPr="004348AA" w:rsidRDefault="00194DBF" w:rsidP="00BC69FB">
            <w:pPr>
              <w:rPr>
                <w:rFonts w:cstheme="minorHAnsi"/>
                <w:i/>
                <w:iCs/>
                <w:sz w:val="16"/>
                <w:szCs w:val="16"/>
              </w:rPr>
            </w:pPr>
            <w:r w:rsidRPr="004348AA">
              <w:rPr>
                <w:rFonts w:cstheme="minorHAnsi"/>
                <w:i/>
                <w:iCs/>
                <w:sz w:val="16"/>
                <w:szCs w:val="16"/>
              </w:rPr>
              <w:t>Sve JLS</w:t>
            </w:r>
          </w:p>
          <w:p w14:paraId="18BCD0C6" w14:textId="77777777" w:rsidR="00194DBF" w:rsidRDefault="00194DBF" w:rsidP="00A41D37">
            <w:pPr>
              <w:rPr>
                <w:rFonts w:cstheme="minorHAnsi"/>
                <w:sz w:val="16"/>
                <w:szCs w:val="16"/>
              </w:rPr>
            </w:pPr>
            <w:r w:rsidRPr="004348AA">
              <w:rPr>
                <w:rFonts w:cstheme="minorHAnsi"/>
                <w:sz w:val="16"/>
                <w:szCs w:val="16"/>
              </w:rPr>
              <w:t xml:space="preserve">Gradovi: </w:t>
            </w:r>
            <w:r w:rsidRPr="007D607C">
              <w:rPr>
                <w:rFonts w:cstheme="minorHAnsi"/>
                <w:sz w:val="16"/>
                <w:szCs w:val="16"/>
              </w:rPr>
              <w:t>Nova Gradiška</w:t>
            </w:r>
            <w:r>
              <w:rPr>
                <w:rFonts w:cstheme="minorHAnsi"/>
                <w:sz w:val="16"/>
                <w:szCs w:val="16"/>
              </w:rPr>
              <w:t xml:space="preserve">, </w:t>
            </w:r>
            <w:r w:rsidRPr="007D607C">
              <w:rPr>
                <w:rFonts w:cstheme="minorHAnsi"/>
                <w:sz w:val="16"/>
                <w:szCs w:val="16"/>
              </w:rPr>
              <w:t>Slavonski Brod</w:t>
            </w:r>
            <w:r>
              <w:rPr>
                <w:rFonts w:cstheme="minorHAnsi"/>
                <w:sz w:val="16"/>
                <w:szCs w:val="16"/>
              </w:rPr>
              <w:t>;</w:t>
            </w:r>
          </w:p>
          <w:p w14:paraId="4276553A" w14:textId="77777777" w:rsidR="00194DBF" w:rsidRDefault="00194DBF" w:rsidP="00A41D37">
            <w:pPr>
              <w:rPr>
                <w:rFonts w:cstheme="minorHAnsi"/>
                <w:sz w:val="16"/>
                <w:szCs w:val="16"/>
              </w:rPr>
            </w:pPr>
          </w:p>
          <w:p w14:paraId="2756A9DD" w14:textId="5CF742A7" w:rsidR="00194DBF" w:rsidRPr="004348AA" w:rsidRDefault="00194DBF" w:rsidP="00A41D37">
            <w:pPr>
              <w:rPr>
                <w:rFonts w:cstheme="minorHAnsi"/>
                <w:sz w:val="16"/>
                <w:szCs w:val="16"/>
              </w:rPr>
            </w:pPr>
            <w:r>
              <w:rPr>
                <w:rFonts w:cstheme="minorHAnsi"/>
                <w:sz w:val="16"/>
                <w:szCs w:val="16"/>
              </w:rPr>
              <w:t xml:space="preserve">Općine: </w:t>
            </w:r>
            <w:proofErr w:type="spellStart"/>
            <w:r w:rsidRPr="007D607C">
              <w:rPr>
                <w:rFonts w:cstheme="minorHAnsi"/>
                <w:sz w:val="16"/>
                <w:szCs w:val="16"/>
              </w:rPr>
              <w:t>Bebrina</w:t>
            </w:r>
            <w:proofErr w:type="spellEnd"/>
            <w:r>
              <w:rPr>
                <w:rFonts w:cstheme="minorHAnsi"/>
                <w:sz w:val="16"/>
                <w:szCs w:val="16"/>
              </w:rPr>
              <w:t xml:space="preserve">, </w:t>
            </w:r>
            <w:r w:rsidRPr="007D607C">
              <w:rPr>
                <w:rFonts w:cstheme="minorHAnsi"/>
                <w:sz w:val="16"/>
                <w:szCs w:val="16"/>
              </w:rPr>
              <w:t>Brodski Stupnik</w:t>
            </w:r>
            <w:r>
              <w:rPr>
                <w:rFonts w:cstheme="minorHAnsi"/>
                <w:sz w:val="16"/>
                <w:szCs w:val="16"/>
              </w:rPr>
              <w:t xml:space="preserve">, </w:t>
            </w:r>
            <w:proofErr w:type="spellStart"/>
            <w:r w:rsidRPr="007D607C">
              <w:rPr>
                <w:rFonts w:cstheme="minorHAnsi"/>
                <w:sz w:val="16"/>
                <w:szCs w:val="16"/>
              </w:rPr>
              <w:t>Bukovlje</w:t>
            </w:r>
            <w:proofErr w:type="spellEnd"/>
            <w:r>
              <w:rPr>
                <w:rFonts w:cstheme="minorHAnsi"/>
                <w:sz w:val="16"/>
                <w:szCs w:val="16"/>
              </w:rPr>
              <w:t xml:space="preserve">, </w:t>
            </w:r>
            <w:r w:rsidRPr="007D607C">
              <w:rPr>
                <w:rFonts w:cstheme="minorHAnsi"/>
                <w:sz w:val="16"/>
                <w:szCs w:val="16"/>
              </w:rPr>
              <w:t>Cernik</w:t>
            </w:r>
            <w:r>
              <w:rPr>
                <w:rFonts w:cstheme="minorHAnsi"/>
                <w:sz w:val="16"/>
                <w:szCs w:val="16"/>
              </w:rPr>
              <w:t xml:space="preserve">, </w:t>
            </w:r>
            <w:r w:rsidRPr="007D607C">
              <w:rPr>
                <w:rFonts w:cstheme="minorHAnsi"/>
                <w:sz w:val="16"/>
                <w:szCs w:val="16"/>
              </w:rPr>
              <w:t>Davor</w:t>
            </w:r>
            <w:r>
              <w:rPr>
                <w:rFonts w:cstheme="minorHAnsi"/>
                <w:sz w:val="16"/>
                <w:szCs w:val="16"/>
              </w:rPr>
              <w:t xml:space="preserve">, </w:t>
            </w:r>
            <w:r w:rsidRPr="007D607C">
              <w:rPr>
                <w:rFonts w:cstheme="minorHAnsi"/>
                <w:sz w:val="16"/>
                <w:szCs w:val="16"/>
              </w:rPr>
              <w:t>Donji Andrijevci</w:t>
            </w:r>
            <w:r>
              <w:rPr>
                <w:rFonts w:cstheme="minorHAnsi"/>
                <w:sz w:val="16"/>
                <w:szCs w:val="16"/>
              </w:rPr>
              <w:t xml:space="preserve">, </w:t>
            </w:r>
            <w:proofErr w:type="spellStart"/>
            <w:r w:rsidRPr="007D607C">
              <w:rPr>
                <w:rFonts w:cstheme="minorHAnsi"/>
                <w:sz w:val="16"/>
                <w:szCs w:val="16"/>
              </w:rPr>
              <w:t>Dragalić</w:t>
            </w:r>
            <w:proofErr w:type="spellEnd"/>
            <w:r>
              <w:rPr>
                <w:rFonts w:cstheme="minorHAnsi"/>
                <w:sz w:val="16"/>
                <w:szCs w:val="16"/>
              </w:rPr>
              <w:t xml:space="preserve">, </w:t>
            </w:r>
            <w:proofErr w:type="spellStart"/>
            <w:r w:rsidRPr="007D607C">
              <w:rPr>
                <w:rFonts w:cstheme="minorHAnsi"/>
                <w:sz w:val="16"/>
                <w:szCs w:val="16"/>
              </w:rPr>
              <w:t>Garčin</w:t>
            </w:r>
            <w:proofErr w:type="spellEnd"/>
            <w:r>
              <w:rPr>
                <w:rFonts w:cstheme="minorHAnsi"/>
                <w:sz w:val="16"/>
                <w:szCs w:val="16"/>
              </w:rPr>
              <w:t xml:space="preserve">, </w:t>
            </w:r>
            <w:r w:rsidRPr="007D607C">
              <w:rPr>
                <w:rFonts w:cstheme="minorHAnsi"/>
                <w:sz w:val="16"/>
                <w:szCs w:val="16"/>
              </w:rPr>
              <w:t>Gornja Vrba</w:t>
            </w:r>
            <w:r>
              <w:rPr>
                <w:rFonts w:cstheme="minorHAnsi"/>
                <w:sz w:val="16"/>
                <w:szCs w:val="16"/>
              </w:rPr>
              <w:t xml:space="preserve">, </w:t>
            </w:r>
            <w:r w:rsidRPr="007D607C">
              <w:rPr>
                <w:rFonts w:cstheme="minorHAnsi"/>
                <w:sz w:val="16"/>
                <w:szCs w:val="16"/>
              </w:rPr>
              <w:t xml:space="preserve">Gornji </w:t>
            </w:r>
            <w:proofErr w:type="spellStart"/>
            <w:r w:rsidRPr="007D607C">
              <w:rPr>
                <w:rFonts w:cstheme="minorHAnsi"/>
                <w:sz w:val="16"/>
                <w:szCs w:val="16"/>
              </w:rPr>
              <w:t>Bogićevci</w:t>
            </w:r>
            <w:proofErr w:type="spellEnd"/>
            <w:r>
              <w:rPr>
                <w:rFonts w:cstheme="minorHAnsi"/>
                <w:sz w:val="16"/>
                <w:szCs w:val="16"/>
              </w:rPr>
              <w:t xml:space="preserve">, </w:t>
            </w:r>
            <w:proofErr w:type="spellStart"/>
            <w:r w:rsidRPr="007D607C">
              <w:rPr>
                <w:rFonts w:cstheme="minorHAnsi"/>
                <w:sz w:val="16"/>
                <w:szCs w:val="16"/>
              </w:rPr>
              <w:t>Gundinci</w:t>
            </w:r>
            <w:proofErr w:type="spellEnd"/>
            <w:r>
              <w:rPr>
                <w:rFonts w:cstheme="minorHAnsi"/>
                <w:sz w:val="16"/>
                <w:szCs w:val="16"/>
              </w:rPr>
              <w:t xml:space="preserve">, </w:t>
            </w:r>
            <w:proofErr w:type="spellStart"/>
            <w:r w:rsidRPr="007D607C">
              <w:rPr>
                <w:rFonts w:cstheme="minorHAnsi"/>
                <w:sz w:val="16"/>
                <w:szCs w:val="16"/>
              </w:rPr>
              <w:t>Klakar</w:t>
            </w:r>
            <w:proofErr w:type="spellEnd"/>
            <w:r>
              <w:rPr>
                <w:rFonts w:cstheme="minorHAnsi"/>
                <w:sz w:val="16"/>
                <w:szCs w:val="16"/>
              </w:rPr>
              <w:t xml:space="preserve">, </w:t>
            </w:r>
            <w:r w:rsidRPr="007D607C">
              <w:rPr>
                <w:rFonts w:cstheme="minorHAnsi"/>
                <w:sz w:val="16"/>
                <w:szCs w:val="16"/>
              </w:rPr>
              <w:t>Nova Kapela</w:t>
            </w:r>
            <w:r>
              <w:rPr>
                <w:rFonts w:cstheme="minorHAnsi"/>
                <w:sz w:val="16"/>
                <w:szCs w:val="16"/>
              </w:rPr>
              <w:t xml:space="preserve">, </w:t>
            </w:r>
            <w:r w:rsidRPr="007D607C">
              <w:rPr>
                <w:rFonts w:cstheme="minorHAnsi"/>
                <w:sz w:val="16"/>
                <w:szCs w:val="16"/>
              </w:rPr>
              <w:t>Okučani</w:t>
            </w:r>
            <w:r>
              <w:rPr>
                <w:rFonts w:cstheme="minorHAnsi"/>
                <w:sz w:val="16"/>
                <w:szCs w:val="16"/>
              </w:rPr>
              <w:t xml:space="preserve">, </w:t>
            </w:r>
            <w:proofErr w:type="spellStart"/>
            <w:r w:rsidRPr="007D607C">
              <w:rPr>
                <w:rFonts w:cstheme="minorHAnsi"/>
                <w:sz w:val="16"/>
                <w:szCs w:val="16"/>
              </w:rPr>
              <w:t>Oprisavci</w:t>
            </w:r>
            <w:proofErr w:type="spellEnd"/>
            <w:r>
              <w:rPr>
                <w:rFonts w:cstheme="minorHAnsi"/>
                <w:sz w:val="16"/>
                <w:szCs w:val="16"/>
              </w:rPr>
              <w:t xml:space="preserve">, </w:t>
            </w:r>
            <w:r w:rsidRPr="007D607C">
              <w:rPr>
                <w:rFonts w:cstheme="minorHAnsi"/>
                <w:sz w:val="16"/>
                <w:szCs w:val="16"/>
              </w:rPr>
              <w:t>Oriovac</w:t>
            </w:r>
            <w:r>
              <w:rPr>
                <w:rFonts w:cstheme="minorHAnsi"/>
                <w:sz w:val="16"/>
                <w:szCs w:val="16"/>
              </w:rPr>
              <w:t xml:space="preserve">, </w:t>
            </w:r>
            <w:proofErr w:type="spellStart"/>
            <w:r w:rsidRPr="007D607C">
              <w:rPr>
                <w:rFonts w:cstheme="minorHAnsi"/>
                <w:sz w:val="16"/>
                <w:szCs w:val="16"/>
              </w:rPr>
              <w:t>Podcrkavlje</w:t>
            </w:r>
            <w:proofErr w:type="spellEnd"/>
            <w:r>
              <w:rPr>
                <w:rFonts w:cstheme="minorHAnsi"/>
                <w:sz w:val="16"/>
                <w:szCs w:val="16"/>
              </w:rPr>
              <w:t xml:space="preserve">, </w:t>
            </w:r>
            <w:r w:rsidRPr="007D607C">
              <w:rPr>
                <w:rFonts w:cstheme="minorHAnsi"/>
                <w:sz w:val="16"/>
                <w:szCs w:val="16"/>
              </w:rPr>
              <w:t>Rešetari</w:t>
            </w:r>
            <w:r>
              <w:rPr>
                <w:rFonts w:cstheme="minorHAnsi"/>
                <w:sz w:val="16"/>
                <w:szCs w:val="16"/>
              </w:rPr>
              <w:t xml:space="preserve">, </w:t>
            </w:r>
            <w:r w:rsidRPr="007D607C">
              <w:rPr>
                <w:rFonts w:cstheme="minorHAnsi"/>
                <w:sz w:val="16"/>
                <w:szCs w:val="16"/>
              </w:rPr>
              <w:t>Sibinj</w:t>
            </w:r>
            <w:r>
              <w:rPr>
                <w:rFonts w:cstheme="minorHAnsi"/>
                <w:sz w:val="16"/>
                <w:szCs w:val="16"/>
              </w:rPr>
              <w:t xml:space="preserve">, </w:t>
            </w:r>
            <w:proofErr w:type="spellStart"/>
            <w:r w:rsidRPr="007D607C">
              <w:rPr>
                <w:rFonts w:cstheme="minorHAnsi"/>
                <w:sz w:val="16"/>
                <w:szCs w:val="16"/>
              </w:rPr>
              <w:t>Sikirevci</w:t>
            </w:r>
            <w:proofErr w:type="spellEnd"/>
            <w:r>
              <w:rPr>
                <w:rFonts w:cstheme="minorHAnsi"/>
                <w:sz w:val="16"/>
                <w:szCs w:val="16"/>
              </w:rPr>
              <w:t xml:space="preserve">, </w:t>
            </w:r>
            <w:r w:rsidRPr="007D607C">
              <w:rPr>
                <w:rFonts w:cstheme="minorHAnsi"/>
                <w:sz w:val="16"/>
                <w:szCs w:val="16"/>
              </w:rPr>
              <w:t>Slavonski Šamac</w:t>
            </w:r>
            <w:r>
              <w:rPr>
                <w:rFonts w:cstheme="minorHAnsi"/>
                <w:sz w:val="16"/>
                <w:szCs w:val="16"/>
              </w:rPr>
              <w:t xml:space="preserve">, </w:t>
            </w:r>
            <w:r w:rsidRPr="007D607C">
              <w:rPr>
                <w:rFonts w:cstheme="minorHAnsi"/>
                <w:sz w:val="16"/>
                <w:szCs w:val="16"/>
              </w:rPr>
              <w:t>Stara Gradiška</w:t>
            </w:r>
            <w:r>
              <w:rPr>
                <w:rFonts w:cstheme="minorHAnsi"/>
                <w:sz w:val="16"/>
                <w:szCs w:val="16"/>
              </w:rPr>
              <w:t xml:space="preserve">, </w:t>
            </w:r>
            <w:r w:rsidRPr="007D607C">
              <w:rPr>
                <w:rFonts w:cstheme="minorHAnsi"/>
                <w:sz w:val="16"/>
                <w:szCs w:val="16"/>
              </w:rPr>
              <w:t>Staro Petrovo Selo</w:t>
            </w:r>
            <w:r>
              <w:rPr>
                <w:rFonts w:cstheme="minorHAnsi"/>
                <w:sz w:val="16"/>
                <w:szCs w:val="16"/>
              </w:rPr>
              <w:t xml:space="preserve">, </w:t>
            </w:r>
            <w:r w:rsidRPr="007D607C">
              <w:rPr>
                <w:rFonts w:cstheme="minorHAnsi"/>
                <w:sz w:val="16"/>
                <w:szCs w:val="16"/>
              </w:rPr>
              <w:t>Velika Kopanica</w:t>
            </w:r>
            <w:r>
              <w:rPr>
                <w:rFonts w:cstheme="minorHAnsi"/>
                <w:sz w:val="16"/>
                <w:szCs w:val="16"/>
              </w:rPr>
              <w:t xml:space="preserve">, </w:t>
            </w:r>
            <w:proofErr w:type="spellStart"/>
            <w:r w:rsidRPr="007D607C">
              <w:rPr>
                <w:rFonts w:cstheme="minorHAnsi"/>
                <w:sz w:val="16"/>
                <w:szCs w:val="16"/>
              </w:rPr>
              <w:t>Vrbje</w:t>
            </w:r>
            <w:proofErr w:type="spellEnd"/>
            <w:r>
              <w:rPr>
                <w:rFonts w:cstheme="minorHAnsi"/>
                <w:sz w:val="16"/>
                <w:szCs w:val="16"/>
              </w:rPr>
              <w:t xml:space="preserve">, </w:t>
            </w:r>
            <w:r w:rsidRPr="007D607C">
              <w:rPr>
                <w:rFonts w:cstheme="minorHAnsi"/>
                <w:sz w:val="16"/>
                <w:szCs w:val="16"/>
              </w:rPr>
              <w:t>Vrpolje</w:t>
            </w:r>
            <w:r>
              <w:rPr>
                <w:rFonts w:cstheme="minorHAnsi"/>
                <w:sz w:val="16"/>
                <w:szCs w:val="16"/>
              </w:rPr>
              <w:t>.</w:t>
            </w:r>
          </w:p>
          <w:p w14:paraId="03CDA7A4" w14:textId="65D7EAC6" w:rsidR="00194DBF" w:rsidRPr="004348AA" w:rsidRDefault="00194DBF" w:rsidP="00A41D37">
            <w:pPr>
              <w:rPr>
                <w:rFonts w:cstheme="minorHAnsi"/>
                <w:sz w:val="16"/>
                <w:szCs w:val="16"/>
              </w:rPr>
            </w:pPr>
          </w:p>
        </w:tc>
      </w:tr>
      <w:tr w:rsidR="00194DBF" w:rsidRPr="007D607C" w14:paraId="4E70249B" w14:textId="77777777" w:rsidTr="00A41D37">
        <w:tc>
          <w:tcPr>
            <w:tcW w:w="261" w:type="pct"/>
            <w:vMerge/>
            <w:vAlign w:val="center"/>
          </w:tcPr>
          <w:p w14:paraId="29CB6D0A" w14:textId="77777777" w:rsidR="00194DBF" w:rsidRPr="00E25425" w:rsidRDefault="00194DBF" w:rsidP="00A41D37">
            <w:pPr>
              <w:rPr>
                <w:rFonts w:cstheme="minorHAnsi"/>
                <w:sz w:val="16"/>
                <w:szCs w:val="16"/>
              </w:rPr>
            </w:pPr>
          </w:p>
        </w:tc>
        <w:tc>
          <w:tcPr>
            <w:tcW w:w="741" w:type="pct"/>
            <w:vMerge/>
            <w:vAlign w:val="center"/>
          </w:tcPr>
          <w:p w14:paraId="7C22D6AC" w14:textId="77777777" w:rsidR="00194DBF" w:rsidRPr="00E25425" w:rsidRDefault="00194DBF" w:rsidP="00A41D37">
            <w:pPr>
              <w:rPr>
                <w:rFonts w:cstheme="minorHAnsi"/>
                <w:sz w:val="16"/>
                <w:szCs w:val="16"/>
              </w:rPr>
            </w:pPr>
          </w:p>
        </w:tc>
        <w:tc>
          <w:tcPr>
            <w:tcW w:w="1106" w:type="pct"/>
            <w:vAlign w:val="center"/>
          </w:tcPr>
          <w:p w14:paraId="5F926D9B" w14:textId="2DEE0501" w:rsidR="00194DBF" w:rsidRPr="00E25425" w:rsidRDefault="00194DBF" w:rsidP="00A41D37">
            <w:pPr>
              <w:rPr>
                <w:rFonts w:cstheme="minorHAnsi"/>
                <w:sz w:val="16"/>
                <w:szCs w:val="16"/>
              </w:rPr>
            </w:pPr>
            <w:r w:rsidRPr="00E25425">
              <w:rPr>
                <w:rFonts w:cstheme="minorHAnsi"/>
                <w:sz w:val="16"/>
                <w:szCs w:val="16"/>
              </w:rPr>
              <w:t xml:space="preserve">Požeško-slavonska </w:t>
            </w:r>
          </w:p>
        </w:tc>
        <w:tc>
          <w:tcPr>
            <w:tcW w:w="2892" w:type="pct"/>
          </w:tcPr>
          <w:p w14:paraId="4E0B7BA6" w14:textId="77777777" w:rsidR="00194DBF" w:rsidRPr="00E25425" w:rsidRDefault="00194DBF" w:rsidP="007D607C">
            <w:pPr>
              <w:rPr>
                <w:rFonts w:cstheme="minorHAnsi"/>
                <w:i/>
                <w:iCs/>
                <w:sz w:val="16"/>
                <w:szCs w:val="16"/>
              </w:rPr>
            </w:pPr>
            <w:r w:rsidRPr="00E25425">
              <w:rPr>
                <w:rFonts w:cstheme="minorHAnsi"/>
                <w:i/>
                <w:iCs/>
                <w:sz w:val="16"/>
                <w:szCs w:val="16"/>
              </w:rPr>
              <w:t>Sve JLS</w:t>
            </w:r>
          </w:p>
          <w:p w14:paraId="4C7EA327" w14:textId="77777777" w:rsidR="00194DBF" w:rsidRDefault="00194DBF" w:rsidP="007D607C">
            <w:pPr>
              <w:rPr>
                <w:rFonts w:cstheme="minorHAnsi"/>
                <w:sz w:val="16"/>
                <w:szCs w:val="16"/>
              </w:rPr>
            </w:pPr>
            <w:r w:rsidRPr="00E25425">
              <w:rPr>
                <w:rFonts w:cstheme="minorHAnsi"/>
                <w:sz w:val="16"/>
                <w:szCs w:val="16"/>
              </w:rPr>
              <w:t>Gradovi:</w:t>
            </w:r>
            <w:r>
              <w:rPr>
                <w:rFonts w:cstheme="minorHAnsi"/>
                <w:sz w:val="16"/>
                <w:szCs w:val="16"/>
              </w:rPr>
              <w:t xml:space="preserve"> </w:t>
            </w:r>
            <w:r w:rsidRPr="007D607C">
              <w:rPr>
                <w:rFonts w:cstheme="minorHAnsi"/>
                <w:sz w:val="16"/>
                <w:szCs w:val="16"/>
              </w:rPr>
              <w:t>Kutjevo</w:t>
            </w:r>
            <w:r>
              <w:rPr>
                <w:rFonts w:cstheme="minorHAnsi"/>
                <w:sz w:val="16"/>
                <w:szCs w:val="16"/>
              </w:rPr>
              <w:t xml:space="preserve">, </w:t>
            </w:r>
            <w:r w:rsidRPr="007D607C">
              <w:rPr>
                <w:rFonts w:cstheme="minorHAnsi"/>
                <w:sz w:val="16"/>
                <w:szCs w:val="16"/>
              </w:rPr>
              <w:t>Lipik</w:t>
            </w:r>
            <w:r>
              <w:rPr>
                <w:rFonts w:cstheme="minorHAnsi"/>
                <w:sz w:val="16"/>
                <w:szCs w:val="16"/>
              </w:rPr>
              <w:t xml:space="preserve">, </w:t>
            </w:r>
            <w:r w:rsidRPr="007D607C">
              <w:rPr>
                <w:rFonts w:cstheme="minorHAnsi"/>
                <w:sz w:val="16"/>
                <w:szCs w:val="16"/>
              </w:rPr>
              <w:t>Pakrac</w:t>
            </w:r>
            <w:r>
              <w:rPr>
                <w:rFonts w:cstheme="minorHAnsi"/>
                <w:sz w:val="16"/>
                <w:szCs w:val="16"/>
              </w:rPr>
              <w:t xml:space="preserve">, </w:t>
            </w:r>
            <w:r w:rsidRPr="007D607C">
              <w:rPr>
                <w:rFonts w:cstheme="minorHAnsi"/>
                <w:sz w:val="16"/>
                <w:szCs w:val="16"/>
              </w:rPr>
              <w:t>Pleternica</w:t>
            </w:r>
            <w:r>
              <w:rPr>
                <w:rFonts w:cstheme="minorHAnsi"/>
                <w:sz w:val="16"/>
                <w:szCs w:val="16"/>
              </w:rPr>
              <w:t xml:space="preserve">, </w:t>
            </w:r>
            <w:r w:rsidRPr="007D607C">
              <w:rPr>
                <w:rFonts w:cstheme="minorHAnsi"/>
                <w:sz w:val="16"/>
                <w:szCs w:val="16"/>
              </w:rPr>
              <w:t>Požega</w:t>
            </w:r>
            <w:r>
              <w:rPr>
                <w:rFonts w:cstheme="minorHAnsi"/>
                <w:sz w:val="16"/>
                <w:szCs w:val="16"/>
              </w:rPr>
              <w:t>;</w:t>
            </w:r>
          </w:p>
          <w:p w14:paraId="6D466AAE" w14:textId="77777777" w:rsidR="00194DBF" w:rsidRDefault="00194DBF" w:rsidP="007D607C">
            <w:pPr>
              <w:rPr>
                <w:rFonts w:cstheme="minorHAnsi"/>
                <w:sz w:val="16"/>
                <w:szCs w:val="16"/>
              </w:rPr>
            </w:pPr>
          </w:p>
          <w:p w14:paraId="4E568A97" w14:textId="28DE8F45" w:rsidR="00194DBF" w:rsidRPr="004348AA" w:rsidRDefault="00194DBF" w:rsidP="007D607C">
            <w:pPr>
              <w:rPr>
                <w:rFonts w:cstheme="minorHAnsi"/>
                <w:sz w:val="16"/>
                <w:szCs w:val="16"/>
              </w:rPr>
            </w:pPr>
            <w:r>
              <w:rPr>
                <w:rFonts w:cstheme="minorHAnsi"/>
                <w:sz w:val="16"/>
                <w:szCs w:val="16"/>
              </w:rPr>
              <w:t xml:space="preserve">Općine: </w:t>
            </w:r>
            <w:r w:rsidRPr="007D607C">
              <w:rPr>
                <w:rFonts w:cstheme="minorHAnsi"/>
                <w:sz w:val="16"/>
                <w:szCs w:val="16"/>
              </w:rPr>
              <w:t>Brestovac</w:t>
            </w:r>
            <w:r>
              <w:rPr>
                <w:rFonts w:cstheme="minorHAnsi"/>
                <w:sz w:val="16"/>
                <w:szCs w:val="16"/>
              </w:rPr>
              <w:t xml:space="preserve">, </w:t>
            </w:r>
            <w:r w:rsidRPr="007D607C">
              <w:rPr>
                <w:rFonts w:cstheme="minorHAnsi"/>
                <w:sz w:val="16"/>
                <w:szCs w:val="16"/>
              </w:rPr>
              <w:t>Čaglin</w:t>
            </w:r>
            <w:r>
              <w:rPr>
                <w:rFonts w:cstheme="minorHAnsi"/>
                <w:sz w:val="16"/>
                <w:szCs w:val="16"/>
              </w:rPr>
              <w:t xml:space="preserve">, </w:t>
            </w:r>
            <w:r w:rsidRPr="007D607C">
              <w:rPr>
                <w:rFonts w:cstheme="minorHAnsi"/>
                <w:sz w:val="16"/>
                <w:szCs w:val="16"/>
              </w:rPr>
              <w:t>Jakšić</w:t>
            </w:r>
            <w:r>
              <w:rPr>
                <w:rFonts w:cstheme="minorHAnsi"/>
                <w:sz w:val="16"/>
                <w:szCs w:val="16"/>
              </w:rPr>
              <w:t xml:space="preserve">, </w:t>
            </w:r>
            <w:r w:rsidRPr="007D607C">
              <w:rPr>
                <w:rFonts w:cstheme="minorHAnsi"/>
                <w:sz w:val="16"/>
                <w:szCs w:val="16"/>
              </w:rPr>
              <w:t>Kaptol</w:t>
            </w:r>
            <w:r>
              <w:rPr>
                <w:rFonts w:cstheme="minorHAnsi"/>
                <w:sz w:val="16"/>
                <w:szCs w:val="16"/>
              </w:rPr>
              <w:t xml:space="preserve">, </w:t>
            </w:r>
            <w:r w:rsidRPr="007D607C">
              <w:rPr>
                <w:rFonts w:cstheme="minorHAnsi"/>
                <w:sz w:val="16"/>
                <w:szCs w:val="16"/>
              </w:rPr>
              <w:t>Velika</w:t>
            </w:r>
            <w:r>
              <w:rPr>
                <w:rFonts w:cstheme="minorHAnsi"/>
                <w:sz w:val="16"/>
                <w:szCs w:val="16"/>
              </w:rPr>
              <w:t>.</w:t>
            </w:r>
          </w:p>
          <w:p w14:paraId="0F83CD85" w14:textId="72E82168" w:rsidR="00194DBF" w:rsidRPr="004348AA" w:rsidRDefault="00194DBF" w:rsidP="007D607C">
            <w:pPr>
              <w:rPr>
                <w:rFonts w:cstheme="minorHAnsi"/>
                <w:i/>
                <w:iCs/>
                <w:sz w:val="16"/>
                <w:szCs w:val="16"/>
              </w:rPr>
            </w:pPr>
          </w:p>
        </w:tc>
      </w:tr>
      <w:tr w:rsidR="00194DBF" w:rsidRPr="007D607C" w14:paraId="182293D5" w14:textId="77777777" w:rsidTr="00A41D37">
        <w:tc>
          <w:tcPr>
            <w:tcW w:w="261" w:type="pct"/>
            <w:vMerge/>
            <w:vAlign w:val="center"/>
          </w:tcPr>
          <w:p w14:paraId="4DAD9ADC" w14:textId="77777777" w:rsidR="00194DBF" w:rsidRPr="00E25425" w:rsidRDefault="00194DBF" w:rsidP="00A41D37">
            <w:pPr>
              <w:rPr>
                <w:rFonts w:cstheme="minorHAnsi"/>
                <w:sz w:val="16"/>
                <w:szCs w:val="16"/>
              </w:rPr>
            </w:pPr>
          </w:p>
        </w:tc>
        <w:tc>
          <w:tcPr>
            <w:tcW w:w="741" w:type="pct"/>
            <w:vMerge/>
            <w:vAlign w:val="center"/>
          </w:tcPr>
          <w:p w14:paraId="181AD48C" w14:textId="77777777" w:rsidR="00194DBF" w:rsidRPr="00E25425" w:rsidRDefault="00194DBF" w:rsidP="00A41D37">
            <w:pPr>
              <w:rPr>
                <w:rFonts w:cstheme="minorHAnsi"/>
                <w:sz w:val="16"/>
                <w:szCs w:val="16"/>
              </w:rPr>
            </w:pPr>
          </w:p>
        </w:tc>
        <w:tc>
          <w:tcPr>
            <w:tcW w:w="1106" w:type="pct"/>
            <w:vAlign w:val="center"/>
          </w:tcPr>
          <w:p w14:paraId="5858C48B" w14:textId="32D8EF04" w:rsidR="00194DBF" w:rsidRPr="00E25425" w:rsidRDefault="00194DBF" w:rsidP="00A41D37">
            <w:pPr>
              <w:rPr>
                <w:rFonts w:cstheme="minorHAnsi"/>
                <w:sz w:val="16"/>
                <w:szCs w:val="16"/>
              </w:rPr>
            </w:pPr>
            <w:r w:rsidRPr="00E25425">
              <w:rPr>
                <w:rFonts w:cstheme="minorHAnsi"/>
                <w:sz w:val="16"/>
                <w:szCs w:val="16"/>
              </w:rPr>
              <w:t>dio Sisačko-</w:t>
            </w:r>
            <w:proofErr w:type="spellStart"/>
            <w:r w:rsidRPr="00E25425">
              <w:rPr>
                <w:rFonts w:cstheme="minorHAnsi"/>
                <w:sz w:val="16"/>
                <w:szCs w:val="16"/>
              </w:rPr>
              <w:t>moslovačke</w:t>
            </w:r>
            <w:proofErr w:type="spellEnd"/>
            <w:r w:rsidRPr="00E25425">
              <w:rPr>
                <w:rFonts w:cstheme="minorHAnsi"/>
                <w:sz w:val="16"/>
                <w:szCs w:val="16"/>
              </w:rPr>
              <w:t xml:space="preserve"> </w:t>
            </w:r>
          </w:p>
        </w:tc>
        <w:tc>
          <w:tcPr>
            <w:tcW w:w="2892" w:type="pct"/>
          </w:tcPr>
          <w:p w14:paraId="094BA035" w14:textId="1C98E459" w:rsidR="00194DBF" w:rsidRPr="004348AA" w:rsidRDefault="00194DBF" w:rsidP="00BC69FB">
            <w:pPr>
              <w:rPr>
                <w:rFonts w:cstheme="minorHAnsi"/>
                <w:sz w:val="16"/>
                <w:szCs w:val="16"/>
              </w:rPr>
            </w:pPr>
            <w:r w:rsidRPr="00E25425">
              <w:rPr>
                <w:rFonts w:cstheme="minorHAnsi"/>
                <w:sz w:val="16"/>
                <w:szCs w:val="16"/>
              </w:rPr>
              <w:t>Gradovi</w:t>
            </w:r>
            <w:r>
              <w:rPr>
                <w:rFonts w:cstheme="minorHAnsi"/>
                <w:sz w:val="16"/>
                <w:szCs w:val="16"/>
              </w:rPr>
              <w:t>:</w:t>
            </w:r>
            <w:r w:rsidRPr="004348AA">
              <w:rPr>
                <w:rFonts w:cstheme="minorHAnsi"/>
                <w:sz w:val="16"/>
                <w:szCs w:val="16"/>
              </w:rPr>
              <w:t xml:space="preserve"> Sisak, Petrinja, Novska, Popovača, Kutina, Hrvatska Kostajnica;</w:t>
            </w:r>
          </w:p>
          <w:p w14:paraId="0E451878" w14:textId="77777777" w:rsidR="00194DBF" w:rsidRPr="004348AA" w:rsidRDefault="00194DBF" w:rsidP="00BC69FB">
            <w:pPr>
              <w:rPr>
                <w:rFonts w:cstheme="minorHAnsi"/>
                <w:sz w:val="16"/>
                <w:szCs w:val="16"/>
              </w:rPr>
            </w:pPr>
          </w:p>
          <w:p w14:paraId="6078DF7C" w14:textId="389E2888" w:rsidR="00194DBF" w:rsidRPr="004348AA" w:rsidRDefault="00194DBF" w:rsidP="00BC69FB">
            <w:pPr>
              <w:rPr>
                <w:rFonts w:cstheme="minorHAnsi"/>
                <w:i/>
                <w:iCs/>
                <w:sz w:val="16"/>
                <w:szCs w:val="16"/>
              </w:rPr>
            </w:pPr>
            <w:r w:rsidRPr="004348AA">
              <w:rPr>
                <w:rFonts w:cstheme="minorHAnsi"/>
                <w:sz w:val="16"/>
                <w:szCs w:val="16"/>
              </w:rPr>
              <w:t>Općine</w:t>
            </w:r>
            <w:r>
              <w:rPr>
                <w:rFonts w:cstheme="minorHAnsi"/>
                <w:sz w:val="16"/>
                <w:szCs w:val="16"/>
              </w:rPr>
              <w:t>:</w:t>
            </w:r>
            <w:r w:rsidRPr="004348AA">
              <w:rPr>
                <w:rFonts w:cstheme="minorHAnsi"/>
                <w:sz w:val="16"/>
                <w:szCs w:val="16"/>
              </w:rPr>
              <w:t xml:space="preserve"> Donji </w:t>
            </w:r>
            <w:proofErr w:type="spellStart"/>
            <w:r w:rsidRPr="004348AA">
              <w:rPr>
                <w:rFonts w:cstheme="minorHAnsi"/>
                <w:sz w:val="16"/>
                <w:szCs w:val="16"/>
              </w:rPr>
              <w:t>Kukuruzari</w:t>
            </w:r>
            <w:proofErr w:type="spellEnd"/>
            <w:r w:rsidRPr="004348AA">
              <w:rPr>
                <w:rFonts w:cstheme="minorHAnsi"/>
                <w:sz w:val="16"/>
                <w:szCs w:val="16"/>
              </w:rPr>
              <w:t xml:space="preserve">, </w:t>
            </w:r>
            <w:r w:rsidRPr="00917781">
              <w:rPr>
                <w:rFonts w:cstheme="minorHAnsi"/>
                <w:sz w:val="16"/>
                <w:szCs w:val="16"/>
              </w:rPr>
              <w:t>Dvor</w:t>
            </w:r>
            <w:r>
              <w:rPr>
                <w:rFonts w:cstheme="minorHAnsi"/>
                <w:sz w:val="16"/>
                <w:szCs w:val="16"/>
              </w:rPr>
              <w:t>,</w:t>
            </w:r>
            <w:r w:rsidRPr="000225F9">
              <w:rPr>
                <w:rFonts w:cstheme="minorHAnsi"/>
                <w:sz w:val="16"/>
                <w:szCs w:val="16"/>
              </w:rPr>
              <w:t xml:space="preserve"> Hrvatska Dubica, </w:t>
            </w:r>
            <w:r w:rsidRPr="008C7AD3">
              <w:rPr>
                <w:rFonts w:cstheme="minorHAnsi"/>
                <w:sz w:val="16"/>
                <w:szCs w:val="16"/>
              </w:rPr>
              <w:t xml:space="preserve">Jasenovac, </w:t>
            </w:r>
            <w:r w:rsidRPr="00D30733">
              <w:rPr>
                <w:rFonts w:cstheme="minorHAnsi"/>
                <w:sz w:val="16"/>
                <w:szCs w:val="16"/>
              </w:rPr>
              <w:t xml:space="preserve">Lekenik, </w:t>
            </w:r>
            <w:r w:rsidRPr="008A3BE6">
              <w:rPr>
                <w:rFonts w:cstheme="minorHAnsi"/>
                <w:sz w:val="16"/>
                <w:szCs w:val="16"/>
              </w:rPr>
              <w:t xml:space="preserve">Lipovljani, </w:t>
            </w:r>
            <w:r w:rsidRPr="009A244E">
              <w:rPr>
                <w:rFonts w:cstheme="minorHAnsi"/>
                <w:sz w:val="16"/>
                <w:szCs w:val="16"/>
              </w:rPr>
              <w:t xml:space="preserve">Majur, </w:t>
            </w:r>
            <w:proofErr w:type="spellStart"/>
            <w:r>
              <w:rPr>
                <w:rFonts w:cstheme="minorHAnsi"/>
                <w:sz w:val="16"/>
                <w:szCs w:val="16"/>
              </w:rPr>
              <w:t>Martinska</w:t>
            </w:r>
            <w:proofErr w:type="spellEnd"/>
            <w:r>
              <w:rPr>
                <w:rFonts w:cstheme="minorHAnsi"/>
                <w:sz w:val="16"/>
                <w:szCs w:val="16"/>
              </w:rPr>
              <w:t xml:space="preserve"> Ves, </w:t>
            </w:r>
            <w:r w:rsidRPr="00822E36">
              <w:rPr>
                <w:rFonts w:cstheme="minorHAnsi"/>
                <w:sz w:val="16"/>
                <w:szCs w:val="16"/>
              </w:rPr>
              <w:t>Sunja, Velika Ludina</w:t>
            </w:r>
            <w:r>
              <w:rPr>
                <w:rFonts w:cstheme="minorHAnsi"/>
                <w:sz w:val="16"/>
                <w:szCs w:val="16"/>
              </w:rPr>
              <w:t>.</w:t>
            </w:r>
            <w:r w:rsidRPr="00B31C72">
              <w:rPr>
                <w:rFonts w:cstheme="minorHAnsi"/>
                <w:sz w:val="16"/>
                <w:szCs w:val="16"/>
              </w:rPr>
              <w:t xml:space="preserve"> </w:t>
            </w:r>
          </w:p>
        </w:tc>
      </w:tr>
      <w:tr w:rsidR="00194DBF" w:rsidRPr="007D607C" w14:paraId="6B444DCD" w14:textId="77777777" w:rsidTr="00A41D37">
        <w:tc>
          <w:tcPr>
            <w:tcW w:w="261" w:type="pct"/>
            <w:vMerge/>
            <w:vAlign w:val="center"/>
          </w:tcPr>
          <w:p w14:paraId="6FFE24E7" w14:textId="77777777" w:rsidR="00194DBF" w:rsidRPr="00E25425" w:rsidRDefault="00194DBF" w:rsidP="00A41D37">
            <w:pPr>
              <w:rPr>
                <w:rFonts w:cstheme="minorHAnsi"/>
                <w:sz w:val="16"/>
                <w:szCs w:val="16"/>
              </w:rPr>
            </w:pPr>
          </w:p>
        </w:tc>
        <w:tc>
          <w:tcPr>
            <w:tcW w:w="741" w:type="pct"/>
            <w:vMerge/>
            <w:vAlign w:val="center"/>
          </w:tcPr>
          <w:p w14:paraId="03DAA730" w14:textId="77777777" w:rsidR="00194DBF" w:rsidRPr="00E25425" w:rsidRDefault="00194DBF" w:rsidP="00A41D37">
            <w:pPr>
              <w:rPr>
                <w:rFonts w:cstheme="minorHAnsi"/>
                <w:sz w:val="16"/>
                <w:szCs w:val="16"/>
              </w:rPr>
            </w:pPr>
          </w:p>
        </w:tc>
        <w:tc>
          <w:tcPr>
            <w:tcW w:w="1106" w:type="pct"/>
            <w:vAlign w:val="center"/>
          </w:tcPr>
          <w:p w14:paraId="764C7F6D" w14:textId="36E243E7" w:rsidR="00194DBF" w:rsidRPr="00E25425" w:rsidRDefault="00194DBF" w:rsidP="00A41D37">
            <w:pPr>
              <w:rPr>
                <w:rFonts w:cstheme="minorHAnsi"/>
                <w:sz w:val="16"/>
                <w:szCs w:val="16"/>
              </w:rPr>
            </w:pPr>
            <w:r>
              <w:rPr>
                <w:rFonts w:cstheme="minorHAnsi"/>
                <w:sz w:val="16"/>
                <w:szCs w:val="16"/>
              </w:rPr>
              <w:t>Virovitičko-podravska</w:t>
            </w:r>
          </w:p>
        </w:tc>
        <w:tc>
          <w:tcPr>
            <w:tcW w:w="2892" w:type="pct"/>
          </w:tcPr>
          <w:p w14:paraId="3669AE61" w14:textId="77777777" w:rsidR="00194DBF" w:rsidRDefault="00194DBF" w:rsidP="00194DBF">
            <w:pPr>
              <w:jc w:val="left"/>
              <w:rPr>
                <w:rFonts w:cstheme="minorHAnsi"/>
                <w:iCs/>
                <w:sz w:val="16"/>
                <w:szCs w:val="16"/>
              </w:rPr>
            </w:pPr>
            <w:r>
              <w:rPr>
                <w:rFonts w:cstheme="minorHAnsi"/>
                <w:i/>
                <w:iCs/>
                <w:sz w:val="16"/>
                <w:szCs w:val="16"/>
              </w:rPr>
              <w:t>Sve JLS</w:t>
            </w:r>
            <w:r>
              <w:rPr>
                <w:rFonts w:cstheme="minorHAnsi"/>
                <w:i/>
                <w:iCs/>
                <w:sz w:val="16"/>
                <w:szCs w:val="16"/>
              </w:rPr>
              <w:br/>
            </w:r>
            <w:r w:rsidRPr="00C2699A">
              <w:rPr>
                <w:rFonts w:cstheme="minorHAnsi"/>
                <w:iCs/>
                <w:sz w:val="16"/>
                <w:szCs w:val="16"/>
              </w:rPr>
              <w:t>Gradovi:</w:t>
            </w:r>
            <w:r>
              <w:rPr>
                <w:rFonts w:cstheme="minorHAnsi"/>
                <w:iCs/>
                <w:sz w:val="16"/>
                <w:szCs w:val="16"/>
              </w:rPr>
              <w:t xml:space="preserve"> Virovitica, Slatina, Orahovica</w:t>
            </w:r>
          </w:p>
          <w:p w14:paraId="0F53914A" w14:textId="77777777" w:rsidR="00194DBF" w:rsidRDefault="00194DBF" w:rsidP="00194DBF">
            <w:pPr>
              <w:rPr>
                <w:rFonts w:cstheme="minorHAnsi"/>
                <w:iCs/>
                <w:sz w:val="16"/>
                <w:szCs w:val="16"/>
              </w:rPr>
            </w:pPr>
          </w:p>
          <w:p w14:paraId="6FC17221" w14:textId="13F97364" w:rsidR="00194DBF" w:rsidRPr="00E25425" w:rsidRDefault="00194DBF" w:rsidP="00194DBF">
            <w:pPr>
              <w:rPr>
                <w:rFonts w:cstheme="minorHAnsi"/>
                <w:sz w:val="16"/>
                <w:szCs w:val="16"/>
              </w:rPr>
            </w:pPr>
            <w:r>
              <w:rPr>
                <w:rFonts w:cstheme="minorHAnsi"/>
                <w:iCs/>
                <w:sz w:val="16"/>
                <w:szCs w:val="16"/>
              </w:rPr>
              <w:t xml:space="preserve">Općine: Crnac, </w:t>
            </w:r>
            <w:proofErr w:type="spellStart"/>
            <w:r>
              <w:rPr>
                <w:rFonts w:cstheme="minorHAnsi"/>
                <w:iCs/>
                <w:sz w:val="16"/>
                <w:szCs w:val="16"/>
              </w:rPr>
              <w:t>Čačinci</w:t>
            </w:r>
            <w:proofErr w:type="spellEnd"/>
            <w:r>
              <w:rPr>
                <w:rFonts w:cstheme="minorHAnsi"/>
                <w:iCs/>
                <w:sz w:val="16"/>
                <w:szCs w:val="16"/>
              </w:rPr>
              <w:t xml:space="preserve">, Čađavica, Gradina, Lukač, </w:t>
            </w:r>
            <w:proofErr w:type="spellStart"/>
            <w:r>
              <w:rPr>
                <w:rFonts w:cstheme="minorHAnsi"/>
                <w:iCs/>
                <w:sz w:val="16"/>
                <w:szCs w:val="16"/>
              </w:rPr>
              <w:t>Mikleuš</w:t>
            </w:r>
            <w:proofErr w:type="spellEnd"/>
            <w:r>
              <w:rPr>
                <w:rFonts w:cstheme="minorHAnsi"/>
                <w:iCs/>
                <w:sz w:val="16"/>
                <w:szCs w:val="16"/>
              </w:rPr>
              <w:t xml:space="preserve">, Nova Bukovica, Pitomača, </w:t>
            </w:r>
            <w:proofErr w:type="spellStart"/>
            <w:r>
              <w:rPr>
                <w:rFonts w:cstheme="minorHAnsi"/>
                <w:iCs/>
                <w:sz w:val="16"/>
                <w:szCs w:val="16"/>
              </w:rPr>
              <w:t>Sopje</w:t>
            </w:r>
            <w:proofErr w:type="spellEnd"/>
            <w:r>
              <w:rPr>
                <w:rFonts w:cstheme="minorHAnsi"/>
                <w:iCs/>
                <w:sz w:val="16"/>
                <w:szCs w:val="16"/>
              </w:rPr>
              <w:t xml:space="preserve">, Suhopolje, Špišić Bukovica, </w:t>
            </w:r>
            <w:proofErr w:type="spellStart"/>
            <w:r>
              <w:rPr>
                <w:rFonts w:cstheme="minorHAnsi"/>
                <w:iCs/>
                <w:sz w:val="16"/>
                <w:szCs w:val="16"/>
              </w:rPr>
              <w:t>Voćin</w:t>
            </w:r>
            <w:proofErr w:type="spellEnd"/>
            <w:r>
              <w:rPr>
                <w:rFonts w:cstheme="minorHAnsi"/>
                <w:iCs/>
                <w:sz w:val="16"/>
                <w:szCs w:val="16"/>
              </w:rPr>
              <w:t>, Zdenci</w:t>
            </w:r>
          </w:p>
        </w:tc>
      </w:tr>
      <w:tr w:rsidR="007D607C" w:rsidRPr="007D607C" w14:paraId="153AF91F" w14:textId="03A4E9AA" w:rsidTr="007D607C">
        <w:tc>
          <w:tcPr>
            <w:tcW w:w="261" w:type="pct"/>
            <w:vMerge w:val="restart"/>
            <w:vAlign w:val="center"/>
          </w:tcPr>
          <w:p w14:paraId="11E57AC6" w14:textId="77777777" w:rsidR="007D607C" w:rsidRPr="004348AA" w:rsidRDefault="007D607C" w:rsidP="00A41D37">
            <w:pPr>
              <w:rPr>
                <w:rFonts w:cstheme="minorHAnsi"/>
                <w:sz w:val="16"/>
                <w:szCs w:val="16"/>
              </w:rPr>
            </w:pPr>
            <w:r w:rsidRPr="004348AA">
              <w:rPr>
                <w:rFonts w:cstheme="minorHAnsi"/>
                <w:sz w:val="16"/>
                <w:szCs w:val="16"/>
              </w:rPr>
              <w:t>11.</w:t>
            </w:r>
          </w:p>
        </w:tc>
        <w:tc>
          <w:tcPr>
            <w:tcW w:w="741" w:type="pct"/>
            <w:vMerge w:val="restart"/>
            <w:vAlign w:val="center"/>
          </w:tcPr>
          <w:p w14:paraId="2BA3B3CE" w14:textId="77777777" w:rsidR="007D607C" w:rsidRPr="004348AA" w:rsidRDefault="007D607C" w:rsidP="00A41D37">
            <w:pPr>
              <w:rPr>
                <w:rFonts w:cstheme="minorHAnsi"/>
                <w:sz w:val="16"/>
                <w:szCs w:val="16"/>
              </w:rPr>
            </w:pPr>
            <w:r w:rsidRPr="004348AA">
              <w:rPr>
                <w:rFonts w:cstheme="minorHAnsi"/>
                <w:sz w:val="16"/>
                <w:szCs w:val="16"/>
              </w:rPr>
              <w:t>CGO Zagreb</w:t>
            </w:r>
          </w:p>
        </w:tc>
        <w:tc>
          <w:tcPr>
            <w:tcW w:w="1106" w:type="pct"/>
            <w:vAlign w:val="center"/>
          </w:tcPr>
          <w:p w14:paraId="4235B051" w14:textId="7D09CD5E" w:rsidR="007D607C" w:rsidRPr="004348AA" w:rsidRDefault="007D607C" w:rsidP="00A41D37">
            <w:pPr>
              <w:rPr>
                <w:rFonts w:cstheme="minorHAnsi"/>
                <w:sz w:val="16"/>
                <w:szCs w:val="16"/>
              </w:rPr>
            </w:pPr>
            <w:r w:rsidRPr="004348AA">
              <w:rPr>
                <w:rFonts w:cstheme="minorHAnsi"/>
                <w:sz w:val="16"/>
                <w:szCs w:val="16"/>
              </w:rPr>
              <w:t xml:space="preserve">Grad Zagreb, </w:t>
            </w:r>
          </w:p>
        </w:tc>
        <w:tc>
          <w:tcPr>
            <w:tcW w:w="2892" w:type="pct"/>
          </w:tcPr>
          <w:p w14:paraId="68A4E33D" w14:textId="289169D1" w:rsidR="007D607C" w:rsidRPr="004348AA" w:rsidRDefault="007D607C" w:rsidP="00A41D37">
            <w:pPr>
              <w:rPr>
                <w:rFonts w:cstheme="minorHAnsi"/>
                <w:sz w:val="16"/>
                <w:szCs w:val="16"/>
              </w:rPr>
            </w:pPr>
            <w:r>
              <w:rPr>
                <w:rFonts w:cstheme="minorHAnsi"/>
                <w:sz w:val="16"/>
                <w:szCs w:val="16"/>
              </w:rPr>
              <w:t>Zagreb</w:t>
            </w:r>
          </w:p>
        </w:tc>
      </w:tr>
      <w:tr w:rsidR="007D607C" w:rsidRPr="007D607C" w14:paraId="72E96D0B" w14:textId="77777777" w:rsidTr="007D607C">
        <w:tc>
          <w:tcPr>
            <w:tcW w:w="261" w:type="pct"/>
            <w:vMerge/>
            <w:vAlign w:val="center"/>
          </w:tcPr>
          <w:p w14:paraId="2510B4D3" w14:textId="77777777" w:rsidR="007D607C" w:rsidRPr="007D607C" w:rsidRDefault="007D607C" w:rsidP="00A41D37">
            <w:pPr>
              <w:rPr>
                <w:rFonts w:cstheme="minorHAnsi"/>
                <w:sz w:val="16"/>
                <w:szCs w:val="16"/>
              </w:rPr>
            </w:pPr>
          </w:p>
        </w:tc>
        <w:tc>
          <w:tcPr>
            <w:tcW w:w="741" w:type="pct"/>
            <w:vMerge/>
            <w:vAlign w:val="center"/>
          </w:tcPr>
          <w:p w14:paraId="0CF5CBDC" w14:textId="77777777" w:rsidR="007D607C" w:rsidRPr="007D607C" w:rsidRDefault="007D607C" w:rsidP="00A41D37">
            <w:pPr>
              <w:rPr>
                <w:rFonts w:cstheme="minorHAnsi"/>
                <w:sz w:val="16"/>
                <w:szCs w:val="16"/>
              </w:rPr>
            </w:pPr>
          </w:p>
        </w:tc>
        <w:tc>
          <w:tcPr>
            <w:tcW w:w="1106" w:type="pct"/>
            <w:vAlign w:val="center"/>
          </w:tcPr>
          <w:p w14:paraId="4C9A7C28" w14:textId="2E5EE499" w:rsidR="007D607C" w:rsidRPr="007D607C" w:rsidRDefault="007D607C" w:rsidP="00A41D37">
            <w:pPr>
              <w:rPr>
                <w:rFonts w:cstheme="minorHAnsi"/>
                <w:sz w:val="16"/>
                <w:szCs w:val="16"/>
              </w:rPr>
            </w:pPr>
            <w:r w:rsidRPr="00232E31">
              <w:rPr>
                <w:rFonts w:cstheme="minorHAnsi"/>
                <w:sz w:val="16"/>
                <w:szCs w:val="16"/>
              </w:rPr>
              <w:t xml:space="preserve">Zagrebačka </w:t>
            </w:r>
          </w:p>
        </w:tc>
        <w:tc>
          <w:tcPr>
            <w:tcW w:w="2892" w:type="pct"/>
          </w:tcPr>
          <w:p w14:paraId="7D602D37" w14:textId="77777777" w:rsidR="007D607C" w:rsidRPr="00CE2521" w:rsidRDefault="007D607C" w:rsidP="007D607C">
            <w:pPr>
              <w:rPr>
                <w:rFonts w:cstheme="minorHAnsi"/>
                <w:i/>
                <w:iCs/>
                <w:sz w:val="16"/>
                <w:szCs w:val="16"/>
              </w:rPr>
            </w:pPr>
            <w:r w:rsidRPr="00CE2521">
              <w:rPr>
                <w:rFonts w:cstheme="minorHAnsi"/>
                <w:i/>
                <w:iCs/>
                <w:sz w:val="16"/>
                <w:szCs w:val="16"/>
              </w:rPr>
              <w:t>Sve JLS</w:t>
            </w:r>
          </w:p>
          <w:p w14:paraId="1837D224" w14:textId="77777777" w:rsidR="007D607C" w:rsidRDefault="007D607C" w:rsidP="007D607C">
            <w:pPr>
              <w:rPr>
                <w:rFonts w:cstheme="minorHAnsi"/>
                <w:sz w:val="16"/>
                <w:szCs w:val="16"/>
              </w:rPr>
            </w:pPr>
            <w:r w:rsidRPr="00CE2521">
              <w:rPr>
                <w:rFonts w:cstheme="minorHAnsi"/>
                <w:sz w:val="16"/>
                <w:szCs w:val="16"/>
              </w:rPr>
              <w:t>Gradovi:</w:t>
            </w:r>
            <w:r>
              <w:rPr>
                <w:rFonts w:cstheme="minorHAnsi"/>
                <w:sz w:val="16"/>
                <w:szCs w:val="16"/>
              </w:rPr>
              <w:t xml:space="preserve"> </w:t>
            </w:r>
            <w:r w:rsidRPr="007D607C">
              <w:rPr>
                <w:rFonts w:cstheme="minorHAnsi"/>
                <w:sz w:val="16"/>
                <w:szCs w:val="16"/>
              </w:rPr>
              <w:t>Dugo Selo</w:t>
            </w:r>
            <w:r>
              <w:rPr>
                <w:rFonts w:cstheme="minorHAnsi"/>
                <w:sz w:val="16"/>
                <w:szCs w:val="16"/>
              </w:rPr>
              <w:t xml:space="preserve">, </w:t>
            </w:r>
            <w:r w:rsidRPr="007D607C">
              <w:rPr>
                <w:rFonts w:cstheme="minorHAnsi"/>
                <w:sz w:val="16"/>
                <w:szCs w:val="16"/>
              </w:rPr>
              <w:t>Ivanić-Grad</w:t>
            </w:r>
            <w:r>
              <w:rPr>
                <w:rFonts w:cstheme="minorHAnsi"/>
                <w:sz w:val="16"/>
                <w:szCs w:val="16"/>
              </w:rPr>
              <w:t xml:space="preserve">, </w:t>
            </w:r>
            <w:r w:rsidRPr="007D607C">
              <w:rPr>
                <w:rFonts w:cstheme="minorHAnsi"/>
                <w:sz w:val="16"/>
                <w:szCs w:val="16"/>
              </w:rPr>
              <w:t>Jastrebarsko</w:t>
            </w:r>
            <w:r>
              <w:rPr>
                <w:rFonts w:cstheme="minorHAnsi"/>
                <w:sz w:val="16"/>
                <w:szCs w:val="16"/>
              </w:rPr>
              <w:t xml:space="preserve">, </w:t>
            </w:r>
            <w:r w:rsidRPr="007D607C">
              <w:rPr>
                <w:rFonts w:cstheme="minorHAnsi"/>
                <w:sz w:val="16"/>
                <w:szCs w:val="16"/>
              </w:rPr>
              <w:t>Samobor</w:t>
            </w:r>
            <w:r>
              <w:rPr>
                <w:rFonts w:cstheme="minorHAnsi"/>
                <w:sz w:val="16"/>
                <w:szCs w:val="16"/>
              </w:rPr>
              <w:t xml:space="preserve">, </w:t>
            </w:r>
            <w:r w:rsidRPr="007D607C">
              <w:rPr>
                <w:rFonts w:cstheme="minorHAnsi"/>
                <w:sz w:val="16"/>
                <w:szCs w:val="16"/>
              </w:rPr>
              <w:t xml:space="preserve">Sveta </w:t>
            </w:r>
            <w:proofErr w:type="spellStart"/>
            <w:r w:rsidRPr="007D607C">
              <w:rPr>
                <w:rFonts w:cstheme="minorHAnsi"/>
                <w:sz w:val="16"/>
                <w:szCs w:val="16"/>
              </w:rPr>
              <w:t>Nedelja</w:t>
            </w:r>
            <w:proofErr w:type="spellEnd"/>
            <w:r>
              <w:rPr>
                <w:rFonts w:cstheme="minorHAnsi"/>
                <w:sz w:val="16"/>
                <w:szCs w:val="16"/>
              </w:rPr>
              <w:t xml:space="preserve">, </w:t>
            </w:r>
            <w:r w:rsidRPr="007D607C">
              <w:rPr>
                <w:rFonts w:cstheme="minorHAnsi"/>
                <w:sz w:val="16"/>
                <w:szCs w:val="16"/>
              </w:rPr>
              <w:t>Sveti Ivan Zelina</w:t>
            </w:r>
            <w:r>
              <w:rPr>
                <w:rFonts w:cstheme="minorHAnsi"/>
                <w:sz w:val="16"/>
                <w:szCs w:val="16"/>
              </w:rPr>
              <w:t xml:space="preserve">, </w:t>
            </w:r>
            <w:r w:rsidRPr="007D607C">
              <w:rPr>
                <w:rFonts w:cstheme="minorHAnsi"/>
                <w:sz w:val="16"/>
                <w:szCs w:val="16"/>
              </w:rPr>
              <w:t>Velika Gorica</w:t>
            </w:r>
            <w:r>
              <w:rPr>
                <w:rFonts w:cstheme="minorHAnsi"/>
                <w:sz w:val="16"/>
                <w:szCs w:val="16"/>
              </w:rPr>
              <w:t xml:space="preserve">, </w:t>
            </w:r>
            <w:r w:rsidRPr="007D607C">
              <w:rPr>
                <w:rFonts w:cstheme="minorHAnsi"/>
                <w:sz w:val="16"/>
                <w:szCs w:val="16"/>
              </w:rPr>
              <w:t>Vrbovec</w:t>
            </w:r>
            <w:r>
              <w:rPr>
                <w:rFonts w:cstheme="minorHAnsi"/>
                <w:sz w:val="16"/>
                <w:szCs w:val="16"/>
              </w:rPr>
              <w:t xml:space="preserve">, </w:t>
            </w:r>
            <w:r w:rsidRPr="007D607C">
              <w:rPr>
                <w:rFonts w:cstheme="minorHAnsi"/>
                <w:sz w:val="16"/>
                <w:szCs w:val="16"/>
              </w:rPr>
              <w:t>Zaprešić</w:t>
            </w:r>
            <w:r>
              <w:rPr>
                <w:rFonts w:cstheme="minorHAnsi"/>
                <w:sz w:val="16"/>
                <w:szCs w:val="16"/>
              </w:rPr>
              <w:t>;</w:t>
            </w:r>
          </w:p>
          <w:p w14:paraId="3A01EDA1" w14:textId="77777777" w:rsidR="007D607C" w:rsidRDefault="007D607C" w:rsidP="007D607C">
            <w:pPr>
              <w:rPr>
                <w:rFonts w:cstheme="minorHAnsi"/>
                <w:sz w:val="16"/>
                <w:szCs w:val="16"/>
              </w:rPr>
            </w:pPr>
          </w:p>
          <w:p w14:paraId="2DF84A67" w14:textId="77777777" w:rsidR="007D607C" w:rsidRDefault="007D607C" w:rsidP="007D607C">
            <w:pPr>
              <w:rPr>
                <w:rFonts w:cstheme="minorHAnsi"/>
                <w:sz w:val="16"/>
                <w:szCs w:val="16"/>
              </w:rPr>
            </w:pPr>
            <w:r>
              <w:rPr>
                <w:rFonts w:cstheme="minorHAnsi"/>
                <w:sz w:val="16"/>
                <w:szCs w:val="16"/>
              </w:rPr>
              <w:t xml:space="preserve">Općine: </w:t>
            </w:r>
            <w:proofErr w:type="spellStart"/>
            <w:r w:rsidRPr="007D607C">
              <w:rPr>
                <w:rFonts w:cstheme="minorHAnsi"/>
                <w:sz w:val="16"/>
                <w:szCs w:val="16"/>
              </w:rPr>
              <w:t>Bedenica</w:t>
            </w:r>
            <w:proofErr w:type="spellEnd"/>
            <w:r>
              <w:rPr>
                <w:rFonts w:cstheme="minorHAnsi"/>
                <w:sz w:val="16"/>
                <w:szCs w:val="16"/>
              </w:rPr>
              <w:t xml:space="preserve">, </w:t>
            </w:r>
            <w:r w:rsidRPr="007D607C">
              <w:rPr>
                <w:rFonts w:cstheme="minorHAnsi"/>
                <w:sz w:val="16"/>
                <w:szCs w:val="16"/>
              </w:rPr>
              <w:t>Bistra</w:t>
            </w:r>
            <w:r>
              <w:rPr>
                <w:rFonts w:cstheme="minorHAnsi"/>
                <w:sz w:val="16"/>
                <w:szCs w:val="16"/>
              </w:rPr>
              <w:t xml:space="preserve">, </w:t>
            </w:r>
            <w:proofErr w:type="spellStart"/>
            <w:r w:rsidRPr="007D607C">
              <w:rPr>
                <w:rFonts w:cstheme="minorHAnsi"/>
                <w:sz w:val="16"/>
                <w:szCs w:val="16"/>
              </w:rPr>
              <w:t>Brckovljani</w:t>
            </w:r>
            <w:proofErr w:type="spellEnd"/>
            <w:r>
              <w:rPr>
                <w:rFonts w:cstheme="minorHAnsi"/>
                <w:sz w:val="16"/>
                <w:szCs w:val="16"/>
              </w:rPr>
              <w:t xml:space="preserve">, </w:t>
            </w:r>
            <w:r w:rsidRPr="007D607C">
              <w:rPr>
                <w:rFonts w:cstheme="minorHAnsi"/>
                <w:sz w:val="16"/>
                <w:szCs w:val="16"/>
              </w:rPr>
              <w:t>Brdovec</w:t>
            </w:r>
            <w:r>
              <w:rPr>
                <w:rFonts w:cstheme="minorHAnsi"/>
                <w:sz w:val="16"/>
                <w:szCs w:val="16"/>
              </w:rPr>
              <w:t xml:space="preserve">, </w:t>
            </w:r>
            <w:r w:rsidRPr="007D607C">
              <w:rPr>
                <w:rFonts w:cstheme="minorHAnsi"/>
                <w:sz w:val="16"/>
                <w:szCs w:val="16"/>
              </w:rPr>
              <w:t>Dubrava</w:t>
            </w:r>
            <w:r>
              <w:rPr>
                <w:rFonts w:cstheme="minorHAnsi"/>
                <w:sz w:val="16"/>
                <w:szCs w:val="16"/>
              </w:rPr>
              <w:t xml:space="preserve">, </w:t>
            </w:r>
            <w:r w:rsidRPr="007D607C">
              <w:rPr>
                <w:rFonts w:cstheme="minorHAnsi"/>
                <w:sz w:val="16"/>
                <w:szCs w:val="16"/>
              </w:rPr>
              <w:t>Dubravica</w:t>
            </w:r>
            <w:r>
              <w:rPr>
                <w:rFonts w:cstheme="minorHAnsi"/>
                <w:sz w:val="16"/>
                <w:szCs w:val="16"/>
              </w:rPr>
              <w:t xml:space="preserve">, </w:t>
            </w:r>
            <w:proofErr w:type="spellStart"/>
            <w:r w:rsidRPr="007D607C">
              <w:rPr>
                <w:rFonts w:cstheme="minorHAnsi"/>
                <w:sz w:val="16"/>
                <w:szCs w:val="16"/>
              </w:rPr>
              <w:t>Farkaševac</w:t>
            </w:r>
            <w:proofErr w:type="spellEnd"/>
            <w:r>
              <w:rPr>
                <w:rFonts w:cstheme="minorHAnsi"/>
                <w:sz w:val="16"/>
                <w:szCs w:val="16"/>
              </w:rPr>
              <w:t xml:space="preserve">, </w:t>
            </w:r>
            <w:r w:rsidRPr="007D607C">
              <w:rPr>
                <w:rFonts w:cstheme="minorHAnsi"/>
                <w:sz w:val="16"/>
                <w:szCs w:val="16"/>
              </w:rPr>
              <w:t>Gradec</w:t>
            </w:r>
            <w:r>
              <w:rPr>
                <w:rFonts w:cstheme="minorHAnsi"/>
                <w:sz w:val="16"/>
                <w:szCs w:val="16"/>
              </w:rPr>
              <w:t xml:space="preserve">, </w:t>
            </w:r>
            <w:r w:rsidRPr="007D607C">
              <w:rPr>
                <w:rFonts w:cstheme="minorHAnsi"/>
                <w:sz w:val="16"/>
                <w:szCs w:val="16"/>
              </w:rPr>
              <w:t>Jakovlje</w:t>
            </w:r>
            <w:r>
              <w:rPr>
                <w:rFonts w:cstheme="minorHAnsi"/>
                <w:sz w:val="16"/>
                <w:szCs w:val="16"/>
              </w:rPr>
              <w:t xml:space="preserve">, </w:t>
            </w:r>
            <w:r w:rsidRPr="007D607C">
              <w:rPr>
                <w:rFonts w:cstheme="minorHAnsi"/>
                <w:sz w:val="16"/>
                <w:szCs w:val="16"/>
              </w:rPr>
              <w:t>Klinča Sela</w:t>
            </w:r>
            <w:r>
              <w:rPr>
                <w:rFonts w:cstheme="minorHAnsi"/>
                <w:sz w:val="16"/>
                <w:szCs w:val="16"/>
              </w:rPr>
              <w:t xml:space="preserve">, </w:t>
            </w:r>
            <w:r w:rsidRPr="007D607C">
              <w:rPr>
                <w:rFonts w:cstheme="minorHAnsi"/>
                <w:sz w:val="16"/>
                <w:szCs w:val="16"/>
              </w:rPr>
              <w:t>Kloštar Ivanić</w:t>
            </w:r>
            <w:r>
              <w:rPr>
                <w:rFonts w:cstheme="minorHAnsi"/>
                <w:sz w:val="16"/>
                <w:szCs w:val="16"/>
              </w:rPr>
              <w:t xml:space="preserve">, </w:t>
            </w:r>
            <w:r w:rsidRPr="007D607C">
              <w:rPr>
                <w:rFonts w:cstheme="minorHAnsi"/>
                <w:sz w:val="16"/>
                <w:szCs w:val="16"/>
              </w:rPr>
              <w:t>Krašić</w:t>
            </w:r>
            <w:r>
              <w:rPr>
                <w:rFonts w:cstheme="minorHAnsi"/>
                <w:sz w:val="16"/>
                <w:szCs w:val="16"/>
              </w:rPr>
              <w:t xml:space="preserve">, </w:t>
            </w:r>
            <w:r w:rsidRPr="007D607C">
              <w:rPr>
                <w:rFonts w:cstheme="minorHAnsi"/>
                <w:sz w:val="16"/>
                <w:szCs w:val="16"/>
              </w:rPr>
              <w:t>Kravarsko</w:t>
            </w:r>
            <w:r>
              <w:rPr>
                <w:rFonts w:cstheme="minorHAnsi"/>
                <w:sz w:val="16"/>
                <w:szCs w:val="16"/>
              </w:rPr>
              <w:t xml:space="preserve">, </w:t>
            </w:r>
            <w:r w:rsidRPr="007D607C">
              <w:rPr>
                <w:rFonts w:cstheme="minorHAnsi"/>
                <w:sz w:val="16"/>
                <w:szCs w:val="16"/>
              </w:rPr>
              <w:t>Križ</w:t>
            </w:r>
            <w:r>
              <w:rPr>
                <w:rFonts w:cstheme="minorHAnsi"/>
                <w:sz w:val="16"/>
                <w:szCs w:val="16"/>
              </w:rPr>
              <w:t xml:space="preserve">, </w:t>
            </w:r>
            <w:r w:rsidRPr="007D607C">
              <w:rPr>
                <w:rFonts w:cstheme="minorHAnsi"/>
                <w:sz w:val="16"/>
                <w:szCs w:val="16"/>
              </w:rPr>
              <w:t>Luka</w:t>
            </w:r>
            <w:r>
              <w:rPr>
                <w:rFonts w:cstheme="minorHAnsi"/>
                <w:sz w:val="16"/>
                <w:szCs w:val="16"/>
              </w:rPr>
              <w:t xml:space="preserve">, </w:t>
            </w:r>
            <w:r w:rsidRPr="007D607C">
              <w:rPr>
                <w:rFonts w:cstheme="minorHAnsi"/>
                <w:sz w:val="16"/>
                <w:szCs w:val="16"/>
              </w:rPr>
              <w:t>Marija Gorica</w:t>
            </w:r>
            <w:r>
              <w:rPr>
                <w:rFonts w:cstheme="minorHAnsi"/>
                <w:sz w:val="16"/>
                <w:szCs w:val="16"/>
              </w:rPr>
              <w:t xml:space="preserve">, </w:t>
            </w:r>
            <w:r w:rsidRPr="007D607C">
              <w:rPr>
                <w:rFonts w:cstheme="minorHAnsi"/>
                <w:sz w:val="16"/>
                <w:szCs w:val="16"/>
              </w:rPr>
              <w:t>Orle</w:t>
            </w:r>
            <w:r>
              <w:rPr>
                <w:rFonts w:cstheme="minorHAnsi"/>
                <w:sz w:val="16"/>
                <w:szCs w:val="16"/>
              </w:rPr>
              <w:t xml:space="preserve">, </w:t>
            </w:r>
            <w:r w:rsidRPr="007D607C">
              <w:rPr>
                <w:rFonts w:cstheme="minorHAnsi"/>
                <w:sz w:val="16"/>
                <w:szCs w:val="16"/>
              </w:rPr>
              <w:t>Pisarovina</w:t>
            </w:r>
            <w:r>
              <w:rPr>
                <w:rFonts w:cstheme="minorHAnsi"/>
                <w:sz w:val="16"/>
                <w:szCs w:val="16"/>
              </w:rPr>
              <w:t xml:space="preserve">, </w:t>
            </w:r>
            <w:r w:rsidRPr="007D607C">
              <w:rPr>
                <w:rFonts w:cstheme="minorHAnsi"/>
                <w:sz w:val="16"/>
                <w:szCs w:val="16"/>
              </w:rPr>
              <w:t>Pokupsko</w:t>
            </w:r>
            <w:r>
              <w:rPr>
                <w:rFonts w:cstheme="minorHAnsi"/>
                <w:sz w:val="16"/>
                <w:szCs w:val="16"/>
              </w:rPr>
              <w:t xml:space="preserve">, </w:t>
            </w:r>
            <w:proofErr w:type="spellStart"/>
            <w:r w:rsidRPr="007D607C">
              <w:rPr>
                <w:rFonts w:cstheme="minorHAnsi"/>
                <w:sz w:val="16"/>
                <w:szCs w:val="16"/>
              </w:rPr>
              <w:t>Preseka</w:t>
            </w:r>
            <w:proofErr w:type="spellEnd"/>
            <w:r>
              <w:rPr>
                <w:rFonts w:cstheme="minorHAnsi"/>
                <w:sz w:val="16"/>
                <w:szCs w:val="16"/>
              </w:rPr>
              <w:t xml:space="preserve">, </w:t>
            </w:r>
            <w:proofErr w:type="spellStart"/>
            <w:r w:rsidRPr="007D607C">
              <w:rPr>
                <w:rFonts w:cstheme="minorHAnsi"/>
                <w:sz w:val="16"/>
                <w:szCs w:val="16"/>
              </w:rPr>
              <w:t>Pušća</w:t>
            </w:r>
            <w:proofErr w:type="spellEnd"/>
            <w:r>
              <w:rPr>
                <w:rFonts w:cstheme="minorHAnsi"/>
                <w:sz w:val="16"/>
                <w:szCs w:val="16"/>
              </w:rPr>
              <w:t xml:space="preserve">, </w:t>
            </w:r>
            <w:r w:rsidRPr="007D607C">
              <w:rPr>
                <w:rFonts w:cstheme="minorHAnsi"/>
                <w:sz w:val="16"/>
                <w:szCs w:val="16"/>
              </w:rPr>
              <w:t>Rakovec</w:t>
            </w:r>
            <w:r>
              <w:rPr>
                <w:rFonts w:cstheme="minorHAnsi"/>
                <w:sz w:val="16"/>
                <w:szCs w:val="16"/>
              </w:rPr>
              <w:t xml:space="preserve">, </w:t>
            </w:r>
            <w:r w:rsidRPr="007D607C">
              <w:rPr>
                <w:rFonts w:cstheme="minorHAnsi"/>
                <w:sz w:val="16"/>
                <w:szCs w:val="16"/>
              </w:rPr>
              <w:t>Rugvica</w:t>
            </w:r>
            <w:r>
              <w:rPr>
                <w:rFonts w:cstheme="minorHAnsi"/>
                <w:sz w:val="16"/>
                <w:szCs w:val="16"/>
              </w:rPr>
              <w:t xml:space="preserve">, </w:t>
            </w:r>
            <w:r w:rsidRPr="007D607C">
              <w:rPr>
                <w:rFonts w:cstheme="minorHAnsi"/>
                <w:sz w:val="16"/>
                <w:szCs w:val="16"/>
              </w:rPr>
              <w:t>Stupnik</w:t>
            </w:r>
            <w:r>
              <w:rPr>
                <w:rFonts w:cstheme="minorHAnsi"/>
                <w:sz w:val="16"/>
                <w:szCs w:val="16"/>
              </w:rPr>
              <w:t xml:space="preserve">, </w:t>
            </w:r>
            <w:r w:rsidRPr="007D607C">
              <w:rPr>
                <w:rFonts w:cstheme="minorHAnsi"/>
                <w:sz w:val="16"/>
                <w:szCs w:val="16"/>
              </w:rPr>
              <w:t>Žumberak</w:t>
            </w:r>
            <w:r>
              <w:rPr>
                <w:rFonts w:cstheme="minorHAnsi"/>
                <w:sz w:val="16"/>
                <w:szCs w:val="16"/>
              </w:rPr>
              <w:t>.</w:t>
            </w:r>
          </w:p>
          <w:p w14:paraId="5D99DE13" w14:textId="693EEC33" w:rsidR="007D607C" w:rsidRPr="007D607C" w:rsidRDefault="007D607C" w:rsidP="007D607C">
            <w:pPr>
              <w:rPr>
                <w:rFonts w:cstheme="minorHAnsi"/>
                <w:i/>
                <w:iCs/>
                <w:sz w:val="16"/>
                <w:szCs w:val="16"/>
              </w:rPr>
            </w:pPr>
          </w:p>
        </w:tc>
      </w:tr>
    </w:tbl>
    <w:p w14:paraId="597A5FD0" w14:textId="77777777" w:rsidR="008F31A2" w:rsidRPr="005B09E7" w:rsidRDefault="008F31A2" w:rsidP="004348AA">
      <w:pPr>
        <w:spacing w:after="240"/>
        <w:jc w:val="left"/>
        <w:rPr>
          <w:i/>
          <w:iCs/>
          <w:sz w:val="18"/>
          <w:szCs w:val="20"/>
        </w:rPr>
      </w:pPr>
    </w:p>
    <w:p w14:paraId="0BC42078" w14:textId="28B62C82" w:rsidR="005B09E7" w:rsidRPr="005B09E7" w:rsidRDefault="005B09E7" w:rsidP="005B09E7">
      <w:pPr>
        <w:pStyle w:val="Slika"/>
        <w:rPr>
          <w:b w:val="0"/>
          <w:bCs/>
        </w:rPr>
      </w:pPr>
      <w:bookmarkStart w:id="166" w:name="_Ref111118696"/>
      <w:bookmarkStart w:id="167" w:name="_Toc125363963"/>
      <w:r w:rsidRPr="005859E7">
        <w:t xml:space="preserve">Slika </w:t>
      </w:r>
      <w:fldSimple w:instr=" SEQ Slika \* ARABIC ">
        <w:r w:rsidR="00F37B62">
          <w:rPr>
            <w:noProof/>
          </w:rPr>
          <w:t>55</w:t>
        </w:r>
      </w:fldSimple>
      <w:bookmarkEnd w:id="166"/>
      <w:r w:rsidRPr="005859E7">
        <w:t xml:space="preserve">. </w:t>
      </w:r>
      <w:r w:rsidRPr="005859E7">
        <w:rPr>
          <w:b w:val="0"/>
          <w:bCs/>
        </w:rPr>
        <w:t xml:space="preserve">Položaj i status realizacije planiranih centara za gospodarenje otpadom, </w:t>
      </w:r>
      <w:r w:rsidR="005859E7" w:rsidRPr="005859E7">
        <w:rPr>
          <w:b w:val="0"/>
          <w:bCs/>
        </w:rPr>
        <w:t>listopad</w:t>
      </w:r>
      <w:r w:rsidRPr="005859E7">
        <w:rPr>
          <w:b w:val="0"/>
          <w:bCs/>
        </w:rPr>
        <w:t xml:space="preserve"> 2022. godine</w:t>
      </w:r>
      <w:bookmarkEnd w:id="167"/>
    </w:p>
    <w:p w14:paraId="7E1E5ECD" w14:textId="214B9DD9" w:rsidR="005B09E7" w:rsidRDefault="005B09E7" w:rsidP="005B09E7">
      <w:r w:rsidRPr="00F8248F">
        <w:t>Uz svih 11 planiranih CGO planirana je uspostava 5</w:t>
      </w:r>
      <w:r w:rsidR="00194DBF">
        <w:t>5</w:t>
      </w:r>
      <w:r w:rsidRPr="00F8248F">
        <w:t xml:space="preserve"> pretovarne stanice.</w:t>
      </w:r>
      <w:r>
        <w:t xml:space="preserve"> U nastavku se daje pregled </w:t>
      </w:r>
      <w:r w:rsidRPr="00AE5668">
        <w:t>i status realizacije planirani</w:t>
      </w:r>
      <w:r>
        <w:t>h pretovarnih stanica.</w:t>
      </w:r>
    </w:p>
    <w:p w14:paraId="6E27DC0D" w14:textId="122E4F49" w:rsidR="005B09E7" w:rsidRPr="005B09E7" w:rsidRDefault="005B09E7" w:rsidP="005B09E7">
      <w:pPr>
        <w:pStyle w:val="Tablica"/>
        <w:rPr>
          <w:b w:val="0"/>
          <w:bCs/>
        </w:rPr>
      </w:pPr>
      <w:bookmarkStart w:id="168" w:name="_Toc125364409"/>
      <w:r>
        <w:t xml:space="preserve">Tablica </w:t>
      </w:r>
      <w:fldSimple w:instr=" SEQ Tablica \* ARABIC ">
        <w:r w:rsidR="00F37B62">
          <w:rPr>
            <w:noProof/>
          </w:rPr>
          <w:t>20</w:t>
        </w:r>
      </w:fldSimple>
      <w:r>
        <w:t xml:space="preserve">. </w:t>
      </w:r>
      <w:r w:rsidRPr="005B09E7">
        <w:rPr>
          <w:b w:val="0"/>
          <w:bCs/>
        </w:rPr>
        <w:t>Pregled i status realizacije planiranih pretovarnih stanica  (status kolovoz, 2022.)</w:t>
      </w:r>
      <w:bookmarkEnd w:id="1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38"/>
        <w:gridCol w:w="1541"/>
        <w:gridCol w:w="2277"/>
        <w:gridCol w:w="1720"/>
        <w:gridCol w:w="2031"/>
      </w:tblGrid>
      <w:tr w:rsidR="005B09E7" w:rsidRPr="005B09E7" w14:paraId="41AE7332" w14:textId="77777777" w:rsidTr="00CC41BC">
        <w:trPr>
          <w:trHeight w:val="20"/>
        </w:trPr>
        <w:tc>
          <w:tcPr>
            <w:tcW w:w="0" w:type="auto"/>
            <w:shd w:val="clear" w:color="auto" w:fill="002060"/>
            <w:vAlign w:val="center"/>
            <w:hideMark/>
          </w:tcPr>
          <w:p w14:paraId="0A31C90D"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CGO</w:t>
            </w:r>
          </w:p>
        </w:tc>
        <w:tc>
          <w:tcPr>
            <w:tcW w:w="0" w:type="auto"/>
            <w:shd w:val="clear" w:color="auto" w:fill="002060"/>
            <w:vAlign w:val="center"/>
            <w:hideMark/>
          </w:tcPr>
          <w:p w14:paraId="32FAA19C"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 </w:t>
            </w:r>
          </w:p>
        </w:tc>
        <w:tc>
          <w:tcPr>
            <w:tcW w:w="0" w:type="auto"/>
            <w:shd w:val="clear" w:color="auto" w:fill="002060"/>
            <w:vAlign w:val="center"/>
            <w:hideMark/>
          </w:tcPr>
          <w:p w14:paraId="5416A5C1"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PS</w:t>
            </w:r>
          </w:p>
        </w:tc>
        <w:tc>
          <w:tcPr>
            <w:tcW w:w="0" w:type="auto"/>
            <w:shd w:val="clear" w:color="auto" w:fill="002060"/>
            <w:vAlign w:val="center"/>
            <w:hideMark/>
          </w:tcPr>
          <w:p w14:paraId="03E1ACEA"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(županija)</w:t>
            </w:r>
          </w:p>
        </w:tc>
        <w:tc>
          <w:tcPr>
            <w:tcW w:w="0" w:type="auto"/>
            <w:shd w:val="clear" w:color="auto" w:fill="002060"/>
            <w:vAlign w:val="center"/>
            <w:hideMark/>
          </w:tcPr>
          <w:p w14:paraId="03B351A5"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(JLS)</w:t>
            </w:r>
          </w:p>
        </w:tc>
        <w:tc>
          <w:tcPr>
            <w:tcW w:w="0" w:type="auto"/>
            <w:shd w:val="clear" w:color="auto" w:fill="002060"/>
            <w:vAlign w:val="center"/>
            <w:hideMark/>
          </w:tcPr>
          <w:p w14:paraId="114FE91B"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Status</w:t>
            </w:r>
          </w:p>
        </w:tc>
      </w:tr>
      <w:tr w:rsidR="005B09E7" w:rsidRPr="005B09E7" w14:paraId="3E999634" w14:textId="77777777" w:rsidTr="00CC41BC">
        <w:trPr>
          <w:trHeight w:val="20"/>
        </w:trPr>
        <w:tc>
          <w:tcPr>
            <w:tcW w:w="0" w:type="auto"/>
            <w:vMerge w:val="restart"/>
            <w:shd w:val="clear" w:color="auto" w:fill="auto"/>
            <w:noWrap/>
            <w:vAlign w:val="center"/>
            <w:hideMark/>
          </w:tcPr>
          <w:p w14:paraId="5C861C74" w14:textId="77777777" w:rsidR="005B09E7" w:rsidRPr="005B09E7" w:rsidRDefault="005B09E7" w:rsidP="00CC41BC">
            <w:pPr>
              <w:spacing w:after="0" w:line="240" w:lineRule="auto"/>
              <w:jc w:val="center"/>
              <w:rPr>
                <w:rFonts w:eastAsia="Times New Roman" w:cstheme="minorHAnsi"/>
                <w:b/>
                <w:bCs/>
                <w:color w:val="000000"/>
                <w:sz w:val="16"/>
                <w:szCs w:val="16"/>
                <w:lang w:eastAsia="hr-HR"/>
              </w:rPr>
            </w:pPr>
            <w:r w:rsidRPr="005B09E7">
              <w:rPr>
                <w:rFonts w:eastAsia="Times New Roman" w:cstheme="minorHAnsi"/>
                <w:b/>
                <w:bCs/>
                <w:color w:val="000000"/>
                <w:sz w:val="16"/>
                <w:szCs w:val="16"/>
                <w:lang w:eastAsia="hr-HR"/>
              </w:rPr>
              <w:t xml:space="preserve">1. </w:t>
            </w:r>
            <w:proofErr w:type="spellStart"/>
            <w:r w:rsidRPr="005B09E7">
              <w:rPr>
                <w:rFonts w:eastAsia="Times New Roman" w:cstheme="minorHAnsi"/>
                <w:b/>
                <w:bCs/>
                <w:color w:val="000000"/>
                <w:sz w:val="16"/>
                <w:szCs w:val="16"/>
                <w:lang w:eastAsia="hr-HR"/>
              </w:rPr>
              <w:t>Marišćina</w:t>
            </w:r>
            <w:proofErr w:type="spellEnd"/>
          </w:p>
        </w:tc>
        <w:tc>
          <w:tcPr>
            <w:tcW w:w="0" w:type="auto"/>
            <w:shd w:val="clear" w:color="auto" w:fill="auto"/>
            <w:noWrap/>
            <w:vAlign w:val="center"/>
            <w:hideMark/>
          </w:tcPr>
          <w:p w14:paraId="1FFE7F6F"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1.</w:t>
            </w:r>
          </w:p>
        </w:tc>
        <w:tc>
          <w:tcPr>
            <w:tcW w:w="0" w:type="auto"/>
            <w:shd w:val="clear" w:color="auto" w:fill="auto"/>
            <w:noWrap/>
            <w:vAlign w:val="bottom"/>
            <w:hideMark/>
          </w:tcPr>
          <w:p w14:paraId="016B9161"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PS </w:t>
            </w:r>
            <w:proofErr w:type="spellStart"/>
            <w:r w:rsidRPr="005B09E7">
              <w:rPr>
                <w:rFonts w:eastAsia="Times New Roman" w:cstheme="minorHAnsi"/>
                <w:color w:val="000000"/>
                <w:sz w:val="16"/>
                <w:szCs w:val="16"/>
                <w:lang w:eastAsia="hr-HR"/>
              </w:rPr>
              <w:t>Pržići</w:t>
            </w:r>
            <w:proofErr w:type="spellEnd"/>
          </w:p>
        </w:tc>
        <w:tc>
          <w:tcPr>
            <w:tcW w:w="0" w:type="auto"/>
            <w:shd w:val="clear" w:color="auto" w:fill="auto"/>
            <w:noWrap/>
            <w:vAlign w:val="bottom"/>
            <w:hideMark/>
          </w:tcPr>
          <w:p w14:paraId="16B4F7B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Primorsko-goranska županija</w:t>
            </w:r>
          </w:p>
        </w:tc>
        <w:tc>
          <w:tcPr>
            <w:tcW w:w="0" w:type="auto"/>
            <w:shd w:val="clear" w:color="auto" w:fill="auto"/>
            <w:noWrap/>
            <w:vAlign w:val="bottom"/>
            <w:hideMark/>
          </w:tcPr>
          <w:p w14:paraId="37906AF8"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Cres</w:t>
            </w:r>
          </w:p>
        </w:tc>
        <w:tc>
          <w:tcPr>
            <w:tcW w:w="0" w:type="auto"/>
            <w:shd w:val="clear" w:color="auto" w:fill="auto"/>
            <w:noWrap/>
            <w:vAlign w:val="center"/>
            <w:hideMark/>
          </w:tcPr>
          <w:p w14:paraId="3A648D9D"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u funkciji</w:t>
            </w:r>
          </w:p>
        </w:tc>
      </w:tr>
      <w:tr w:rsidR="005B09E7" w:rsidRPr="005B09E7" w14:paraId="5857E37E" w14:textId="77777777" w:rsidTr="00CC41BC">
        <w:trPr>
          <w:trHeight w:val="20"/>
        </w:trPr>
        <w:tc>
          <w:tcPr>
            <w:tcW w:w="0" w:type="auto"/>
            <w:vMerge/>
            <w:vAlign w:val="center"/>
            <w:hideMark/>
          </w:tcPr>
          <w:p w14:paraId="25241E63"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center"/>
            <w:hideMark/>
          </w:tcPr>
          <w:p w14:paraId="75AE791A"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2.</w:t>
            </w:r>
          </w:p>
        </w:tc>
        <w:tc>
          <w:tcPr>
            <w:tcW w:w="0" w:type="auto"/>
            <w:shd w:val="clear" w:color="auto" w:fill="auto"/>
            <w:noWrap/>
            <w:vAlign w:val="bottom"/>
            <w:hideMark/>
          </w:tcPr>
          <w:p w14:paraId="4168E30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PS Duplja</w:t>
            </w:r>
          </w:p>
        </w:tc>
        <w:tc>
          <w:tcPr>
            <w:tcW w:w="0" w:type="auto"/>
            <w:shd w:val="clear" w:color="auto" w:fill="auto"/>
            <w:noWrap/>
            <w:vAlign w:val="bottom"/>
            <w:hideMark/>
          </w:tcPr>
          <w:p w14:paraId="6FDAD590"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Primorsko-goranska županija</w:t>
            </w:r>
          </w:p>
        </w:tc>
        <w:tc>
          <w:tcPr>
            <w:tcW w:w="0" w:type="auto"/>
            <w:shd w:val="clear" w:color="auto" w:fill="auto"/>
            <w:noWrap/>
            <w:vAlign w:val="bottom"/>
            <w:hideMark/>
          </w:tcPr>
          <w:p w14:paraId="393FFAD6"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Novi Vinodolski</w:t>
            </w:r>
          </w:p>
        </w:tc>
        <w:tc>
          <w:tcPr>
            <w:tcW w:w="0" w:type="auto"/>
            <w:shd w:val="clear" w:color="auto" w:fill="auto"/>
            <w:noWrap/>
            <w:vAlign w:val="center"/>
            <w:hideMark/>
          </w:tcPr>
          <w:p w14:paraId="6686B197"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u funkciji</w:t>
            </w:r>
          </w:p>
        </w:tc>
      </w:tr>
      <w:tr w:rsidR="005B09E7" w:rsidRPr="005B09E7" w14:paraId="527B177A" w14:textId="77777777" w:rsidTr="00CC41BC">
        <w:trPr>
          <w:trHeight w:val="20"/>
        </w:trPr>
        <w:tc>
          <w:tcPr>
            <w:tcW w:w="0" w:type="auto"/>
            <w:vMerge/>
            <w:vAlign w:val="center"/>
            <w:hideMark/>
          </w:tcPr>
          <w:p w14:paraId="3EBF395B"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center"/>
            <w:hideMark/>
          </w:tcPr>
          <w:p w14:paraId="49083711"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3.</w:t>
            </w:r>
          </w:p>
        </w:tc>
        <w:tc>
          <w:tcPr>
            <w:tcW w:w="0" w:type="auto"/>
            <w:shd w:val="clear" w:color="auto" w:fill="auto"/>
            <w:noWrap/>
            <w:vAlign w:val="bottom"/>
            <w:hideMark/>
          </w:tcPr>
          <w:p w14:paraId="5B356D4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PS </w:t>
            </w:r>
            <w:proofErr w:type="spellStart"/>
            <w:r w:rsidRPr="005B09E7">
              <w:rPr>
                <w:rFonts w:eastAsia="Times New Roman" w:cstheme="minorHAnsi"/>
                <w:color w:val="000000"/>
                <w:sz w:val="16"/>
                <w:szCs w:val="16"/>
                <w:lang w:eastAsia="hr-HR"/>
              </w:rPr>
              <w:t>Sorinj</w:t>
            </w:r>
            <w:proofErr w:type="spellEnd"/>
          </w:p>
        </w:tc>
        <w:tc>
          <w:tcPr>
            <w:tcW w:w="0" w:type="auto"/>
            <w:shd w:val="clear" w:color="auto" w:fill="auto"/>
            <w:noWrap/>
            <w:vAlign w:val="bottom"/>
            <w:hideMark/>
          </w:tcPr>
          <w:p w14:paraId="2BAF12EB"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Primorsko-goranska županija</w:t>
            </w:r>
          </w:p>
        </w:tc>
        <w:tc>
          <w:tcPr>
            <w:tcW w:w="0" w:type="auto"/>
            <w:shd w:val="clear" w:color="auto" w:fill="auto"/>
            <w:noWrap/>
            <w:vAlign w:val="bottom"/>
            <w:hideMark/>
          </w:tcPr>
          <w:p w14:paraId="7675831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Rab</w:t>
            </w:r>
          </w:p>
        </w:tc>
        <w:tc>
          <w:tcPr>
            <w:tcW w:w="0" w:type="auto"/>
            <w:shd w:val="clear" w:color="auto" w:fill="auto"/>
            <w:noWrap/>
            <w:vAlign w:val="center"/>
            <w:hideMark/>
          </w:tcPr>
          <w:p w14:paraId="1532A1EF"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u funkciji</w:t>
            </w:r>
          </w:p>
        </w:tc>
      </w:tr>
      <w:tr w:rsidR="005B09E7" w:rsidRPr="005B09E7" w14:paraId="590DFCF6" w14:textId="77777777" w:rsidTr="00CC41BC">
        <w:trPr>
          <w:trHeight w:val="20"/>
        </w:trPr>
        <w:tc>
          <w:tcPr>
            <w:tcW w:w="0" w:type="auto"/>
            <w:vMerge/>
            <w:vAlign w:val="center"/>
            <w:hideMark/>
          </w:tcPr>
          <w:p w14:paraId="5740925D"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center"/>
            <w:hideMark/>
          </w:tcPr>
          <w:p w14:paraId="633BDAF7"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4.</w:t>
            </w:r>
          </w:p>
        </w:tc>
        <w:tc>
          <w:tcPr>
            <w:tcW w:w="0" w:type="auto"/>
            <w:shd w:val="clear" w:color="auto" w:fill="auto"/>
            <w:noWrap/>
            <w:vAlign w:val="bottom"/>
            <w:hideMark/>
          </w:tcPr>
          <w:p w14:paraId="0A4C2620"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PS </w:t>
            </w:r>
            <w:proofErr w:type="spellStart"/>
            <w:r w:rsidRPr="005B09E7">
              <w:rPr>
                <w:rFonts w:eastAsia="Times New Roman" w:cstheme="minorHAnsi"/>
                <w:color w:val="000000"/>
                <w:sz w:val="16"/>
                <w:szCs w:val="16"/>
                <w:lang w:eastAsia="hr-HR"/>
              </w:rPr>
              <w:t>Treskavac</w:t>
            </w:r>
            <w:proofErr w:type="spellEnd"/>
          </w:p>
        </w:tc>
        <w:tc>
          <w:tcPr>
            <w:tcW w:w="0" w:type="auto"/>
            <w:shd w:val="clear" w:color="auto" w:fill="auto"/>
            <w:noWrap/>
            <w:vAlign w:val="bottom"/>
            <w:hideMark/>
          </w:tcPr>
          <w:p w14:paraId="265F5EC9"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Primorsko-goranska županija</w:t>
            </w:r>
          </w:p>
        </w:tc>
        <w:tc>
          <w:tcPr>
            <w:tcW w:w="0" w:type="auto"/>
            <w:shd w:val="clear" w:color="auto" w:fill="auto"/>
            <w:noWrap/>
            <w:vAlign w:val="bottom"/>
            <w:hideMark/>
          </w:tcPr>
          <w:p w14:paraId="33C41199"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Krk</w:t>
            </w:r>
          </w:p>
        </w:tc>
        <w:tc>
          <w:tcPr>
            <w:tcW w:w="0" w:type="auto"/>
            <w:shd w:val="clear" w:color="auto" w:fill="auto"/>
            <w:noWrap/>
            <w:vAlign w:val="center"/>
            <w:hideMark/>
          </w:tcPr>
          <w:p w14:paraId="03E3E67D"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u funkciji</w:t>
            </w:r>
          </w:p>
        </w:tc>
      </w:tr>
      <w:tr w:rsidR="005B09E7" w:rsidRPr="005B09E7" w14:paraId="10AFA5F4" w14:textId="77777777" w:rsidTr="00CC41BC">
        <w:trPr>
          <w:trHeight w:val="20"/>
        </w:trPr>
        <w:tc>
          <w:tcPr>
            <w:tcW w:w="0" w:type="auto"/>
            <w:vMerge/>
            <w:vAlign w:val="center"/>
            <w:hideMark/>
          </w:tcPr>
          <w:p w14:paraId="08AE4203"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center"/>
            <w:hideMark/>
          </w:tcPr>
          <w:p w14:paraId="20271BFF"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5.</w:t>
            </w:r>
          </w:p>
        </w:tc>
        <w:tc>
          <w:tcPr>
            <w:tcW w:w="0" w:type="auto"/>
            <w:shd w:val="clear" w:color="auto" w:fill="auto"/>
            <w:noWrap/>
            <w:vAlign w:val="bottom"/>
            <w:hideMark/>
          </w:tcPr>
          <w:p w14:paraId="1769D43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PS Sović Laz</w:t>
            </w:r>
          </w:p>
        </w:tc>
        <w:tc>
          <w:tcPr>
            <w:tcW w:w="0" w:type="auto"/>
            <w:shd w:val="clear" w:color="auto" w:fill="auto"/>
            <w:noWrap/>
            <w:vAlign w:val="bottom"/>
            <w:hideMark/>
          </w:tcPr>
          <w:p w14:paraId="51FFF064"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Primorsko-goranska županija</w:t>
            </w:r>
          </w:p>
        </w:tc>
        <w:tc>
          <w:tcPr>
            <w:tcW w:w="0" w:type="auto"/>
            <w:shd w:val="clear" w:color="auto" w:fill="auto"/>
            <w:noWrap/>
            <w:vAlign w:val="bottom"/>
            <w:hideMark/>
          </w:tcPr>
          <w:p w14:paraId="62B60A10"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Delnice</w:t>
            </w:r>
          </w:p>
        </w:tc>
        <w:tc>
          <w:tcPr>
            <w:tcW w:w="0" w:type="auto"/>
            <w:shd w:val="clear" w:color="auto" w:fill="auto"/>
            <w:noWrap/>
            <w:vAlign w:val="bottom"/>
            <w:hideMark/>
          </w:tcPr>
          <w:p w14:paraId="7CACEA91"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nije u funkciji</w:t>
            </w:r>
          </w:p>
        </w:tc>
      </w:tr>
      <w:tr w:rsidR="005B09E7" w:rsidRPr="005B09E7" w14:paraId="2F7C288D" w14:textId="77777777" w:rsidTr="00CC41BC">
        <w:trPr>
          <w:trHeight w:val="20"/>
        </w:trPr>
        <w:tc>
          <w:tcPr>
            <w:tcW w:w="0" w:type="auto"/>
            <w:vMerge/>
            <w:vAlign w:val="center"/>
            <w:hideMark/>
          </w:tcPr>
          <w:p w14:paraId="3D7E3D0F"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center"/>
            <w:hideMark/>
          </w:tcPr>
          <w:p w14:paraId="2EF943DD"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6.</w:t>
            </w:r>
          </w:p>
        </w:tc>
        <w:tc>
          <w:tcPr>
            <w:tcW w:w="0" w:type="auto"/>
            <w:shd w:val="clear" w:color="auto" w:fill="auto"/>
            <w:noWrap/>
            <w:vAlign w:val="bottom"/>
            <w:hideMark/>
          </w:tcPr>
          <w:p w14:paraId="2BAD3FD7"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PS Kalvarija</w:t>
            </w:r>
          </w:p>
        </w:tc>
        <w:tc>
          <w:tcPr>
            <w:tcW w:w="0" w:type="auto"/>
            <w:shd w:val="clear" w:color="auto" w:fill="auto"/>
            <w:noWrap/>
            <w:vAlign w:val="bottom"/>
            <w:hideMark/>
          </w:tcPr>
          <w:p w14:paraId="3076EAA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Primorsko-goranska županija</w:t>
            </w:r>
          </w:p>
        </w:tc>
        <w:tc>
          <w:tcPr>
            <w:tcW w:w="0" w:type="auto"/>
            <w:shd w:val="clear" w:color="auto" w:fill="auto"/>
            <w:noWrap/>
            <w:vAlign w:val="bottom"/>
            <w:hideMark/>
          </w:tcPr>
          <w:p w14:paraId="5D15EB4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Mali Lošinj</w:t>
            </w:r>
          </w:p>
        </w:tc>
        <w:tc>
          <w:tcPr>
            <w:tcW w:w="0" w:type="auto"/>
            <w:shd w:val="clear" w:color="auto" w:fill="auto"/>
            <w:noWrap/>
            <w:vAlign w:val="bottom"/>
            <w:hideMark/>
          </w:tcPr>
          <w:p w14:paraId="2CF0DDDD"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u funkciji</w:t>
            </w:r>
          </w:p>
        </w:tc>
      </w:tr>
      <w:tr w:rsidR="005B09E7" w:rsidRPr="005B09E7" w14:paraId="1B24D641" w14:textId="77777777" w:rsidTr="00CC41BC">
        <w:trPr>
          <w:trHeight w:val="20"/>
        </w:trPr>
        <w:tc>
          <w:tcPr>
            <w:tcW w:w="0" w:type="auto"/>
            <w:shd w:val="clear" w:color="auto" w:fill="002060"/>
            <w:vAlign w:val="center"/>
            <w:hideMark/>
          </w:tcPr>
          <w:p w14:paraId="492C64B7"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CGO</w:t>
            </w:r>
          </w:p>
        </w:tc>
        <w:tc>
          <w:tcPr>
            <w:tcW w:w="0" w:type="auto"/>
            <w:shd w:val="clear" w:color="auto" w:fill="002060"/>
            <w:vAlign w:val="center"/>
            <w:hideMark/>
          </w:tcPr>
          <w:p w14:paraId="4720A2DC"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 </w:t>
            </w:r>
          </w:p>
        </w:tc>
        <w:tc>
          <w:tcPr>
            <w:tcW w:w="0" w:type="auto"/>
            <w:shd w:val="clear" w:color="auto" w:fill="002060"/>
            <w:vAlign w:val="center"/>
            <w:hideMark/>
          </w:tcPr>
          <w:p w14:paraId="4A14BEB8"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PS</w:t>
            </w:r>
          </w:p>
        </w:tc>
        <w:tc>
          <w:tcPr>
            <w:tcW w:w="0" w:type="auto"/>
            <w:shd w:val="clear" w:color="auto" w:fill="002060"/>
            <w:vAlign w:val="center"/>
            <w:hideMark/>
          </w:tcPr>
          <w:p w14:paraId="18E568CC"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(županija)</w:t>
            </w:r>
          </w:p>
        </w:tc>
        <w:tc>
          <w:tcPr>
            <w:tcW w:w="0" w:type="auto"/>
            <w:shd w:val="clear" w:color="auto" w:fill="002060"/>
            <w:vAlign w:val="center"/>
            <w:hideMark/>
          </w:tcPr>
          <w:p w14:paraId="33F20651"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(općina/grad)</w:t>
            </w:r>
          </w:p>
        </w:tc>
        <w:tc>
          <w:tcPr>
            <w:tcW w:w="0" w:type="auto"/>
            <w:shd w:val="clear" w:color="auto" w:fill="002060"/>
            <w:vAlign w:val="center"/>
            <w:hideMark/>
          </w:tcPr>
          <w:p w14:paraId="66E931B5"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Status</w:t>
            </w:r>
          </w:p>
        </w:tc>
      </w:tr>
      <w:tr w:rsidR="005B09E7" w:rsidRPr="005B09E7" w14:paraId="69978BBE" w14:textId="77777777" w:rsidTr="00CC41BC">
        <w:trPr>
          <w:trHeight w:val="20"/>
        </w:trPr>
        <w:tc>
          <w:tcPr>
            <w:tcW w:w="0" w:type="auto"/>
            <w:vMerge w:val="restart"/>
            <w:shd w:val="clear" w:color="auto" w:fill="auto"/>
            <w:noWrap/>
            <w:vAlign w:val="center"/>
            <w:hideMark/>
          </w:tcPr>
          <w:p w14:paraId="6F3C4BDC" w14:textId="77777777" w:rsidR="005B09E7" w:rsidRPr="005B09E7" w:rsidRDefault="005B09E7" w:rsidP="00CC41BC">
            <w:pPr>
              <w:spacing w:after="0" w:line="240" w:lineRule="auto"/>
              <w:jc w:val="center"/>
              <w:rPr>
                <w:rFonts w:eastAsia="Times New Roman" w:cstheme="minorHAnsi"/>
                <w:b/>
                <w:bCs/>
                <w:color w:val="000000"/>
                <w:sz w:val="16"/>
                <w:szCs w:val="16"/>
                <w:lang w:eastAsia="hr-HR"/>
              </w:rPr>
            </w:pPr>
            <w:r w:rsidRPr="005B09E7">
              <w:rPr>
                <w:rFonts w:eastAsia="Times New Roman" w:cstheme="minorHAnsi"/>
                <w:b/>
                <w:bCs/>
                <w:color w:val="000000"/>
                <w:sz w:val="16"/>
                <w:szCs w:val="16"/>
                <w:lang w:eastAsia="hr-HR"/>
              </w:rPr>
              <w:t xml:space="preserve">2. </w:t>
            </w:r>
            <w:proofErr w:type="spellStart"/>
            <w:r w:rsidRPr="005B09E7">
              <w:rPr>
                <w:rFonts w:eastAsia="Times New Roman" w:cstheme="minorHAnsi"/>
                <w:b/>
                <w:bCs/>
                <w:color w:val="000000"/>
                <w:sz w:val="16"/>
                <w:szCs w:val="16"/>
                <w:lang w:eastAsia="hr-HR"/>
              </w:rPr>
              <w:t>Kaštijun</w:t>
            </w:r>
            <w:proofErr w:type="spellEnd"/>
          </w:p>
        </w:tc>
        <w:tc>
          <w:tcPr>
            <w:tcW w:w="0" w:type="auto"/>
            <w:shd w:val="clear" w:color="auto" w:fill="auto"/>
            <w:noWrap/>
            <w:vAlign w:val="center"/>
            <w:hideMark/>
          </w:tcPr>
          <w:p w14:paraId="7737255D"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1.</w:t>
            </w:r>
          </w:p>
        </w:tc>
        <w:tc>
          <w:tcPr>
            <w:tcW w:w="0" w:type="auto"/>
            <w:shd w:val="clear" w:color="auto" w:fill="auto"/>
            <w:noWrap/>
            <w:vAlign w:val="bottom"/>
            <w:hideMark/>
          </w:tcPr>
          <w:p w14:paraId="19A15719"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PS </w:t>
            </w:r>
            <w:proofErr w:type="spellStart"/>
            <w:r w:rsidRPr="005B09E7">
              <w:rPr>
                <w:rFonts w:eastAsia="Times New Roman" w:cstheme="minorHAnsi"/>
                <w:color w:val="000000"/>
                <w:sz w:val="16"/>
                <w:szCs w:val="16"/>
                <w:lang w:eastAsia="hr-HR"/>
              </w:rPr>
              <w:t>Košambra</w:t>
            </w:r>
            <w:proofErr w:type="spellEnd"/>
            <w:r w:rsidRPr="005B09E7">
              <w:rPr>
                <w:rFonts w:eastAsia="Times New Roman" w:cstheme="minorHAnsi"/>
                <w:color w:val="000000"/>
                <w:sz w:val="16"/>
                <w:szCs w:val="16"/>
                <w:lang w:eastAsia="hr-HR"/>
              </w:rPr>
              <w:t xml:space="preserve"> </w:t>
            </w:r>
          </w:p>
        </w:tc>
        <w:tc>
          <w:tcPr>
            <w:tcW w:w="0" w:type="auto"/>
            <w:shd w:val="clear" w:color="auto" w:fill="auto"/>
            <w:noWrap/>
            <w:vAlign w:val="bottom"/>
            <w:hideMark/>
          </w:tcPr>
          <w:p w14:paraId="5D972CB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Istarska županija</w:t>
            </w:r>
          </w:p>
        </w:tc>
        <w:tc>
          <w:tcPr>
            <w:tcW w:w="0" w:type="auto"/>
            <w:shd w:val="clear" w:color="auto" w:fill="auto"/>
            <w:noWrap/>
            <w:vAlign w:val="bottom"/>
            <w:hideMark/>
          </w:tcPr>
          <w:p w14:paraId="0B9BC2D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Poreč</w:t>
            </w:r>
          </w:p>
        </w:tc>
        <w:tc>
          <w:tcPr>
            <w:tcW w:w="0" w:type="auto"/>
            <w:shd w:val="clear" w:color="auto" w:fill="auto"/>
            <w:noWrap/>
            <w:vAlign w:val="center"/>
            <w:hideMark/>
          </w:tcPr>
          <w:p w14:paraId="718DD7AA"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u funkciji</w:t>
            </w:r>
          </w:p>
        </w:tc>
      </w:tr>
      <w:tr w:rsidR="005B09E7" w:rsidRPr="005B09E7" w14:paraId="2810E8C9" w14:textId="77777777" w:rsidTr="00CC41BC">
        <w:trPr>
          <w:trHeight w:val="20"/>
        </w:trPr>
        <w:tc>
          <w:tcPr>
            <w:tcW w:w="0" w:type="auto"/>
            <w:vMerge/>
            <w:vAlign w:val="center"/>
            <w:hideMark/>
          </w:tcPr>
          <w:p w14:paraId="75D8E2F1"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center"/>
            <w:hideMark/>
          </w:tcPr>
          <w:p w14:paraId="1C873F79"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2.</w:t>
            </w:r>
          </w:p>
        </w:tc>
        <w:tc>
          <w:tcPr>
            <w:tcW w:w="0" w:type="auto"/>
            <w:shd w:val="clear" w:color="auto" w:fill="auto"/>
            <w:noWrap/>
            <w:vAlign w:val="bottom"/>
            <w:hideMark/>
          </w:tcPr>
          <w:p w14:paraId="0B9ACB9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PS Donji </w:t>
            </w:r>
            <w:proofErr w:type="spellStart"/>
            <w:r w:rsidRPr="005B09E7">
              <w:rPr>
                <w:rFonts w:eastAsia="Times New Roman" w:cstheme="minorHAnsi"/>
                <w:color w:val="000000"/>
                <w:sz w:val="16"/>
                <w:szCs w:val="16"/>
                <w:lang w:eastAsia="hr-HR"/>
              </w:rPr>
              <w:t>Picudo</w:t>
            </w:r>
            <w:proofErr w:type="spellEnd"/>
            <w:r w:rsidRPr="005B09E7">
              <w:rPr>
                <w:rFonts w:eastAsia="Times New Roman" w:cstheme="minorHAnsi"/>
                <w:color w:val="000000"/>
                <w:sz w:val="16"/>
                <w:szCs w:val="16"/>
                <w:lang w:eastAsia="hr-HR"/>
              </w:rPr>
              <w:t xml:space="preserve"> </w:t>
            </w:r>
          </w:p>
        </w:tc>
        <w:tc>
          <w:tcPr>
            <w:tcW w:w="0" w:type="auto"/>
            <w:shd w:val="clear" w:color="auto" w:fill="auto"/>
            <w:noWrap/>
            <w:vAlign w:val="bottom"/>
            <w:hideMark/>
          </w:tcPr>
          <w:p w14:paraId="4C822AE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Istarska županija</w:t>
            </w:r>
          </w:p>
        </w:tc>
        <w:tc>
          <w:tcPr>
            <w:tcW w:w="0" w:type="auto"/>
            <w:shd w:val="clear" w:color="auto" w:fill="auto"/>
            <w:noWrap/>
            <w:vAlign w:val="bottom"/>
            <w:hideMark/>
          </w:tcPr>
          <w:p w14:paraId="38B43309"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Umag</w:t>
            </w:r>
          </w:p>
        </w:tc>
        <w:tc>
          <w:tcPr>
            <w:tcW w:w="0" w:type="auto"/>
            <w:shd w:val="clear" w:color="auto" w:fill="auto"/>
            <w:noWrap/>
            <w:vAlign w:val="center"/>
            <w:hideMark/>
          </w:tcPr>
          <w:p w14:paraId="7416C1AC"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u funkciji</w:t>
            </w:r>
          </w:p>
        </w:tc>
      </w:tr>
      <w:tr w:rsidR="005B09E7" w:rsidRPr="005B09E7" w14:paraId="4CD4D9C5" w14:textId="77777777" w:rsidTr="00CC41BC">
        <w:trPr>
          <w:trHeight w:val="20"/>
        </w:trPr>
        <w:tc>
          <w:tcPr>
            <w:tcW w:w="0" w:type="auto"/>
            <w:vMerge/>
            <w:vAlign w:val="center"/>
            <w:hideMark/>
          </w:tcPr>
          <w:p w14:paraId="2BBF1FE4"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center"/>
            <w:hideMark/>
          </w:tcPr>
          <w:p w14:paraId="5E37427F"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3.</w:t>
            </w:r>
          </w:p>
        </w:tc>
        <w:tc>
          <w:tcPr>
            <w:tcW w:w="0" w:type="auto"/>
            <w:shd w:val="clear" w:color="auto" w:fill="auto"/>
            <w:noWrap/>
            <w:vAlign w:val="bottom"/>
            <w:hideMark/>
          </w:tcPr>
          <w:p w14:paraId="08FEE5B8"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PS Cere</w:t>
            </w:r>
          </w:p>
        </w:tc>
        <w:tc>
          <w:tcPr>
            <w:tcW w:w="0" w:type="auto"/>
            <w:shd w:val="clear" w:color="auto" w:fill="auto"/>
            <w:noWrap/>
            <w:vAlign w:val="bottom"/>
            <w:hideMark/>
          </w:tcPr>
          <w:p w14:paraId="35BF86A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Istarska županija</w:t>
            </w:r>
          </w:p>
        </w:tc>
        <w:tc>
          <w:tcPr>
            <w:tcW w:w="0" w:type="auto"/>
            <w:shd w:val="clear" w:color="auto" w:fill="auto"/>
            <w:noWrap/>
            <w:vAlign w:val="bottom"/>
            <w:hideMark/>
          </w:tcPr>
          <w:p w14:paraId="0F9E9BF4"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Labin</w:t>
            </w:r>
          </w:p>
        </w:tc>
        <w:tc>
          <w:tcPr>
            <w:tcW w:w="0" w:type="auto"/>
            <w:shd w:val="clear" w:color="auto" w:fill="auto"/>
            <w:noWrap/>
            <w:vAlign w:val="center"/>
            <w:hideMark/>
          </w:tcPr>
          <w:p w14:paraId="52D191D7"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u funkciji</w:t>
            </w:r>
          </w:p>
        </w:tc>
      </w:tr>
      <w:tr w:rsidR="005B09E7" w:rsidRPr="005B09E7" w14:paraId="013C57BC" w14:textId="77777777" w:rsidTr="00CC41BC">
        <w:trPr>
          <w:trHeight w:val="20"/>
        </w:trPr>
        <w:tc>
          <w:tcPr>
            <w:tcW w:w="0" w:type="auto"/>
            <w:vMerge/>
            <w:vAlign w:val="center"/>
            <w:hideMark/>
          </w:tcPr>
          <w:p w14:paraId="1CB32D4A"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center"/>
            <w:hideMark/>
          </w:tcPr>
          <w:p w14:paraId="20DD37BE"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4.</w:t>
            </w:r>
          </w:p>
        </w:tc>
        <w:tc>
          <w:tcPr>
            <w:tcW w:w="0" w:type="auto"/>
            <w:shd w:val="clear" w:color="auto" w:fill="auto"/>
            <w:noWrap/>
            <w:vAlign w:val="bottom"/>
            <w:hideMark/>
          </w:tcPr>
          <w:p w14:paraId="61B02EE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PS Griža</w:t>
            </w:r>
          </w:p>
        </w:tc>
        <w:tc>
          <w:tcPr>
            <w:tcW w:w="0" w:type="auto"/>
            <w:shd w:val="clear" w:color="auto" w:fill="auto"/>
            <w:noWrap/>
            <w:vAlign w:val="bottom"/>
            <w:hideMark/>
          </w:tcPr>
          <w:p w14:paraId="3F04BE5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Istarska županija</w:t>
            </w:r>
          </w:p>
        </w:tc>
        <w:tc>
          <w:tcPr>
            <w:tcW w:w="0" w:type="auto"/>
            <w:shd w:val="clear" w:color="auto" w:fill="auto"/>
            <w:noWrap/>
            <w:vAlign w:val="bottom"/>
            <w:hideMark/>
          </w:tcPr>
          <w:p w14:paraId="3408038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Buzet</w:t>
            </w:r>
          </w:p>
        </w:tc>
        <w:tc>
          <w:tcPr>
            <w:tcW w:w="0" w:type="auto"/>
            <w:shd w:val="clear" w:color="auto" w:fill="auto"/>
            <w:noWrap/>
            <w:vAlign w:val="center"/>
            <w:hideMark/>
          </w:tcPr>
          <w:p w14:paraId="327D052D"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u funkciji</w:t>
            </w:r>
          </w:p>
        </w:tc>
      </w:tr>
      <w:tr w:rsidR="005B09E7" w:rsidRPr="005B09E7" w14:paraId="57629470" w14:textId="77777777" w:rsidTr="00CC41BC">
        <w:trPr>
          <w:trHeight w:val="20"/>
        </w:trPr>
        <w:tc>
          <w:tcPr>
            <w:tcW w:w="0" w:type="auto"/>
            <w:vMerge/>
            <w:vAlign w:val="center"/>
            <w:hideMark/>
          </w:tcPr>
          <w:p w14:paraId="02FE663F"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center"/>
            <w:hideMark/>
          </w:tcPr>
          <w:p w14:paraId="74A53309"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5.</w:t>
            </w:r>
          </w:p>
        </w:tc>
        <w:tc>
          <w:tcPr>
            <w:tcW w:w="0" w:type="auto"/>
            <w:shd w:val="clear" w:color="auto" w:fill="auto"/>
            <w:noWrap/>
            <w:vAlign w:val="bottom"/>
            <w:hideMark/>
          </w:tcPr>
          <w:p w14:paraId="00A3D5CC"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PS Lokva </w:t>
            </w:r>
            <w:proofErr w:type="spellStart"/>
            <w:r w:rsidRPr="005B09E7">
              <w:rPr>
                <w:rFonts w:eastAsia="Times New Roman" w:cstheme="minorHAnsi"/>
                <w:color w:val="000000"/>
                <w:sz w:val="16"/>
                <w:szCs w:val="16"/>
                <w:lang w:eastAsia="hr-HR"/>
              </w:rPr>
              <w:t>Vidotto</w:t>
            </w:r>
            <w:proofErr w:type="spellEnd"/>
          </w:p>
        </w:tc>
        <w:tc>
          <w:tcPr>
            <w:tcW w:w="0" w:type="auto"/>
            <w:shd w:val="clear" w:color="auto" w:fill="auto"/>
            <w:noWrap/>
            <w:vAlign w:val="bottom"/>
            <w:hideMark/>
          </w:tcPr>
          <w:p w14:paraId="284D9F18"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Istarska županija</w:t>
            </w:r>
          </w:p>
        </w:tc>
        <w:tc>
          <w:tcPr>
            <w:tcW w:w="0" w:type="auto"/>
            <w:shd w:val="clear" w:color="auto" w:fill="auto"/>
            <w:noWrap/>
            <w:vAlign w:val="bottom"/>
            <w:hideMark/>
          </w:tcPr>
          <w:p w14:paraId="44DD2719"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Rovinj</w:t>
            </w:r>
          </w:p>
        </w:tc>
        <w:tc>
          <w:tcPr>
            <w:tcW w:w="0" w:type="auto"/>
            <w:shd w:val="clear" w:color="auto" w:fill="auto"/>
            <w:noWrap/>
            <w:vAlign w:val="center"/>
            <w:hideMark/>
          </w:tcPr>
          <w:p w14:paraId="7331C514"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u funkciji</w:t>
            </w:r>
          </w:p>
        </w:tc>
      </w:tr>
      <w:tr w:rsidR="005B09E7" w:rsidRPr="005B09E7" w14:paraId="57A85EB1" w14:textId="77777777" w:rsidTr="00CC41BC">
        <w:trPr>
          <w:trHeight w:val="20"/>
        </w:trPr>
        <w:tc>
          <w:tcPr>
            <w:tcW w:w="0" w:type="auto"/>
            <w:vMerge/>
            <w:vAlign w:val="center"/>
            <w:hideMark/>
          </w:tcPr>
          <w:p w14:paraId="7BE57668"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center"/>
            <w:hideMark/>
          </w:tcPr>
          <w:p w14:paraId="2CFC7F4D"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6.</w:t>
            </w:r>
          </w:p>
        </w:tc>
        <w:tc>
          <w:tcPr>
            <w:tcW w:w="0" w:type="auto"/>
            <w:shd w:val="clear" w:color="auto" w:fill="auto"/>
            <w:noWrap/>
            <w:vAlign w:val="bottom"/>
            <w:hideMark/>
          </w:tcPr>
          <w:p w14:paraId="6DAC68D7"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PS </w:t>
            </w:r>
            <w:proofErr w:type="spellStart"/>
            <w:r w:rsidRPr="005B09E7">
              <w:rPr>
                <w:rFonts w:eastAsia="Times New Roman" w:cstheme="minorHAnsi"/>
                <w:color w:val="000000"/>
                <w:sz w:val="16"/>
                <w:szCs w:val="16"/>
                <w:lang w:eastAsia="hr-HR"/>
              </w:rPr>
              <w:t>Jelenčići</w:t>
            </w:r>
            <w:proofErr w:type="spellEnd"/>
            <w:r w:rsidRPr="005B09E7">
              <w:rPr>
                <w:rFonts w:eastAsia="Times New Roman" w:cstheme="minorHAnsi"/>
                <w:color w:val="000000"/>
                <w:sz w:val="16"/>
                <w:szCs w:val="16"/>
                <w:lang w:eastAsia="hr-HR"/>
              </w:rPr>
              <w:t xml:space="preserve"> V</w:t>
            </w:r>
          </w:p>
        </w:tc>
        <w:tc>
          <w:tcPr>
            <w:tcW w:w="0" w:type="auto"/>
            <w:shd w:val="clear" w:color="auto" w:fill="auto"/>
            <w:noWrap/>
            <w:vAlign w:val="bottom"/>
            <w:hideMark/>
          </w:tcPr>
          <w:p w14:paraId="0A3EDEF8"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Istarska županija</w:t>
            </w:r>
          </w:p>
        </w:tc>
        <w:tc>
          <w:tcPr>
            <w:tcW w:w="0" w:type="auto"/>
            <w:shd w:val="clear" w:color="auto" w:fill="auto"/>
            <w:noWrap/>
            <w:vAlign w:val="bottom"/>
            <w:hideMark/>
          </w:tcPr>
          <w:p w14:paraId="28FC821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Pazin</w:t>
            </w:r>
          </w:p>
        </w:tc>
        <w:tc>
          <w:tcPr>
            <w:tcW w:w="0" w:type="auto"/>
            <w:shd w:val="clear" w:color="auto" w:fill="auto"/>
            <w:noWrap/>
            <w:vAlign w:val="center"/>
            <w:hideMark/>
          </w:tcPr>
          <w:p w14:paraId="7A16CC4B"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u funkciji</w:t>
            </w:r>
          </w:p>
        </w:tc>
      </w:tr>
      <w:tr w:rsidR="005B09E7" w:rsidRPr="005B09E7" w14:paraId="243AE98F" w14:textId="77777777" w:rsidTr="00CC41BC">
        <w:trPr>
          <w:trHeight w:val="20"/>
        </w:trPr>
        <w:tc>
          <w:tcPr>
            <w:tcW w:w="0" w:type="auto"/>
            <w:shd w:val="clear" w:color="auto" w:fill="002060"/>
            <w:vAlign w:val="center"/>
            <w:hideMark/>
          </w:tcPr>
          <w:p w14:paraId="71459978"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CGO</w:t>
            </w:r>
          </w:p>
        </w:tc>
        <w:tc>
          <w:tcPr>
            <w:tcW w:w="0" w:type="auto"/>
            <w:shd w:val="clear" w:color="auto" w:fill="002060"/>
            <w:vAlign w:val="center"/>
            <w:hideMark/>
          </w:tcPr>
          <w:p w14:paraId="161D8363"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 </w:t>
            </w:r>
          </w:p>
        </w:tc>
        <w:tc>
          <w:tcPr>
            <w:tcW w:w="0" w:type="auto"/>
            <w:shd w:val="clear" w:color="auto" w:fill="002060"/>
            <w:vAlign w:val="center"/>
            <w:hideMark/>
          </w:tcPr>
          <w:p w14:paraId="05462AEF"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PS</w:t>
            </w:r>
          </w:p>
        </w:tc>
        <w:tc>
          <w:tcPr>
            <w:tcW w:w="0" w:type="auto"/>
            <w:shd w:val="clear" w:color="auto" w:fill="002060"/>
            <w:vAlign w:val="center"/>
            <w:hideMark/>
          </w:tcPr>
          <w:p w14:paraId="6FE9CE9D"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(županija)</w:t>
            </w:r>
          </w:p>
        </w:tc>
        <w:tc>
          <w:tcPr>
            <w:tcW w:w="0" w:type="auto"/>
            <w:shd w:val="clear" w:color="auto" w:fill="002060"/>
            <w:vAlign w:val="center"/>
            <w:hideMark/>
          </w:tcPr>
          <w:p w14:paraId="77A85B49"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(općina/grad)</w:t>
            </w:r>
          </w:p>
        </w:tc>
        <w:tc>
          <w:tcPr>
            <w:tcW w:w="0" w:type="auto"/>
            <w:shd w:val="clear" w:color="auto" w:fill="002060"/>
            <w:vAlign w:val="center"/>
            <w:hideMark/>
          </w:tcPr>
          <w:p w14:paraId="10C30246"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Status</w:t>
            </w:r>
          </w:p>
        </w:tc>
      </w:tr>
      <w:tr w:rsidR="005B09E7" w:rsidRPr="005B09E7" w14:paraId="4AAD2713" w14:textId="77777777" w:rsidTr="00CC41BC">
        <w:trPr>
          <w:trHeight w:val="20"/>
        </w:trPr>
        <w:tc>
          <w:tcPr>
            <w:tcW w:w="0" w:type="auto"/>
            <w:vMerge w:val="restart"/>
            <w:shd w:val="clear" w:color="auto" w:fill="auto"/>
            <w:vAlign w:val="center"/>
            <w:hideMark/>
          </w:tcPr>
          <w:p w14:paraId="031EDA49" w14:textId="77777777" w:rsidR="005B09E7" w:rsidRPr="005B09E7" w:rsidRDefault="005B09E7" w:rsidP="00CC41BC">
            <w:pPr>
              <w:spacing w:after="0" w:line="240" w:lineRule="auto"/>
              <w:jc w:val="center"/>
              <w:rPr>
                <w:rFonts w:eastAsia="Times New Roman" w:cstheme="minorHAnsi"/>
                <w:b/>
                <w:bCs/>
                <w:color w:val="000000"/>
                <w:sz w:val="16"/>
                <w:szCs w:val="16"/>
                <w:lang w:eastAsia="hr-HR"/>
              </w:rPr>
            </w:pPr>
            <w:r w:rsidRPr="005B09E7">
              <w:rPr>
                <w:rFonts w:eastAsia="Times New Roman" w:cstheme="minorHAnsi"/>
                <w:b/>
                <w:bCs/>
                <w:color w:val="000000"/>
                <w:sz w:val="16"/>
                <w:szCs w:val="16"/>
                <w:lang w:eastAsia="hr-HR"/>
              </w:rPr>
              <w:t xml:space="preserve">3. </w:t>
            </w:r>
            <w:proofErr w:type="spellStart"/>
            <w:r w:rsidRPr="005B09E7">
              <w:rPr>
                <w:rFonts w:eastAsia="Times New Roman" w:cstheme="minorHAnsi"/>
                <w:b/>
                <w:bCs/>
                <w:color w:val="000000"/>
                <w:sz w:val="16"/>
                <w:szCs w:val="16"/>
                <w:lang w:eastAsia="hr-HR"/>
              </w:rPr>
              <w:t>Bikarac</w:t>
            </w:r>
            <w:proofErr w:type="spellEnd"/>
            <w:r w:rsidRPr="005B09E7">
              <w:rPr>
                <w:rFonts w:eastAsia="Times New Roman" w:cstheme="minorHAnsi"/>
                <w:b/>
                <w:bCs/>
                <w:color w:val="000000"/>
                <w:sz w:val="16"/>
                <w:szCs w:val="16"/>
                <w:lang w:eastAsia="hr-HR"/>
              </w:rPr>
              <w:t xml:space="preserve"> </w:t>
            </w:r>
          </w:p>
        </w:tc>
        <w:tc>
          <w:tcPr>
            <w:tcW w:w="0" w:type="auto"/>
            <w:shd w:val="clear" w:color="auto" w:fill="auto"/>
            <w:noWrap/>
            <w:vAlign w:val="center"/>
            <w:hideMark/>
          </w:tcPr>
          <w:p w14:paraId="51A8D2FF"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1.</w:t>
            </w:r>
          </w:p>
        </w:tc>
        <w:tc>
          <w:tcPr>
            <w:tcW w:w="0" w:type="auto"/>
            <w:shd w:val="clear" w:color="auto" w:fill="auto"/>
            <w:noWrap/>
            <w:vAlign w:val="bottom"/>
            <w:hideMark/>
          </w:tcPr>
          <w:p w14:paraId="54B36E7C"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PS Biskupija </w:t>
            </w:r>
          </w:p>
        </w:tc>
        <w:tc>
          <w:tcPr>
            <w:tcW w:w="0" w:type="auto"/>
            <w:shd w:val="clear" w:color="auto" w:fill="auto"/>
            <w:noWrap/>
            <w:vAlign w:val="bottom"/>
            <w:hideMark/>
          </w:tcPr>
          <w:p w14:paraId="02A26078"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Šibensko kninska županija</w:t>
            </w:r>
          </w:p>
        </w:tc>
        <w:tc>
          <w:tcPr>
            <w:tcW w:w="0" w:type="auto"/>
            <w:shd w:val="clear" w:color="auto" w:fill="auto"/>
            <w:noWrap/>
            <w:vAlign w:val="bottom"/>
            <w:hideMark/>
          </w:tcPr>
          <w:p w14:paraId="2A5B91C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Biskupija</w:t>
            </w:r>
          </w:p>
        </w:tc>
        <w:tc>
          <w:tcPr>
            <w:tcW w:w="0" w:type="auto"/>
            <w:shd w:val="clear" w:color="auto" w:fill="auto"/>
            <w:noWrap/>
            <w:vAlign w:val="center"/>
            <w:hideMark/>
          </w:tcPr>
          <w:p w14:paraId="15F3F28F"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nije u funkciji</w:t>
            </w:r>
          </w:p>
        </w:tc>
      </w:tr>
      <w:tr w:rsidR="005B09E7" w:rsidRPr="005B09E7" w14:paraId="4B02AFB6" w14:textId="77777777" w:rsidTr="00CC41BC">
        <w:trPr>
          <w:trHeight w:val="20"/>
        </w:trPr>
        <w:tc>
          <w:tcPr>
            <w:tcW w:w="0" w:type="auto"/>
            <w:vMerge/>
            <w:vAlign w:val="center"/>
            <w:hideMark/>
          </w:tcPr>
          <w:p w14:paraId="6FC0D68C"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center"/>
            <w:hideMark/>
          </w:tcPr>
          <w:p w14:paraId="53F3A01C"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2.</w:t>
            </w:r>
          </w:p>
        </w:tc>
        <w:tc>
          <w:tcPr>
            <w:tcW w:w="0" w:type="auto"/>
            <w:shd w:val="clear" w:color="auto" w:fill="auto"/>
            <w:noWrap/>
            <w:vAlign w:val="bottom"/>
            <w:hideMark/>
          </w:tcPr>
          <w:p w14:paraId="445237B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PS Pirovac </w:t>
            </w:r>
          </w:p>
        </w:tc>
        <w:tc>
          <w:tcPr>
            <w:tcW w:w="0" w:type="auto"/>
            <w:shd w:val="clear" w:color="auto" w:fill="auto"/>
            <w:noWrap/>
            <w:vAlign w:val="bottom"/>
            <w:hideMark/>
          </w:tcPr>
          <w:p w14:paraId="212FAC97"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Šibensko kninska županija</w:t>
            </w:r>
          </w:p>
        </w:tc>
        <w:tc>
          <w:tcPr>
            <w:tcW w:w="0" w:type="auto"/>
            <w:shd w:val="clear" w:color="auto" w:fill="auto"/>
            <w:noWrap/>
            <w:vAlign w:val="bottom"/>
            <w:hideMark/>
          </w:tcPr>
          <w:p w14:paraId="3CFCD92C"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Pirovac</w:t>
            </w:r>
          </w:p>
        </w:tc>
        <w:tc>
          <w:tcPr>
            <w:tcW w:w="0" w:type="auto"/>
            <w:shd w:val="clear" w:color="auto" w:fill="auto"/>
            <w:noWrap/>
            <w:vAlign w:val="center"/>
            <w:hideMark/>
          </w:tcPr>
          <w:p w14:paraId="4B244F4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u funkciji</w:t>
            </w:r>
          </w:p>
        </w:tc>
      </w:tr>
      <w:tr w:rsidR="005B09E7" w:rsidRPr="005B09E7" w14:paraId="38F9C647" w14:textId="77777777" w:rsidTr="00CC41BC">
        <w:trPr>
          <w:trHeight w:val="20"/>
        </w:trPr>
        <w:tc>
          <w:tcPr>
            <w:tcW w:w="0" w:type="auto"/>
            <w:shd w:val="clear" w:color="auto" w:fill="002060"/>
            <w:vAlign w:val="center"/>
            <w:hideMark/>
          </w:tcPr>
          <w:p w14:paraId="411BAD30"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CGO</w:t>
            </w:r>
          </w:p>
        </w:tc>
        <w:tc>
          <w:tcPr>
            <w:tcW w:w="0" w:type="auto"/>
            <w:shd w:val="clear" w:color="auto" w:fill="002060"/>
            <w:vAlign w:val="center"/>
            <w:hideMark/>
          </w:tcPr>
          <w:p w14:paraId="5DCFDCA2"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 </w:t>
            </w:r>
          </w:p>
        </w:tc>
        <w:tc>
          <w:tcPr>
            <w:tcW w:w="0" w:type="auto"/>
            <w:shd w:val="clear" w:color="auto" w:fill="002060"/>
            <w:vAlign w:val="center"/>
            <w:hideMark/>
          </w:tcPr>
          <w:p w14:paraId="0A5016A9"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PS</w:t>
            </w:r>
          </w:p>
        </w:tc>
        <w:tc>
          <w:tcPr>
            <w:tcW w:w="0" w:type="auto"/>
            <w:shd w:val="clear" w:color="auto" w:fill="002060"/>
            <w:vAlign w:val="center"/>
            <w:hideMark/>
          </w:tcPr>
          <w:p w14:paraId="3D8202C6"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(županija)</w:t>
            </w:r>
          </w:p>
        </w:tc>
        <w:tc>
          <w:tcPr>
            <w:tcW w:w="0" w:type="auto"/>
            <w:shd w:val="clear" w:color="auto" w:fill="002060"/>
            <w:vAlign w:val="center"/>
            <w:hideMark/>
          </w:tcPr>
          <w:p w14:paraId="3FB1344E"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(općina/grad)</w:t>
            </w:r>
          </w:p>
        </w:tc>
        <w:tc>
          <w:tcPr>
            <w:tcW w:w="0" w:type="auto"/>
            <w:shd w:val="clear" w:color="auto" w:fill="002060"/>
            <w:vAlign w:val="center"/>
            <w:hideMark/>
          </w:tcPr>
          <w:p w14:paraId="0C306E07"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Status</w:t>
            </w:r>
          </w:p>
        </w:tc>
      </w:tr>
      <w:tr w:rsidR="005B09E7" w:rsidRPr="005B09E7" w14:paraId="05641B01" w14:textId="77777777" w:rsidTr="00CC41BC">
        <w:trPr>
          <w:trHeight w:val="20"/>
        </w:trPr>
        <w:tc>
          <w:tcPr>
            <w:tcW w:w="0" w:type="auto"/>
            <w:vMerge w:val="restart"/>
            <w:shd w:val="clear" w:color="auto" w:fill="auto"/>
            <w:vAlign w:val="center"/>
            <w:hideMark/>
          </w:tcPr>
          <w:p w14:paraId="6138736C" w14:textId="77777777" w:rsidR="005B09E7" w:rsidRPr="005B09E7" w:rsidRDefault="005B09E7" w:rsidP="00CC41BC">
            <w:pPr>
              <w:spacing w:after="0" w:line="240" w:lineRule="auto"/>
              <w:jc w:val="center"/>
              <w:rPr>
                <w:rFonts w:eastAsia="Times New Roman" w:cstheme="minorHAnsi"/>
                <w:b/>
                <w:bCs/>
                <w:color w:val="000000"/>
                <w:sz w:val="16"/>
                <w:szCs w:val="16"/>
                <w:lang w:eastAsia="hr-HR"/>
              </w:rPr>
            </w:pPr>
            <w:r w:rsidRPr="005B09E7">
              <w:rPr>
                <w:rFonts w:eastAsia="Times New Roman" w:cstheme="minorHAnsi"/>
                <w:b/>
                <w:bCs/>
                <w:color w:val="000000"/>
                <w:sz w:val="16"/>
                <w:szCs w:val="16"/>
                <w:lang w:eastAsia="hr-HR"/>
              </w:rPr>
              <w:t>4. Biljane</w:t>
            </w:r>
            <w:r w:rsidRPr="005B09E7">
              <w:rPr>
                <w:rFonts w:eastAsia="Times New Roman" w:cstheme="minorHAnsi"/>
                <w:b/>
                <w:bCs/>
                <w:color w:val="000000"/>
                <w:sz w:val="16"/>
                <w:szCs w:val="16"/>
                <w:lang w:eastAsia="hr-HR"/>
              </w:rPr>
              <w:br/>
              <w:t xml:space="preserve"> Donje</w:t>
            </w:r>
          </w:p>
        </w:tc>
        <w:tc>
          <w:tcPr>
            <w:tcW w:w="0" w:type="auto"/>
            <w:shd w:val="clear" w:color="auto" w:fill="auto"/>
            <w:noWrap/>
            <w:vAlign w:val="bottom"/>
            <w:hideMark/>
          </w:tcPr>
          <w:p w14:paraId="4DB0EA1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1.</w:t>
            </w:r>
          </w:p>
        </w:tc>
        <w:tc>
          <w:tcPr>
            <w:tcW w:w="0" w:type="auto"/>
            <w:shd w:val="clear" w:color="auto" w:fill="auto"/>
            <w:noWrap/>
            <w:vAlign w:val="bottom"/>
            <w:hideMark/>
          </w:tcPr>
          <w:p w14:paraId="1710ADB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Biograd na Moru</w:t>
            </w:r>
          </w:p>
        </w:tc>
        <w:tc>
          <w:tcPr>
            <w:tcW w:w="0" w:type="auto"/>
            <w:shd w:val="clear" w:color="auto" w:fill="auto"/>
            <w:noWrap/>
            <w:vAlign w:val="bottom"/>
            <w:hideMark/>
          </w:tcPr>
          <w:p w14:paraId="75E47AD9"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Zadarska županija</w:t>
            </w:r>
          </w:p>
        </w:tc>
        <w:tc>
          <w:tcPr>
            <w:tcW w:w="0" w:type="auto"/>
            <w:shd w:val="clear" w:color="auto" w:fill="auto"/>
            <w:noWrap/>
            <w:vAlign w:val="bottom"/>
            <w:hideMark/>
          </w:tcPr>
          <w:p w14:paraId="5949DA54"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Biograd na Moru</w:t>
            </w:r>
          </w:p>
        </w:tc>
        <w:tc>
          <w:tcPr>
            <w:tcW w:w="0" w:type="auto"/>
            <w:shd w:val="clear" w:color="auto" w:fill="auto"/>
            <w:noWrap/>
            <w:vAlign w:val="bottom"/>
            <w:hideMark/>
          </w:tcPr>
          <w:p w14:paraId="0149C055"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ascii="Calibri" w:eastAsia="Times New Roman" w:hAnsi="Calibri" w:cs="Calibri"/>
                <w:color w:val="000000"/>
                <w:sz w:val="16"/>
                <w:szCs w:val="16"/>
                <w:lang w:eastAsia="hr-HR"/>
              </w:rPr>
              <w:t xml:space="preserve">PS izgrađena - nije u funkciji </w:t>
            </w:r>
          </w:p>
        </w:tc>
      </w:tr>
      <w:tr w:rsidR="005B09E7" w:rsidRPr="005B09E7" w14:paraId="6CFDB40B" w14:textId="77777777" w:rsidTr="00CC41BC">
        <w:trPr>
          <w:trHeight w:val="20"/>
        </w:trPr>
        <w:tc>
          <w:tcPr>
            <w:tcW w:w="0" w:type="auto"/>
            <w:vMerge/>
            <w:vAlign w:val="center"/>
            <w:hideMark/>
          </w:tcPr>
          <w:p w14:paraId="6C6CA996"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1FB2DBFC"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2.</w:t>
            </w:r>
          </w:p>
        </w:tc>
        <w:tc>
          <w:tcPr>
            <w:tcW w:w="0" w:type="auto"/>
            <w:shd w:val="clear" w:color="auto" w:fill="auto"/>
            <w:noWrap/>
            <w:vAlign w:val="bottom"/>
            <w:hideMark/>
          </w:tcPr>
          <w:p w14:paraId="2BAE09C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Pag-Povljana</w:t>
            </w:r>
          </w:p>
        </w:tc>
        <w:tc>
          <w:tcPr>
            <w:tcW w:w="0" w:type="auto"/>
            <w:shd w:val="clear" w:color="auto" w:fill="auto"/>
            <w:noWrap/>
            <w:vAlign w:val="bottom"/>
            <w:hideMark/>
          </w:tcPr>
          <w:p w14:paraId="4EB99F62"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Zadarska županija</w:t>
            </w:r>
          </w:p>
        </w:tc>
        <w:tc>
          <w:tcPr>
            <w:tcW w:w="0" w:type="auto"/>
            <w:shd w:val="clear" w:color="auto" w:fill="auto"/>
            <w:noWrap/>
            <w:vAlign w:val="bottom"/>
            <w:hideMark/>
          </w:tcPr>
          <w:p w14:paraId="4224641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Pag-Povljana</w:t>
            </w:r>
          </w:p>
        </w:tc>
        <w:tc>
          <w:tcPr>
            <w:tcW w:w="0" w:type="auto"/>
            <w:shd w:val="clear" w:color="auto" w:fill="auto"/>
            <w:noWrap/>
            <w:vAlign w:val="bottom"/>
            <w:hideMark/>
          </w:tcPr>
          <w:p w14:paraId="0921B3DC"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ascii="Calibri" w:eastAsia="Times New Roman" w:hAnsi="Calibri" w:cs="Calibri"/>
                <w:color w:val="000000"/>
                <w:sz w:val="16"/>
                <w:szCs w:val="16"/>
                <w:lang w:eastAsia="hr-HR"/>
              </w:rPr>
              <w:t xml:space="preserve">PS izgrađena - nije u funkciji </w:t>
            </w:r>
          </w:p>
        </w:tc>
      </w:tr>
      <w:tr w:rsidR="005B09E7" w:rsidRPr="005B09E7" w14:paraId="11262629" w14:textId="77777777" w:rsidTr="00CC41BC">
        <w:trPr>
          <w:trHeight w:val="20"/>
        </w:trPr>
        <w:tc>
          <w:tcPr>
            <w:tcW w:w="0" w:type="auto"/>
            <w:vMerge/>
            <w:vAlign w:val="center"/>
            <w:hideMark/>
          </w:tcPr>
          <w:p w14:paraId="5BF101E1"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47E2068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3.</w:t>
            </w:r>
          </w:p>
        </w:tc>
        <w:tc>
          <w:tcPr>
            <w:tcW w:w="0" w:type="auto"/>
            <w:shd w:val="clear" w:color="auto" w:fill="auto"/>
            <w:noWrap/>
            <w:vAlign w:val="bottom"/>
            <w:hideMark/>
          </w:tcPr>
          <w:p w14:paraId="45224C0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Gračac</w:t>
            </w:r>
          </w:p>
        </w:tc>
        <w:tc>
          <w:tcPr>
            <w:tcW w:w="0" w:type="auto"/>
            <w:shd w:val="clear" w:color="auto" w:fill="auto"/>
            <w:noWrap/>
            <w:vAlign w:val="bottom"/>
            <w:hideMark/>
          </w:tcPr>
          <w:p w14:paraId="4FCC8017"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Zadarska županija</w:t>
            </w:r>
          </w:p>
        </w:tc>
        <w:tc>
          <w:tcPr>
            <w:tcW w:w="0" w:type="auto"/>
            <w:shd w:val="clear" w:color="auto" w:fill="auto"/>
            <w:noWrap/>
            <w:vAlign w:val="bottom"/>
            <w:hideMark/>
          </w:tcPr>
          <w:p w14:paraId="735AC560"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Gračac</w:t>
            </w:r>
          </w:p>
        </w:tc>
        <w:tc>
          <w:tcPr>
            <w:tcW w:w="0" w:type="auto"/>
            <w:shd w:val="clear" w:color="auto" w:fill="auto"/>
            <w:noWrap/>
            <w:vAlign w:val="bottom"/>
            <w:hideMark/>
          </w:tcPr>
          <w:p w14:paraId="7C52D79A"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ascii="Calibri" w:eastAsia="Times New Roman" w:hAnsi="Calibri" w:cs="Calibri"/>
                <w:color w:val="000000"/>
                <w:sz w:val="16"/>
                <w:szCs w:val="16"/>
                <w:lang w:eastAsia="hr-HR"/>
              </w:rPr>
              <w:t xml:space="preserve">PS izgrađena - nije u funkciji </w:t>
            </w:r>
          </w:p>
        </w:tc>
      </w:tr>
      <w:tr w:rsidR="005B09E7" w:rsidRPr="005B09E7" w14:paraId="0C9F0598" w14:textId="77777777" w:rsidTr="00CC41BC">
        <w:trPr>
          <w:trHeight w:val="20"/>
        </w:trPr>
        <w:tc>
          <w:tcPr>
            <w:tcW w:w="0" w:type="auto"/>
            <w:vMerge/>
            <w:vAlign w:val="center"/>
            <w:hideMark/>
          </w:tcPr>
          <w:p w14:paraId="7F92A611"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37F9DCB4"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4.</w:t>
            </w:r>
          </w:p>
        </w:tc>
        <w:tc>
          <w:tcPr>
            <w:tcW w:w="0" w:type="auto"/>
            <w:shd w:val="clear" w:color="auto" w:fill="auto"/>
            <w:noWrap/>
            <w:vAlign w:val="bottom"/>
            <w:hideMark/>
          </w:tcPr>
          <w:p w14:paraId="0794A90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PS </w:t>
            </w:r>
            <w:proofErr w:type="spellStart"/>
            <w:r w:rsidRPr="005B09E7">
              <w:rPr>
                <w:rFonts w:eastAsia="Times New Roman" w:cstheme="minorHAnsi"/>
                <w:color w:val="000000"/>
                <w:sz w:val="16"/>
                <w:szCs w:val="16"/>
                <w:lang w:eastAsia="hr-HR"/>
              </w:rPr>
              <w:t>Rakitovac</w:t>
            </w:r>
            <w:proofErr w:type="spellEnd"/>
          </w:p>
        </w:tc>
        <w:tc>
          <w:tcPr>
            <w:tcW w:w="0" w:type="auto"/>
            <w:shd w:val="clear" w:color="auto" w:fill="auto"/>
            <w:noWrap/>
            <w:vAlign w:val="bottom"/>
            <w:hideMark/>
          </w:tcPr>
          <w:p w14:paraId="6D263262"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Ličko-senjska županija</w:t>
            </w:r>
          </w:p>
        </w:tc>
        <w:tc>
          <w:tcPr>
            <w:tcW w:w="0" w:type="auto"/>
            <w:shd w:val="clear" w:color="auto" w:fill="auto"/>
            <w:noWrap/>
            <w:vAlign w:val="center"/>
            <w:hideMark/>
          </w:tcPr>
          <w:p w14:paraId="6D67D18F" w14:textId="77777777" w:rsidR="005B09E7" w:rsidRPr="005B09E7" w:rsidRDefault="005B09E7" w:rsidP="00CC41BC">
            <w:pPr>
              <w:spacing w:after="0" w:line="240" w:lineRule="auto"/>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Gospić </w:t>
            </w:r>
          </w:p>
        </w:tc>
        <w:tc>
          <w:tcPr>
            <w:tcW w:w="0" w:type="auto"/>
            <w:shd w:val="clear" w:color="auto" w:fill="auto"/>
            <w:noWrap/>
            <w:vAlign w:val="bottom"/>
            <w:hideMark/>
          </w:tcPr>
          <w:p w14:paraId="42DF53CF" w14:textId="60F768B8"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pripremi građenj</w:t>
            </w:r>
            <w:r w:rsidR="0050217C">
              <w:rPr>
                <w:rFonts w:eastAsia="Times New Roman" w:cstheme="minorHAnsi"/>
                <w:color w:val="000000"/>
                <w:sz w:val="16"/>
                <w:szCs w:val="16"/>
                <w:lang w:eastAsia="hr-HR"/>
              </w:rPr>
              <w:t>a</w:t>
            </w:r>
          </w:p>
        </w:tc>
      </w:tr>
      <w:tr w:rsidR="005B09E7" w:rsidRPr="005B09E7" w14:paraId="527AB4B0" w14:textId="77777777" w:rsidTr="00CC41BC">
        <w:trPr>
          <w:trHeight w:val="20"/>
        </w:trPr>
        <w:tc>
          <w:tcPr>
            <w:tcW w:w="0" w:type="auto"/>
            <w:shd w:val="clear" w:color="auto" w:fill="002060"/>
            <w:vAlign w:val="center"/>
            <w:hideMark/>
          </w:tcPr>
          <w:p w14:paraId="4BA64015"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CGO</w:t>
            </w:r>
          </w:p>
        </w:tc>
        <w:tc>
          <w:tcPr>
            <w:tcW w:w="0" w:type="auto"/>
            <w:shd w:val="clear" w:color="auto" w:fill="002060"/>
            <w:vAlign w:val="center"/>
            <w:hideMark/>
          </w:tcPr>
          <w:p w14:paraId="43F53162"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 </w:t>
            </w:r>
          </w:p>
        </w:tc>
        <w:tc>
          <w:tcPr>
            <w:tcW w:w="0" w:type="auto"/>
            <w:shd w:val="clear" w:color="auto" w:fill="002060"/>
            <w:vAlign w:val="center"/>
            <w:hideMark/>
          </w:tcPr>
          <w:p w14:paraId="30744895"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PS</w:t>
            </w:r>
          </w:p>
        </w:tc>
        <w:tc>
          <w:tcPr>
            <w:tcW w:w="0" w:type="auto"/>
            <w:shd w:val="clear" w:color="auto" w:fill="002060"/>
            <w:vAlign w:val="center"/>
            <w:hideMark/>
          </w:tcPr>
          <w:p w14:paraId="781136A5"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(županija)</w:t>
            </w:r>
          </w:p>
        </w:tc>
        <w:tc>
          <w:tcPr>
            <w:tcW w:w="0" w:type="auto"/>
            <w:shd w:val="clear" w:color="auto" w:fill="002060"/>
            <w:vAlign w:val="center"/>
            <w:hideMark/>
          </w:tcPr>
          <w:p w14:paraId="476A52D3"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(općina/grad)</w:t>
            </w:r>
          </w:p>
        </w:tc>
        <w:tc>
          <w:tcPr>
            <w:tcW w:w="0" w:type="auto"/>
            <w:shd w:val="clear" w:color="auto" w:fill="002060"/>
            <w:vAlign w:val="center"/>
            <w:hideMark/>
          </w:tcPr>
          <w:p w14:paraId="54F83E4B"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Status</w:t>
            </w:r>
          </w:p>
        </w:tc>
      </w:tr>
      <w:tr w:rsidR="005B09E7" w:rsidRPr="005B09E7" w14:paraId="650EF130" w14:textId="77777777" w:rsidTr="00CC41BC">
        <w:trPr>
          <w:trHeight w:val="20"/>
        </w:trPr>
        <w:tc>
          <w:tcPr>
            <w:tcW w:w="0" w:type="auto"/>
            <w:vMerge w:val="restart"/>
            <w:shd w:val="clear" w:color="auto" w:fill="auto"/>
            <w:vAlign w:val="center"/>
            <w:hideMark/>
          </w:tcPr>
          <w:p w14:paraId="48729DED" w14:textId="77777777" w:rsidR="005B09E7" w:rsidRPr="005B09E7" w:rsidRDefault="005B09E7" w:rsidP="00CC41BC">
            <w:pPr>
              <w:spacing w:after="0" w:line="240" w:lineRule="auto"/>
              <w:jc w:val="center"/>
              <w:rPr>
                <w:rFonts w:eastAsia="Times New Roman" w:cstheme="minorHAnsi"/>
                <w:b/>
                <w:bCs/>
                <w:color w:val="000000"/>
                <w:sz w:val="16"/>
                <w:szCs w:val="16"/>
                <w:lang w:eastAsia="hr-HR"/>
              </w:rPr>
            </w:pPr>
            <w:r w:rsidRPr="005B09E7">
              <w:rPr>
                <w:rFonts w:eastAsia="Times New Roman" w:cstheme="minorHAnsi"/>
                <w:b/>
                <w:bCs/>
                <w:color w:val="000000"/>
                <w:sz w:val="16"/>
                <w:szCs w:val="16"/>
                <w:lang w:eastAsia="hr-HR"/>
              </w:rPr>
              <w:t xml:space="preserve">5. </w:t>
            </w:r>
            <w:proofErr w:type="spellStart"/>
            <w:r w:rsidRPr="005B09E7">
              <w:rPr>
                <w:rFonts w:eastAsia="Times New Roman" w:cstheme="minorHAnsi"/>
                <w:b/>
                <w:bCs/>
                <w:color w:val="000000"/>
                <w:sz w:val="16"/>
                <w:szCs w:val="16"/>
                <w:lang w:eastAsia="hr-HR"/>
              </w:rPr>
              <w:t>Lećevica</w:t>
            </w:r>
            <w:proofErr w:type="spellEnd"/>
          </w:p>
        </w:tc>
        <w:tc>
          <w:tcPr>
            <w:tcW w:w="0" w:type="auto"/>
            <w:shd w:val="clear" w:color="auto" w:fill="auto"/>
            <w:noWrap/>
            <w:vAlign w:val="bottom"/>
            <w:hideMark/>
          </w:tcPr>
          <w:p w14:paraId="70216CB4"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1.</w:t>
            </w:r>
          </w:p>
        </w:tc>
        <w:tc>
          <w:tcPr>
            <w:tcW w:w="0" w:type="auto"/>
            <w:shd w:val="clear" w:color="auto" w:fill="auto"/>
            <w:noWrap/>
            <w:vAlign w:val="bottom"/>
            <w:hideMark/>
          </w:tcPr>
          <w:p w14:paraId="4D542CE7"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Brač</w:t>
            </w:r>
          </w:p>
        </w:tc>
        <w:tc>
          <w:tcPr>
            <w:tcW w:w="0" w:type="auto"/>
            <w:shd w:val="clear" w:color="auto" w:fill="auto"/>
            <w:noWrap/>
            <w:vAlign w:val="bottom"/>
            <w:hideMark/>
          </w:tcPr>
          <w:p w14:paraId="314B68F8"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Splitsko-dalmatinska županija</w:t>
            </w:r>
          </w:p>
        </w:tc>
        <w:tc>
          <w:tcPr>
            <w:tcW w:w="0" w:type="auto"/>
            <w:shd w:val="clear" w:color="auto" w:fill="auto"/>
            <w:noWrap/>
            <w:vAlign w:val="bottom"/>
            <w:hideMark/>
          </w:tcPr>
          <w:p w14:paraId="3506BDC6"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Brač</w:t>
            </w:r>
          </w:p>
        </w:tc>
        <w:tc>
          <w:tcPr>
            <w:tcW w:w="0" w:type="auto"/>
            <w:shd w:val="clear" w:color="auto" w:fill="auto"/>
            <w:noWrap/>
            <w:vAlign w:val="bottom"/>
            <w:hideMark/>
          </w:tcPr>
          <w:p w14:paraId="5EAB19F0"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U projektiranju </w:t>
            </w:r>
          </w:p>
        </w:tc>
      </w:tr>
      <w:tr w:rsidR="005B09E7" w:rsidRPr="005B09E7" w14:paraId="0FC4DA87" w14:textId="77777777" w:rsidTr="00CC41BC">
        <w:trPr>
          <w:trHeight w:val="20"/>
        </w:trPr>
        <w:tc>
          <w:tcPr>
            <w:tcW w:w="0" w:type="auto"/>
            <w:vMerge/>
            <w:vAlign w:val="center"/>
            <w:hideMark/>
          </w:tcPr>
          <w:p w14:paraId="0947B8F3"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1F8EF51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2.</w:t>
            </w:r>
          </w:p>
        </w:tc>
        <w:tc>
          <w:tcPr>
            <w:tcW w:w="0" w:type="auto"/>
            <w:shd w:val="clear" w:color="auto" w:fill="auto"/>
            <w:noWrap/>
            <w:vAlign w:val="bottom"/>
            <w:hideMark/>
          </w:tcPr>
          <w:p w14:paraId="4A5CDFF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Zagvozd</w:t>
            </w:r>
          </w:p>
        </w:tc>
        <w:tc>
          <w:tcPr>
            <w:tcW w:w="0" w:type="auto"/>
            <w:shd w:val="clear" w:color="auto" w:fill="auto"/>
            <w:noWrap/>
            <w:vAlign w:val="bottom"/>
            <w:hideMark/>
          </w:tcPr>
          <w:p w14:paraId="68084564"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Splitsko-dalmatinska županija</w:t>
            </w:r>
          </w:p>
        </w:tc>
        <w:tc>
          <w:tcPr>
            <w:tcW w:w="0" w:type="auto"/>
            <w:shd w:val="clear" w:color="auto" w:fill="auto"/>
            <w:noWrap/>
            <w:vAlign w:val="bottom"/>
            <w:hideMark/>
          </w:tcPr>
          <w:p w14:paraId="205AFE8C"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Zagvozd</w:t>
            </w:r>
          </w:p>
        </w:tc>
        <w:tc>
          <w:tcPr>
            <w:tcW w:w="0" w:type="auto"/>
            <w:shd w:val="clear" w:color="auto" w:fill="auto"/>
            <w:noWrap/>
            <w:vAlign w:val="bottom"/>
            <w:hideMark/>
          </w:tcPr>
          <w:p w14:paraId="5DE405F1"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U projektiranju </w:t>
            </w:r>
          </w:p>
        </w:tc>
      </w:tr>
      <w:tr w:rsidR="005B09E7" w:rsidRPr="005B09E7" w14:paraId="09BCF102" w14:textId="77777777" w:rsidTr="00CC41BC">
        <w:trPr>
          <w:trHeight w:val="20"/>
        </w:trPr>
        <w:tc>
          <w:tcPr>
            <w:tcW w:w="0" w:type="auto"/>
            <w:vMerge/>
            <w:vAlign w:val="center"/>
            <w:hideMark/>
          </w:tcPr>
          <w:p w14:paraId="0E0016B5"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3473D0E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3.</w:t>
            </w:r>
          </w:p>
        </w:tc>
        <w:tc>
          <w:tcPr>
            <w:tcW w:w="0" w:type="auto"/>
            <w:shd w:val="clear" w:color="auto" w:fill="auto"/>
            <w:noWrap/>
            <w:vAlign w:val="bottom"/>
            <w:hideMark/>
          </w:tcPr>
          <w:p w14:paraId="5A23169F"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Sinj</w:t>
            </w:r>
          </w:p>
        </w:tc>
        <w:tc>
          <w:tcPr>
            <w:tcW w:w="0" w:type="auto"/>
            <w:shd w:val="clear" w:color="auto" w:fill="auto"/>
            <w:noWrap/>
            <w:vAlign w:val="bottom"/>
            <w:hideMark/>
          </w:tcPr>
          <w:p w14:paraId="0F27BBA4"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Splitsko-dalmatinska županija</w:t>
            </w:r>
          </w:p>
        </w:tc>
        <w:tc>
          <w:tcPr>
            <w:tcW w:w="0" w:type="auto"/>
            <w:shd w:val="clear" w:color="auto" w:fill="auto"/>
            <w:noWrap/>
            <w:vAlign w:val="bottom"/>
            <w:hideMark/>
          </w:tcPr>
          <w:p w14:paraId="025628F2"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Sinj</w:t>
            </w:r>
          </w:p>
        </w:tc>
        <w:tc>
          <w:tcPr>
            <w:tcW w:w="0" w:type="auto"/>
            <w:shd w:val="clear" w:color="auto" w:fill="auto"/>
            <w:noWrap/>
            <w:vAlign w:val="bottom"/>
            <w:hideMark/>
          </w:tcPr>
          <w:p w14:paraId="3E6D7F64"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U projektiranju </w:t>
            </w:r>
          </w:p>
        </w:tc>
      </w:tr>
      <w:tr w:rsidR="005B09E7" w:rsidRPr="005B09E7" w14:paraId="140ABD3D" w14:textId="77777777" w:rsidTr="00CC41BC">
        <w:trPr>
          <w:trHeight w:val="20"/>
        </w:trPr>
        <w:tc>
          <w:tcPr>
            <w:tcW w:w="0" w:type="auto"/>
            <w:vMerge/>
            <w:vAlign w:val="center"/>
            <w:hideMark/>
          </w:tcPr>
          <w:p w14:paraId="30767D65"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4CB550D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4.</w:t>
            </w:r>
          </w:p>
        </w:tc>
        <w:tc>
          <w:tcPr>
            <w:tcW w:w="0" w:type="auto"/>
            <w:shd w:val="clear" w:color="auto" w:fill="auto"/>
            <w:noWrap/>
            <w:vAlign w:val="bottom"/>
            <w:hideMark/>
          </w:tcPr>
          <w:p w14:paraId="62EB87C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Split</w:t>
            </w:r>
          </w:p>
        </w:tc>
        <w:tc>
          <w:tcPr>
            <w:tcW w:w="0" w:type="auto"/>
            <w:shd w:val="clear" w:color="auto" w:fill="auto"/>
            <w:noWrap/>
            <w:vAlign w:val="bottom"/>
            <w:hideMark/>
          </w:tcPr>
          <w:p w14:paraId="00C482D6"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Splitsko-dalmatinska županija</w:t>
            </w:r>
          </w:p>
        </w:tc>
        <w:tc>
          <w:tcPr>
            <w:tcW w:w="0" w:type="auto"/>
            <w:shd w:val="clear" w:color="auto" w:fill="auto"/>
            <w:noWrap/>
            <w:vAlign w:val="bottom"/>
            <w:hideMark/>
          </w:tcPr>
          <w:p w14:paraId="0DDBFF4C"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Split</w:t>
            </w:r>
          </w:p>
        </w:tc>
        <w:tc>
          <w:tcPr>
            <w:tcW w:w="0" w:type="auto"/>
            <w:shd w:val="clear" w:color="auto" w:fill="auto"/>
            <w:noWrap/>
            <w:vAlign w:val="bottom"/>
            <w:hideMark/>
          </w:tcPr>
          <w:p w14:paraId="4BDDB8E3"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U projektiranju </w:t>
            </w:r>
          </w:p>
        </w:tc>
      </w:tr>
      <w:tr w:rsidR="005B09E7" w:rsidRPr="005B09E7" w14:paraId="1A53A67C" w14:textId="77777777" w:rsidTr="00CC41BC">
        <w:trPr>
          <w:trHeight w:val="20"/>
        </w:trPr>
        <w:tc>
          <w:tcPr>
            <w:tcW w:w="0" w:type="auto"/>
            <w:vMerge/>
            <w:vAlign w:val="center"/>
            <w:hideMark/>
          </w:tcPr>
          <w:p w14:paraId="7B0A8401"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5D771911"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5.</w:t>
            </w:r>
          </w:p>
        </w:tc>
        <w:tc>
          <w:tcPr>
            <w:tcW w:w="0" w:type="auto"/>
            <w:shd w:val="clear" w:color="auto" w:fill="auto"/>
            <w:noWrap/>
            <w:vAlign w:val="bottom"/>
            <w:hideMark/>
          </w:tcPr>
          <w:p w14:paraId="3D098102"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Hvar</w:t>
            </w:r>
          </w:p>
        </w:tc>
        <w:tc>
          <w:tcPr>
            <w:tcW w:w="0" w:type="auto"/>
            <w:shd w:val="clear" w:color="auto" w:fill="auto"/>
            <w:noWrap/>
            <w:vAlign w:val="bottom"/>
            <w:hideMark/>
          </w:tcPr>
          <w:p w14:paraId="30A70FC8"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Splitsko-dalmatinska županija</w:t>
            </w:r>
          </w:p>
        </w:tc>
        <w:tc>
          <w:tcPr>
            <w:tcW w:w="0" w:type="auto"/>
            <w:shd w:val="clear" w:color="auto" w:fill="auto"/>
            <w:noWrap/>
            <w:vAlign w:val="bottom"/>
            <w:hideMark/>
          </w:tcPr>
          <w:p w14:paraId="14152E4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Starigrad</w:t>
            </w:r>
          </w:p>
        </w:tc>
        <w:tc>
          <w:tcPr>
            <w:tcW w:w="0" w:type="auto"/>
            <w:shd w:val="clear" w:color="auto" w:fill="auto"/>
            <w:noWrap/>
            <w:vAlign w:val="bottom"/>
            <w:hideMark/>
          </w:tcPr>
          <w:p w14:paraId="0B9CD2E7"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14501050" w14:textId="77777777" w:rsidTr="00CC41BC">
        <w:trPr>
          <w:trHeight w:val="20"/>
        </w:trPr>
        <w:tc>
          <w:tcPr>
            <w:tcW w:w="0" w:type="auto"/>
            <w:vMerge/>
            <w:vAlign w:val="center"/>
            <w:hideMark/>
          </w:tcPr>
          <w:p w14:paraId="1626B03A"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654357F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6.</w:t>
            </w:r>
          </w:p>
        </w:tc>
        <w:tc>
          <w:tcPr>
            <w:tcW w:w="0" w:type="auto"/>
            <w:shd w:val="clear" w:color="auto" w:fill="auto"/>
            <w:noWrap/>
            <w:vAlign w:val="bottom"/>
            <w:hideMark/>
          </w:tcPr>
          <w:p w14:paraId="63938A9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Vis</w:t>
            </w:r>
          </w:p>
        </w:tc>
        <w:tc>
          <w:tcPr>
            <w:tcW w:w="0" w:type="auto"/>
            <w:shd w:val="clear" w:color="auto" w:fill="auto"/>
            <w:noWrap/>
            <w:vAlign w:val="bottom"/>
            <w:hideMark/>
          </w:tcPr>
          <w:p w14:paraId="2E3851C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Splitsko-dalmatinska županija</w:t>
            </w:r>
          </w:p>
        </w:tc>
        <w:tc>
          <w:tcPr>
            <w:tcW w:w="0" w:type="auto"/>
            <w:shd w:val="clear" w:color="auto" w:fill="auto"/>
            <w:noWrap/>
            <w:vAlign w:val="center"/>
            <w:hideMark/>
          </w:tcPr>
          <w:p w14:paraId="41A5ABA9" w14:textId="77777777" w:rsidR="005B09E7" w:rsidRPr="005B09E7" w:rsidRDefault="005B09E7" w:rsidP="00CC41BC">
            <w:pPr>
              <w:spacing w:after="0" w:line="240" w:lineRule="auto"/>
              <w:rPr>
                <w:rFonts w:eastAsia="Times New Roman" w:cstheme="minorHAnsi"/>
                <w:color w:val="000000"/>
                <w:sz w:val="16"/>
                <w:szCs w:val="16"/>
                <w:lang w:eastAsia="hr-HR"/>
              </w:rPr>
            </w:pPr>
            <w:r w:rsidRPr="005B09E7">
              <w:rPr>
                <w:rFonts w:eastAsia="Times New Roman" w:cstheme="minorHAnsi"/>
                <w:color w:val="000000"/>
                <w:sz w:val="16"/>
                <w:szCs w:val="16"/>
                <w:lang w:eastAsia="hr-HR"/>
              </w:rPr>
              <w:t>Vis</w:t>
            </w:r>
          </w:p>
        </w:tc>
        <w:tc>
          <w:tcPr>
            <w:tcW w:w="0" w:type="auto"/>
            <w:shd w:val="clear" w:color="auto" w:fill="auto"/>
            <w:noWrap/>
            <w:vAlign w:val="bottom"/>
            <w:hideMark/>
          </w:tcPr>
          <w:p w14:paraId="0BB75BF9"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35B4D7B4" w14:textId="77777777" w:rsidTr="00CC41BC">
        <w:trPr>
          <w:trHeight w:val="20"/>
        </w:trPr>
        <w:tc>
          <w:tcPr>
            <w:tcW w:w="0" w:type="auto"/>
            <w:shd w:val="clear" w:color="auto" w:fill="002060"/>
            <w:vAlign w:val="center"/>
            <w:hideMark/>
          </w:tcPr>
          <w:p w14:paraId="5E8E9105"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CGO</w:t>
            </w:r>
          </w:p>
        </w:tc>
        <w:tc>
          <w:tcPr>
            <w:tcW w:w="0" w:type="auto"/>
            <w:shd w:val="clear" w:color="auto" w:fill="002060"/>
            <w:vAlign w:val="center"/>
            <w:hideMark/>
          </w:tcPr>
          <w:p w14:paraId="1E5E635B"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 </w:t>
            </w:r>
          </w:p>
        </w:tc>
        <w:tc>
          <w:tcPr>
            <w:tcW w:w="0" w:type="auto"/>
            <w:shd w:val="clear" w:color="auto" w:fill="002060"/>
            <w:vAlign w:val="center"/>
            <w:hideMark/>
          </w:tcPr>
          <w:p w14:paraId="26165B2C"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PS</w:t>
            </w:r>
          </w:p>
        </w:tc>
        <w:tc>
          <w:tcPr>
            <w:tcW w:w="0" w:type="auto"/>
            <w:shd w:val="clear" w:color="auto" w:fill="002060"/>
            <w:vAlign w:val="center"/>
            <w:hideMark/>
          </w:tcPr>
          <w:p w14:paraId="42B47AE7"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(županija)</w:t>
            </w:r>
          </w:p>
        </w:tc>
        <w:tc>
          <w:tcPr>
            <w:tcW w:w="0" w:type="auto"/>
            <w:shd w:val="clear" w:color="auto" w:fill="002060"/>
            <w:vAlign w:val="center"/>
            <w:hideMark/>
          </w:tcPr>
          <w:p w14:paraId="20DBDA8B"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(općina/grad)</w:t>
            </w:r>
          </w:p>
        </w:tc>
        <w:tc>
          <w:tcPr>
            <w:tcW w:w="0" w:type="auto"/>
            <w:shd w:val="clear" w:color="auto" w:fill="002060"/>
            <w:vAlign w:val="center"/>
            <w:hideMark/>
          </w:tcPr>
          <w:p w14:paraId="2D5BCC2E"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Status</w:t>
            </w:r>
          </w:p>
        </w:tc>
      </w:tr>
      <w:tr w:rsidR="005B09E7" w:rsidRPr="005B09E7" w14:paraId="40978482" w14:textId="77777777" w:rsidTr="00CC41BC">
        <w:trPr>
          <w:trHeight w:val="20"/>
        </w:trPr>
        <w:tc>
          <w:tcPr>
            <w:tcW w:w="0" w:type="auto"/>
            <w:vMerge w:val="restart"/>
            <w:shd w:val="clear" w:color="auto" w:fill="auto"/>
            <w:vAlign w:val="center"/>
            <w:hideMark/>
          </w:tcPr>
          <w:p w14:paraId="75C3E9CE" w14:textId="77777777" w:rsidR="005B09E7" w:rsidRPr="005B09E7" w:rsidRDefault="005B09E7" w:rsidP="00CC41BC">
            <w:pPr>
              <w:spacing w:after="0" w:line="240" w:lineRule="auto"/>
              <w:jc w:val="center"/>
              <w:rPr>
                <w:rFonts w:eastAsia="Times New Roman" w:cstheme="minorHAnsi"/>
                <w:b/>
                <w:bCs/>
                <w:color w:val="000000"/>
                <w:sz w:val="16"/>
                <w:szCs w:val="16"/>
                <w:lang w:eastAsia="hr-HR"/>
              </w:rPr>
            </w:pPr>
            <w:r w:rsidRPr="005B09E7">
              <w:rPr>
                <w:rFonts w:eastAsia="Times New Roman" w:cstheme="minorHAnsi"/>
                <w:b/>
                <w:bCs/>
                <w:color w:val="000000"/>
                <w:sz w:val="16"/>
                <w:szCs w:val="16"/>
                <w:lang w:eastAsia="hr-HR"/>
              </w:rPr>
              <w:t xml:space="preserve">6. </w:t>
            </w:r>
            <w:proofErr w:type="spellStart"/>
            <w:r w:rsidRPr="005B09E7">
              <w:rPr>
                <w:rFonts w:eastAsia="Times New Roman" w:cstheme="minorHAnsi"/>
                <w:b/>
                <w:bCs/>
                <w:color w:val="000000"/>
                <w:sz w:val="16"/>
                <w:szCs w:val="16"/>
                <w:lang w:eastAsia="hr-HR"/>
              </w:rPr>
              <w:t>Piškornica</w:t>
            </w:r>
            <w:proofErr w:type="spellEnd"/>
          </w:p>
        </w:tc>
        <w:tc>
          <w:tcPr>
            <w:tcW w:w="0" w:type="auto"/>
            <w:shd w:val="clear" w:color="auto" w:fill="auto"/>
            <w:noWrap/>
            <w:vAlign w:val="bottom"/>
            <w:hideMark/>
          </w:tcPr>
          <w:p w14:paraId="77ED86BC"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1.</w:t>
            </w:r>
          </w:p>
        </w:tc>
        <w:tc>
          <w:tcPr>
            <w:tcW w:w="0" w:type="auto"/>
            <w:shd w:val="clear" w:color="auto" w:fill="auto"/>
            <w:vAlign w:val="bottom"/>
            <w:hideMark/>
          </w:tcPr>
          <w:p w14:paraId="6E56C0B9"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Zabok-</w:t>
            </w:r>
            <w:proofErr w:type="spellStart"/>
            <w:r w:rsidRPr="005B09E7">
              <w:rPr>
                <w:rFonts w:eastAsia="Times New Roman" w:cstheme="minorHAnsi"/>
                <w:color w:val="000000"/>
                <w:sz w:val="16"/>
                <w:szCs w:val="16"/>
                <w:lang w:eastAsia="hr-HR"/>
              </w:rPr>
              <w:t>Gubaševo</w:t>
            </w:r>
            <w:proofErr w:type="spellEnd"/>
          </w:p>
        </w:tc>
        <w:tc>
          <w:tcPr>
            <w:tcW w:w="0" w:type="auto"/>
            <w:shd w:val="clear" w:color="auto" w:fill="auto"/>
            <w:noWrap/>
            <w:vAlign w:val="bottom"/>
            <w:hideMark/>
          </w:tcPr>
          <w:p w14:paraId="112C5EB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Krapinsko-zagorska županija</w:t>
            </w:r>
          </w:p>
        </w:tc>
        <w:tc>
          <w:tcPr>
            <w:tcW w:w="0" w:type="auto"/>
            <w:shd w:val="clear" w:color="auto" w:fill="auto"/>
            <w:noWrap/>
            <w:vAlign w:val="bottom"/>
            <w:hideMark/>
          </w:tcPr>
          <w:p w14:paraId="6E3B30E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Zabok</w:t>
            </w:r>
          </w:p>
        </w:tc>
        <w:tc>
          <w:tcPr>
            <w:tcW w:w="0" w:type="auto"/>
            <w:shd w:val="clear" w:color="auto" w:fill="auto"/>
            <w:noWrap/>
            <w:vAlign w:val="bottom"/>
            <w:hideMark/>
          </w:tcPr>
          <w:p w14:paraId="6FD1041B"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U projektiranju </w:t>
            </w:r>
          </w:p>
        </w:tc>
      </w:tr>
      <w:tr w:rsidR="005B09E7" w:rsidRPr="005B09E7" w14:paraId="761FE231" w14:textId="77777777" w:rsidTr="00CC41BC">
        <w:trPr>
          <w:trHeight w:val="20"/>
        </w:trPr>
        <w:tc>
          <w:tcPr>
            <w:tcW w:w="0" w:type="auto"/>
            <w:vMerge/>
            <w:vAlign w:val="center"/>
            <w:hideMark/>
          </w:tcPr>
          <w:p w14:paraId="0FC33D15"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500AF78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2.</w:t>
            </w:r>
          </w:p>
        </w:tc>
        <w:tc>
          <w:tcPr>
            <w:tcW w:w="0" w:type="auto"/>
            <w:shd w:val="clear" w:color="auto" w:fill="auto"/>
            <w:vAlign w:val="bottom"/>
            <w:hideMark/>
          </w:tcPr>
          <w:p w14:paraId="4FC749B7"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Varaždin-Poljana </w:t>
            </w:r>
            <w:proofErr w:type="spellStart"/>
            <w:r w:rsidRPr="005B09E7">
              <w:rPr>
                <w:rFonts w:eastAsia="Times New Roman" w:cstheme="minorHAnsi"/>
                <w:color w:val="000000"/>
                <w:sz w:val="16"/>
                <w:szCs w:val="16"/>
                <w:lang w:eastAsia="hr-HR"/>
              </w:rPr>
              <w:t>Biškupečka</w:t>
            </w:r>
            <w:proofErr w:type="spellEnd"/>
          </w:p>
        </w:tc>
        <w:tc>
          <w:tcPr>
            <w:tcW w:w="0" w:type="auto"/>
            <w:shd w:val="clear" w:color="auto" w:fill="auto"/>
            <w:noWrap/>
            <w:vAlign w:val="bottom"/>
            <w:hideMark/>
          </w:tcPr>
          <w:p w14:paraId="2B63D07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Varaždinska županija</w:t>
            </w:r>
          </w:p>
        </w:tc>
        <w:tc>
          <w:tcPr>
            <w:tcW w:w="0" w:type="auto"/>
            <w:shd w:val="clear" w:color="auto" w:fill="auto"/>
            <w:noWrap/>
            <w:vAlign w:val="bottom"/>
            <w:hideMark/>
          </w:tcPr>
          <w:p w14:paraId="2F42318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Varaždin</w:t>
            </w:r>
          </w:p>
        </w:tc>
        <w:tc>
          <w:tcPr>
            <w:tcW w:w="0" w:type="auto"/>
            <w:shd w:val="clear" w:color="auto" w:fill="auto"/>
            <w:noWrap/>
            <w:vAlign w:val="bottom"/>
            <w:hideMark/>
          </w:tcPr>
          <w:p w14:paraId="197344B7"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U projektiranju </w:t>
            </w:r>
          </w:p>
        </w:tc>
      </w:tr>
      <w:tr w:rsidR="005B09E7" w:rsidRPr="005B09E7" w14:paraId="4A1782E5" w14:textId="77777777" w:rsidTr="00CC41BC">
        <w:trPr>
          <w:trHeight w:val="20"/>
        </w:trPr>
        <w:tc>
          <w:tcPr>
            <w:tcW w:w="0" w:type="auto"/>
            <w:shd w:val="clear" w:color="auto" w:fill="002060"/>
            <w:vAlign w:val="center"/>
            <w:hideMark/>
          </w:tcPr>
          <w:p w14:paraId="4035571B"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CGO</w:t>
            </w:r>
          </w:p>
        </w:tc>
        <w:tc>
          <w:tcPr>
            <w:tcW w:w="0" w:type="auto"/>
            <w:shd w:val="clear" w:color="auto" w:fill="002060"/>
            <w:vAlign w:val="center"/>
            <w:hideMark/>
          </w:tcPr>
          <w:p w14:paraId="595B7076"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 </w:t>
            </w:r>
          </w:p>
        </w:tc>
        <w:tc>
          <w:tcPr>
            <w:tcW w:w="0" w:type="auto"/>
            <w:shd w:val="clear" w:color="auto" w:fill="002060"/>
            <w:vAlign w:val="center"/>
            <w:hideMark/>
          </w:tcPr>
          <w:p w14:paraId="23F64DEA"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PS</w:t>
            </w:r>
          </w:p>
        </w:tc>
        <w:tc>
          <w:tcPr>
            <w:tcW w:w="0" w:type="auto"/>
            <w:shd w:val="clear" w:color="auto" w:fill="002060"/>
            <w:vAlign w:val="center"/>
            <w:hideMark/>
          </w:tcPr>
          <w:p w14:paraId="3B17C4D4"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(županija)</w:t>
            </w:r>
          </w:p>
        </w:tc>
        <w:tc>
          <w:tcPr>
            <w:tcW w:w="0" w:type="auto"/>
            <w:shd w:val="clear" w:color="auto" w:fill="002060"/>
            <w:vAlign w:val="center"/>
            <w:hideMark/>
          </w:tcPr>
          <w:p w14:paraId="19E6C30C"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(općina/grad)</w:t>
            </w:r>
          </w:p>
        </w:tc>
        <w:tc>
          <w:tcPr>
            <w:tcW w:w="0" w:type="auto"/>
            <w:shd w:val="clear" w:color="auto" w:fill="002060"/>
            <w:vAlign w:val="center"/>
            <w:hideMark/>
          </w:tcPr>
          <w:p w14:paraId="44D56885"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Status</w:t>
            </w:r>
          </w:p>
        </w:tc>
      </w:tr>
      <w:tr w:rsidR="005B09E7" w:rsidRPr="005B09E7" w14:paraId="3E08F78C" w14:textId="77777777" w:rsidTr="00CC41BC">
        <w:trPr>
          <w:trHeight w:val="20"/>
        </w:trPr>
        <w:tc>
          <w:tcPr>
            <w:tcW w:w="0" w:type="auto"/>
            <w:vMerge w:val="restart"/>
            <w:shd w:val="clear" w:color="auto" w:fill="auto"/>
            <w:vAlign w:val="center"/>
            <w:hideMark/>
          </w:tcPr>
          <w:p w14:paraId="03055719" w14:textId="77777777" w:rsidR="005B09E7" w:rsidRPr="005B09E7" w:rsidRDefault="005B09E7" w:rsidP="00CC41BC">
            <w:pPr>
              <w:spacing w:after="0" w:line="240" w:lineRule="auto"/>
              <w:jc w:val="center"/>
              <w:rPr>
                <w:rFonts w:eastAsia="Times New Roman" w:cstheme="minorHAnsi"/>
                <w:b/>
                <w:bCs/>
                <w:color w:val="000000"/>
                <w:sz w:val="16"/>
                <w:szCs w:val="16"/>
                <w:lang w:eastAsia="hr-HR"/>
              </w:rPr>
            </w:pPr>
            <w:r w:rsidRPr="005B09E7">
              <w:rPr>
                <w:rFonts w:eastAsia="Times New Roman" w:cstheme="minorHAnsi"/>
                <w:b/>
                <w:bCs/>
                <w:color w:val="000000"/>
                <w:sz w:val="16"/>
                <w:szCs w:val="16"/>
                <w:lang w:eastAsia="hr-HR"/>
              </w:rPr>
              <w:t>7. Babina gora</w:t>
            </w:r>
          </w:p>
        </w:tc>
        <w:tc>
          <w:tcPr>
            <w:tcW w:w="0" w:type="auto"/>
            <w:shd w:val="clear" w:color="auto" w:fill="auto"/>
            <w:noWrap/>
            <w:vAlign w:val="bottom"/>
            <w:hideMark/>
          </w:tcPr>
          <w:p w14:paraId="7EEB0DA1"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1.</w:t>
            </w:r>
          </w:p>
        </w:tc>
        <w:tc>
          <w:tcPr>
            <w:tcW w:w="0" w:type="auto"/>
            <w:shd w:val="clear" w:color="auto" w:fill="auto"/>
            <w:vAlign w:val="bottom"/>
            <w:hideMark/>
          </w:tcPr>
          <w:p w14:paraId="1A76D87F"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Karlovac</w:t>
            </w:r>
          </w:p>
        </w:tc>
        <w:tc>
          <w:tcPr>
            <w:tcW w:w="0" w:type="auto"/>
            <w:shd w:val="clear" w:color="auto" w:fill="auto"/>
            <w:noWrap/>
            <w:vAlign w:val="bottom"/>
            <w:hideMark/>
          </w:tcPr>
          <w:p w14:paraId="5C5C460B"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Karlovačka županija</w:t>
            </w:r>
          </w:p>
        </w:tc>
        <w:tc>
          <w:tcPr>
            <w:tcW w:w="0" w:type="auto"/>
            <w:shd w:val="clear" w:color="auto" w:fill="auto"/>
            <w:noWrap/>
            <w:vAlign w:val="bottom"/>
            <w:hideMark/>
          </w:tcPr>
          <w:p w14:paraId="5AF7FFE4"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Karlovac</w:t>
            </w:r>
          </w:p>
        </w:tc>
        <w:tc>
          <w:tcPr>
            <w:tcW w:w="0" w:type="auto"/>
            <w:shd w:val="clear" w:color="auto" w:fill="auto"/>
            <w:noWrap/>
            <w:vAlign w:val="bottom"/>
            <w:hideMark/>
          </w:tcPr>
          <w:p w14:paraId="7720BD3E" w14:textId="0E793D87" w:rsidR="005B09E7" w:rsidRPr="005B09E7" w:rsidRDefault="0050217C" w:rsidP="00CC41BC">
            <w:pPr>
              <w:spacing w:after="0" w:line="240" w:lineRule="auto"/>
              <w:jc w:val="center"/>
              <w:rPr>
                <w:rFonts w:eastAsia="Times New Roman" w:cstheme="minorHAnsi"/>
                <w:color w:val="000000"/>
                <w:sz w:val="16"/>
                <w:szCs w:val="16"/>
                <w:lang w:eastAsia="hr-HR"/>
              </w:rPr>
            </w:pPr>
            <w:r>
              <w:rPr>
                <w:rFonts w:eastAsia="Times New Roman" w:cstheme="minorHAnsi"/>
                <w:color w:val="000000"/>
                <w:sz w:val="16"/>
                <w:szCs w:val="16"/>
                <w:lang w:eastAsia="hr-HR"/>
              </w:rPr>
              <w:t>U izgradnji</w:t>
            </w:r>
          </w:p>
        </w:tc>
      </w:tr>
      <w:tr w:rsidR="005B09E7" w:rsidRPr="005B09E7" w14:paraId="527013A9" w14:textId="77777777" w:rsidTr="00CC41BC">
        <w:trPr>
          <w:trHeight w:val="20"/>
        </w:trPr>
        <w:tc>
          <w:tcPr>
            <w:tcW w:w="0" w:type="auto"/>
            <w:vMerge/>
            <w:vAlign w:val="center"/>
            <w:hideMark/>
          </w:tcPr>
          <w:p w14:paraId="790D91CB"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189F141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2.</w:t>
            </w:r>
          </w:p>
        </w:tc>
        <w:tc>
          <w:tcPr>
            <w:tcW w:w="0" w:type="auto"/>
            <w:shd w:val="clear" w:color="auto" w:fill="auto"/>
            <w:vAlign w:val="bottom"/>
            <w:hideMark/>
          </w:tcPr>
          <w:p w14:paraId="29D21C82"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Slunj</w:t>
            </w:r>
          </w:p>
        </w:tc>
        <w:tc>
          <w:tcPr>
            <w:tcW w:w="0" w:type="auto"/>
            <w:shd w:val="clear" w:color="auto" w:fill="auto"/>
            <w:noWrap/>
            <w:vAlign w:val="bottom"/>
            <w:hideMark/>
          </w:tcPr>
          <w:p w14:paraId="7C9C678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Karlovačka županija</w:t>
            </w:r>
          </w:p>
        </w:tc>
        <w:tc>
          <w:tcPr>
            <w:tcW w:w="0" w:type="auto"/>
            <w:shd w:val="clear" w:color="auto" w:fill="auto"/>
            <w:noWrap/>
            <w:vAlign w:val="bottom"/>
            <w:hideMark/>
          </w:tcPr>
          <w:p w14:paraId="173C06F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Slunj</w:t>
            </w:r>
          </w:p>
        </w:tc>
        <w:tc>
          <w:tcPr>
            <w:tcW w:w="0" w:type="auto"/>
            <w:shd w:val="clear" w:color="auto" w:fill="auto"/>
            <w:noWrap/>
            <w:vAlign w:val="bottom"/>
            <w:hideMark/>
          </w:tcPr>
          <w:p w14:paraId="74E36394" w14:textId="5C3A1FFC" w:rsidR="005B09E7" w:rsidRPr="005B09E7" w:rsidRDefault="0050217C" w:rsidP="00CC41BC">
            <w:pPr>
              <w:spacing w:after="0" w:line="240" w:lineRule="auto"/>
              <w:jc w:val="center"/>
              <w:rPr>
                <w:rFonts w:eastAsia="Times New Roman" w:cstheme="minorHAnsi"/>
                <w:color w:val="000000"/>
                <w:sz w:val="16"/>
                <w:szCs w:val="16"/>
                <w:lang w:eastAsia="hr-HR"/>
              </w:rPr>
            </w:pPr>
            <w:r>
              <w:rPr>
                <w:rFonts w:eastAsia="Times New Roman" w:cstheme="minorHAnsi"/>
                <w:color w:val="000000"/>
                <w:sz w:val="16"/>
                <w:szCs w:val="16"/>
                <w:lang w:eastAsia="hr-HR"/>
              </w:rPr>
              <w:t>U izgradnji</w:t>
            </w:r>
          </w:p>
        </w:tc>
      </w:tr>
      <w:tr w:rsidR="005B09E7" w:rsidRPr="005B09E7" w14:paraId="31699462" w14:textId="77777777" w:rsidTr="00CC41BC">
        <w:trPr>
          <w:trHeight w:val="20"/>
        </w:trPr>
        <w:tc>
          <w:tcPr>
            <w:tcW w:w="0" w:type="auto"/>
            <w:vMerge/>
            <w:vAlign w:val="center"/>
            <w:hideMark/>
          </w:tcPr>
          <w:p w14:paraId="30AF0DA4"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46AB1ED9"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3.</w:t>
            </w:r>
          </w:p>
        </w:tc>
        <w:tc>
          <w:tcPr>
            <w:tcW w:w="0" w:type="auto"/>
            <w:shd w:val="clear" w:color="auto" w:fill="auto"/>
            <w:vAlign w:val="bottom"/>
            <w:hideMark/>
          </w:tcPr>
          <w:p w14:paraId="2DCB559B"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Ogulin</w:t>
            </w:r>
          </w:p>
        </w:tc>
        <w:tc>
          <w:tcPr>
            <w:tcW w:w="0" w:type="auto"/>
            <w:shd w:val="clear" w:color="auto" w:fill="auto"/>
            <w:noWrap/>
            <w:vAlign w:val="bottom"/>
            <w:hideMark/>
          </w:tcPr>
          <w:p w14:paraId="6C9FEEE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Karlovačka županija</w:t>
            </w:r>
          </w:p>
        </w:tc>
        <w:tc>
          <w:tcPr>
            <w:tcW w:w="0" w:type="auto"/>
            <w:shd w:val="clear" w:color="auto" w:fill="auto"/>
            <w:noWrap/>
            <w:vAlign w:val="bottom"/>
            <w:hideMark/>
          </w:tcPr>
          <w:p w14:paraId="4E9DEF36"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Ogulin</w:t>
            </w:r>
          </w:p>
        </w:tc>
        <w:tc>
          <w:tcPr>
            <w:tcW w:w="0" w:type="auto"/>
            <w:shd w:val="clear" w:color="auto" w:fill="auto"/>
            <w:noWrap/>
            <w:vAlign w:val="bottom"/>
            <w:hideMark/>
          </w:tcPr>
          <w:p w14:paraId="1BEEC0DD" w14:textId="3CE9EC60" w:rsidR="005B09E7" w:rsidRPr="005B09E7" w:rsidRDefault="0050217C" w:rsidP="00CC41BC">
            <w:pPr>
              <w:spacing w:after="0" w:line="240" w:lineRule="auto"/>
              <w:jc w:val="center"/>
              <w:rPr>
                <w:rFonts w:eastAsia="Times New Roman" w:cstheme="minorHAnsi"/>
                <w:color w:val="000000"/>
                <w:sz w:val="16"/>
                <w:szCs w:val="16"/>
                <w:lang w:eastAsia="hr-HR"/>
              </w:rPr>
            </w:pPr>
            <w:r>
              <w:rPr>
                <w:rFonts w:eastAsia="Times New Roman" w:cstheme="minorHAnsi"/>
                <w:color w:val="000000"/>
                <w:sz w:val="16"/>
                <w:szCs w:val="16"/>
                <w:lang w:eastAsia="hr-HR"/>
              </w:rPr>
              <w:t>U izgradnji</w:t>
            </w:r>
          </w:p>
        </w:tc>
      </w:tr>
      <w:tr w:rsidR="005B09E7" w:rsidRPr="005B09E7" w14:paraId="5EAB6C02" w14:textId="77777777" w:rsidTr="00CC41BC">
        <w:trPr>
          <w:trHeight w:val="20"/>
        </w:trPr>
        <w:tc>
          <w:tcPr>
            <w:tcW w:w="0" w:type="auto"/>
            <w:vMerge/>
            <w:vAlign w:val="center"/>
            <w:hideMark/>
          </w:tcPr>
          <w:p w14:paraId="3A6E52FC"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35727027"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4.</w:t>
            </w:r>
          </w:p>
        </w:tc>
        <w:tc>
          <w:tcPr>
            <w:tcW w:w="0" w:type="auto"/>
            <w:shd w:val="clear" w:color="auto" w:fill="auto"/>
            <w:vAlign w:val="bottom"/>
            <w:hideMark/>
          </w:tcPr>
          <w:p w14:paraId="02456382"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Otočac</w:t>
            </w:r>
          </w:p>
        </w:tc>
        <w:tc>
          <w:tcPr>
            <w:tcW w:w="0" w:type="auto"/>
            <w:shd w:val="clear" w:color="auto" w:fill="auto"/>
            <w:noWrap/>
            <w:vAlign w:val="bottom"/>
            <w:hideMark/>
          </w:tcPr>
          <w:p w14:paraId="3B0735D0"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Ličko-senjska županija</w:t>
            </w:r>
          </w:p>
        </w:tc>
        <w:tc>
          <w:tcPr>
            <w:tcW w:w="0" w:type="auto"/>
            <w:shd w:val="clear" w:color="auto" w:fill="auto"/>
            <w:noWrap/>
            <w:vAlign w:val="bottom"/>
            <w:hideMark/>
          </w:tcPr>
          <w:p w14:paraId="1EA84043" w14:textId="77777777" w:rsidR="005B09E7" w:rsidRPr="005B09E7" w:rsidRDefault="005B09E7" w:rsidP="00CC41BC">
            <w:pPr>
              <w:spacing w:after="0" w:line="240" w:lineRule="auto"/>
              <w:jc w:val="left"/>
              <w:rPr>
                <w:rFonts w:eastAsia="Times New Roman" w:cstheme="minorHAnsi"/>
                <w:color w:val="000000"/>
                <w:sz w:val="16"/>
                <w:szCs w:val="16"/>
                <w:lang w:eastAsia="hr-HR"/>
              </w:rPr>
            </w:pPr>
            <w:proofErr w:type="spellStart"/>
            <w:r w:rsidRPr="005B09E7">
              <w:rPr>
                <w:rFonts w:eastAsia="Times New Roman" w:cstheme="minorHAnsi"/>
                <w:color w:val="000000"/>
                <w:sz w:val="16"/>
                <w:szCs w:val="16"/>
                <w:lang w:eastAsia="hr-HR"/>
              </w:rPr>
              <w:t>Podum</w:t>
            </w:r>
            <w:proofErr w:type="spellEnd"/>
            <w:r w:rsidRPr="005B09E7">
              <w:rPr>
                <w:rFonts w:eastAsia="Times New Roman" w:cstheme="minorHAnsi"/>
                <w:color w:val="000000"/>
                <w:sz w:val="16"/>
                <w:szCs w:val="16"/>
                <w:lang w:eastAsia="hr-HR"/>
              </w:rPr>
              <w:t xml:space="preserve"> Ogulin</w:t>
            </w:r>
          </w:p>
        </w:tc>
        <w:tc>
          <w:tcPr>
            <w:tcW w:w="0" w:type="auto"/>
            <w:shd w:val="clear" w:color="auto" w:fill="auto"/>
            <w:noWrap/>
            <w:vAlign w:val="bottom"/>
            <w:hideMark/>
          </w:tcPr>
          <w:p w14:paraId="37B610B3" w14:textId="751DF2F1" w:rsidR="005B09E7" w:rsidRPr="005B09E7" w:rsidRDefault="0050217C" w:rsidP="00CC41BC">
            <w:pPr>
              <w:spacing w:after="0" w:line="240" w:lineRule="auto"/>
              <w:jc w:val="center"/>
              <w:rPr>
                <w:rFonts w:eastAsia="Times New Roman" w:cstheme="minorHAnsi"/>
                <w:color w:val="000000"/>
                <w:sz w:val="16"/>
                <w:szCs w:val="16"/>
                <w:lang w:eastAsia="hr-HR"/>
              </w:rPr>
            </w:pPr>
            <w:r>
              <w:rPr>
                <w:rFonts w:eastAsia="Times New Roman" w:cstheme="minorHAnsi"/>
                <w:color w:val="000000"/>
                <w:sz w:val="16"/>
                <w:szCs w:val="16"/>
                <w:lang w:eastAsia="hr-HR"/>
              </w:rPr>
              <w:t>U izgradnji</w:t>
            </w:r>
          </w:p>
        </w:tc>
      </w:tr>
      <w:tr w:rsidR="005B09E7" w:rsidRPr="005B09E7" w14:paraId="0DC5D1CB" w14:textId="77777777" w:rsidTr="00CC41BC">
        <w:trPr>
          <w:trHeight w:val="20"/>
        </w:trPr>
        <w:tc>
          <w:tcPr>
            <w:tcW w:w="0" w:type="auto"/>
            <w:shd w:val="clear" w:color="auto" w:fill="002060"/>
            <w:vAlign w:val="center"/>
            <w:hideMark/>
          </w:tcPr>
          <w:p w14:paraId="715B5F6A"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CGO</w:t>
            </w:r>
          </w:p>
        </w:tc>
        <w:tc>
          <w:tcPr>
            <w:tcW w:w="0" w:type="auto"/>
            <w:shd w:val="clear" w:color="auto" w:fill="002060"/>
            <w:vAlign w:val="center"/>
            <w:hideMark/>
          </w:tcPr>
          <w:p w14:paraId="59686BC7"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 </w:t>
            </w:r>
          </w:p>
        </w:tc>
        <w:tc>
          <w:tcPr>
            <w:tcW w:w="0" w:type="auto"/>
            <w:shd w:val="clear" w:color="auto" w:fill="002060"/>
            <w:vAlign w:val="center"/>
            <w:hideMark/>
          </w:tcPr>
          <w:p w14:paraId="15FB9E51"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PS</w:t>
            </w:r>
          </w:p>
        </w:tc>
        <w:tc>
          <w:tcPr>
            <w:tcW w:w="0" w:type="auto"/>
            <w:shd w:val="clear" w:color="auto" w:fill="002060"/>
            <w:vAlign w:val="center"/>
            <w:hideMark/>
          </w:tcPr>
          <w:p w14:paraId="70F547EA"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(županija)</w:t>
            </w:r>
          </w:p>
        </w:tc>
        <w:tc>
          <w:tcPr>
            <w:tcW w:w="0" w:type="auto"/>
            <w:shd w:val="clear" w:color="auto" w:fill="002060"/>
            <w:vAlign w:val="center"/>
            <w:hideMark/>
          </w:tcPr>
          <w:p w14:paraId="0CD4C895"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(općina/grad)</w:t>
            </w:r>
          </w:p>
        </w:tc>
        <w:tc>
          <w:tcPr>
            <w:tcW w:w="0" w:type="auto"/>
            <w:shd w:val="clear" w:color="auto" w:fill="002060"/>
            <w:vAlign w:val="center"/>
            <w:hideMark/>
          </w:tcPr>
          <w:p w14:paraId="5A1FB73F"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Status</w:t>
            </w:r>
          </w:p>
        </w:tc>
      </w:tr>
      <w:tr w:rsidR="005B09E7" w:rsidRPr="005B09E7" w14:paraId="6C4B3B05" w14:textId="77777777" w:rsidTr="00CC41BC">
        <w:trPr>
          <w:trHeight w:val="20"/>
        </w:trPr>
        <w:tc>
          <w:tcPr>
            <w:tcW w:w="0" w:type="auto"/>
            <w:vMerge w:val="restart"/>
            <w:shd w:val="clear" w:color="auto" w:fill="auto"/>
            <w:noWrap/>
            <w:vAlign w:val="center"/>
            <w:hideMark/>
          </w:tcPr>
          <w:p w14:paraId="790E0D6B" w14:textId="77777777" w:rsidR="005B09E7" w:rsidRPr="005B09E7" w:rsidRDefault="005B09E7" w:rsidP="00CC41BC">
            <w:pPr>
              <w:spacing w:after="0" w:line="240" w:lineRule="auto"/>
              <w:jc w:val="center"/>
              <w:rPr>
                <w:rFonts w:eastAsia="Times New Roman" w:cstheme="minorHAnsi"/>
                <w:b/>
                <w:bCs/>
                <w:color w:val="000000"/>
                <w:sz w:val="16"/>
                <w:szCs w:val="16"/>
                <w:lang w:eastAsia="hr-HR"/>
              </w:rPr>
            </w:pPr>
            <w:r w:rsidRPr="005B09E7">
              <w:rPr>
                <w:rFonts w:eastAsia="Times New Roman" w:cstheme="minorHAnsi"/>
                <w:b/>
                <w:bCs/>
                <w:color w:val="000000"/>
                <w:sz w:val="16"/>
                <w:szCs w:val="16"/>
                <w:lang w:eastAsia="hr-HR"/>
              </w:rPr>
              <w:t xml:space="preserve">8. </w:t>
            </w:r>
            <w:proofErr w:type="spellStart"/>
            <w:r w:rsidRPr="005B09E7">
              <w:rPr>
                <w:rFonts w:eastAsia="Times New Roman" w:cstheme="minorHAnsi"/>
                <w:b/>
                <w:bCs/>
                <w:color w:val="000000"/>
                <w:sz w:val="16"/>
                <w:szCs w:val="16"/>
                <w:lang w:eastAsia="hr-HR"/>
              </w:rPr>
              <w:t>Orlovnjak</w:t>
            </w:r>
            <w:proofErr w:type="spellEnd"/>
          </w:p>
        </w:tc>
        <w:tc>
          <w:tcPr>
            <w:tcW w:w="0" w:type="auto"/>
            <w:shd w:val="clear" w:color="auto" w:fill="auto"/>
            <w:noWrap/>
            <w:vAlign w:val="bottom"/>
            <w:hideMark/>
          </w:tcPr>
          <w:p w14:paraId="2B25B650"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1.</w:t>
            </w:r>
          </w:p>
        </w:tc>
        <w:tc>
          <w:tcPr>
            <w:tcW w:w="0" w:type="auto"/>
            <w:shd w:val="clear" w:color="auto" w:fill="auto"/>
            <w:noWrap/>
            <w:vAlign w:val="bottom"/>
            <w:hideMark/>
          </w:tcPr>
          <w:p w14:paraId="60CFD907"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Beli Manastir</w:t>
            </w:r>
          </w:p>
        </w:tc>
        <w:tc>
          <w:tcPr>
            <w:tcW w:w="0" w:type="auto"/>
            <w:shd w:val="clear" w:color="auto" w:fill="auto"/>
            <w:noWrap/>
            <w:vAlign w:val="bottom"/>
            <w:hideMark/>
          </w:tcPr>
          <w:p w14:paraId="20C5C3B4"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Osječko-baranjska županija</w:t>
            </w:r>
          </w:p>
        </w:tc>
        <w:tc>
          <w:tcPr>
            <w:tcW w:w="0" w:type="auto"/>
            <w:shd w:val="clear" w:color="auto" w:fill="auto"/>
            <w:noWrap/>
            <w:vAlign w:val="bottom"/>
            <w:hideMark/>
          </w:tcPr>
          <w:p w14:paraId="5DF181EB"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Beli Manastir</w:t>
            </w:r>
          </w:p>
        </w:tc>
        <w:tc>
          <w:tcPr>
            <w:tcW w:w="0" w:type="auto"/>
            <w:shd w:val="clear" w:color="auto" w:fill="auto"/>
            <w:noWrap/>
            <w:vAlign w:val="bottom"/>
            <w:hideMark/>
          </w:tcPr>
          <w:p w14:paraId="1511F0B0"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5EDB499A" w14:textId="77777777" w:rsidTr="00CC41BC">
        <w:trPr>
          <w:trHeight w:val="20"/>
        </w:trPr>
        <w:tc>
          <w:tcPr>
            <w:tcW w:w="0" w:type="auto"/>
            <w:vMerge/>
            <w:vAlign w:val="center"/>
            <w:hideMark/>
          </w:tcPr>
          <w:p w14:paraId="1D2419AB"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0CF96980"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2.</w:t>
            </w:r>
          </w:p>
        </w:tc>
        <w:tc>
          <w:tcPr>
            <w:tcW w:w="0" w:type="auto"/>
            <w:shd w:val="clear" w:color="auto" w:fill="auto"/>
            <w:noWrap/>
            <w:vAlign w:val="bottom"/>
            <w:hideMark/>
          </w:tcPr>
          <w:p w14:paraId="575105B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Belišće</w:t>
            </w:r>
          </w:p>
        </w:tc>
        <w:tc>
          <w:tcPr>
            <w:tcW w:w="0" w:type="auto"/>
            <w:shd w:val="clear" w:color="auto" w:fill="auto"/>
            <w:noWrap/>
            <w:vAlign w:val="bottom"/>
            <w:hideMark/>
          </w:tcPr>
          <w:p w14:paraId="5A5498B0"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Osječko-baranjska županija</w:t>
            </w:r>
          </w:p>
        </w:tc>
        <w:tc>
          <w:tcPr>
            <w:tcW w:w="0" w:type="auto"/>
            <w:shd w:val="clear" w:color="auto" w:fill="auto"/>
            <w:noWrap/>
            <w:vAlign w:val="bottom"/>
            <w:hideMark/>
          </w:tcPr>
          <w:p w14:paraId="7A72910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 Valpovo</w:t>
            </w:r>
          </w:p>
        </w:tc>
        <w:tc>
          <w:tcPr>
            <w:tcW w:w="0" w:type="auto"/>
            <w:shd w:val="clear" w:color="auto" w:fill="auto"/>
            <w:noWrap/>
            <w:vAlign w:val="bottom"/>
            <w:hideMark/>
          </w:tcPr>
          <w:p w14:paraId="18325B0A"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2772CA04" w14:textId="77777777" w:rsidTr="00CC41BC">
        <w:trPr>
          <w:trHeight w:val="20"/>
        </w:trPr>
        <w:tc>
          <w:tcPr>
            <w:tcW w:w="0" w:type="auto"/>
            <w:vMerge/>
            <w:vAlign w:val="center"/>
            <w:hideMark/>
          </w:tcPr>
          <w:p w14:paraId="1DA370EA"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222F7DE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3.</w:t>
            </w:r>
          </w:p>
        </w:tc>
        <w:tc>
          <w:tcPr>
            <w:tcW w:w="0" w:type="auto"/>
            <w:shd w:val="clear" w:color="auto" w:fill="auto"/>
            <w:noWrap/>
            <w:vAlign w:val="bottom"/>
            <w:hideMark/>
          </w:tcPr>
          <w:p w14:paraId="12FEBA6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Đakovo </w:t>
            </w:r>
          </w:p>
        </w:tc>
        <w:tc>
          <w:tcPr>
            <w:tcW w:w="0" w:type="auto"/>
            <w:shd w:val="clear" w:color="auto" w:fill="auto"/>
            <w:noWrap/>
            <w:vAlign w:val="bottom"/>
            <w:hideMark/>
          </w:tcPr>
          <w:p w14:paraId="5142AC7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Osječko-baranjska županija</w:t>
            </w:r>
          </w:p>
        </w:tc>
        <w:tc>
          <w:tcPr>
            <w:tcW w:w="0" w:type="auto"/>
            <w:shd w:val="clear" w:color="auto" w:fill="auto"/>
            <w:noWrap/>
            <w:vAlign w:val="bottom"/>
            <w:hideMark/>
          </w:tcPr>
          <w:p w14:paraId="05DEDB9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Budrovci</w:t>
            </w:r>
          </w:p>
        </w:tc>
        <w:tc>
          <w:tcPr>
            <w:tcW w:w="0" w:type="auto"/>
            <w:shd w:val="clear" w:color="auto" w:fill="auto"/>
            <w:noWrap/>
            <w:vAlign w:val="bottom"/>
            <w:hideMark/>
          </w:tcPr>
          <w:p w14:paraId="519A4C6D"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02C71A94" w14:textId="77777777" w:rsidTr="00CC41BC">
        <w:trPr>
          <w:trHeight w:val="20"/>
        </w:trPr>
        <w:tc>
          <w:tcPr>
            <w:tcW w:w="0" w:type="auto"/>
            <w:vMerge/>
            <w:vAlign w:val="center"/>
            <w:hideMark/>
          </w:tcPr>
          <w:p w14:paraId="79BCBBD0"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587E1BE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4.</w:t>
            </w:r>
          </w:p>
        </w:tc>
        <w:tc>
          <w:tcPr>
            <w:tcW w:w="0" w:type="auto"/>
            <w:shd w:val="clear" w:color="auto" w:fill="auto"/>
            <w:noWrap/>
            <w:vAlign w:val="bottom"/>
            <w:hideMark/>
          </w:tcPr>
          <w:p w14:paraId="7900C11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Našice</w:t>
            </w:r>
          </w:p>
        </w:tc>
        <w:tc>
          <w:tcPr>
            <w:tcW w:w="0" w:type="auto"/>
            <w:shd w:val="clear" w:color="auto" w:fill="auto"/>
            <w:noWrap/>
            <w:vAlign w:val="bottom"/>
            <w:hideMark/>
          </w:tcPr>
          <w:p w14:paraId="2CFC38D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Osječko-baranjska županija</w:t>
            </w:r>
          </w:p>
        </w:tc>
        <w:tc>
          <w:tcPr>
            <w:tcW w:w="0" w:type="auto"/>
            <w:shd w:val="clear" w:color="auto" w:fill="auto"/>
            <w:noWrap/>
            <w:vAlign w:val="bottom"/>
            <w:hideMark/>
          </w:tcPr>
          <w:p w14:paraId="631E6866" w14:textId="77777777" w:rsidR="005B09E7" w:rsidRPr="005B09E7" w:rsidRDefault="005B09E7" w:rsidP="00CC41BC">
            <w:pPr>
              <w:spacing w:after="0" w:line="240" w:lineRule="auto"/>
              <w:jc w:val="left"/>
              <w:rPr>
                <w:rFonts w:eastAsia="Times New Roman" w:cstheme="minorHAnsi"/>
                <w:color w:val="000000"/>
                <w:sz w:val="16"/>
                <w:szCs w:val="16"/>
                <w:lang w:eastAsia="hr-HR"/>
              </w:rPr>
            </w:pPr>
            <w:proofErr w:type="spellStart"/>
            <w:r w:rsidRPr="005B09E7">
              <w:rPr>
                <w:rFonts w:eastAsia="Times New Roman" w:cstheme="minorHAnsi"/>
                <w:color w:val="000000"/>
                <w:sz w:val="16"/>
                <w:szCs w:val="16"/>
                <w:lang w:eastAsia="hr-HR"/>
              </w:rPr>
              <w:t>Ceremošnjak</w:t>
            </w:r>
            <w:proofErr w:type="spellEnd"/>
          </w:p>
        </w:tc>
        <w:tc>
          <w:tcPr>
            <w:tcW w:w="0" w:type="auto"/>
            <w:shd w:val="clear" w:color="auto" w:fill="auto"/>
            <w:noWrap/>
            <w:vAlign w:val="bottom"/>
            <w:hideMark/>
          </w:tcPr>
          <w:p w14:paraId="20980366"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11EF849E" w14:textId="77777777" w:rsidTr="00CC41BC">
        <w:trPr>
          <w:trHeight w:val="20"/>
        </w:trPr>
        <w:tc>
          <w:tcPr>
            <w:tcW w:w="0" w:type="auto"/>
            <w:vMerge/>
            <w:vAlign w:val="center"/>
            <w:hideMark/>
          </w:tcPr>
          <w:p w14:paraId="2B534DEC"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35E12C61"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5.</w:t>
            </w:r>
          </w:p>
        </w:tc>
        <w:tc>
          <w:tcPr>
            <w:tcW w:w="0" w:type="auto"/>
            <w:shd w:val="clear" w:color="auto" w:fill="auto"/>
            <w:noWrap/>
            <w:vAlign w:val="bottom"/>
            <w:hideMark/>
          </w:tcPr>
          <w:p w14:paraId="1A706752"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Stari </w:t>
            </w:r>
            <w:proofErr w:type="spellStart"/>
            <w:r w:rsidRPr="005B09E7">
              <w:rPr>
                <w:rFonts w:eastAsia="Times New Roman" w:cstheme="minorHAnsi"/>
                <w:color w:val="000000"/>
                <w:sz w:val="16"/>
                <w:szCs w:val="16"/>
                <w:lang w:eastAsia="hr-HR"/>
              </w:rPr>
              <w:t>Jankovci</w:t>
            </w:r>
            <w:proofErr w:type="spellEnd"/>
          </w:p>
        </w:tc>
        <w:tc>
          <w:tcPr>
            <w:tcW w:w="0" w:type="auto"/>
            <w:shd w:val="clear" w:color="auto" w:fill="auto"/>
            <w:noWrap/>
            <w:vAlign w:val="bottom"/>
            <w:hideMark/>
          </w:tcPr>
          <w:p w14:paraId="653885B6"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Vukovarsko-srijemska županija</w:t>
            </w:r>
          </w:p>
        </w:tc>
        <w:tc>
          <w:tcPr>
            <w:tcW w:w="0" w:type="auto"/>
            <w:shd w:val="clear" w:color="auto" w:fill="auto"/>
            <w:noWrap/>
            <w:vAlign w:val="bottom"/>
            <w:hideMark/>
          </w:tcPr>
          <w:p w14:paraId="446E778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Stari </w:t>
            </w:r>
            <w:proofErr w:type="spellStart"/>
            <w:r w:rsidRPr="005B09E7">
              <w:rPr>
                <w:rFonts w:eastAsia="Times New Roman" w:cstheme="minorHAnsi"/>
                <w:color w:val="000000"/>
                <w:sz w:val="16"/>
                <w:szCs w:val="16"/>
                <w:lang w:eastAsia="hr-HR"/>
              </w:rPr>
              <w:t>Jankovci</w:t>
            </w:r>
            <w:proofErr w:type="spellEnd"/>
          </w:p>
        </w:tc>
        <w:tc>
          <w:tcPr>
            <w:tcW w:w="0" w:type="auto"/>
            <w:shd w:val="clear" w:color="auto" w:fill="auto"/>
            <w:noWrap/>
            <w:vAlign w:val="bottom"/>
            <w:hideMark/>
          </w:tcPr>
          <w:p w14:paraId="5CED2D4B"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1DF23E25" w14:textId="77777777" w:rsidTr="00CC41BC">
        <w:trPr>
          <w:trHeight w:val="20"/>
        </w:trPr>
        <w:tc>
          <w:tcPr>
            <w:tcW w:w="0" w:type="auto"/>
            <w:vMerge/>
            <w:vAlign w:val="center"/>
            <w:hideMark/>
          </w:tcPr>
          <w:p w14:paraId="2CBF6A3B"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465B2230"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6.</w:t>
            </w:r>
          </w:p>
        </w:tc>
        <w:tc>
          <w:tcPr>
            <w:tcW w:w="0" w:type="auto"/>
            <w:shd w:val="clear" w:color="auto" w:fill="auto"/>
            <w:noWrap/>
            <w:vAlign w:val="bottom"/>
            <w:hideMark/>
          </w:tcPr>
          <w:p w14:paraId="313B7397"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Županja</w:t>
            </w:r>
          </w:p>
        </w:tc>
        <w:tc>
          <w:tcPr>
            <w:tcW w:w="0" w:type="auto"/>
            <w:shd w:val="clear" w:color="auto" w:fill="auto"/>
            <w:noWrap/>
            <w:vAlign w:val="bottom"/>
            <w:hideMark/>
          </w:tcPr>
          <w:p w14:paraId="50CE2DC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Vukovarsko-srijemska županija</w:t>
            </w:r>
          </w:p>
        </w:tc>
        <w:tc>
          <w:tcPr>
            <w:tcW w:w="0" w:type="auto"/>
            <w:shd w:val="clear" w:color="auto" w:fill="auto"/>
            <w:noWrap/>
            <w:vAlign w:val="bottom"/>
            <w:hideMark/>
          </w:tcPr>
          <w:p w14:paraId="10BE7DB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 Županja</w:t>
            </w:r>
          </w:p>
        </w:tc>
        <w:tc>
          <w:tcPr>
            <w:tcW w:w="0" w:type="auto"/>
            <w:shd w:val="clear" w:color="auto" w:fill="auto"/>
            <w:noWrap/>
            <w:vAlign w:val="bottom"/>
            <w:hideMark/>
          </w:tcPr>
          <w:p w14:paraId="76EA84B6"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5158E642" w14:textId="77777777" w:rsidTr="00CC41BC">
        <w:trPr>
          <w:trHeight w:val="20"/>
        </w:trPr>
        <w:tc>
          <w:tcPr>
            <w:tcW w:w="0" w:type="auto"/>
            <w:shd w:val="clear" w:color="auto" w:fill="002060"/>
            <w:vAlign w:val="center"/>
            <w:hideMark/>
          </w:tcPr>
          <w:p w14:paraId="7146C703"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CGO</w:t>
            </w:r>
          </w:p>
        </w:tc>
        <w:tc>
          <w:tcPr>
            <w:tcW w:w="0" w:type="auto"/>
            <w:shd w:val="clear" w:color="auto" w:fill="002060"/>
            <w:vAlign w:val="center"/>
            <w:hideMark/>
          </w:tcPr>
          <w:p w14:paraId="434DB96C"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 </w:t>
            </w:r>
          </w:p>
        </w:tc>
        <w:tc>
          <w:tcPr>
            <w:tcW w:w="0" w:type="auto"/>
            <w:shd w:val="clear" w:color="auto" w:fill="002060"/>
            <w:vAlign w:val="center"/>
            <w:hideMark/>
          </w:tcPr>
          <w:p w14:paraId="17CF3D7A"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PS</w:t>
            </w:r>
          </w:p>
        </w:tc>
        <w:tc>
          <w:tcPr>
            <w:tcW w:w="0" w:type="auto"/>
            <w:shd w:val="clear" w:color="auto" w:fill="002060"/>
            <w:vAlign w:val="center"/>
            <w:hideMark/>
          </w:tcPr>
          <w:p w14:paraId="0476319D"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(županija)</w:t>
            </w:r>
          </w:p>
        </w:tc>
        <w:tc>
          <w:tcPr>
            <w:tcW w:w="0" w:type="auto"/>
            <w:shd w:val="clear" w:color="auto" w:fill="002060"/>
            <w:vAlign w:val="center"/>
            <w:hideMark/>
          </w:tcPr>
          <w:p w14:paraId="455A01AB"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(općina/grad)</w:t>
            </w:r>
          </w:p>
        </w:tc>
        <w:tc>
          <w:tcPr>
            <w:tcW w:w="0" w:type="auto"/>
            <w:shd w:val="clear" w:color="auto" w:fill="002060"/>
            <w:vAlign w:val="center"/>
            <w:hideMark/>
          </w:tcPr>
          <w:p w14:paraId="28FEC85A"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Status</w:t>
            </w:r>
          </w:p>
        </w:tc>
      </w:tr>
      <w:tr w:rsidR="005B09E7" w:rsidRPr="005B09E7" w14:paraId="20B8E474" w14:textId="77777777" w:rsidTr="00CC41BC">
        <w:trPr>
          <w:trHeight w:val="20"/>
        </w:trPr>
        <w:tc>
          <w:tcPr>
            <w:tcW w:w="0" w:type="auto"/>
            <w:vMerge w:val="restart"/>
            <w:shd w:val="clear" w:color="auto" w:fill="auto"/>
            <w:vAlign w:val="center"/>
            <w:hideMark/>
          </w:tcPr>
          <w:p w14:paraId="5A864957" w14:textId="77777777" w:rsidR="005B09E7" w:rsidRPr="005B09E7" w:rsidRDefault="005B09E7" w:rsidP="00CC41BC">
            <w:pPr>
              <w:spacing w:after="0" w:line="240" w:lineRule="auto"/>
              <w:jc w:val="center"/>
              <w:rPr>
                <w:rFonts w:eastAsia="Times New Roman" w:cstheme="minorHAnsi"/>
                <w:b/>
                <w:bCs/>
                <w:color w:val="000000"/>
                <w:sz w:val="16"/>
                <w:szCs w:val="16"/>
                <w:lang w:eastAsia="hr-HR"/>
              </w:rPr>
            </w:pPr>
            <w:r w:rsidRPr="005B09E7">
              <w:rPr>
                <w:rFonts w:eastAsia="Times New Roman" w:cstheme="minorHAnsi"/>
                <w:b/>
                <w:bCs/>
                <w:color w:val="000000"/>
                <w:sz w:val="16"/>
                <w:szCs w:val="16"/>
                <w:lang w:eastAsia="hr-HR"/>
              </w:rPr>
              <w:t xml:space="preserve">9. </w:t>
            </w:r>
            <w:proofErr w:type="spellStart"/>
            <w:r w:rsidRPr="005B09E7">
              <w:rPr>
                <w:rFonts w:eastAsia="Times New Roman" w:cstheme="minorHAnsi"/>
                <w:b/>
                <w:bCs/>
                <w:color w:val="000000"/>
                <w:sz w:val="16"/>
                <w:szCs w:val="16"/>
                <w:lang w:eastAsia="hr-HR"/>
              </w:rPr>
              <w:t>Lučino</w:t>
            </w:r>
            <w:proofErr w:type="spellEnd"/>
            <w:r w:rsidRPr="005B09E7">
              <w:rPr>
                <w:rFonts w:eastAsia="Times New Roman" w:cstheme="minorHAnsi"/>
                <w:b/>
                <w:bCs/>
                <w:color w:val="000000"/>
                <w:sz w:val="16"/>
                <w:szCs w:val="16"/>
                <w:lang w:eastAsia="hr-HR"/>
              </w:rPr>
              <w:t xml:space="preserve"> </w:t>
            </w:r>
            <w:proofErr w:type="spellStart"/>
            <w:r w:rsidRPr="005B09E7">
              <w:rPr>
                <w:rFonts w:eastAsia="Times New Roman" w:cstheme="minorHAnsi"/>
                <w:b/>
                <w:bCs/>
                <w:color w:val="000000"/>
                <w:sz w:val="16"/>
                <w:szCs w:val="16"/>
                <w:lang w:eastAsia="hr-HR"/>
              </w:rPr>
              <w:t>razdolje</w:t>
            </w:r>
            <w:proofErr w:type="spellEnd"/>
          </w:p>
        </w:tc>
        <w:tc>
          <w:tcPr>
            <w:tcW w:w="0" w:type="auto"/>
            <w:shd w:val="clear" w:color="auto" w:fill="auto"/>
            <w:noWrap/>
            <w:vAlign w:val="bottom"/>
            <w:hideMark/>
          </w:tcPr>
          <w:p w14:paraId="6CB886D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1.</w:t>
            </w:r>
          </w:p>
        </w:tc>
        <w:tc>
          <w:tcPr>
            <w:tcW w:w="0" w:type="auto"/>
            <w:shd w:val="clear" w:color="auto" w:fill="auto"/>
            <w:noWrap/>
            <w:vAlign w:val="bottom"/>
            <w:hideMark/>
          </w:tcPr>
          <w:p w14:paraId="7E1ABA9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Dubrovnik</w:t>
            </w:r>
          </w:p>
        </w:tc>
        <w:tc>
          <w:tcPr>
            <w:tcW w:w="0" w:type="auto"/>
            <w:shd w:val="clear" w:color="auto" w:fill="auto"/>
            <w:vAlign w:val="bottom"/>
            <w:hideMark/>
          </w:tcPr>
          <w:p w14:paraId="6274A7F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Dubrovačko-neretvanska županija</w:t>
            </w:r>
          </w:p>
        </w:tc>
        <w:tc>
          <w:tcPr>
            <w:tcW w:w="0" w:type="auto"/>
            <w:shd w:val="clear" w:color="auto" w:fill="auto"/>
            <w:vAlign w:val="bottom"/>
            <w:hideMark/>
          </w:tcPr>
          <w:p w14:paraId="305D883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Općina </w:t>
            </w:r>
            <w:proofErr w:type="spellStart"/>
            <w:r w:rsidRPr="005B09E7">
              <w:rPr>
                <w:rFonts w:eastAsia="Times New Roman" w:cstheme="minorHAnsi"/>
                <w:color w:val="000000"/>
                <w:sz w:val="16"/>
                <w:szCs w:val="16"/>
                <w:lang w:eastAsia="hr-HR"/>
              </w:rPr>
              <w:t>Osojnik</w:t>
            </w:r>
            <w:proofErr w:type="spellEnd"/>
          </w:p>
        </w:tc>
        <w:tc>
          <w:tcPr>
            <w:tcW w:w="0" w:type="auto"/>
            <w:shd w:val="clear" w:color="auto" w:fill="auto"/>
            <w:vAlign w:val="bottom"/>
            <w:hideMark/>
          </w:tcPr>
          <w:p w14:paraId="0F3FE174"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5AD8A537" w14:textId="77777777" w:rsidTr="00CC41BC">
        <w:trPr>
          <w:trHeight w:val="20"/>
        </w:trPr>
        <w:tc>
          <w:tcPr>
            <w:tcW w:w="0" w:type="auto"/>
            <w:vMerge/>
            <w:vAlign w:val="center"/>
            <w:hideMark/>
          </w:tcPr>
          <w:p w14:paraId="7020EA4A"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39C902E8"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2.</w:t>
            </w:r>
          </w:p>
        </w:tc>
        <w:tc>
          <w:tcPr>
            <w:tcW w:w="0" w:type="auto"/>
            <w:shd w:val="clear" w:color="auto" w:fill="auto"/>
            <w:noWrap/>
            <w:vAlign w:val="bottom"/>
            <w:hideMark/>
          </w:tcPr>
          <w:p w14:paraId="6F815904"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Janjina</w:t>
            </w:r>
          </w:p>
        </w:tc>
        <w:tc>
          <w:tcPr>
            <w:tcW w:w="0" w:type="auto"/>
            <w:shd w:val="clear" w:color="auto" w:fill="auto"/>
            <w:vAlign w:val="bottom"/>
            <w:hideMark/>
          </w:tcPr>
          <w:p w14:paraId="5040ED62"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Dubrovačko-neretvanska županija</w:t>
            </w:r>
          </w:p>
        </w:tc>
        <w:tc>
          <w:tcPr>
            <w:tcW w:w="0" w:type="auto"/>
            <w:shd w:val="clear" w:color="auto" w:fill="auto"/>
            <w:vAlign w:val="bottom"/>
            <w:hideMark/>
          </w:tcPr>
          <w:p w14:paraId="65DF970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Općina Janjina, na poluotoku Pelješcu</w:t>
            </w:r>
          </w:p>
        </w:tc>
        <w:tc>
          <w:tcPr>
            <w:tcW w:w="0" w:type="auto"/>
            <w:shd w:val="clear" w:color="auto" w:fill="auto"/>
            <w:vAlign w:val="bottom"/>
            <w:hideMark/>
          </w:tcPr>
          <w:p w14:paraId="4DB2AE61"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6975F611" w14:textId="77777777" w:rsidTr="00CC41BC">
        <w:trPr>
          <w:trHeight w:val="20"/>
        </w:trPr>
        <w:tc>
          <w:tcPr>
            <w:tcW w:w="0" w:type="auto"/>
            <w:vMerge/>
            <w:vAlign w:val="center"/>
            <w:hideMark/>
          </w:tcPr>
          <w:p w14:paraId="444710FD"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756383D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3.</w:t>
            </w:r>
          </w:p>
        </w:tc>
        <w:tc>
          <w:tcPr>
            <w:tcW w:w="0" w:type="auto"/>
            <w:shd w:val="clear" w:color="auto" w:fill="auto"/>
            <w:noWrap/>
            <w:vAlign w:val="bottom"/>
            <w:hideMark/>
          </w:tcPr>
          <w:p w14:paraId="05C699D8"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Metković</w:t>
            </w:r>
          </w:p>
        </w:tc>
        <w:tc>
          <w:tcPr>
            <w:tcW w:w="0" w:type="auto"/>
            <w:shd w:val="clear" w:color="auto" w:fill="auto"/>
            <w:vAlign w:val="bottom"/>
            <w:hideMark/>
          </w:tcPr>
          <w:p w14:paraId="2F089DF4"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Dubrovačko-neretvanska županija</w:t>
            </w:r>
          </w:p>
        </w:tc>
        <w:tc>
          <w:tcPr>
            <w:tcW w:w="0" w:type="auto"/>
            <w:shd w:val="clear" w:color="auto" w:fill="auto"/>
            <w:vAlign w:val="bottom"/>
            <w:hideMark/>
          </w:tcPr>
          <w:p w14:paraId="78A0731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Grad Metković</w:t>
            </w:r>
          </w:p>
        </w:tc>
        <w:tc>
          <w:tcPr>
            <w:tcW w:w="0" w:type="auto"/>
            <w:shd w:val="clear" w:color="auto" w:fill="auto"/>
            <w:vAlign w:val="bottom"/>
            <w:hideMark/>
          </w:tcPr>
          <w:p w14:paraId="3E6CA801"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U projektiranju </w:t>
            </w:r>
          </w:p>
        </w:tc>
      </w:tr>
      <w:tr w:rsidR="005B09E7" w:rsidRPr="005B09E7" w14:paraId="6CF92598" w14:textId="77777777" w:rsidTr="00CC41BC">
        <w:trPr>
          <w:trHeight w:val="20"/>
        </w:trPr>
        <w:tc>
          <w:tcPr>
            <w:tcW w:w="0" w:type="auto"/>
            <w:vMerge/>
            <w:vAlign w:val="center"/>
            <w:hideMark/>
          </w:tcPr>
          <w:p w14:paraId="6D6DE3DB"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2BCB482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4.</w:t>
            </w:r>
          </w:p>
        </w:tc>
        <w:tc>
          <w:tcPr>
            <w:tcW w:w="0" w:type="auto"/>
            <w:shd w:val="clear" w:color="auto" w:fill="auto"/>
            <w:noWrap/>
            <w:vAlign w:val="bottom"/>
            <w:hideMark/>
          </w:tcPr>
          <w:p w14:paraId="309C339F"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Sitnica</w:t>
            </w:r>
          </w:p>
        </w:tc>
        <w:tc>
          <w:tcPr>
            <w:tcW w:w="0" w:type="auto"/>
            <w:shd w:val="clear" w:color="auto" w:fill="auto"/>
            <w:vAlign w:val="bottom"/>
            <w:hideMark/>
          </w:tcPr>
          <w:p w14:paraId="737535B9"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Dubrovačko-neretvanska županija</w:t>
            </w:r>
          </w:p>
        </w:tc>
        <w:tc>
          <w:tcPr>
            <w:tcW w:w="0" w:type="auto"/>
            <w:shd w:val="clear" w:color="auto" w:fill="auto"/>
            <w:vAlign w:val="bottom"/>
            <w:hideMark/>
          </w:tcPr>
          <w:p w14:paraId="729AE7A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Općina Blato, otok Korčula</w:t>
            </w:r>
          </w:p>
        </w:tc>
        <w:tc>
          <w:tcPr>
            <w:tcW w:w="0" w:type="auto"/>
            <w:shd w:val="clear" w:color="auto" w:fill="auto"/>
            <w:vAlign w:val="bottom"/>
            <w:hideMark/>
          </w:tcPr>
          <w:p w14:paraId="3BB6C039"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U projektiranju </w:t>
            </w:r>
          </w:p>
        </w:tc>
      </w:tr>
      <w:tr w:rsidR="005B09E7" w:rsidRPr="005B09E7" w14:paraId="67C93FB4" w14:textId="77777777" w:rsidTr="00CC41BC">
        <w:trPr>
          <w:trHeight w:val="20"/>
        </w:trPr>
        <w:tc>
          <w:tcPr>
            <w:tcW w:w="0" w:type="auto"/>
            <w:vMerge/>
            <w:vAlign w:val="center"/>
            <w:hideMark/>
          </w:tcPr>
          <w:p w14:paraId="2D241EB9"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5DBB654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5.</w:t>
            </w:r>
          </w:p>
        </w:tc>
        <w:tc>
          <w:tcPr>
            <w:tcW w:w="0" w:type="auto"/>
            <w:shd w:val="clear" w:color="auto" w:fill="auto"/>
            <w:noWrap/>
            <w:vAlign w:val="bottom"/>
            <w:hideMark/>
          </w:tcPr>
          <w:p w14:paraId="7928B52C"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Mljet</w:t>
            </w:r>
          </w:p>
        </w:tc>
        <w:tc>
          <w:tcPr>
            <w:tcW w:w="0" w:type="auto"/>
            <w:shd w:val="clear" w:color="auto" w:fill="auto"/>
            <w:vAlign w:val="bottom"/>
            <w:hideMark/>
          </w:tcPr>
          <w:p w14:paraId="29BB402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Dubrovačko-neretvanska županija</w:t>
            </w:r>
          </w:p>
        </w:tc>
        <w:tc>
          <w:tcPr>
            <w:tcW w:w="0" w:type="auto"/>
            <w:shd w:val="clear" w:color="auto" w:fill="auto"/>
            <w:vAlign w:val="bottom"/>
            <w:hideMark/>
          </w:tcPr>
          <w:p w14:paraId="0F994362"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Općina Mljet, otok Mljet</w:t>
            </w:r>
          </w:p>
        </w:tc>
        <w:tc>
          <w:tcPr>
            <w:tcW w:w="0" w:type="auto"/>
            <w:shd w:val="clear" w:color="auto" w:fill="auto"/>
            <w:vAlign w:val="bottom"/>
            <w:hideMark/>
          </w:tcPr>
          <w:p w14:paraId="05BABBF4"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U projektiranju </w:t>
            </w:r>
          </w:p>
        </w:tc>
      </w:tr>
      <w:tr w:rsidR="005B09E7" w:rsidRPr="005B09E7" w14:paraId="1386DBB1" w14:textId="77777777" w:rsidTr="00CC41BC">
        <w:trPr>
          <w:trHeight w:val="20"/>
        </w:trPr>
        <w:tc>
          <w:tcPr>
            <w:tcW w:w="0" w:type="auto"/>
            <w:vMerge/>
            <w:vAlign w:val="center"/>
            <w:hideMark/>
          </w:tcPr>
          <w:p w14:paraId="2E9DC1D8"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7522530F"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6.</w:t>
            </w:r>
          </w:p>
        </w:tc>
        <w:tc>
          <w:tcPr>
            <w:tcW w:w="0" w:type="auto"/>
            <w:shd w:val="clear" w:color="auto" w:fill="auto"/>
            <w:noWrap/>
            <w:vAlign w:val="bottom"/>
            <w:hideMark/>
          </w:tcPr>
          <w:p w14:paraId="40D94D40"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Lastovo</w:t>
            </w:r>
          </w:p>
        </w:tc>
        <w:tc>
          <w:tcPr>
            <w:tcW w:w="0" w:type="auto"/>
            <w:shd w:val="clear" w:color="auto" w:fill="auto"/>
            <w:vAlign w:val="bottom"/>
            <w:hideMark/>
          </w:tcPr>
          <w:p w14:paraId="6B75722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Dubrovačko-neretvanska županija</w:t>
            </w:r>
          </w:p>
        </w:tc>
        <w:tc>
          <w:tcPr>
            <w:tcW w:w="0" w:type="auto"/>
            <w:shd w:val="clear" w:color="auto" w:fill="auto"/>
            <w:vAlign w:val="bottom"/>
            <w:hideMark/>
          </w:tcPr>
          <w:p w14:paraId="13AA3810"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Općina Lastovo, otok Lastovo</w:t>
            </w:r>
          </w:p>
        </w:tc>
        <w:tc>
          <w:tcPr>
            <w:tcW w:w="0" w:type="auto"/>
            <w:shd w:val="clear" w:color="auto" w:fill="auto"/>
            <w:vAlign w:val="bottom"/>
            <w:hideMark/>
          </w:tcPr>
          <w:p w14:paraId="04358047"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U projektiranju </w:t>
            </w:r>
          </w:p>
        </w:tc>
      </w:tr>
      <w:tr w:rsidR="005B09E7" w:rsidRPr="005B09E7" w14:paraId="6917CF75" w14:textId="77777777" w:rsidTr="00CC41BC">
        <w:trPr>
          <w:trHeight w:val="20"/>
        </w:trPr>
        <w:tc>
          <w:tcPr>
            <w:tcW w:w="0" w:type="auto"/>
            <w:shd w:val="clear" w:color="auto" w:fill="002060"/>
            <w:vAlign w:val="center"/>
            <w:hideMark/>
          </w:tcPr>
          <w:p w14:paraId="37A6DC1C"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CGO</w:t>
            </w:r>
          </w:p>
        </w:tc>
        <w:tc>
          <w:tcPr>
            <w:tcW w:w="0" w:type="auto"/>
            <w:shd w:val="clear" w:color="auto" w:fill="002060"/>
            <w:vAlign w:val="center"/>
            <w:hideMark/>
          </w:tcPr>
          <w:p w14:paraId="1756EA9A"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 </w:t>
            </w:r>
          </w:p>
        </w:tc>
        <w:tc>
          <w:tcPr>
            <w:tcW w:w="0" w:type="auto"/>
            <w:shd w:val="clear" w:color="auto" w:fill="002060"/>
            <w:vAlign w:val="center"/>
            <w:hideMark/>
          </w:tcPr>
          <w:p w14:paraId="7C72D3E8"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PS</w:t>
            </w:r>
          </w:p>
        </w:tc>
        <w:tc>
          <w:tcPr>
            <w:tcW w:w="0" w:type="auto"/>
            <w:shd w:val="clear" w:color="auto" w:fill="002060"/>
            <w:vAlign w:val="center"/>
            <w:hideMark/>
          </w:tcPr>
          <w:p w14:paraId="5C3873CD"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(županija)</w:t>
            </w:r>
          </w:p>
        </w:tc>
        <w:tc>
          <w:tcPr>
            <w:tcW w:w="0" w:type="auto"/>
            <w:shd w:val="clear" w:color="auto" w:fill="002060"/>
            <w:vAlign w:val="center"/>
            <w:hideMark/>
          </w:tcPr>
          <w:p w14:paraId="7CBF5783"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(općina/grad)</w:t>
            </w:r>
          </w:p>
        </w:tc>
        <w:tc>
          <w:tcPr>
            <w:tcW w:w="0" w:type="auto"/>
            <w:shd w:val="clear" w:color="auto" w:fill="002060"/>
            <w:vAlign w:val="center"/>
            <w:hideMark/>
          </w:tcPr>
          <w:p w14:paraId="538D26D6"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Status</w:t>
            </w:r>
          </w:p>
        </w:tc>
      </w:tr>
      <w:tr w:rsidR="00194DBF" w:rsidRPr="005B09E7" w14:paraId="108E5EEB" w14:textId="77777777" w:rsidTr="00CC41BC">
        <w:trPr>
          <w:trHeight w:val="20"/>
        </w:trPr>
        <w:tc>
          <w:tcPr>
            <w:tcW w:w="0" w:type="auto"/>
            <w:vMerge w:val="restart"/>
            <w:shd w:val="clear" w:color="auto" w:fill="auto"/>
            <w:noWrap/>
            <w:vAlign w:val="center"/>
            <w:hideMark/>
          </w:tcPr>
          <w:p w14:paraId="517EB509" w14:textId="77777777" w:rsidR="00194DBF" w:rsidRPr="005B09E7" w:rsidRDefault="00194DBF" w:rsidP="00CC41BC">
            <w:pPr>
              <w:spacing w:after="0" w:line="240" w:lineRule="auto"/>
              <w:jc w:val="center"/>
              <w:rPr>
                <w:rFonts w:eastAsia="Times New Roman" w:cstheme="minorHAnsi"/>
                <w:b/>
                <w:bCs/>
                <w:color w:val="000000"/>
                <w:sz w:val="16"/>
                <w:szCs w:val="16"/>
                <w:lang w:eastAsia="hr-HR"/>
              </w:rPr>
            </w:pPr>
            <w:r w:rsidRPr="005B09E7">
              <w:rPr>
                <w:rFonts w:eastAsia="Times New Roman" w:cstheme="minorHAnsi"/>
                <w:b/>
                <w:bCs/>
                <w:color w:val="000000"/>
                <w:sz w:val="16"/>
                <w:szCs w:val="16"/>
                <w:lang w:eastAsia="hr-HR"/>
              </w:rPr>
              <w:t xml:space="preserve">10. </w:t>
            </w:r>
            <w:proofErr w:type="spellStart"/>
            <w:r w:rsidRPr="005B09E7">
              <w:rPr>
                <w:rFonts w:eastAsia="Times New Roman" w:cstheme="minorHAnsi"/>
                <w:b/>
                <w:bCs/>
                <w:color w:val="000000"/>
                <w:sz w:val="16"/>
                <w:szCs w:val="16"/>
                <w:lang w:eastAsia="hr-HR"/>
              </w:rPr>
              <w:t>Šagulje</w:t>
            </w:r>
            <w:proofErr w:type="spellEnd"/>
          </w:p>
        </w:tc>
        <w:tc>
          <w:tcPr>
            <w:tcW w:w="0" w:type="auto"/>
            <w:shd w:val="clear" w:color="auto" w:fill="auto"/>
            <w:noWrap/>
            <w:vAlign w:val="bottom"/>
            <w:hideMark/>
          </w:tcPr>
          <w:p w14:paraId="04F40BF1"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1.</w:t>
            </w:r>
          </w:p>
        </w:tc>
        <w:tc>
          <w:tcPr>
            <w:tcW w:w="0" w:type="auto"/>
            <w:shd w:val="clear" w:color="auto" w:fill="auto"/>
            <w:noWrap/>
            <w:vAlign w:val="bottom"/>
            <w:hideMark/>
          </w:tcPr>
          <w:p w14:paraId="217ABEB8"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Slavonski Brod</w:t>
            </w:r>
          </w:p>
        </w:tc>
        <w:tc>
          <w:tcPr>
            <w:tcW w:w="0" w:type="auto"/>
            <w:shd w:val="clear" w:color="auto" w:fill="auto"/>
            <w:noWrap/>
            <w:vAlign w:val="bottom"/>
            <w:hideMark/>
          </w:tcPr>
          <w:p w14:paraId="7CF36C16"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Brodsko-posavska</w:t>
            </w:r>
          </w:p>
        </w:tc>
        <w:tc>
          <w:tcPr>
            <w:tcW w:w="0" w:type="auto"/>
            <w:shd w:val="clear" w:color="auto" w:fill="auto"/>
            <w:noWrap/>
            <w:vAlign w:val="bottom"/>
            <w:hideMark/>
          </w:tcPr>
          <w:p w14:paraId="218680A1"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Slavonski Brod</w:t>
            </w:r>
          </w:p>
        </w:tc>
        <w:tc>
          <w:tcPr>
            <w:tcW w:w="0" w:type="auto"/>
            <w:shd w:val="clear" w:color="auto" w:fill="auto"/>
            <w:noWrap/>
            <w:vAlign w:val="bottom"/>
            <w:hideMark/>
          </w:tcPr>
          <w:p w14:paraId="4001650C" w14:textId="77777777" w:rsidR="00194DBF" w:rsidRPr="005B09E7" w:rsidRDefault="00194DBF"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194DBF" w:rsidRPr="005B09E7" w14:paraId="76E17873" w14:textId="77777777" w:rsidTr="00CC41BC">
        <w:trPr>
          <w:trHeight w:val="20"/>
        </w:trPr>
        <w:tc>
          <w:tcPr>
            <w:tcW w:w="0" w:type="auto"/>
            <w:vMerge/>
            <w:vAlign w:val="center"/>
            <w:hideMark/>
          </w:tcPr>
          <w:p w14:paraId="40DC23E1" w14:textId="77777777" w:rsidR="00194DBF" w:rsidRPr="005B09E7" w:rsidRDefault="00194DBF"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585945A7"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2.</w:t>
            </w:r>
          </w:p>
        </w:tc>
        <w:tc>
          <w:tcPr>
            <w:tcW w:w="0" w:type="auto"/>
            <w:shd w:val="clear" w:color="auto" w:fill="auto"/>
            <w:noWrap/>
            <w:vAlign w:val="bottom"/>
            <w:hideMark/>
          </w:tcPr>
          <w:p w14:paraId="73D20C7A"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Pakrac</w:t>
            </w:r>
          </w:p>
        </w:tc>
        <w:tc>
          <w:tcPr>
            <w:tcW w:w="0" w:type="auto"/>
            <w:shd w:val="clear" w:color="auto" w:fill="auto"/>
            <w:noWrap/>
            <w:vAlign w:val="bottom"/>
            <w:hideMark/>
          </w:tcPr>
          <w:p w14:paraId="5C35AB57"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Osječko-baranjska županija</w:t>
            </w:r>
          </w:p>
        </w:tc>
        <w:tc>
          <w:tcPr>
            <w:tcW w:w="0" w:type="auto"/>
            <w:shd w:val="clear" w:color="auto" w:fill="auto"/>
            <w:noWrap/>
            <w:vAlign w:val="bottom"/>
            <w:hideMark/>
          </w:tcPr>
          <w:p w14:paraId="11FB0EBC"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Pakrac</w:t>
            </w:r>
          </w:p>
        </w:tc>
        <w:tc>
          <w:tcPr>
            <w:tcW w:w="0" w:type="auto"/>
            <w:shd w:val="clear" w:color="auto" w:fill="auto"/>
            <w:noWrap/>
            <w:vAlign w:val="bottom"/>
            <w:hideMark/>
          </w:tcPr>
          <w:p w14:paraId="67710BE0" w14:textId="77777777" w:rsidR="00194DBF" w:rsidRPr="005B09E7" w:rsidRDefault="00194DBF"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194DBF" w:rsidRPr="005B09E7" w14:paraId="4A57344F" w14:textId="77777777" w:rsidTr="00CC41BC">
        <w:trPr>
          <w:trHeight w:val="20"/>
        </w:trPr>
        <w:tc>
          <w:tcPr>
            <w:tcW w:w="0" w:type="auto"/>
            <w:vMerge/>
            <w:vAlign w:val="center"/>
            <w:hideMark/>
          </w:tcPr>
          <w:p w14:paraId="42D6B915" w14:textId="77777777" w:rsidR="00194DBF" w:rsidRPr="005B09E7" w:rsidRDefault="00194DBF"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42872449"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3.</w:t>
            </w:r>
          </w:p>
        </w:tc>
        <w:tc>
          <w:tcPr>
            <w:tcW w:w="0" w:type="auto"/>
            <w:shd w:val="clear" w:color="auto" w:fill="auto"/>
            <w:noWrap/>
            <w:vAlign w:val="bottom"/>
            <w:hideMark/>
          </w:tcPr>
          <w:p w14:paraId="5587CD33"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Požega</w:t>
            </w:r>
          </w:p>
        </w:tc>
        <w:tc>
          <w:tcPr>
            <w:tcW w:w="0" w:type="auto"/>
            <w:shd w:val="clear" w:color="auto" w:fill="auto"/>
            <w:noWrap/>
            <w:vAlign w:val="bottom"/>
            <w:hideMark/>
          </w:tcPr>
          <w:p w14:paraId="55D7FEB5"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Osječko-baranjska županija</w:t>
            </w:r>
          </w:p>
        </w:tc>
        <w:tc>
          <w:tcPr>
            <w:tcW w:w="0" w:type="auto"/>
            <w:shd w:val="clear" w:color="auto" w:fill="auto"/>
            <w:noWrap/>
            <w:vAlign w:val="bottom"/>
            <w:hideMark/>
          </w:tcPr>
          <w:p w14:paraId="5A535625"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Požega</w:t>
            </w:r>
          </w:p>
        </w:tc>
        <w:tc>
          <w:tcPr>
            <w:tcW w:w="0" w:type="auto"/>
            <w:shd w:val="clear" w:color="auto" w:fill="auto"/>
            <w:noWrap/>
            <w:vAlign w:val="bottom"/>
            <w:hideMark/>
          </w:tcPr>
          <w:p w14:paraId="4A1CB4F7" w14:textId="77777777" w:rsidR="00194DBF" w:rsidRPr="005B09E7" w:rsidRDefault="00194DBF"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194DBF" w:rsidRPr="005B09E7" w14:paraId="257E23FF" w14:textId="77777777" w:rsidTr="00CC41BC">
        <w:trPr>
          <w:trHeight w:val="20"/>
        </w:trPr>
        <w:tc>
          <w:tcPr>
            <w:tcW w:w="0" w:type="auto"/>
            <w:vMerge/>
            <w:vAlign w:val="center"/>
            <w:hideMark/>
          </w:tcPr>
          <w:p w14:paraId="0E7E869B" w14:textId="77777777" w:rsidR="00194DBF" w:rsidRPr="005B09E7" w:rsidRDefault="00194DBF"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26FE9BDC"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4.</w:t>
            </w:r>
          </w:p>
        </w:tc>
        <w:tc>
          <w:tcPr>
            <w:tcW w:w="0" w:type="auto"/>
            <w:shd w:val="clear" w:color="auto" w:fill="auto"/>
            <w:noWrap/>
            <w:vAlign w:val="bottom"/>
            <w:hideMark/>
          </w:tcPr>
          <w:p w14:paraId="10AE1F91"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Kutina</w:t>
            </w:r>
          </w:p>
        </w:tc>
        <w:tc>
          <w:tcPr>
            <w:tcW w:w="0" w:type="auto"/>
            <w:shd w:val="clear" w:color="auto" w:fill="auto"/>
            <w:noWrap/>
            <w:vAlign w:val="bottom"/>
            <w:hideMark/>
          </w:tcPr>
          <w:p w14:paraId="02FDAC96"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Sisačko-moslavačka</w:t>
            </w:r>
          </w:p>
        </w:tc>
        <w:tc>
          <w:tcPr>
            <w:tcW w:w="0" w:type="auto"/>
            <w:shd w:val="clear" w:color="auto" w:fill="auto"/>
            <w:noWrap/>
            <w:vAlign w:val="bottom"/>
            <w:hideMark/>
          </w:tcPr>
          <w:p w14:paraId="58D29EBA"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Kutina</w:t>
            </w:r>
          </w:p>
        </w:tc>
        <w:tc>
          <w:tcPr>
            <w:tcW w:w="0" w:type="auto"/>
            <w:shd w:val="clear" w:color="auto" w:fill="auto"/>
            <w:noWrap/>
            <w:vAlign w:val="bottom"/>
            <w:hideMark/>
          </w:tcPr>
          <w:p w14:paraId="2320342B" w14:textId="77777777" w:rsidR="00194DBF" w:rsidRPr="005B09E7" w:rsidRDefault="00194DBF"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194DBF" w:rsidRPr="005B09E7" w14:paraId="229122DA" w14:textId="77777777" w:rsidTr="00CC41BC">
        <w:trPr>
          <w:trHeight w:val="20"/>
        </w:trPr>
        <w:tc>
          <w:tcPr>
            <w:tcW w:w="0" w:type="auto"/>
            <w:vMerge/>
            <w:vAlign w:val="center"/>
            <w:hideMark/>
          </w:tcPr>
          <w:p w14:paraId="7337C753" w14:textId="77777777" w:rsidR="00194DBF" w:rsidRPr="005B09E7" w:rsidRDefault="00194DBF"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3DE6A540"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5.</w:t>
            </w:r>
          </w:p>
        </w:tc>
        <w:tc>
          <w:tcPr>
            <w:tcW w:w="0" w:type="auto"/>
            <w:shd w:val="clear" w:color="auto" w:fill="auto"/>
            <w:noWrap/>
            <w:vAlign w:val="bottom"/>
            <w:hideMark/>
          </w:tcPr>
          <w:p w14:paraId="545E69E1"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Novska</w:t>
            </w:r>
          </w:p>
        </w:tc>
        <w:tc>
          <w:tcPr>
            <w:tcW w:w="0" w:type="auto"/>
            <w:shd w:val="clear" w:color="auto" w:fill="auto"/>
            <w:noWrap/>
            <w:vAlign w:val="bottom"/>
            <w:hideMark/>
          </w:tcPr>
          <w:p w14:paraId="4510D094"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Sisačko-moslavačka</w:t>
            </w:r>
          </w:p>
        </w:tc>
        <w:tc>
          <w:tcPr>
            <w:tcW w:w="0" w:type="auto"/>
            <w:shd w:val="clear" w:color="auto" w:fill="auto"/>
            <w:noWrap/>
            <w:vAlign w:val="bottom"/>
            <w:hideMark/>
          </w:tcPr>
          <w:p w14:paraId="311E9090"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Novska</w:t>
            </w:r>
          </w:p>
        </w:tc>
        <w:tc>
          <w:tcPr>
            <w:tcW w:w="0" w:type="auto"/>
            <w:shd w:val="clear" w:color="auto" w:fill="auto"/>
            <w:noWrap/>
            <w:vAlign w:val="bottom"/>
            <w:hideMark/>
          </w:tcPr>
          <w:p w14:paraId="7C9CB322" w14:textId="77777777" w:rsidR="00194DBF" w:rsidRPr="005B09E7" w:rsidRDefault="00194DBF"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194DBF" w:rsidRPr="005B09E7" w14:paraId="5F5DEEB2" w14:textId="77777777" w:rsidTr="00CC41BC">
        <w:trPr>
          <w:trHeight w:val="20"/>
        </w:trPr>
        <w:tc>
          <w:tcPr>
            <w:tcW w:w="0" w:type="auto"/>
            <w:vMerge/>
            <w:vAlign w:val="center"/>
            <w:hideMark/>
          </w:tcPr>
          <w:p w14:paraId="34F2D6A5" w14:textId="77777777" w:rsidR="00194DBF" w:rsidRPr="005B09E7" w:rsidRDefault="00194DBF"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63213C6D"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6.</w:t>
            </w:r>
          </w:p>
        </w:tc>
        <w:tc>
          <w:tcPr>
            <w:tcW w:w="0" w:type="auto"/>
            <w:shd w:val="clear" w:color="auto" w:fill="auto"/>
            <w:noWrap/>
            <w:vAlign w:val="bottom"/>
            <w:hideMark/>
          </w:tcPr>
          <w:p w14:paraId="0D17FC30"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Sisak</w:t>
            </w:r>
          </w:p>
        </w:tc>
        <w:tc>
          <w:tcPr>
            <w:tcW w:w="0" w:type="auto"/>
            <w:shd w:val="clear" w:color="auto" w:fill="auto"/>
            <w:noWrap/>
            <w:vAlign w:val="bottom"/>
            <w:hideMark/>
          </w:tcPr>
          <w:p w14:paraId="6C328810"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Sisačko-moslavačka</w:t>
            </w:r>
          </w:p>
        </w:tc>
        <w:tc>
          <w:tcPr>
            <w:tcW w:w="0" w:type="auto"/>
            <w:shd w:val="clear" w:color="auto" w:fill="auto"/>
            <w:noWrap/>
            <w:vAlign w:val="bottom"/>
            <w:hideMark/>
          </w:tcPr>
          <w:p w14:paraId="699ACAB7"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Sisak</w:t>
            </w:r>
          </w:p>
        </w:tc>
        <w:tc>
          <w:tcPr>
            <w:tcW w:w="0" w:type="auto"/>
            <w:shd w:val="clear" w:color="auto" w:fill="auto"/>
            <w:noWrap/>
            <w:vAlign w:val="bottom"/>
            <w:hideMark/>
          </w:tcPr>
          <w:p w14:paraId="725FC6E3" w14:textId="77777777" w:rsidR="00194DBF" w:rsidRPr="005B09E7" w:rsidRDefault="00194DBF"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194DBF" w:rsidRPr="005B09E7" w14:paraId="6A6A4C3D" w14:textId="77777777" w:rsidTr="00CC41BC">
        <w:trPr>
          <w:trHeight w:val="20"/>
        </w:trPr>
        <w:tc>
          <w:tcPr>
            <w:tcW w:w="0" w:type="auto"/>
            <w:vMerge/>
            <w:vAlign w:val="center"/>
          </w:tcPr>
          <w:p w14:paraId="6087C5A6" w14:textId="77777777" w:rsidR="00194DBF" w:rsidRPr="005B09E7" w:rsidRDefault="00194DBF"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tcPr>
          <w:p w14:paraId="53B650C3" w14:textId="48C50F37" w:rsidR="00194DBF" w:rsidRPr="005B09E7" w:rsidRDefault="00194DBF" w:rsidP="00CC41BC">
            <w:pPr>
              <w:spacing w:after="0" w:line="240" w:lineRule="auto"/>
              <w:jc w:val="left"/>
              <w:rPr>
                <w:rFonts w:eastAsia="Times New Roman" w:cstheme="minorHAnsi"/>
                <w:color w:val="000000"/>
                <w:sz w:val="16"/>
                <w:szCs w:val="16"/>
                <w:lang w:eastAsia="hr-HR"/>
              </w:rPr>
            </w:pPr>
            <w:r>
              <w:rPr>
                <w:rFonts w:eastAsia="Times New Roman" w:cstheme="minorHAnsi"/>
                <w:color w:val="000000"/>
                <w:sz w:val="16"/>
                <w:szCs w:val="16"/>
                <w:lang w:eastAsia="hr-HR"/>
              </w:rPr>
              <w:t>7.</w:t>
            </w:r>
          </w:p>
        </w:tc>
        <w:tc>
          <w:tcPr>
            <w:tcW w:w="0" w:type="auto"/>
            <w:shd w:val="clear" w:color="auto" w:fill="auto"/>
            <w:noWrap/>
            <w:vAlign w:val="bottom"/>
          </w:tcPr>
          <w:p w14:paraId="1445326B" w14:textId="6236B587" w:rsidR="00194DBF" w:rsidRPr="005B09E7" w:rsidRDefault="00194DBF" w:rsidP="00CC41BC">
            <w:pPr>
              <w:spacing w:after="0" w:line="240" w:lineRule="auto"/>
              <w:jc w:val="left"/>
              <w:rPr>
                <w:rFonts w:eastAsia="Times New Roman" w:cstheme="minorHAnsi"/>
                <w:color w:val="000000"/>
                <w:sz w:val="16"/>
                <w:szCs w:val="16"/>
                <w:lang w:eastAsia="hr-HR"/>
              </w:rPr>
            </w:pPr>
            <w:r>
              <w:rPr>
                <w:rFonts w:eastAsia="Times New Roman" w:cstheme="minorHAnsi"/>
                <w:color w:val="000000"/>
                <w:sz w:val="16"/>
                <w:szCs w:val="16"/>
                <w:lang w:eastAsia="hr-HR"/>
              </w:rPr>
              <w:t>Virovitica</w:t>
            </w:r>
          </w:p>
        </w:tc>
        <w:tc>
          <w:tcPr>
            <w:tcW w:w="0" w:type="auto"/>
            <w:shd w:val="clear" w:color="auto" w:fill="auto"/>
            <w:noWrap/>
            <w:vAlign w:val="bottom"/>
          </w:tcPr>
          <w:p w14:paraId="3DABE3BA" w14:textId="7023D2B2" w:rsidR="00194DBF" w:rsidRPr="005B09E7" w:rsidRDefault="00194DBF" w:rsidP="00CC41BC">
            <w:pPr>
              <w:spacing w:after="0" w:line="240" w:lineRule="auto"/>
              <w:jc w:val="left"/>
              <w:rPr>
                <w:rFonts w:eastAsia="Times New Roman" w:cstheme="minorHAnsi"/>
                <w:color w:val="000000"/>
                <w:sz w:val="16"/>
                <w:szCs w:val="16"/>
                <w:lang w:eastAsia="hr-HR"/>
              </w:rPr>
            </w:pPr>
            <w:r>
              <w:rPr>
                <w:rFonts w:eastAsia="Times New Roman" w:cstheme="minorHAnsi"/>
                <w:color w:val="000000"/>
                <w:sz w:val="16"/>
                <w:szCs w:val="16"/>
                <w:lang w:eastAsia="hr-HR"/>
              </w:rPr>
              <w:t>Virovitičko-podravska</w:t>
            </w:r>
          </w:p>
        </w:tc>
        <w:tc>
          <w:tcPr>
            <w:tcW w:w="0" w:type="auto"/>
            <w:shd w:val="clear" w:color="auto" w:fill="auto"/>
            <w:noWrap/>
            <w:vAlign w:val="bottom"/>
          </w:tcPr>
          <w:p w14:paraId="064C1A89" w14:textId="04FC5A6C" w:rsidR="00194DBF" w:rsidRPr="005B09E7" w:rsidRDefault="00194DBF" w:rsidP="00CC41BC">
            <w:pPr>
              <w:spacing w:after="0" w:line="240" w:lineRule="auto"/>
              <w:jc w:val="left"/>
              <w:rPr>
                <w:rFonts w:eastAsia="Times New Roman" w:cstheme="minorHAnsi"/>
                <w:color w:val="000000"/>
                <w:sz w:val="16"/>
                <w:szCs w:val="16"/>
                <w:lang w:eastAsia="hr-HR"/>
              </w:rPr>
            </w:pPr>
            <w:r>
              <w:rPr>
                <w:rFonts w:eastAsia="Times New Roman" w:cstheme="minorHAnsi"/>
                <w:color w:val="000000"/>
                <w:sz w:val="16"/>
                <w:szCs w:val="16"/>
                <w:lang w:eastAsia="hr-HR"/>
              </w:rPr>
              <w:t>Virovitica</w:t>
            </w:r>
          </w:p>
        </w:tc>
        <w:tc>
          <w:tcPr>
            <w:tcW w:w="0" w:type="auto"/>
            <w:shd w:val="clear" w:color="auto" w:fill="auto"/>
            <w:noWrap/>
            <w:vAlign w:val="bottom"/>
          </w:tcPr>
          <w:p w14:paraId="30A2A395" w14:textId="5EFC25A8" w:rsidR="00194DBF" w:rsidRPr="005B09E7" w:rsidRDefault="00194DBF"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4EF28DD1" w14:textId="77777777" w:rsidTr="00CC41BC">
        <w:trPr>
          <w:trHeight w:val="20"/>
        </w:trPr>
        <w:tc>
          <w:tcPr>
            <w:tcW w:w="0" w:type="auto"/>
            <w:shd w:val="clear" w:color="auto" w:fill="002060"/>
            <w:vAlign w:val="center"/>
            <w:hideMark/>
          </w:tcPr>
          <w:p w14:paraId="319B02CC"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CGO</w:t>
            </w:r>
          </w:p>
        </w:tc>
        <w:tc>
          <w:tcPr>
            <w:tcW w:w="0" w:type="auto"/>
            <w:shd w:val="clear" w:color="auto" w:fill="002060"/>
            <w:vAlign w:val="center"/>
            <w:hideMark/>
          </w:tcPr>
          <w:p w14:paraId="22C727AD"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 </w:t>
            </w:r>
          </w:p>
        </w:tc>
        <w:tc>
          <w:tcPr>
            <w:tcW w:w="0" w:type="auto"/>
            <w:shd w:val="clear" w:color="auto" w:fill="002060"/>
            <w:vAlign w:val="center"/>
            <w:hideMark/>
          </w:tcPr>
          <w:p w14:paraId="4D49C9F9"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PS</w:t>
            </w:r>
          </w:p>
        </w:tc>
        <w:tc>
          <w:tcPr>
            <w:tcW w:w="0" w:type="auto"/>
            <w:shd w:val="clear" w:color="auto" w:fill="002060"/>
            <w:vAlign w:val="center"/>
            <w:hideMark/>
          </w:tcPr>
          <w:p w14:paraId="22D64327"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(županija)</w:t>
            </w:r>
          </w:p>
        </w:tc>
        <w:tc>
          <w:tcPr>
            <w:tcW w:w="0" w:type="auto"/>
            <w:shd w:val="clear" w:color="auto" w:fill="002060"/>
            <w:vAlign w:val="center"/>
            <w:hideMark/>
          </w:tcPr>
          <w:p w14:paraId="10DB0603"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(općina/grad)</w:t>
            </w:r>
          </w:p>
        </w:tc>
        <w:tc>
          <w:tcPr>
            <w:tcW w:w="0" w:type="auto"/>
            <w:shd w:val="clear" w:color="auto" w:fill="002060"/>
            <w:vAlign w:val="center"/>
            <w:hideMark/>
          </w:tcPr>
          <w:p w14:paraId="3D826892"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Status</w:t>
            </w:r>
          </w:p>
        </w:tc>
      </w:tr>
      <w:tr w:rsidR="005B09E7" w:rsidRPr="005B09E7" w14:paraId="72A8F7B5" w14:textId="77777777" w:rsidTr="00CC41BC">
        <w:trPr>
          <w:trHeight w:val="20"/>
        </w:trPr>
        <w:tc>
          <w:tcPr>
            <w:tcW w:w="0" w:type="auto"/>
            <w:vMerge w:val="restart"/>
            <w:shd w:val="clear" w:color="auto" w:fill="auto"/>
            <w:vAlign w:val="center"/>
            <w:hideMark/>
          </w:tcPr>
          <w:p w14:paraId="4A377087" w14:textId="77777777" w:rsidR="005B09E7" w:rsidRPr="005B09E7" w:rsidRDefault="005B09E7" w:rsidP="00CC41BC">
            <w:pPr>
              <w:spacing w:after="0" w:line="240" w:lineRule="auto"/>
              <w:jc w:val="center"/>
              <w:rPr>
                <w:rFonts w:eastAsia="Times New Roman" w:cstheme="minorHAnsi"/>
                <w:b/>
                <w:bCs/>
                <w:color w:val="000000"/>
                <w:sz w:val="16"/>
                <w:szCs w:val="16"/>
                <w:lang w:eastAsia="hr-HR"/>
              </w:rPr>
            </w:pPr>
            <w:r w:rsidRPr="005B09E7">
              <w:rPr>
                <w:rFonts w:eastAsia="Times New Roman" w:cstheme="minorHAnsi"/>
                <w:b/>
                <w:bCs/>
                <w:color w:val="000000"/>
                <w:sz w:val="16"/>
                <w:szCs w:val="16"/>
                <w:lang w:eastAsia="hr-HR"/>
              </w:rPr>
              <w:t>11. Zagreb</w:t>
            </w:r>
          </w:p>
        </w:tc>
        <w:tc>
          <w:tcPr>
            <w:tcW w:w="0" w:type="auto"/>
            <w:shd w:val="clear" w:color="auto" w:fill="auto"/>
            <w:noWrap/>
            <w:vAlign w:val="bottom"/>
            <w:hideMark/>
          </w:tcPr>
          <w:p w14:paraId="4BE4D092"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1.</w:t>
            </w:r>
          </w:p>
        </w:tc>
        <w:tc>
          <w:tcPr>
            <w:tcW w:w="0" w:type="auto"/>
            <w:shd w:val="clear" w:color="auto" w:fill="auto"/>
            <w:noWrap/>
            <w:vAlign w:val="bottom"/>
            <w:hideMark/>
          </w:tcPr>
          <w:p w14:paraId="24224F9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Ivanić Grad</w:t>
            </w:r>
          </w:p>
        </w:tc>
        <w:tc>
          <w:tcPr>
            <w:tcW w:w="0" w:type="auto"/>
            <w:shd w:val="clear" w:color="auto" w:fill="auto"/>
            <w:vAlign w:val="bottom"/>
            <w:hideMark/>
          </w:tcPr>
          <w:p w14:paraId="5354834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Zagrebačka županija</w:t>
            </w:r>
          </w:p>
        </w:tc>
        <w:tc>
          <w:tcPr>
            <w:tcW w:w="0" w:type="auto"/>
            <w:shd w:val="clear" w:color="auto" w:fill="auto"/>
            <w:vAlign w:val="bottom"/>
            <w:hideMark/>
          </w:tcPr>
          <w:p w14:paraId="6C3C83A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Ivanić Grad</w:t>
            </w:r>
          </w:p>
        </w:tc>
        <w:tc>
          <w:tcPr>
            <w:tcW w:w="0" w:type="auto"/>
            <w:shd w:val="clear" w:color="auto" w:fill="auto"/>
            <w:noWrap/>
            <w:vAlign w:val="bottom"/>
            <w:hideMark/>
          </w:tcPr>
          <w:p w14:paraId="689336C4"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12BDDF01" w14:textId="77777777" w:rsidTr="00CC41BC">
        <w:trPr>
          <w:trHeight w:val="20"/>
        </w:trPr>
        <w:tc>
          <w:tcPr>
            <w:tcW w:w="0" w:type="auto"/>
            <w:vMerge/>
            <w:vAlign w:val="center"/>
            <w:hideMark/>
          </w:tcPr>
          <w:p w14:paraId="5733DA48"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7B49DBFC"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2.</w:t>
            </w:r>
          </w:p>
        </w:tc>
        <w:tc>
          <w:tcPr>
            <w:tcW w:w="0" w:type="auto"/>
            <w:shd w:val="clear" w:color="auto" w:fill="auto"/>
            <w:noWrap/>
            <w:vAlign w:val="bottom"/>
            <w:hideMark/>
          </w:tcPr>
          <w:p w14:paraId="5B895EF6"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Dugo Selo</w:t>
            </w:r>
          </w:p>
        </w:tc>
        <w:tc>
          <w:tcPr>
            <w:tcW w:w="0" w:type="auto"/>
            <w:shd w:val="clear" w:color="auto" w:fill="auto"/>
            <w:vAlign w:val="bottom"/>
            <w:hideMark/>
          </w:tcPr>
          <w:p w14:paraId="400CEC7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Zagrebačka županija</w:t>
            </w:r>
          </w:p>
        </w:tc>
        <w:tc>
          <w:tcPr>
            <w:tcW w:w="0" w:type="auto"/>
            <w:shd w:val="clear" w:color="auto" w:fill="auto"/>
            <w:vAlign w:val="bottom"/>
            <w:hideMark/>
          </w:tcPr>
          <w:p w14:paraId="4AD9718B"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Dugo Selo</w:t>
            </w:r>
          </w:p>
        </w:tc>
        <w:tc>
          <w:tcPr>
            <w:tcW w:w="0" w:type="auto"/>
            <w:shd w:val="clear" w:color="auto" w:fill="auto"/>
            <w:noWrap/>
            <w:vAlign w:val="bottom"/>
            <w:hideMark/>
          </w:tcPr>
          <w:p w14:paraId="12E5BE2F"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4F4921B3" w14:textId="77777777" w:rsidTr="00CC41BC">
        <w:trPr>
          <w:trHeight w:val="20"/>
        </w:trPr>
        <w:tc>
          <w:tcPr>
            <w:tcW w:w="0" w:type="auto"/>
            <w:vMerge/>
            <w:vAlign w:val="center"/>
            <w:hideMark/>
          </w:tcPr>
          <w:p w14:paraId="1920D93F"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1C3AFBF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3.</w:t>
            </w:r>
          </w:p>
        </w:tc>
        <w:tc>
          <w:tcPr>
            <w:tcW w:w="0" w:type="auto"/>
            <w:shd w:val="clear" w:color="auto" w:fill="auto"/>
            <w:noWrap/>
            <w:vAlign w:val="bottom"/>
            <w:hideMark/>
          </w:tcPr>
          <w:p w14:paraId="1DE1D1EF"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Vrbovec</w:t>
            </w:r>
          </w:p>
        </w:tc>
        <w:tc>
          <w:tcPr>
            <w:tcW w:w="0" w:type="auto"/>
            <w:shd w:val="clear" w:color="auto" w:fill="auto"/>
            <w:vAlign w:val="bottom"/>
            <w:hideMark/>
          </w:tcPr>
          <w:p w14:paraId="7B3F7A10"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Zagrebačka županija</w:t>
            </w:r>
          </w:p>
        </w:tc>
        <w:tc>
          <w:tcPr>
            <w:tcW w:w="0" w:type="auto"/>
            <w:shd w:val="clear" w:color="auto" w:fill="auto"/>
            <w:vAlign w:val="bottom"/>
            <w:hideMark/>
          </w:tcPr>
          <w:p w14:paraId="4D3AB98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Vrbovec</w:t>
            </w:r>
          </w:p>
        </w:tc>
        <w:tc>
          <w:tcPr>
            <w:tcW w:w="0" w:type="auto"/>
            <w:shd w:val="clear" w:color="auto" w:fill="auto"/>
            <w:noWrap/>
            <w:vAlign w:val="bottom"/>
            <w:hideMark/>
          </w:tcPr>
          <w:p w14:paraId="60EBC09D"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75C16DEF" w14:textId="77777777" w:rsidTr="00CC41BC">
        <w:trPr>
          <w:trHeight w:val="20"/>
        </w:trPr>
        <w:tc>
          <w:tcPr>
            <w:tcW w:w="0" w:type="auto"/>
            <w:vMerge/>
            <w:vAlign w:val="center"/>
            <w:hideMark/>
          </w:tcPr>
          <w:p w14:paraId="439EA1A0"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37AB498C"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4.</w:t>
            </w:r>
          </w:p>
        </w:tc>
        <w:tc>
          <w:tcPr>
            <w:tcW w:w="0" w:type="auto"/>
            <w:shd w:val="clear" w:color="auto" w:fill="auto"/>
            <w:noWrap/>
            <w:vAlign w:val="bottom"/>
            <w:hideMark/>
          </w:tcPr>
          <w:p w14:paraId="4131523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Zaprešić</w:t>
            </w:r>
          </w:p>
        </w:tc>
        <w:tc>
          <w:tcPr>
            <w:tcW w:w="0" w:type="auto"/>
            <w:shd w:val="clear" w:color="auto" w:fill="auto"/>
            <w:vAlign w:val="bottom"/>
            <w:hideMark/>
          </w:tcPr>
          <w:p w14:paraId="1C2B86A2"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Zagrebačka županija</w:t>
            </w:r>
          </w:p>
        </w:tc>
        <w:tc>
          <w:tcPr>
            <w:tcW w:w="0" w:type="auto"/>
            <w:shd w:val="clear" w:color="auto" w:fill="auto"/>
            <w:vAlign w:val="bottom"/>
            <w:hideMark/>
          </w:tcPr>
          <w:p w14:paraId="4CD8C45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Zaprešić</w:t>
            </w:r>
          </w:p>
        </w:tc>
        <w:tc>
          <w:tcPr>
            <w:tcW w:w="0" w:type="auto"/>
            <w:shd w:val="clear" w:color="auto" w:fill="auto"/>
            <w:noWrap/>
            <w:vAlign w:val="bottom"/>
            <w:hideMark/>
          </w:tcPr>
          <w:p w14:paraId="32F17FD2"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7A5FA54E" w14:textId="77777777" w:rsidTr="00CC41BC">
        <w:trPr>
          <w:trHeight w:val="20"/>
        </w:trPr>
        <w:tc>
          <w:tcPr>
            <w:tcW w:w="0" w:type="auto"/>
            <w:vMerge/>
            <w:vAlign w:val="center"/>
            <w:hideMark/>
          </w:tcPr>
          <w:p w14:paraId="18A35114"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4C6A2B6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5.</w:t>
            </w:r>
          </w:p>
        </w:tc>
        <w:tc>
          <w:tcPr>
            <w:tcW w:w="0" w:type="auto"/>
            <w:shd w:val="clear" w:color="auto" w:fill="auto"/>
            <w:noWrap/>
            <w:vAlign w:val="bottom"/>
            <w:hideMark/>
          </w:tcPr>
          <w:p w14:paraId="2010F986"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Jastrebarsko</w:t>
            </w:r>
          </w:p>
        </w:tc>
        <w:tc>
          <w:tcPr>
            <w:tcW w:w="0" w:type="auto"/>
            <w:shd w:val="clear" w:color="auto" w:fill="auto"/>
            <w:vAlign w:val="bottom"/>
            <w:hideMark/>
          </w:tcPr>
          <w:p w14:paraId="464145FF"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Zagrebačka županija</w:t>
            </w:r>
          </w:p>
        </w:tc>
        <w:tc>
          <w:tcPr>
            <w:tcW w:w="0" w:type="auto"/>
            <w:shd w:val="clear" w:color="auto" w:fill="auto"/>
            <w:vAlign w:val="bottom"/>
            <w:hideMark/>
          </w:tcPr>
          <w:p w14:paraId="512729F1"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Jastrebarsko</w:t>
            </w:r>
          </w:p>
        </w:tc>
        <w:tc>
          <w:tcPr>
            <w:tcW w:w="0" w:type="auto"/>
            <w:shd w:val="clear" w:color="auto" w:fill="auto"/>
            <w:noWrap/>
            <w:vAlign w:val="bottom"/>
            <w:hideMark/>
          </w:tcPr>
          <w:p w14:paraId="6680E860"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4A8A0BC4" w14:textId="77777777" w:rsidTr="00CC41BC">
        <w:trPr>
          <w:trHeight w:val="20"/>
        </w:trPr>
        <w:tc>
          <w:tcPr>
            <w:tcW w:w="0" w:type="auto"/>
            <w:vMerge/>
            <w:vAlign w:val="center"/>
            <w:hideMark/>
          </w:tcPr>
          <w:p w14:paraId="425599E5"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68FDCA12"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6.</w:t>
            </w:r>
          </w:p>
        </w:tc>
        <w:tc>
          <w:tcPr>
            <w:tcW w:w="0" w:type="auto"/>
            <w:shd w:val="clear" w:color="auto" w:fill="auto"/>
            <w:noWrap/>
            <w:vAlign w:val="bottom"/>
            <w:hideMark/>
          </w:tcPr>
          <w:p w14:paraId="6B3DF33F"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Samobor</w:t>
            </w:r>
          </w:p>
        </w:tc>
        <w:tc>
          <w:tcPr>
            <w:tcW w:w="0" w:type="auto"/>
            <w:shd w:val="clear" w:color="auto" w:fill="auto"/>
            <w:vAlign w:val="bottom"/>
            <w:hideMark/>
          </w:tcPr>
          <w:p w14:paraId="42A9A881"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Zagrebačka županija</w:t>
            </w:r>
          </w:p>
        </w:tc>
        <w:tc>
          <w:tcPr>
            <w:tcW w:w="0" w:type="auto"/>
            <w:shd w:val="clear" w:color="auto" w:fill="auto"/>
            <w:vAlign w:val="bottom"/>
            <w:hideMark/>
          </w:tcPr>
          <w:p w14:paraId="01B23702"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Samobor</w:t>
            </w:r>
          </w:p>
        </w:tc>
        <w:tc>
          <w:tcPr>
            <w:tcW w:w="0" w:type="auto"/>
            <w:shd w:val="clear" w:color="auto" w:fill="auto"/>
            <w:noWrap/>
            <w:vAlign w:val="bottom"/>
            <w:hideMark/>
          </w:tcPr>
          <w:p w14:paraId="2CF4E88C"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bl>
    <w:p w14:paraId="2CF244EE" w14:textId="77777777" w:rsidR="005B09E7" w:rsidRPr="005B09E7" w:rsidRDefault="005B09E7" w:rsidP="005B09E7">
      <w:pPr>
        <w:spacing w:after="240"/>
        <w:jc w:val="right"/>
        <w:rPr>
          <w:i/>
          <w:iCs/>
          <w:sz w:val="18"/>
          <w:szCs w:val="20"/>
        </w:rPr>
      </w:pPr>
      <w:r w:rsidRPr="005B09E7">
        <w:rPr>
          <w:i/>
          <w:iCs/>
          <w:sz w:val="18"/>
          <w:szCs w:val="20"/>
        </w:rPr>
        <w:t>Izvor: FZOEU</w:t>
      </w:r>
    </w:p>
    <w:p w14:paraId="77B42592" w14:textId="01514297" w:rsidR="002252F5" w:rsidRPr="00D058ED" w:rsidRDefault="002252F5" w:rsidP="00D058ED">
      <w:pPr>
        <w:pStyle w:val="IRNaslov4"/>
        <w:rPr>
          <w:sz w:val="24"/>
        </w:rPr>
      </w:pPr>
      <w:bookmarkStart w:id="169" w:name="_Ref116637855"/>
      <w:r w:rsidRPr="00D058ED">
        <w:rPr>
          <w:sz w:val="24"/>
        </w:rPr>
        <w:t>Odlagališta otpada</w:t>
      </w:r>
      <w:bookmarkEnd w:id="169"/>
    </w:p>
    <w:p w14:paraId="05B2FC02" w14:textId="04B784DA" w:rsidR="00BC155F" w:rsidRDefault="00BC155F" w:rsidP="00BC155F">
      <w:r>
        <w:t>Od 2005. do 2021. godine ukupno je evidentirano i prati se 317 lokacija službenih odlagališta. Tijekom 2021. godine otpad se odlagao na 88 odlagališta otpada. Na 80 odlagališta odlagao se komunalni otpad, dok se na 8</w:t>
      </w:r>
      <w:r w:rsidRPr="00FB4039">
        <w:t xml:space="preserve"> </w:t>
      </w:r>
      <w:r>
        <w:t xml:space="preserve">lokacija odlagao isključivo proizvodni otpad. </w:t>
      </w:r>
      <w:r w:rsidRPr="008D091F">
        <w:t>Tijekom 2021. godine ukupno je odloženo 1.582.949 tona (</w:t>
      </w:r>
      <w:r w:rsidR="00196E33">
        <w:t xml:space="preserve">komunalni otpad i ostale </w:t>
      </w:r>
      <w:r w:rsidRPr="008D091F">
        <w:t>vrst</w:t>
      </w:r>
      <w:r w:rsidR="00196E33">
        <w:t>e</w:t>
      </w:r>
      <w:r w:rsidRPr="008D091F">
        <w:t xml:space="preserve"> otpada), što je smanjenje od 16 % u odnosu na 2015. godinu kada je ukupno odloženo 1.889.201 tona otpada.</w:t>
      </w:r>
    </w:p>
    <w:p w14:paraId="3E7A908C" w14:textId="7092061E" w:rsidR="00BC155F" w:rsidRDefault="00BC155F" w:rsidP="00BC155F">
      <w:r>
        <w:t xml:space="preserve">Do kraja 2021. godine zatvoreno je 229 odlagališta, a sa 96 lokacija na </w:t>
      </w:r>
      <w:r w:rsidR="00F555DB">
        <w:t>kojima</w:t>
      </w:r>
      <w:r>
        <w:t xml:space="preserve"> su se nekoć nalazila odlagališta otpad je izmješten. Od 2015. do kraja 2021. godine povećao se broj saniranih odlagališta otpada sa 171 na 229, a u pripremi ili u tijeku je sanacija na 86 lokaciji.</w:t>
      </w:r>
    </w:p>
    <w:p w14:paraId="7F08310F" w14:textId="77777777" w:rsidR="00BC155F" w:rsidRDefault="00BC155F" w:rsidP="00BC155F">
      <w:r>
        <w:t>U RH ne postoji odlagalište opasnog otpada.</w:t>
      </w:r>
    </w:p>
    <w:p w14:paraId="784F035B" w14:textId="70D1A681" w:rsidR="00BC155F" w:rsidRDefault="00BC155F" w:rsidP="00BC155F">
      <w:r w:rsidRPr="009E4D73">
        <w:t xml:space="preserve">Ukupan preostali kapacitet na svim odlagalištima krajem 2021. godine, prema procjeni operatera odlagališta iznosio je </w:t>
      </w:r>
      <w:r>
        <w:t>1</w:t>
      </w:r>
      <w:r w:rsidRPr="009E4D73">
        <w:t xml:space="preserve">6.624.770 tona. Riječ je o kapacitetima </w:t>
      </w:r>
      <w:r w:rsidR="00196E33">
        <w:t>prema</w:t>
      </w:r>
      <w:r w:rsidRPr="009E4D73">
        <w:t xml:space="preserve"> postojećoj dokumentaciji i ishođenim dozvolama, uz mogućnost njihovog povećanja ovisno o prostornim mogućnostima, potrebama i odabranom pristupu postupanja sa spomenutim kategorijama otpada. Pregled statusa i kapaciteta aktivnih odlagališta po županijama dan je u </w:t>
      </w:r>
      <w:r>
        <w:fldChar w:fldCharType="begin"/>
      </w:r>
      <w:r>
        <w:instrText xml:space="preserve"> REF _Ref111196567 \h </w:instrText>
      </w:r>
      <w:r>
        <w:fldChar w:fldCharType="separate"/>
      </w:r>
      <w:r w:rsidR="00F37B62">
        <w:t xml:space="preserve">Tablica </w:t>
      </w:r>
      <w:r w:rsidR="00F37B62">
        <w:rPr>
          <w:noProof/>
        </w:rPr>
        <w:t>21</w:t>
      </w:r>
      <w:r>
        <w:fldChar w:fldCharType="end"/>
      </w:r>
      <w:r w:rsidRPr="009E4D73">
        <w:t>.</w:t>
      </w:r>
    </w:p>
    <w:p w14:paraId="0A40C474" w14:textId="557E962E" w:rsidR="00BC155F" w:rsidRDefault="00BC155F" w:rsidP="00BC155F">
      <w:r>
        <w:t xml:space="preserve">Prikaz lokacija odlagališta otpada u RH dan je na </w:t>
      </w:r>
      <w:r w:rsidRPr="00AF6438">
        <w:fldChar w:fldCharType="begin"/>
      </w:r>
      <w:r w:rsidRPr="00AF6438">
        <w:instrText xml:space="preserve"> REF _Ref111131448 \h  \* MERGEFORMAT </w:instrText>
      </w:r>
      <w:r w:rsidRPr="00AF6438">
        <w:fldChar w:fldCharType="separate"/>
      </w:r>
      <w:r w:rsidR="00F37B62" w:rsidRPr="00AF6438">
        <w:t xml:space="preserve">Slika </w:t>
      </w:r>
      <w:r w:rsidR="00F37B62">
        <w:t>56</w:t>
      </w:r>
      <w:r w:rsidRPr="00AF6438">
        <w:fldChar w:fldCharType="end"/>
      </w:r>
      <w:r w:rsidRPr="00AF6438">
        <w:t>.</w:t>
      </w:r>
    </w:p>
    <w:p w14:paraId="745447B6" w14:textId="77777777" w:rsidR="005D5B78" w:rsidRDefault="005D5B78" w:rsidP="00BC155F"/>
    <w:p w14:paraId="0892637C" w14:textId="1A4D1CE7" w:rsidR="00BC155F" w:rsidRPr="00AF6438" w:rsidRDefault="00BC155F" w:rsidP="00BC155F">
      <w:pPr>
        <w:pStyle w:val="Slika"/>
      </w:pPr>
      <w:bookmarkStart w:id="170" w:name="_Ref111131448"/>
      <w:bookmarkStart w:id="171" w:name="_Toc125363964"/>
      <w:r w:rsidRPr="00AF6438">
        <w:t xml:space="preserve">Slika </w:t>
      </w:r>
      <w:fldSimple w:instr=" SEQ Slika \* ARABIC ">
        <w:r w:rsidR="00F37B62">
          <w:rPr>
            <w:noProof/>
          </w:rPr>
          <w:t>56</w:t>
        </w:r>
      </w:fldSimple>
      <w:bookmarkEnd w:id="170"/>
      <w:r w:rsidRPr="00AF6438">
        <w:t xml:space="preserve">. </w:t>
      </w:r>
      <w:r w:rsidRPr="00BC155F">
        <w:rPr>
          <w:b w:val="0"/>
          <w:bCs/>
        </w:rPr>
        <w:t>Lokacije odlagališta u RH u 2021. godini</w:t>
      </w:r>
      <w:bookmarkEnd w:id="171"/>
      <w:r w:rsidRPr="00AF6438">
        <w:t xml:space="preserve"> </w:t>
      </w:r>
    </w:p>
    <w:p w14:paraId="72FF3C86" w14:textId="7162F054" w:rsidR="00BC155F" w:rsidRPr="00BC155F" w:rsidRDefault="00BC155F" w:rsidP="00BC155F">
      <w:pPr>
        <w:pStyle w:val="Tablica"/>
        <w:rPr>
          <w:b w:val="0"/>
          <w:bCs/>
          <w:color w:val="FF0000"/>
        </w:rPr>
      </w:pPr>
      <w:bookmarkStart w:id="172" w:name="_Ref111196567"/>
      <w:bookmarkStart w:id="173" w:name="_Toc125364410"/>
      <w:r>
        <w:t xml:space="preserve">Tablica </w:t>
      </w:r>
      <w:fldSimple w:instr=" SEQ Tablica \* ARABIC ">
        <w:r w:rsidR="00F37B62">
          <w:rPr>
            <w:noProof/>
          </w:rPr>
          <w:t>21</w:t>
        </w:r>
      </w:fldSimple>
      <w:bookmarkEnd w:id="172"/>
      <w:r>
        <w:t xml:space="preserve">. </w:t>
      </w:r>
      <w:r w:rsidRPr="00BC155F">
        <w:rPr>
          <w:b w:val="0"/>
          <w:bCs/>
        </w:rPr>
        <w:t>Pregled statusa i kapaciteta aktivnih odlagališta po županijama u 2021.</w:t>
      </w:r>
      <w:bookmarkEnd w:id="173"/>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029"/>
        <w:gridCol w:w="1928"/>
        <w:gridCol w:w="1597"/>
        <w:gridCol w:w="2392"/>
      </w:tblGrid>
      <w:tr w:rsidR="00BC155F" w:rsidRPr="005D369E" w14:paraId="64FEC4E4" w14:textId="77777777" w:rsidTr="00CC41BC">
        <w:trPr>
          <w:trHeight w:val="20"/>
          <w:tblHeader/>
        </w:trPr>
        <w:tc>
          <w:tcPr>
            <w:tcW w:w="2122" w:type="dxa"/>
            <w:shd w:val="clear" w:color="auto" w:fill="002060"/>
            <w:noWrap/>
            <w:vAlign w:val="center"/>
            <w:hideMark/>
          </w:tcPr>
          <w:p w14:paraId="44C1CE86" w14:textId="77777777" w:rsidR="00BC155F" w:rsidRPr="00D34CDD" w:rsidRDefault="00BC155F" w:rsidP="00CC41BC">
            <w:pPr>
              <w:spacing w:after="0" w:line="240" w:lineRule="auto"/>
              <w:jc w:val="center"/>
              <w:rPr>
                <w:rFonts w:eastAsia="Times New Roman" w:cstheme="minorHAnsi"/>
                <w:b/>
                <w:bCs/>
                <w:color w:val="FFFFFF" w:themeColor="background1"/>
                <w:sz w:val="18"/>
                <w:szCs w:val="18"/>
                <w:lang w:eastAsia="hr-HR"/>
              </w:rPr>
            </w:pPr>
            <w:r w:rsidRPr="00D34CDD">
              <w:rPr>
                <w:rFonts w:eastAsia="Times New Roman" w:cstheme="minorHAnsi"/>
                <w:b/>
                <w:bCs/>
                <w:color w:val="FFFFFF" w:themeColor="background1"/>
                <w:sz w:val="18"/>
                <w:szCs w:val="18"/>
                <w:lang w:eastAsia="hr-HR"/>
              </w:rPr>
              <w:t>Županija</w:t>
            </w:r>
          </w:p>
        </w:tc>
        <w:tc>
          <w:tcPr>
            <w:tcW w:w="1004" w:type="dxa"/>
            <w:shd w:val="clear" w:color="auto" w:fill="002060"/>
            <w:noWrap/>
            <w:vAlign w:val="center"/>
            <w:hideMark/>
          </w:tcPr>
          <w:p w14:paraId="5A1CCF9B" w14:textId="77777777" w:rsidR="00BC155F" w:rsidRPr="00D34CDD" w:rsidRDefault="00BC155F" w:rsidP="00CC41BC">
            <w:pPr>
              <w:spacing w:after="0" w:line="240" w:lineRule="auto"/>
              <w:jc w:val="center"/>
              <w:rPr>
                <w:rFonts w:eastAsia="Times New Roman" w:cstheme="minorHAnsi"/>
                <w:b/>
                <w:bCs/>
                <w:color w:val="FFFFFF" w:themeColor="background1"/>
                <w:sz w:val="18"/>
                <w:szCs w:val="18"/>
                <w:lang w:eastAsia="hr-HR"/>
              </w:rPr>
            </w:pPr>
            <w:r w:rsidRPr="00D34CDD">
              <w:rPr>
                <w:rFonts w:eastAsia="Times New Roman" w:cstheme="minorHAnsi"/>
                <w:b/>
                <w:bCs/>
                <w:color w:val="FFFFFF" w:themeColor="background1"/>
                <w:sz w:val="18"/>
                <w:szCs w:val="18"/>
                <w:lang w:eastAsia="hr-HR"/>
              </w:rPr>
              <w:t>Aktivna odlagališta</w:t>
            </w:r>
          </w:p>
        </w:tc>
        <w:tc>
          <w:tcPr>
            <w:tcW w:w="1928" w:type="dxa"/>
            <w:shd w:val="clear" w:color="auto" w:fill="002060"/>
            <w:noWrap/>
            <w:vAlign w:val="center"/>
            <w:hideMark/>
          </w:tcPr>
          <w:p w14:paraId="1E5560DA" w14:textId="77777777" w:rsidR="00BC155F" w:rsidRPr="00D34CDD" w:rsidRDefault="00BC155F" w:rsidP="00CC41BC">
            <w:pPr>
              <w:spacing w:after="0" w:line="240" w:lineRule="auto"/>
              <w:jc w:val="center"/>
              <w:rPr>
                <w:rFonts w:eastAsia="Times New Roman" w:cstheme="minorHAnsi"/>
                <w:b/>
                <w:bCs/>
                <w:color w:val="FFFFFF" w:themeColor="background1"/>
                <w:sz w:val="18"/>
                <w:szCs w:val="18"/>
                <w:lang w:eastAsia="hr-HR"/>
              </w:rPr>
            </w:pPr>
            <w:r w:rsidRPr="00D34CDD">
              <w:rPr>
                <w:rFonts w:eastAsia="Times New Roman" w:cstheme="minorHAnsi"/>
                <w:b/>
                <w:bCs/>
                <w:color w:val="FFFFFF" w:themeColor="background1"/>
                <w:sz w:val="18"/>
                <w:szCs w:val="18"/>
                <w:lang w:eastAsia="hr-HR"/>
              </w:rPr>
              <w:t>Aktivna odlagališta na koja se odlagao komunalni otpad</w:t>
            </w:r>
          </w:p>
        </w:tc>
        <w:tc>
          <w:tcPr>
            <w:tcW w:w="1604" w:type="dxa"/>
            <w:shd w:val="clear" w:color="auto" w:fill="002060"/>
          </w:tcPr>
          <w:p w14:paraId="4C71421E" w14:textId="77777777" w:rsidR="00BC155F" w:rsidRPr="00D34CDD" w:rsidRDefault="00BC155F" w:rsidP="00CC41BC">
            <w:pPr>
              <w:spacing w:after="0" w:line="240" w:lineRule="auto"/>
              <w:jc w:val="center"/>
              <w:rPr>
                <w:rFonts w:eastAsia="Times New Roman" w:cstheme="minorHAnsi"/>
                <w:b/>
                <w:bCs/>
                <w:color w:val="FFFFFF" w:themeColor="background1"/>
                <w:sz w:val="18"/>
                <w:szCs w:val="18"/>
                <w:lang w:eastAsia="hr-HR"/>
              </w:rPr>
            </w:pPr>
            <w:r w:rsidRPr="00D34CDD">
              <w:rPr>
                <w:rFonts w:eastAsia="Times New Roman" w:cstheme="minorHAnsi"/>
                <w:b/>
                <w:bCs/>
                <w:color w:val="FFFFFF" w:themeColor="background1"/>
                <w:sz w:val="18"/>
                <w:szCs w:val="18"/>
                <w:lang w:eastAsia="hr-HR"/>
              </w:rPr>
              <w:t>Preostali kapacitet svih aktivnih odlagališta (t)</w:t>
            </w:r>
          </w:p>
        </w:tc>
        <w:tc>
          <w:tcPr>
            <w:tcW w:w="2410" w:type="dxa"/>
            <w:shd w:val="clear" w:color="auto" w:fill="002060"/>
            <w:vAlign w:val="center"/>
          </w:tcPr>
          <w:p w14:paraId="30025835" w14:textId="77777777" w:rsidR="00BC155F" w:rsidRPr="00D34CDD" w:rsidRDefault="00BC155F" w:rsidP="00CC41BC">
            <w:pPr>
              <w:spacing w:after="0" w:line="240" w:lineRule="auto"/>
              <w:jc w:val="center"/>
              <w:rPr>
                <w:rFonts w:eastAsia="Times New Roman" w:cstheme="minorHAnsi"/>
                <w:b/>
                <w:bCs/>
                <w:color w:val="FFFFFF" w:themeColor="background1"/>
                <w:sz w:val="18"/>
                <w:szCs w:val="18"/>
                <w:lang w:eastAsia="hr-HR"/>
              </w:rPr>
            </w:pPr>
            <w:r w:rsidRPr="00D34CDD">
              <w:rPr>
                <w:rFonts w:eastAsia="Times New Roman" w:cstheme="minorHAnsi"/>
                <w:b/>
                <w:bCs/>
                <w:color w:val="FFFFFF" w:themeColor="background1"/>
                <w:sz w:val="18"/>
                <w:szCs w:val="18"/>
                <w:lang w:eastAsia="hr-HR"/>
              </w:rPr>
              <w:t>Preostali kapacitet aktivnih odlagališta na koja se odlagao komunalni otpad (t)</w:t>
            </w:r>
          </w:p>
        </w:tc>
      </w:tr>
      <w:tr w:rsidR="00BC155F" w:rsidRPr="005D369E" w14:paraId="0CA1994D" w14:textId="77777777" w:rsidTr="00CC41BC">
        <w:trPr>
          <w:trHeight w:val="20"/>
        </w:trPr>
        <w:tc>
          <w:tcPr>
            <w:tcW w:w="2122" w:type="dxa"/>
            <w:shd w:val="clear" w:color="auto" w:fill="auto"/>
            <w:noWrap/>
            <w:vAlign w:val="bottom"/>
            <w:hideMark/>
          </w:tcPr>
          <w:p w14:paraId="1CD43E4A" w14:textId="77777777" w:rsidR="00BC155F" w:rsidRPr="008A4607" w:rsidRDefault="00BC155F"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 xml:space="preserve">Bjelovarsko-bilogorska </w:t>
            </w:r>
          </w:p>
        </w:tc>
        <w:tc>
          <w:tcPr>
            <w:tcW w:w="1004" w:type="dxa"/>
            <w:shd w:val="clear" w:color="auto" w:fill="auto"/>
            <w:noWrap/>
            <w:vAlign w:val="bottom"/>
            <w:hideMark/>
          </w:tcPr>
          <w:p w14:paraId="15666019"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4</w:t>
            </w:r>
          </w:p>
        </w:tc>
        <w:tc>
          <w:tcPr>
            <w:tcW w:w="1928" w:type="dxa"/>
            <w:shd w:val="clear" w:color="auto" w:fill="auto"/>
            <w:noWrap/>
            <w:vAlign w:val="bottom"/>
            <w:hideMark/>
          </w:tcPr>
          <w:p w14:paraId="13814FF0"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4</w:t>
            </w:r>
          </w:p>
        </w:tc>
        <w:tc>
          <w:tcPr>
            <w:tcW w:w="1604" w:type="dxa"/>
            <w:shd w:val="clear" w:color="auto" w:fill="auto"/>
          </w:tcPr>
          <w:p w14:paraId="62E46E25"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217.630</w:t>
            </w:r>
          </w:p>
        </w:tc>
        <w:tc>
          <w:tcPr>
            <w:tcW w:w="2410" w:type="dxa"/>
            <w:shd w:val="clear" w:color="auto" w:fill="auto"/>
          </w:tcPr>
          <w:p w14:paraId="706277FA"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217.630</w:t>
            </w:r>
          </w:p>
        </w:tc>
      </w:tr>
      <w:tr w:rsidR="00BC155F" w:rsidRPr="005D369E" w14:paraId="1B4D44A9" w14:textId="77777777" w:rsidTr="00CC41BC">
        <w:trPr>
          <w:trHeight w:val="20"/>
        </w:trPr>
        <w:tc>
          <w:tcPr>
            <w:tcW w:w="2122" w:type="dxa"/>
            <w:shd w:val="clear" w:color="auto" w:fill="auto"/>
            <w:noWrap/>
            <w:vAlign w:val="bottom"/>
            <w:hideMark/>
          </w:tcPr>
          <w:p w14:paraId="2E82CC9B" w14:textId="77777777" w:rsidR="00BC155F" w:rsidRPr="008A4607" w:rsidRDefault="00BC155F"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lastRenderedPageBreak/>
              <w:t xml:space="preserve">Brodsko-posavska </w:t>
            </w:r>
          </w:p>
        </w:tc>
        <w:tc>
          <w:tcPr>
            <w:tcW w:w="1004" w:type="dxa"/>
            <w:shd w:val="clear" w:color="auto" w:fill="auto"/>
            <w:noWrap/>
            <w:vAlign w:val="bottom"/>
            <w:hideMark/>
          </w:tcPr>
          <w:p w14:paraId="6AF02189"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3</w:t>
            </w:r>
          </w:p>
        </w:tc>
        <w:tc>
          <w:tcPr>
            <w:tcW w:w="1928" w:type="dxa"/>
            <w:shd w:val="clear" w:color="auto" w:fill="auto"/>
            <w:noWrap/>
            <w:vAlign w:val="bottom"/>
            <w:hideMark/>
          </w:tcPr>
          <w:p w14:paraId="19436CB3"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3</w:t>
            </w:r>
          </w:p>
        </w:tc>
        <w:tc>
          <w:tcPr>
            <w:tcW w:w="1604" w:type="dxa"/>
            <w:shd w:val="clear" w:color="auto" w:fill="auto"/>
          </w:tcPr>
          <w:p w14:paraId="4AADC01B"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82.203</w:t>
            </w:r>
          </w:p>
        </w:tc>
        <w:tc>
          <w:tcPr>
            <w:tcW w:w="2410" w:type="dxa"/>
            <w:shd w:val="clear" w:color="auto" w:fill="auto"/>
          </w:tcPr>
          <w:p w14:paraId="06AFA4AD"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82.203</w:t>
            </w:r>
          </w:p>
        </w:tc>
      </w:tr>
      <w:tr w:rsidR="00BC155F" w:rsidRPr="005D369E" w14:paraId="36F79D3B" w14:textId="77777777" w:rsidTr="00CC41BC">
        <w:trPr>
          <w:trHeight w:val="20"/>
        </w:trPr>
        <w:tc>
          <w:tcPr>
            <w:tcW w:w="2122" w:type="dxa"/>
            <w:shd w:val="clear" w:color="auto" w:fill="auto"/>
            <w:noWrap/>
            <w:vAlign w:val="bottom"/>
            <w:hideMark/>
          </w:tcPr>
          <w:p w14:paraId="7E4FC9A1" w14:textId="4C98FAD6" w:rsidR="00BC155F" w:rsidRPr="008A4607" w:rsidRDefault="00023C19"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Dubrovačko</w:t>
            </w:r>
            <w:r w:rsidR="00BC155F" w:rsidRPr="008A4607">
              <w:rPr>
                <w:rFonts w:eastAsia="Times New Roman" w:cstheme="minorHAnsi"/>
                <w:sz w:val="18"/>
                <w:szCs w:val="18"/>
                <w:lang w:eastAsia="hr-HR"/>
              </w:rPr>
              <w:t xml:space="preserve">-neretvanska </w:t>
            </w:r>
          </w:p>
        </w:tc>
        <w:tc>
          <w:tcPr>
            <w:tcW w:w="1004" w:type="dxa"/>
            <w:shd w:val="clear" w:color="auto" w:fill="auto"/>
            <w:noWrap/>
            <w:vAlign w:val="bottom"/>
            <w:hideMark/>
          </w:tcPr>
          <w:p w14:paraId="55F71535"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6</w:t>
            </w:r>
          </w:p>
        </w:tc>
        <w:tc>
          <w:tcPr>
            <w:tcW w:w="1928" w:type="dxa"/>
            <w:shd w:val="clear" w:color="auto" w:fill="auto"/>
            <w:noWrap/>
            <w:vAlign w:val="bottom"/>
            <w:hideMark/>
          </w:tcPr>
          <w:p w14:paraId="02F56581"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6</w:t>
            </w:r>
          </w:p>
        </w:tc>
        <w:tc>
          <w:tcPr>
            <w:tcW w:w="1604" w:type="dxa"/>
            <w:shd w:val="clear" w:color="auto" w:fill="auto"/>
          </w:tcPr>
          <w:p w14:paraId="1B43B1C6"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135.249</w:t>
            </w:r>
          </w:p>
        </w:tc>
        <w:tc>
          <w:tcPr>
            <w:tcW w:w="2410" w:type="dxa"/>
            <w:shd w:val="clear" w:color="auto" w:fill="auto"/>
          </w:tcPr>
          <w:p w14:paraId="0F07BD58"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135.249</w:t>
            </w:r>
          </w:p>
        </w:tc>
      </w:tr>
      <w:tr w:rsidR="00BC155F" w:rsidRPr="005D369E" w14:paraId="2D7E81FA" w14:textId="77777777" w:rsidTr="00CC41BC">
        <w:trPr>
          <w:trHeight w:val="20"/>
        </w:trPr>
        <w:tc>
          <w:tcPr>
            <w:tcW w:w="2122" w:type="dxa"/>
            <w:shd w:val="clear" w:color="auto" w:fill="auto"/>
            <w:noWrap/>
            <w:vAlign w:val="bottom"/>
            <w:hideMark/>
          </w:tcPr>
          <w:p w14:paraId="5457A61E" w14:textId="77777777" w:rsidR="00BC155F" w:rsidRPr="008A4607" w:rsidRDefault="00BC155F"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Grad Zagreb</w:t>
            </w:r>
          </w:p>
        </w:tc>
        <w:tc>
          <w:tcPr>
            <w:tcW w:w="1004" w:type="dxa"/>
            <w:shd w:val="clear" w:color="auto" w:fill="auto"/>
            <w:noWrap/>
            <w:vAlign w:val="bottom"/>
            <w:hideMark/>
          </w:tcPr>
          <w:p w14:paraId="418CA3E4"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2</w:t>
            </w:r>
          </w:p>
        </w:tc>
        <w:tc>
          <w:tcPr>
            <w:tcW w:w="1928" w:type="dxa"/>
            <w:shd w:val="clear" w:color="auto" w:fill="auto"/>
            <w:noWrap/>
            <w:vAlign w:val="bottom"/>
            <w:hideMark/>
          </w:tcPr>
          <w:p w14:paraId="4B78373F"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1</w:t>
            </w:r>
          </w:p>
        </w:tc>
        <w:tc>
          <w:tcPr>
            <w:tcW w:w="1604" w:type="dxa"/>
            <w:shd w:val="clear" w:color="auto" w:fill="auto"/>
          </w:tcPr>
          <w:p w14:paraId="5DEC486C"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1.256.397</w:t>
            </w:r>
          </w:p>
        </w:tc>
        <w:tc>
          <w:tcPr>
            <w:tcW w:w="2410" w:type="dxa"/>
            <w:shd w:val="clear" w:color="auto" w:fill="auto"/>
          </w:tcPr>
          <w:p w14:paraId="4CA33D96"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1.256.397</w:t>
            </w:r>
          </w:p>
        </w:tc>
      </w:tr>
      <w:tr w:rsidR="00BC155F" w:rsidRPr="005D369E" w14:paraId="0B31DF20" w14:textId="77777777" w:rsidTr="00CC41BC">
        <w:trPr>
          <w:trHeight w:val="20"/>
        </w:trPr>
        <w:tc>
          <w:tcPr>
            <w:tcW w:w="2122" w:type="dxa"/>
            <w:shd w:val="clear" w:color="auto" w:fill="auto"/>
            <w:noWrap/>
            <w:vAlign w:val="bottom"/>
            <w:hideMark/>
          </w:tcPr>
          <w:p w14:paraId="694D2F88" w14:textId="77777777" w:rsidR="00BC155F" w:rsidRPr="008A4607" w:rsidRDefault="00BC155F"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 xml:space="preserve">Istarska </w:t>
            </w:r>
          </w:p>
        </w:tc>
        <w:tc>
          <w:tcPr>
            <w:tcW w:w="1004" w:type="dxa"/>
            <w:shd w:val="clear" w:color="auto" w:fill="auto"/>
            <w:noWrap/>
            <w:vAlign w:val="bottom"/>
            <w:hideMark/>
          </w:tcPr>
          <w:p w14:paraId="51255AD5"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6</w:t>
            </w:r>
          </w:p>
        </w:tc>
        <w:tc>
          <w:tcPr>
            <w:tcW w:w="1928" w:type="dxa"/>
            <w:shd w:val="clear" w:color="auto" w:fill="auto"/>
            <w:noWrap/>
            <w:vAlign w:val="bottom"/>
            <w:hideMark/>
          </w:tcPr>
          <w:p w14:paraId="211A82D6"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3</w:t>
            </w:r>
          </w:p>
        </w:tc>
        <w:tc>
          <w:tcPr>
            <w:tcW w:w="1604" w:type="dxa"/>
            <w:shd w:val="clear" w:color="auto" w:fill="auto"/>
          </w:tcPr>
          <w:p w14:paraId="1119FCF9"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768.040</w:t>
            </w:r>
          </w:p>
        </w:tc>
        <w:tc>
          <w:tcPr>
            <w:tcW w:w="2410" w:type="dxa"/>
            <w:shd w:val="clear" w:color="auto" w:fill="auto"/>
          </w:tcPr>
          <w:p w14:paraId="2D0A9CE6"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173.249</w:t>
            </w:r>
          </w:p>
        </w:tc>
      </w:tr>
      <w:tr w:rsidR="00BC155F" w:rsidRPr="005D369E" w14:paraId="46537894" w14:textId="77777777" w:rsidTr="00CC41BC">
        <w:trPr>
          <w:trHeight w:val="20"/>
        </w:trPr>
        <w:tc>
          <w:tcPr>
            <w:tcW w:w="2122" w:type="dxa"/>
            <w:shd w:val="clear" w:color="auto" w:fill="auto"/>
            <w:noWrap/>
            <w:vAlign w:val="bottom"/>
            <w:hideMark/>
          </w:tcPr>
          <w:p w14:paraId="1349919D" w14:textId="19A39512" w:rsidR="00BC155F" w:rsidRPr="008A4607" w:rsidRDefault="00023C19"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Karlovačka</w:t>
            </w:r>
            <w:r w:rsidR="00BC155F" w:rsidRPr="008A4607">
              <w:rPr>
                <w:rFonts w:eastAsia="Times New Roman" w:cstheme="minorHAnsi"/>
                <w:sz w:val="18"/>
                <w:szCs w:val="18"/>
                <w:lang w:eastAsia="hr-HR"/>
              </w:rPr>
              <w:t xml:space="preserve"> </w:t>
            </w:r>
          </w:p>
        </w:tc>
        <w:tc>
          <w:tcPr>
            <w:tcW w:w="1004" w:type="dxa"/>
            <w:shd w:val="clear" w:color="auto" w:fill="auto"/>
            <w:noWrap/>
            <w:vAlign w:val="bottom"/>
            <w:hideMark/>
          </w:tcPr>
          <w:p w14:paraId="0863F65A"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3</w:t>
            </w:r>
          </w:p>
        </w:tc>
        <w:tc>
          <w:tcPr>
            <w:tcW w:w="1928" w:type="dxa"/>
            <w:shd w:val="clear" w:color="auto" w:fill="auto"/>
            <w:noWrap/>
            <w:vAlign w:val="bottom"/>
            <w:hideMark/>
          </w:tcPr>
          <w:p w14:paraId="7DEE84A7"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3</w:t>
            </w:r>
          </w:p>
        </w:tc>
        <w:tc>
          <w:tcPr>
            <w:tcW w:w="1604" w:type="dxa"/>
            <w:shd w:val="clear" w:color="auto" w:fill="auto"/>
          </w:tcPr>
          <w:p w14:paraId="4263F015"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75.935</w:t>
            </w:r>
          </w:p>
        </w:tc>
        <w:tc>
          <w:tcPr>
            <w:tcW w:w="2410" w:type="dxa"/>
            <w:shd w:val="clear" w:color="auto" w:fill="auto"/>
          </w:tcPr>
          <w:p w14:paraId="0EFE2162"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75.935</w:t>
            </w:r>
          </w:p>
        </w:tc>
      </w:tr>
      <w:tr w:rsidR="00BC155F" w:rsidRPr="005D369E" w14:paraId="59ED1CC8" w14:textId="77777777" w:rsidTr="00CC41BC">
        <w:trPr>
          <w:trHeight w:val="20"/>
        </w:trPr>
        <w:tc>
          <w:tcPr>
            <w:tcW w:w="2122" w:type="dxa"/>
            <w:shd w:val="clear" w:color="auto" w:fill="auto"/>
            <w:noWrap/>
            <w:vAlign w:val="bottom"/>
            <w:hideMark/>
          </w:tcPr>
          <w:p w14:paraId="0B45A6A7" w14:textId="6C626855" w:rsidR="00BC155F" w:rsidRPr="008A4607" w:rsidRDefault="00023C19"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Koprivničko križevačka</w:t>
            </w:r>
            <w:r w:rsidR="00BC155F" w:rsidRPr="008A4607">
              <w:rPr>
                <w:rFonts w:eastAsia="Times New Roman" w:cstheme="minorHAnsi"/>
                <w:sz w:val="18"/>
                <w:szCs w:val="18"/>
                <w:lang w:eastAsia="hr-HR"/>
              </w:rPr>
              <w:t xml:space="preserve"> </w:t>
            </w:r>
          </w:p>
        </w:tc>
        <w:tc>
          <w:tcPr>
            <w:tcW w:w="1004" w:type="dxa"/>
            <w:shd w:val="clear" w:color="auto" w:fill="auto"/>
            <w:noWrap/>
            <w:vAlign w:val="bottom"/>
            <w:hideMark/>
          </w:tcPr>
          <w:p w14:paraId="0A1702D4"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4</w:t>
            </w:r>
          </w:p>
        </w:tc>
        <w:tc>
          <w:tcPr>
            <w:tcW w:w="1928" w:type="dxa"/>
            <w:shd w:val="clear" w:color="auto" w:fill="auto"/>
            <w:noWrap/>
            <w:vAlign w:val="bottom"/>
            <w:hideMark/>
          </w:tcPr>
          <w:p w14:paraId="2FD42E4C"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3</w:t>
            </w:r>
          </w:p>
        </w:tc>
        <w:tc>
          <w:tcPr>
            <w:tcW w:w="1604" w:type="dxa"/>
            <w:shd w:val="clear" w:color="auto" w:fill="auto"/>
          </w:tcPr>
          <w:p w14:paraId="7A00E4AF"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167.598</w:t>
            </w:r>
          </w:p>
        </w:tc>
        <w:tc>
          <w:tcPr>
            <w:tcW w:w="2410" w:type="dxa"/>
            <w:shd w:val="clear" w:color="auto" w:fill="auto"/>
          </w:tcPr>
          <w:p w14:paraId="0F520DEE"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127.679</w:t>
            </w:r>
          </w:p>
        </w:tc>
      </w:tr>
      <w:tr w:rsidR="00BC155F" w:rsidRPr="005D369E" w14:paraId="44F1E1AD" w14:textId="77777777" w:rsidTr="00CC41BC">
        <w:trPr>
          <w:trHeight w:val="20"/>
        </w:trPr>
        <w:tc>
          <w:tcPr>
            <w:tcW w:w="2122" w:type="dxa"/>
            <w:shd w:val="clear" w:color="auto" w:fill="auto"/>
            <w:noWrap/>
            <w:vAlign w:val="bottom"/>
            <w:hideMark/>
          </w:tcPr>
          <w:p w14:paraId="7875FCC5" w14:textId="77777777" w:rsidR="00BC155F" w:rsidRPr="008A4607" w:rsidRDefault="00BC155F"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 xml:space="preserve">Krapinsko-zagorska </w:t>
            </w:r>
          </w:p>
        </w:tc>
        <w:tc>
          <w:tcPr>
            <w:tcW w:w="1004" w:type="dxa"/>
            <w:shd w:val="clear" w:color="auto" w:fill="auto"/>
            <w:noWrap/>
            <w:vAlign w:val="bottom"/>
            <w:hideMark/>
          </w:tcPr>
          <w:p w14:paraId="616F02C8"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4</w:t>
            </w:r>
          </w:p>
        </w:tc>
        <w:tc>
          <w:tcPr>
            <w:tcW w:w="1928" w:type="dxa"/>
            <w:shd w:val="clear" w:color="auto" w:fill="auto"/>
            <w:noWrap/>
            <w:vAlign w:val="bottom"/>
            <w:hideMark/>
          </w:tcPr>
          <w:p w14:paraId="7ACA9E2D"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4</w:t>
            </w:r>
          </w:p>
        </w:tc>
        <w:tc>
          <w:tcPr>
            <w:tcW w:w="1604" w:type="dxa"/>
            <w:shd w:val="clear" w:color="auto" w:fill="auto"/>
          </w:tcPr>
          <w:p w14:paraId="4A23174A"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60.981</w:t>
            </w:r>
          </w:p>
        </w:tc>
        <w:tc>
          <w:tcPr>
            <w:tcW w:w="2410" w:type="dxa"/>
            <w:shd w:val="clear" w:color="auto" w:fill="auto"/>
          </w:tcPr>
          <w:p w14:paraId="3F413DEF"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60.981</w:t>
            </w:r>
          </w:p>
        </w:tc>
      </w:tr>
      <w:tr w:rsidR="00BC155F" w:rsidRPr="005D369E" w14:paraId="3AEAF079" w14:textId="77777777" w:rsidTr="00CC41BC">
        <w:trPr>
          <w:trHeight w:val="20"/>
        </w:trPr>
        <w:tc>
          <w:tcPr>
            <w:tcW w:w="2122" w:type="dxa"/>
            <w:shd w:val="clear" w:color="auto" w:fill="auto"/>
            <w:noWrap/>
            <w:vAlign w:val="bottom"/>
            <w:hideMark/>
          </w:tcPr>
          <w:p w14:paraId="0E6B7A40" w14:textId="41DF1976" w:rsidR="00BC155F" w:rsidRPr="008A4607" w:rsidRDefault="00023C19"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Ličko</w:t>
            </w:r>
            <w:r w:rsidR="00BC155F" w:rsidRPr="008A4607">
              <w:rPr>
                <w:rFonts w:eastAsia="Times New Roman" w:cstheme="minorHAnsi"/>
                <w:sz w:val="18"/>
                <w:szCs w:val="18"/>
                <w:lang w:eastAsia="hr-HR"/>
              </w:rPr>
              <w:t xml:space="preserve">-senjska </w:t>
            </w:r>
          </w:p>
        </w:tc>
        <w:tc>
          <w:tcPr>
            <w:tcW w:w="1004" w:type="dxa"/>
            <w:shd w:val="clear" w:color="auto" w:fill="auto"/>
            <w:noWrap/>
            <w:vAlign w:val="bottom"/>
            <w:hideMark/>
          </w:tcPr>
          <w:p w14:paraId="4C3D98E7"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5</w:t>
            </w:r>
          </w:p>
        </w:tc>
        <w:tc>
          <w:tcPr>
            <w:tcW w:w="1928" w:type="dxa"/>
            <w:shd w:val="clear" w:color="auto" w:fill="auto"/>
            <w:noWrap/>
            <w:vAlign w:val="bottom"/>
            <w:hideMark/>
          </w:tcPr>
          <w:p w14:paraId="721FC3D6"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5</w:t>
            </w:r>
          </w:p>
        </w:tc>
        <w:tc>
          <w:tcPr>
            <w:tcW w:w="1604" w:type="dxa"/>
            <w:shd w:val="clear" w:color="auto" w:fill="auto"/>
          </w:tcPr>
          <w:p w14:paraId="47A8D47D"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134.201</w:t>
            </w:r>
          </w:p>
        </w:tc>
        <w:tc>
          <w:tcPr>
            <w:tcW w:w="2410" w:type="dxa"/>
            <w:shd w:val="clear" w:color="auto" w:fill="auto"/>
          </w:tcPr>
          <w:p w14:paraId="32ECA10B"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134.201</w:t>
            </w:r>
          </w:p>
        </w:tc>
      </w:tr>
      <w:tr w:rsidR="00BC155F" w:rsidRPr="005D369E" w14:paraId="6901BFA8" w14:textId="77777777" w:rsidTr="00CC41BC">
        <w:trPr>
          <w:trHeight w:val="20"/>
        </w:trPr>
        <w:tc>
          <w:tcPr>
            <w:tcW w:w="2122" w:type="dxa"/>
            <w:shd w:val="clear" w:color="auto" w:fill="auto"/>
            <w:noWrap/>
            <w:vAlign w:val="bottom"/>
            <w:hideMark/>
          </w:tcPr>
          <w:p w14:paraId="621824C0" w14:textId="44F2BE98" w:rsidR="00BC155F" w:rsidRPr="008A4607" w:rsidRDefault="00023C19"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Međimurska</w:t>
            </w:r>
            <w:r w:rsidR="00BC155F" w:rsidRPr="008A4607">
              <w:rPr>
                <w:rFonts w:eastAsia="Times New Roman" w:cstheme="minorHAnsi"/>
                <w:sz w:val="18"/>
                <w:szCs w:val="18"/>
                <w:lang w:eastAsia="hr-HR"/>
              </w:rPr>
              <w:t xml:space="preserve"> </w:t>
            </w:r>
          </w:p>
        </w:tc>
        <w:tc>
          <w:tcPr>
            <w:tcW w:w="1004" w:type="dxa"/>
            <w:shd w:val="clear" w:color="auto" w:fill="auto"/>
            <w:noWrap/>
            <w:vAlign w:val="bottom"/>
            <w:hideMark/>
          </w:tcPr>
          <w:p w14:paraId="5346CEF0"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1</w:t>
            </w:r>
          </w:p>
        </w:tc>
        <w:tc>
          <w:tcPr>
            <w:tcW w:w="1928" w:type="dxa"/>
            <w:shd w:val="clear" w:color="auto" w:fill="auto"/>
            <w:noWrap/>
            <w:vAlign w:val="bottom"/>
            <w:hideMark/>
          </w:tcPr>
          <w:p w14:paraId="5E7DAA52"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1</w:t>
            </w:r>
          </w:p>
        </w:tc>
        <w:tc>
          <w:tcPr>
            <w:tcW w:w="1604" w:type="dxa"/>
            <w:shd w:val="clear" w:color="auto" w:fill="auto"/>
          </w:tcPr>
          <w:p w14:paraId="15FC0387"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10.300</w:t>
            </w:r>
          </w:p>
        </w:tc>
        <w:tc>
          <w:tcPr>
            <w:tcW w:w="2410" w:type="dxa"/>
            <w:shd w:val="clear" w:color="auto" w:fill="auto"/>
          </w:tcPr>
          <w:p w14:paraId="00200F90"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10.300</w:t>
            </w:r>
          </w:p>
        </w:tc>
      </w:tr>
      <w:tr w:rsidR="00BC155F" w:rsidRPr="005D369E" w14:paraId="4F0BCA4C" w14:textId="77777777" w:rsidTr="00CC41BC">
        <w:trPr>
          <w:trHeight w:val="20"/>
        </w:trPr>
        <w:tc>
          <w:tcPr>
            <w:tcW w:w="2122" w:type="dxa"/>
            <w:shd w:val="clear" w:color="auto" w:fill="auto"/>
            <w:noWrap/>
            <w:vAlign w:val="bottom"/>
            <w:hideMark/>
          </w:tcPr>
          <w:p w14:paraId="032280A7" w14:textId="59768505" w:rsidR="00BC155F" w:rsidRPr="008A4607" w:rsidRDefault="00023C19"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Osječko</w:t>
            </w:r>
            <w:r w:rsidR="00BC155F" w:rsidRPr="008A4607">
              <w:rPr>
                <w:rFonts w:eastAsia="Times New Roman" w:cstheme="minorHAnsi"/>
                <w:sz w:val="18"/>
                <w:szCs w:val="18"/>
                <w:lang w:eastAsia="hr-HR"/>
              </w:rPr>
              <w:t xml:space="preserve">-baranjska </w:t>
            </w:r>
          </w:p>
        </w:tc>
        <w:tc>
          <w:tcPr>
            <w:tcW w:w="1004" w:type="dxa"/>
            <w:shd w:val="clear" w:color="auto" w:fill="auto"/>
            <w:noWrap/>
            <w:vAlign w:val="bottom"/>
            <w:hideMark/>
          </w:tcPr>
          <w:p w14:paraId="5DAE48C1"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7</w:t>
            </w:r>
          </w:p>
        </w:tc>
        <w:tc>
          <w:tcPr>
            <w:tcW w:w="1928" w:type="dxa"/>
            <w:shd w:val="clear" w:color="auto" w:fill="auto"/>
            <w:noWrap/>
            <w:vAlign w:val="bottom"/>
            <w:hideMark/>
          </w:tcPr>
          <w:p w14:paraId="0229F5E7"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7</w:t>
            </w:r>
          </w:p>
        </w:tc>
        <w:tc>
          <w:tcPr>
            <w:tcW w:w="1604" w:type="dxa"/>
            <w:shd w:val="clear" w:color="auto" w:fill="auto"/>
          </w:tcPr>
          <w:p w14:paraId="1ECB449C"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279.657</w:t>
            </w:r>
          </w:p>
        </w:tc>
        <w:tc>
          <w:tcPr>
            <w:tcW w:w="2410" w:type="dxa"/>
            <w:shd w:val="clear" w:color="auto" w:fill="auto"/>
          </w:tcPr>
          <w:p w14:paraId="7713D629"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279.657</w:t>
            </w:r>
          </w:p>
        </w:tc>
      </w:tr>
      <w:tr w:rsidR="00BC155F" w:rsidRPr="005D369E" w14:paraId="50A91290" w14:textId="77777777" w:rsidTr="00CC41BC">
        <w:trPr>
          <w:trHeight w:val="20"/>
        </w:trPr>
        <w:tc>
          <w:tcPr>
            <w:tcW w:w="2122" w:type="dxa"/>
            <w:shd w:val="clear" w:color="auto" w:fill="auto"/>
            <w:noWrap/>
            <w:vAlign w:val="bottom"/>
            <w:hideMark/>
          </w:tcPr>
          <w:p w14:paraId="125C9290" w14:textId="77777777" w:rsidR="00BC155F" w:rsidRPr="008A4607" w:rsidRDefault="00BC155F"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 xml:space="preserve">Požeško-slavonska </w:t>
            </w:r>
          </w:p>
        </w:tc>
        <w:tc>
          <w:tcPr>
            <w:tcW w:w="1004" w:type="dxa"/>
            <w:shd w:val="clear" w:color="auto" w:fill="auto"/>
            <w:noWrap/>
            <w:vAlign w:val="bottom"/>
            <w:hideMark/>
          </w:tcPr>
          <w:p w14:paraId="046F66B2"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2</w:t>
            </w:r>
          </w:p>
        </w:tc>
        <w:tc>
          <w:tcPr>
            <w:tcW w:w="1928" w:type="dxa"/>
            <w:shd w:val="clear" w:color="auto" w:fill="auto"/>
            <w:noWrap/>
            <w:vAlign w:val="bottom"/>
            <w:hideMark/>
          </w:tcPr>
          <w:p w14:paraId="40C37FF9"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2</w:t>
            </w:r>
          </w:p>
        </w:tc>
        <w:tc>
          <w:tcPr>
            <w:tcW w:w="1604" w:type="dxa"/>
            <w:shd w:val="clear" w:color="auto" w:fill="auto"/>
          </w:tcPr>
          <w:p w14:paraId="27114DF9"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98.830</w:t>
            </w:r>
          </w:p>
        </w:tc>
        <w:tc>
          <w:tcPr>
            <w:tcW w:w="2410" w:type="dxa"/>
            <w:shd w:val="clear" w:color="auto" w:fill="auto"/>
          </w:tcPr>
          <w:p w14:paraId="5DE90D1E"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98.830</w:t>
            </w:r>
          </w:p>
        </w:tc>
      </w:tr>
      <w:tr w:rsidR="00BC155F" w:rsidRPr="005D369E" w14:paraId="270D139F" w14:textId="77777777" w:rsidTr="00CC41BC">
        <w:trPr>
          <w:trHeight w:val="20"/>
        </w:trPr>
        <w:tc>
          <w:tcPr>
            <w:tcW w:w="2122" w:type="dxa"/>
            <w:shd w:val="clear" w:color="auto" w:fill="auto"/>
            <w:noWrap/>
            <w:vAlign w:val="bottom"/>
            <w:hideMark/>
          </w:tcPr>
          <w:p w14:paraId="0139EFEA" w14:textId="77777777" w:rsidR="00BC155F" w:rsidRPr="008A4607" w:rsidRDefault="00BC155F"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 xml:space="preserve">Primorsko-goranska </w:t>
            </w:r>
          </w:p>
        </w:tc>
        <w:tc>
          <w:tcPr>
            <w:tcW w:w="1004" w:type="dxa"/>
            <w:shd w:val="clear" w:color="auto" w:fill="auto"/>
            <w:noWrap/>
            <w:vAlign w:val="bottom"/>
            <w:hideMark/>
          </w:tcPr>
          <w:p w14:paraId="26B59011"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5</w:t>
            </w:r>
          </w:p>
        </w:tc>
        <w:tc>
          <w:tcPr>
            <w:tcW w:w="1928" w:type="dxa"/>
            <w:shd w:val="clear" w:color="auto" w:fill="auto"/>
            <w:noWrap/>
            <w:vAlign w:val="bottom"/>
            <w:hideMark/>
          </w:tcPr>
          <w:p w14:paraId="1E64AE87"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5</w:t>
            </w:r>
          </w:p>
        </w:tc>
        <w:tc>
          <w:tcPr>
            <w:tcW w:w="1604" w:type="dxa"/>
            <w:shd w:val="clear" w:color="auto" w:fill="auto"/>
          </w:tcPr>
          <w:p w14:paraId="17882190"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1.676.566</w:t>
            </w:r>
          </w:p>
        </w:tc>
        <w:tc>
          <w:tcPr>
            <w:tcW w:w="2410" w:type="dxa"/>
            <w:shd w:val="clear" w:color="auto" w:fill="auto"/>
          </w:tcPr>
          <w:p w14:paraId="5C7C4918"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1.676.566</w:t>
            </w:r>
          </w:p>
        </w:tc>
      </w:tr>
      <w:tr w:rsidR="00BC155F" w:rsidRPr="005D369E" w14:paraId="002E5D9B" w14:textId="77777777" w:rsidTr="00CC41BC">
        <w:trPr>
          <w:trHeight w:val="20"/>
        </w:trPr>
        <w:tc>
          <w:tcPr>
            <w:tcW w:w="2122" w:type="dxa"/>
            <w:shd w:val="clear" w:color="auto" w:fill="auto"/>
            <w:noWrap/>
            <w:vAlign w:val="bottom"/>
            <w:hideMark/>
          </w:tcPr>
          <w:p w14:paraId="3BB67A27" w14:textId="2C597EE0" w:rsidR="00BC155F" w:rsidRPr="008A4607" w:rsidRDefault="00023C19"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Sisačko moslavačka</w:t>
            </w:r>
            <w:r w:rsidR="00BC155F" w:rsidRPr="008A4607">
              <w:rPr>
                <w:rFonts w:eastAsia="Times New Roman" w:cstheme="minorHAnsi"/>
                <w:sz w:val="18"/>
                <w:szCs w:val="18"/>
                <w:lang w:eastAsia="hr-HR"/>
              </w:rPr>
              <w:t xml:space="preserve"> </w:t>
            </w:r>
          </w:p>
        </w:tc>
        <w:tc>
          <w:tcPr>
            <w:tcW w:w="1004" w:type="dxa"/>
            <w:shd w:val="clear" w:color="auto" w:fill="auto"/>
            <w:noWrap/>
            <w:vAlign w:val="bottom"/>
            <w:hideMark/>
          </w:tcPr>
          <w:p w14:paraId="6278F744"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6</w:t>
            </w:r>
          </w:p>
        </w:tc>
        <w:tc>
          <w:tcPr>
            <w:tcW w:w="1928" w:type="dxa"/>
            <w:shd w:val="clear" w:color="auto" w:fill="auto"/>
            <w:noWrap/>
            <w:vAlign w:val="bottom"/>
            <w:hideMark/>
          </w:tcPr>
          <w:p w14:paraId="55B2E862"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5</w:t>
            </w:r>
          </w:p>
        </w:tc>
        <w:tc>
          <w:tcPr>
            <w:tcW w:w="1604" w:type="dxa"/>
            <w:shd w:val="clear" w:color="auto" w:fill="auto"/>
          </w:tcPr>
          <w:p w14:paraId="4B89DB08"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6.303.557</w:t>
            </w:r>
          </w:p>
        </w:tc>
        <w:tc>
          <w:tcPr>
            <w:tcW w:w="2410" w:type="dxa"/>
            <w:shd w:val="clear" w:color="auto" w:fill="auto"/>
          </w:tcPr>
          <w:p w14:paraId="02A49D2C"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116.936</w:t>
            </w:r>
          </w:p>
        </w:tc>
      </w:tr>
      <w:tr w:rsidR="00BC155F" w:rsidRPr="005D369E" w14:paraId="74BC9D13" w14:textId="77777777" w:rsidTr="00CC41BC">
        <w:trPr>
          <w:trHeight w:val="20"/>
        </w:trPr>
        <w:tc>
          <w:tcPr>
            <w:tcW w:w="2122" w:type="dxa"/>
            <w:shd w:val="clear" w:color="auto" w:fill="auto"/>
            <w:noWrap/>
            <w:vAlign w:val="bottom"/>
            <w:hideMark/>
          </w:tcPr>
          <w:p w14:paraId="0DC9B4C4" w14:textId="77777777" w:rsidR="00BC155F" w:rsidRPr="008A4607" w:rsidRDefault="00BC155F"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 xml:space="preserve">Splitsko-dalmatinska </w:t>
            </w:r>
          </w:p>
        </w:tc>
        <w:tc>
          <w:tcPr>
            <w:tcW w:w="1004" w:type="dxa"/>
            <w:shd w:val="clear" w:color="auto" w:fill="auto"/>
            <w:noWrap/>
            <w:vAlign w:val="bottom"/>
            <w:hideMark/>
          </w:tcPr>
          <w:p w14:paraId="0E28892F"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10</w:t>
            </w:r>
          </w:p>
        </w:tc>
        <w:tc>
          <w:tcPr>
            <w:tcW w:w="1928" w:type="dxa"/>
            <w:shd w:val="clear" w:color="auto" w:fill="auto"/>
            <w:noWrap/>
            <w:vAlign w:val="bottom"/>
            <w:hideMark/>
          </w:tcPr>
          <w:p w14:paraId="44238C51"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10</w:t>
            </w:r>
          </w:p>
        </w:tc>
        <w:tc>
          <w:tcPr>
            <w:tcW w:w="1604" w:type="dxa"/>
            <w:shd w:val="clear" w:color="auto" w:fill="auto"/>
          </w:tcPr>
          <w:p w14:paraId="22CADAC4"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626.520</w:t>
            </w:r>
          </w:p>
        </w:tc>
        <w:tc>
          <w:tcPr>
            <w:tcW w:w="2410" w:type="dxa"/>
            <w:shd w:val="clear" w:color="auto" w:fill="auto"/>
          </w:tcPr>
          <w:p w14:paraId="5B3754CA"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626.520</w:t>
            </w:r>
          </w:p>
        </w:tc>
      </w:tr>
      <w:tr w:rsidR="00BC155F" w:rsidRPr="005D369E" w14:paraId="6145B894" w14:textId="77777777" w:rsidTr="00CC41BC">
        <w:trPr>
          <w:trHeight w:val="20"/>
        </w:trPr>
        <w:tc>
          <w:tcPr>
            <w:tcW w:w="2122" w:type="dxa"/>
            <w:shd w:val="clear" w:color="auto" w:fill="auto"/>
            <w:noWrap/>
            <w:vAlign w:val="bottom"/>
            <w:hideMark/>
          </w:tcPr>
          <w:p w14:paraId="02E2DDFD" w14:textId="77777777" w:rsidR="00BC155F" w:rsidRPr="008A4607" w:rsidRDefault="00BC155F"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 xml:space="preserve">Šibensko-kninska </w:t>
            </w:r>
          </w:p>
        </w:tc>
        <w:tc>
          <w:tcPr>
            <w:tcW w:w="1004" w:type="dxa"/>
            <w:shd w:val="clear" w:color="auto" w:fill="auto"/>
            <w:noWrap/>
            <w:vAlign w:val="bottom"/>
            <w:hideMark/>
          </w:tcPr>
          <w:p w14:paraId="546ADE98"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3</w:t>
            </w:r>
          </w:p>
        </w:tc>
        <w:tc>
          <w:tcPr>
            <w:tcW w:w="1928" w:type="dxa"/>
            <w:shd w:val="clear" w:color="auto" w:fill="auto"/>
            <w:noWrap/>
            <w:vAlign w:val="bottom"/>
            <w:hideMark/>
          </w:tcPr>
          <w:p w14:paraId="22EA4317"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2</w:t>
            </w:r>
          </w:p>
        </w:tc>
        <w:tc>
          <w:tcPr>
            <w:tcW w:w="1604" w:type="dxa"/>
            <w:shd w:val="clear" w:color="auto" w:fill="auto"/>
          </w:tcPr>
          <w:p w14:paraId="101C99FB"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89.274</w:t>
            </w:r>
          </w:p>
        </w:tc>
        <w:tc>
          <w:tcPr>
            <w:tcW w:w="2410" w:type="dxa"/>
            <w:shd w:val="clear" w:color="auto" w:fill="auto"/>
          </w:tcPr>
          <w:p w14:paraId="344BF6BE"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78.500</w:t>
            </w:r>
          </w:p>
        </w:tc>
      </w:tr>
      <w:tr w:rsidR="00BC155F" w:rsidRPr="005D369E" w14:paraId="4F7F2DBD" w14:textId="77777777" w:rsidTr="00CC41BC">
        <w:trPr>
          <w:trHeight w:val="20"/>
        </w:trPr>
        <w:tc>
          <w:tcPr>
            <w:tcW w:w="2122" w:type="dxa"/>
            <w:shd w:val="clear" w:color="auto" w:fill="auto"/>
            <w:noWrap/>
            <w:vAlign w:val="bottom"/>
            <w:hideMark/>
          </w:tcPr>
          <w:p w14:paraId="4AC6F2A3" w14:textId="77777777" w:rsidR="00BC155F" w:rsidRPr="008A4607" w:rsidRDefault="00BC155F"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 xml:space="preserve">Varaždinska </w:t>
            </w:r>
          </w:p>
        </w:tc>
        <w:tc>
          <w:tcPr>
            <w:tcW w:w="1004" w:type="dxa"/>
            <w:shd w:val="clear" w:color="auto" w:fill="auto"/>
            <w:noWrap/>
            <w:vAlign w:val="bottom"/>
            <w:hideMark/>
          </w:tcPr>
          <w:p w14:paraId="4D572E22"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1</w:t>
            </w:r>
          </w:p>
        </w:tc>
        <w:tc>
          <w:tcPr>
            <w:tcW w:w="1928" w:type="dxa"/>
            <w:shd w:val="clear" w:color="auto" w:fill="auto"/>
            <w:noWrap/>
            <w:vAlign w:val="bottom"/>
            <w:hideMark/>
          </w:tcPr>
          <w:p w14:paraId="24919CCE"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1</w:t>
            </w:r>
          </w:p>
        </w:tc>
        <w:tc>
          <w:tcPr>
            <w:tcW w:w="1604" w:type="dxa"/>
            <w:shd w:val="clear" w:color="auto" w:fill="auto"/>
          </w:tcPr>
          <w:p w14:paraId="01394522"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34.571</w:t>
            </w:r>
          </w:p>
        </w:tc>
        <w:tc>
          <w:tcPr>
            <w:tcW w:w="2410" w:type="dxa"/>
            <w:shd w:val="clear" w:color="auto" w:fill="auto"/>
          </w:tcPr>
          <w:p w14:paraId="0D1DE8F8"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34.571</w:t>
            </w:r>
          </w:p>
        </w:tc>
      </w:tr>
      <w:tr w:rsidR="00BC155F" w:rsidRPr="005D369E" w14:paraId="5D5C180D" w14:textId="77777777" w:rsidTr="00CC41BC">
        <w:trPr>
          <w:trHeight w:val="20"/>
        </w:trPr>
        <w:tc>
          <w:tcPr>
            <w:tcW w:w="2122" w:type="dxa"/>
            <w:shd w:val="clear" w:color="auto" w:fill="auto"/>
            <w:noWrap/>
            <w:vAlign w:val="bottom"/>
            <w:hideMark/>
          </w:tcPr>
          <w:p w14:paraId="5D0A811D" w14:textId="139308F8" w:rsidR="00BC155F" w:rsidRPr="008A4607" w:rsidRDefault="00023C19"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Virovitičko</w:t>
            </w:r>
            <w:r w:rsidR="00BC155F" w:rsidRPr="008A4607">
              <w:rPr>
                <w:rFonts w:eastAsia="Times New Roman" w:cstheme="minorHAnsi"/>
                <w:sz w:val="18"/>
                <w:szCs w:val="18"/>
                <w:lang w:eastAsia="hr-HR"/>
              </w:rPr>
              <w:t xml:space="preserve">-podravska </w:t>
            </w:r>
          </w:p>
        </w:tc>
        <w:tc>
          <w:tcPr>
            <w:tcW w:w="1004" w:type="dxa"/>
            <w:shd w:val="clear" w:color="auto" w:fill="auto"/>
            <w:noWrap/>
            <w:vAlign w:val="bottom"/>
            <w:hideMark/>
          </w:tcPr>
          <w:p w14:paraId="770828C6"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3</w:t>
            </w:r>
          </w:p>
        </w:tc>
        <w:tc>
          <w:tcPr>
            <w:tcW w:w="1928" w:type="dxa"/>
            <w:shd w:val="clear" w:color="auto" w:fill="auto"/>
            <w:noWrap/>
            <w:vAlign w:val="bottom"/>
            <w:hideMark/>
          </w:tcPr>
          <w:p w14:paraId="0F111BB5"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3</w:t>
            </w:r>
          </w:p>
        </w:tc>
        <w:tc>
          <w:tcPr>
            <w:tcW w:w="1604" w:type="dxa"/>
            <w:shd w:val="clear" w:color="auto" w:fill="auto"/>
          </w:tcPr>
          <w:p w14:paraId="1E60B843"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46.970</w:t>
            </w:r>
          </w:p>
        </w:tc>
        <w:tc>
          <w:tcPr>
            <w:tcW w:w="2410" w:type="dxa"/>
            <w:shd w:val="clear" w:color="auto" w:fill="auto"/>
          </w:tcPr>
          <w:p w14:paraId="7F899D14"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46.970</w:t>
            </w:r>
          </w:p>
        </w:tc>
      </w:tr>
      <w:tr w:rsidR="00BC155F" w:rsidRPr="005D369E" w14:paraId="604BBEFF" w14:textId="77777777" w:rsidTr="00CC41BC">
        <w:trPr>
          <w:trHeight w:val="20"/>
        </w:trPr>
        <w:tc>
          <w:tcPr>
            <w:tcW w:w="2122" w:type="dxa"/>
            <w:shd w:val="clear" w:color="auto" w:fill="auto"/>
            <w:noWrap/>
            <w:vAlign w:val="bottom"/>
            <w:hideMark/>
          </w:tcPr>
          <w:p w14:paraId="31139A71" w14:textId="77777777" w:rsidR="00BC155F" w:rsidRPr="008A4607" w:rsidRDefault="00BC155F"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 xml:space="preserve">Vukovarsko-srijemska </w:t>
            </w:r>
          </w:p>
        </w:tc>
        <w:tc>
          <w:tcPr>
            <w:tcW w:w="1004" w:type="dxa"/>
            <w:shd w:val="clear" w:color="auto" w:fill="auto"/>
            <w:noWrap/>
            <w:vAlign w:val="bottom"/>
            <w:hideMark/>
          </w:tcPr>
          <w:p w14:paraId="5818B438"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3</w:t>
            </w:r>
          </w:p>
        </w:tc>
        <w:tc>
          <w:tcPr>
            <w:tcW w:w="1928" w:type="dxa"/>
            <w:shd w:val="clear" w:color="auto" w:fill="auto"/>
            <w:noWrap/>
            <w:vAlign w:val="bottom"/>
            <w:hideMark/>
          </w:tcPr>
          <w:p w14:paraId="46C6BA03"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3</w:t>
            </w:r>
          </w:p>
        </w:tc>
        <w:tc>
          <w:tcPr>
            <w:tcW w:w="1604" w:type="dxa"/>
            <w:shd w:val="clear" w:color="auto" w:fill="auto"/>
          </w:tcPr>
          <w:p w14:paraId="50DACD9F"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54.002</w:t>
            </w:r>
          </w:p>
        </w:tc>
        <w:tc>
          <w:tcPr>
            <w:tcW w:w="2410" w:type="dxa"/>
            <w:shd w:val="clear" w:color="auto" w:fill="auto"/>
          </w:tcPr>
          <w:p w14:paraId="750F2001"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54.002</w:t>
            </w:r>
          </w:p>
        </w:tc>
      </w:tr>
      <w:tr w:rsidR="00BC155F" w:rsidRPr="005D369E" w14:paraId="5B80F29E" w14:textId="77777777" w:rsidTr="00CC41BC">
        <w:trPr>
          <w:trHeight w:val="20"/>
        </w:trPr>
        <w:tc>
          <w:tcPr>
            <w:tcW w:w="2122" w:type="dxa"/>
            <w:shd w:val="clear" w:color="auto" w:fill="auto"/>
            <w:noWrap/>
            <w:vAlign w:val="bottom"/>
            <w:hideMark/>
          </w:tcPr>
          <w:p w14:paraId="54EB278F" w14:textId="77777777" w:rsidR="00BC155F" w:rsidRPr="008A4607" w:rsidRDefault="00BC155F"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 xml:space="preserve">Zadarska </w:t>
            </w:r>
          </w:p>
        </w:tc>
        <w:tc>
          <w:tcPr>
            <w:tcW w:w="1004" w:type="dxa"/>
            <w:shd w:val="clear" w:color="auto" w:fill="auto"/>
            <w:noWrap/>
            <w:vAlign w:val="bottom"/>
            <w:hideMark/>
          </w:tcPr>
          <w:p w14:paraId="5C597A81" w14:textId="77777777" w:rsidR="00BC155F" w:rsidRPr="008A4607" w:rsidRDefault="00BC155F" w:rsidP="00CC41BC">
            <w:pPr>
              <w:spacing w:after="0" w:line="240" w:lineRule="auto"/>
              <w:jc w:val="right"/>
              <w:rPr>
                <w:rFonts w:eastAsia="Times New Roman" w:cstheme="minorHAnsi"/>
                <w:sz w:val="18"/>
                <w:szCs w:val="18"/>
                <w:lang w:eastAsia="hr-HR"/>
              </w:rPr>
            </w:pPr>
            <w:r w:rsidRPr="005D369E">
              <w:rPr>
                <w:rFonts w:eastAsia="Times New Roman" w:cstheme="minorHAnsi"/>
                <w:sz w:val="18"/>
                <w:szCs w:val="18"/>
                <w:lang w:eastAsia="hr-HR"/>
              </w:rPr>
              <w:t>5</w:t>
            </w:r>
          </w:p>
        </w:tc>
        <w:tc>
          <w:tcPr>
            <w:tcW w:w="1928" w:type="dxa"/>
            <w:shd w:val="clear" w:color="auto" w:fill="auto"/>
            <w:noWrap/>
            <w:vAlign w:val="bottom"/>
            <w:hideMark/>
          </w:tcPr>
          <w:p w14:paraId="6FBD93BB"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4</w:t>
            </w:r>
          </w:p>
        </w:tc>
        <w:tc>
          <w:tcPr>
            <w:tcW w:w="1604" w:type="dxa"/>
            <w:shd w:val="clear" w:color="auto" w:fill="auto"/>
          </w:tcPr>
          <w:p w14:paraId="56D96A36"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2.809.478</w:t>
            </w:r>
          </w:p>
        </w:tc>
        <w:tc>
          <w:tcPr>
            <w:tcW w:w="2410" w:type="dxa"/>
            <w:shd w:val="clear" w:color="auto" w:fill="auto"/>
          </w:tcPr>
          <w:p w14:paraId="6DCC8E6E"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2.809.478</w:t>
            </w:r>
          </w:p>
        </w:tc>
      </w:tr>
      <w:tr w:rsidR="00BC155F" w:rsidRPr="005D369E" w14:paraId="7E8D7D6D" w14:textId="77777777" w:rsidTr="00CC41BC">
        <w:trPr>
          <w:trHeight w:val="20"/>
        </w:trPr>
        <w:tc>
          <w:tcPr>
            <w:tcW w:w="2122" w:type="dxa"/>
            <w:shd w:val="clear" w:color="auto" w:fill="auto"/>
            <w:noWrap/>
            <w:vAlign w:val="bottom"/>
            <w:hideMark/>
          </w:tcPr>
          <w:p w14:paraId="7CE87D86" w14:textId="49330382" w:rsidR="00BC155F" w:rsidRPr="008A4607" w:rsidRDefault="00023C19"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Zagrebačka</w:t>
            </w:r>
            <w:r w:rsidR="00BC155F" w:rsidRPr="008A4607">
              <w:rPr>
                <w:rFonts w:eastAsia="Times New Roman" w:cstheme="minorHAnsi"/>
                <w:sz w:val="18"/>
                <w:szCs w:val="18"/>
                <w:lang w:eastAsia="hr-HR"/>
              </w:rPr>
              <w:t xml:space="preserve"> </w:t>
            </w:r>
          </w:p>
        </w:tc>
        <w:tc>
          <w:tcPr>
            <w:tcW w:w="1004" w:type="dxa"/>
            <w:shd w:val="clear" w:color="auto" w:fill="auto"/>
            <w:noWrap/>
            <w:vAlign w:val="bottom"/>
            <w:hideMark/>
          </w:tcPr>
          <w:p w14:paraId="7E246D9E"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5</w:t>
            </w:r>
          </w:p>
        </w:tc>
        <w:tc>
          <w:tcPr>
            <w:tcW w:w="1928" w:type="dxa"/>
            <w:shd w:val="clear" w:color="auto" w:fill="auto"/>
            <w:noWrap/>
            <w:vAlign w:val="bottom"/>
            <w:hideMark/>
          </w:tcPr>
          <w:p w14:paraId="568E54FC"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5</w:t>
            </w:r>
          </w:p>
        </w:tc>
        <w:tc>
          <w:tcPr>
            <w:tcW w:w="1604" w:type="dxa"/>
            <w:shd w:val="clear" w:color="auto" w:fill="auto"/>
          </w:tcPr>
          <w:p w14:paraId="2D5F3ADD"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1.696.809</w:t>
            </w:r>
          </w:p>
        </w:tc>
        <w:tc>
          <w:tcPr>
            <w:tcW w:w="2410" w:type="dxa"/>
            <w:shd w:val="clear" w:color="auto" w:fill="auto"/>
          </w:tcPr>
          <w:p w14:paraId="3961F8AB"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1.696.809</w:t>
            </w:r>
          </w:p>
        </w:tc>
      </w:tr>
      <w:tr w:rsidR="00BC155F" w:rsidRPr="00023C19" w14:paraId="2ED67EF3" w14:textId="77777777" w:rsidTr="00CC41BC">
        <w:trPr>
          <w:trHeight w:val="20"/>
        </w:trPr>
        <w:tc>
          <w:tcPr>
            <w:tcW w:w="2122" w:type="dxa"/>
            <w:shd w:val="clear" w:color="auto" w:fill="auto"/>
            <w:noWrap/>
            <w:vAlign w:val="bottom"/>
            <w:hideMark/>
          </w:tcPr>
          <w:p w14:paraId="1511BF7A" w14:textId="77777777" w:rsidR="00BC155F" w:rsidRPr="00023C19" w:rsidRDefault="00BC155F" w:rsidP="00CC41BC">
            <w:pPr>
              <w:spacing w:after="0" w:line="240" w:lineRule="auto"/>
              <w:jc w:val="left"/>
              <w:rPr>
                <w:rFonts w:eastAsia="Times New Roman" w:cstheme="minorHAnsi"/>
                <w:b/>
                <w:bCs/>
                <w:sz w:val="18"/>
                <w:szCs w:val="18"/>
                <w:lang w:eastAsia="hr-HR"/>
              </w:rPr>
            </w:pPr>
            <w:r w:rsidRPr="00023C19">
              <w:rPr>
                <w:rFonts w:eastAsia="Times New Roman" w:cstheme="minorHAnsi"/>
                <w:b/>
                <w:bCs/>
                <w:sz w:val="18"/>
                <w:szCs w:val="18"/>
                <w:lang w:eastAsia="hr-HR"/>
              </w:rPr>
              <w:t>Ukupno</w:t>
            </w:r>
          </w:p>
        </w:tc>
        <w:tc>
          <w:tcPr>
            <w:tcW w:w="1004" w:type="dxa"/>
            <w:shd w:val="clear" w:color="auto" w:fill="auto"/>
            <w:noWrap/>
            <w:vAlign w:val="bottom"/>
            <w:hideMark/>
          </w:tcPr>
          <w:p w14:paraId="64EB6EFB" w14:textId="77777777" w:rsidR="00BC155F" w:rsidRPr="00023C19" w:rsidRDefault="00BC155F" w:rsidP="00CC41BC">
            <w:pPr>
              <w:spacing w:after="0" w:line="240" w:lineRule="auto"/>
              <w:jc w:val="right"/>
              <w:rPr>
                <w:rFonts w:eastAsia="Times New Roman" w:cstheme="minorHAnsi"/>
                <w:b/>
                <w:bCs/>
                <w:sz w:val="18"/>
                <w:szCs w:val="18"/>
                <w:lang w:eastAsia="hr-HR"/>
              </w:rPr>
            </w:pPr>
            <w:r w:rsidRPr="00023C19">
              <w:rPr>
                <w:rFonts w:eastAsia="Times New Roman" w:cstheme="minorHAnsi"/>
                <w:b/>
                <w:bCs/>
                <w:sz w:val="18"/>
                <w:szCs w:val="18"/>
                <w:lang w:eastAsia="hr-HR"/>
              </w:rPr>
              <w:t>88</w:t>
            </w:r>
          </w:p>
        </w:tc>
        <w:tc>
          <w:tcPr>
            <w:tcW w:w="1928" w:type="dxa"/>
            <w:shd w:val="clear" w:color="auto" w:fill="auto"/>
            <w:noWrap/>
            <w:vAlign w:val="bottom"/>
            <w:hideMark/>
          </w:tcPr>
          <w:p w14:paraId="370D6DD9" w14:textId="77777777" w:rsidR="00BC155F" w:rsidRPr="00023C19" w:rsidRDefault="00BC155F" w:rsidP="00CC41BC">
            <w:pPr>
              <w:spacing w:after="0" w:line="240" w:lineRule="auto"/>
              <w:jc w:val="right"/>
              <w:rPr>
                <w:rFonts w:eastAsia="Times New Roman" w:cstheme="minorHAnsi"/>
                <w:b/>
                <w:bCs/>
                <w:sz w:val="18"/>
                <w:szCs w:val="18"/>
                <w:lang w:eastAsia="hr-HR"/>
              </w:rPr>
            </w:pPr>
            <w:r w:rsidRPr="00023C19">
              <w:rPr>
                <w:rFonts w:eastAsia="Times New Roman" w:cstheme="minorHAnsi"/>
                <w:b/>
                <w:bCs/>
                <w:sz w:val="18"/>
                <w:szCs w:val="18"/>
                <w:lang w:eastAsia="hr-HR"/>
              </w:rPr>
              <w:t>80</w:t>
            </w:r>
          </w:p>
        </w:tc>
        <w:tc>
          <w:tcPr>
            <w:tcW w:w="1604" w:type="dxa"/>
            <w:shd w:val="clear" w:color="auto" w:fill="auto"/>
          </w:tcPr>
          <w:p w14:paraId="193BEF6E" w14:textId="77777777" w:rsidR="00BC155F" w:rsidRPr="00023C19" w:rsidRDefault="00BC155F" w:rsidP="00CC41BC">
            <w:pPr>
              <w:spacing w:after="0" w:line="240" w:lineRule="auto"/>
              <w:jc w:val="right"/>
              <w:rPr>
                <w:rFonts w:eastAsia="Times New Roman" w:cstheme="minorHAnsi"/>
                <w:b/>
                <w:bCs/>
                <w:sz w:val="18"/>
                <w:szCs w:val="18"/>
                <w:lang w:eastAsia="hr-HR"/>
              </w:rPr>
            </w:pPr>
            <w:r w:rsidRPr="00023C19">
              <w:rPr>
                <w:rFonts w:cstheme="minorHAnsi"/>
                <w:b/>
                <w:bCs/>
                <w:sz w:val="18"/>
                <w:szCs w:val="18"/>
              </w:rPr>
              <w:t>16.624.770</w:t>
            </w:r>
          </w:p>
        </w:tc>
        <w:tc>
          <w:tcPr>
            <w:tcW w:w="2410" w:type="dxa"/>
            <w:shd w:val="clear" w:color="auto" w:fill="auto"/>
          </w:tcPr>
          <w:p w14:paraId="2B5D2162" w14:textId="77777777" w:rsidR="00BC155F" w:rsidRPr="00023C19" w:rsidRDefault="00BC155F" w:rsidP="00CC41BC">
            <w:pPr>
              <w:spacing w:after="0" w:line="240" w:lineRule="auto"/>
              <w:jc w:val="right"/>
              <w:rPr>
                <w:rFonts w:eastAsia="Times New Roman" w:cstheme="minorHAnsi"/>
                <w:b/>
                <w:bCs/>
                <w:sz w:val="18"/>
                <w:szCs w:val="18"/>
                <w:lang w:eastAsia="hr-HR"/>
              </w:rPr>
            </w:pPr>
            <w:r w:rsidRPr="00023C19">
              <w:rPr>
                <w:rFonts w:cstheme="minorHAnsi"/>
                <w:b/>
                <w:bCs/>
                <w:sz w:val="18"/>
                <w:szCs w:val="18"/>
              </w:rPr>
              <w:t>9.792.665</w:t>
            </w:r>
          </w:p>
        </w:tc>
      </w:tr>
    </w:tbl>
    <w:p w14:paraId="75D0FBA7" w14:textId="77777777" w:rsidR="00BC155F" w:rsidRPr="00E20C73" w:rsidRDefault="00BC155F" w:rsidP="00BC155F">
      <w:pPr>
        <w:jc w:val="right"/>
        <w:rPr>
          <w:sz w:val="20"/>
          <w:szCs w:val="20"/>
        </w:rPr>
      </w:pPr>
      <w:r w:rsidRPr="00E20C73">
        <w:rPr>
          <w:sz w:val="20"/>
          <w:szCs w:val="20"/>
        </w:rPr>
        <w:t>Izvor: MINGOR</w:t>
      </w:r>
    </w:p>
    <w:p w14:paraId="6D532B87" w14:textId="6FB84311" w:rsidR="00BC155F" w:rsidRPr="00190C21" w:rsidRDefault="00BC155F" w:rsidP="00BC155F">
      <w:r w:rsidRPr="001C7310">
        <w:t xml:space="preserve">Kontinuirano se radi na unapređenju sustava praćenja ispunjavanja propisanih ciljeva i na provođenju mjera u svrhu smanjenja odlaganja otpada, čemu ide u prilog i donošenje Odluke o redoslijedu i dinamici zatvaranja odlagališta (NN 3/19, 17/19). Odlukom je, između ostaloga, određen raspored i dinamika zatvaranja odlagališta neopasnog otpada po županijama koja su se trebala zatvoriti do 31. 12. 2018. godine. </w:t>
      </w:r>
      <w:r w:rsidR="00196E33">
        <w:t>S</w:t>
      </w:r>
      <w:r w:rsidR="00196E33" w:rsidRPr="001C7310">
        <w:t xml:space="preserve">vih 26 planiranih odlagališta zatvoreno je </w:t>
      </w:r>
      <w:r w:rsidR="00196E33">
        <w:t>d</w:t>
      </w:r>
      <w:r w:rsidRPr="001C7310">
        <w:t xml:space="preserve">o kraja </w:t>
      </w:r>
      <w:r w:rsidR="00196E33" w:rsidRPr="001C7310">
        <w:t>202</w:t>
      </w:r>
      <w:r w:rsidR="00196E33">
        <w:t>0</w:t>
      </w:r>
      <w:r w:rsidRPr="001C7310">
        <w:t xml:space="preserve">. godine. </w:t>
      </w:r>
    </w:p>
    <w:p w14:paraId="2AB9CF9B" w14:textId="7D78E8E0" w:rsidR="00BC155F" w:rsidRPr="001C7310" w:rsidRDefault="00BC155F" w:rsidP="00BC155F">
      <w:r w:rsidRPr="001C7310">
        <w:t xml:space="preserve">Sanacija odlagališta se provodi kontinuirano i zadovoljavajućom dinamikom. U prilog tome ide podatak da je sanacija ili završena ili je u tijeku na više od 79 % svih službenih odlagališta na području RH, dok </w:t>
      </w:r>
      <w:r w:rsidR="00196E33">
        <w:t>j</w:t>
      </w:r>
      <w:r w:rsidRPr="001C7310">
        <w:t>e na preostalim odlagalištima</w:t>
      </w:r>
      <w:r w:rsidR="00196E33">
        <w:t xml:space="preserve"> sanacija u</w:t>
      </w:r>
      <w:r w:rsidRPr="001C7310">
        <w:t xml:space="preserve"> priprem</w:t>
      </w:r>
      <w:r w:rsidR="00196E33">
        <w:t>i</w:t>
      </w:r>
      <w:r w:rsidRPr="001C7310">
        <w:t>.</w:t>
      </w:r>
    </w:p>
    <w:p w14:paraId="355E4700" w14:textId="4BD95762" w:rsidR="00BC155F" w:rsidRPr="001C7310" w:rsidRDefault="00BC155F" w:rsidP="00BC155F">
      <w:r w:rsidRPr="001C7310">
        <w:t>Vezano za mjere zaštite okoliša koje se provode na odlagalištima i opremljenost odlagališta, bitno je istaknuti da se na većini odlagališta koja su bila aktivna tijekom 2021. godine provodi ravnanje, zbijanje i prekrivanja</w:t>
      </w:r>
      <w:r w:rsidR="00196E33">
        <w:t xml:space="preserve"> otpada</w:t>
      </w:r>
      <w:r w:rsidRPr="001C7310">
        <w:t xml:space="preserve"> (95 % odlagališta), oko 70 % aktivnih odlagališta raspolaže sustavom odvodnje </w:t>
      </w:r>
      <w:proofErr w:type="spellStart"/>
      <w:r w:rsidRPr="001C7310">
        <w:t>procjednih</w:t>
      </w:r>
      <w:proofErr w:type="spellEnd"/>
      <w:r w:rsidRPr="001C7310">
        <w:t xml:space="preserve"> voda, te oko 60 % ima sustav otplinjavanja.</w:t>
      </w:r>
    </w:p>
    <w:p w14:paraId="7CD68EBB" w14:textId="77777777" w:rsidR="00BC155F" w:rsidRDefault="00BC155F" w:rsidP="00BC155F">
      <w:pPr>
        <w:rPr>
          <w:color w:val="FF0000"/>
        </w:rPr>
      </w:pPr>
      <w:r w:rsidRPr="001C7310">
        <w:t>Kako bi se smanjile količine otpada koje se odlažu i dostigli propisani ciljevi za smanjenje odlaganja biorazgradivog komunalnog otpada, svakako je potrebno u narednom razdoblju intenzivirati već postojeću provedbu mjera usmjerenih na odvojeno prikupljanje komunalnog otpada te opremanje i izgradnju infrastrukture za recikliranje komunalnog otpada.</w:t>
      </w:r>
    </w:p>
    <w:p w14:paraId="79DDB4CE" w14:textId="0E6F2A6F" w:rsidR="002252F5" w:rsidRPr="00BC155F" w:rsidRDefault="00C6612D" w:rsidP="00CF16ED">
      <w:pPr>
        <w:pStyle w:val="IRNaslov3"/>
        <w:numPr>
          <w:ilvl w:val="2"/>
          <w:numId w:val="22"/>
        </w:numPr>
        <w:ind w:left="1418"/>
        <w:rPr>
          <w:rStyle w:val="zadanifontodlomka-000023"/>
          <w:rFonts w:asciiTheme="minorHAnsi" w:hAnsiTheme="minorHAnsi"/>
          <w:color w:val="auto"/>
          <w:szCs w:val="26"/>
        </w:rPr>
      </w:pPr>
      <w:bookmarkStart w:id="174" w:name="_Toc123211645"/>
      <w:r w:rsidRPr="00BC155F">
        <w:rPr>
          <w:rStyle w:val="zadanifontodlomka-000023"/>
          <w:rFonts w:asciiTheme="minorHAnsi" w:hAnsiTheme="minorHAnsi"/>
          <w:color w:val="auto"/>
          <w:szCs w:val="26"/>
        </w:rPr>
        <w:t>Postojeći sustavi za gospodarenje otpadom</w:t>
      </w:r>
      <w:bookmarkEnd w:id="174"/>
    </w:p>
    <w:p w14:paraId="0639D295" w14:textId="77777777" w:rsidR="0018450E" w:rsidRPr="0018450E" w:rsidRDefault="0018450E" w:rsidP="0018450E">
      <w:pPr>
        <w:pStyle w:val="Odlomakpopisa"/>
        <w:numPr>
          <w:ilvl w:val="0"/>
          <w:numId w:val="42"/>
        </w:numPr>
        <w:spacing w:before="360" w:after="240"/>
        <w:rPr>
          <w:b/>
          <w:vanish/>
          <w:sz w:val="24"/>
          <w:szCs w:val="24"/>
        </w:rPr>
      </w:pPr>
    </w:p>
    <w:p w14:paraId="6D122510" w14:textId="77777777" w:rsidR="0018450E" w:rsidRPr="0018450E" w:rsidRDefault="0018450E" w:rsidP="0018450E">
      <w:pPr>
        <w:pStyle w:val="Odlomakpopisa"/>
        <w:numPr>
          <w:ilvl w:val="1"/>
          <w:numId w:val="42"/>
        </w:numPr>
        <w:spacing w:before="360" w:after="240"/>
        <w:rPr>
          <w:b/>
          <w:vanish/>
          <w:sz w:val="24"/>
          <w:szCs w:val="24"/>
        </w:rPr>
      </w:pPr>
    </w:p>
    <w:p w14:paraId="59292AED" w14:textId="77777777" w:rsidR="0018450E" w:rsidRPr="0018450E" w:rsidRDefault="0018450E" w:rsidP="0018450E">
      <w:pPr>
        <w:pStyle w:val="Odlomakpopisa"/>
        <w:numPr>
          <w:ilvl w:val="1"/>
          <w:numId w:val="42"/>
        </w:numPr>
        <w:spacing w:before="360" w:after="240"/>
        <w:rPr>
          <w:b/>
          <w:vanish/>
          <w:sz w:val="24"/>
          <w:szCs w:val="24"/>
        </w:rPr>
      </w:pPr>
    </w:p>
    <w:p w14:paraId="68CCDEDA" w14:textId="77777777" w:rsidR="0018450E" w:rsidRPr="0018450E" w:rsidRDefault="0018450E" w:rsidP="0018450E">
      <w:pPr>
        <w:pStyle w:val="Odlomakpopisa"/>
        <w:numPr>
          <w:ilvl w:val="1"/>
          <w:numId w:val="42"/>
        </w:numPr>
        <w:spacing w:before="360" w:after="240"/>
        <w:rPr>
          <w:b/>
          <w:vanish/>
          <w:sz w:val="24"/>
          <w:szCs w:val="24"/>
        </w:rPr>
      </w:pPr>
    </w:p>
    <w:p w14:paraId="6A90E1D9" w14:textId="77777777" w:rsidR="0018450E" w:rsidRPr="0018450E" w:rsidRDefault="0018450E" w:rsidP="0018450E">
      <w:pPr>
        <w:pStyle w:val="Odlomakpopisa"/>
        <w:numPr>
          <w:ilvl w:val="2"/>
          <w:numId w:val="42"/>
        </w:numPr>
        <w:spacing w:before="360" w:after="240"/>
        <w:rPr>
          <w:b/>
          <w:vanish/>
          <w:sz w:val="24"/>
          <w:szCs w:val="24"/>
        </w:rPr>
      </w:pPr>
    </w:p>
    <w:p w14:paraId="3B6739A2" w14:textId="77777777" w:rsidR="0018450E" w:rsidRPr="0018450E" w:rsidRDefault="0018450E" w:rsidP="0018450E">
      <w:pPr>
        <w:pStyle w:val="Odlomakpopisa"/>
        <w:numPr>
          <w:ilvl w:val="2"/>
          <w:numId w:val="42"/>
        </w:numPr>
        <w:spacing w:before="360" w:after="240"/>
        <w:rPr>
          <w:b/>
          <w:vanish/>
          <w:sz w:val="24"/>
          <w:szCs w:val="24"/>
        </w:rPr>
      </w:pPr>
    </w:p>
    <w:p w14:paraId="22E6ECCC" w14:textId="7E141725" w:rsidR="002252F5" w:rsidRPr="00D058ED" w:rsidRDefault="00BC155F" w:rsidP="0018450E">
      <w:pPr>
        <w:pStyle w:val="IRNaslov4"/>
        <w:ind w:left="851" w:hanging="284"/>
        <w:rPr>
          <w:sz w:val="24"/>
        </w:rPr>
      </w:pPr>
      <w:r w:rsidRPr="00D058ED">
        <w:rPr>
          <w:sz w:val="24"/>
        </w:rPr>
        <w:t>Građevni otpad</w:t>
      </w:r>
    </w:p>
    <w:p w14:paraId="574B0DFD" w14:textId="77777777" w:rsidR="001B566B" w:rsidRDefault="001B566B" w:rsidP="001B566B">
      <w:pPr>
        <w:spacing w:after="0"/>
      </w:pPr>
      <w:r w:rsidRPr="0097142E">
        <w:t>Usporedba podataka o prijavljenom nastalom građevnom otpadu s podacima gospodarskih i drugih</w:t>
      </w:r>
      <w:r>
        <w:t xml:space="preserve"> </w:t>
      </w:r>
      <w:r w:rsidRPr="0097142E">
        <w:t>pokazatelja za sektor građevinarstva kontinuirano ukazuje na nedovoljno poznavanje tokova</w:t>
      </w:r>
      <w:r>
        <w:t xml:space="preserve"> </w:t>
      </w:r>
      <w:r w:rsidRPr="0097142E">
        <w:t>građevnog otpada i potrebu da se osigura kvalitetnija provedba sustava gospodarenja ove posebne</w:t>
      </w:r>
      <w:r>
        <w:t xml:space="preserve"> </w:t>
      </w:r>
      <w:r w:rsidRPr="0097142E">
        <w:lastRenderedPageBreak/>
        <w:t>kategorije otpada, a usporedno s time i unaprjeđenje kvalitete podataka, prvenstveno za miješane</w:t>
      </w:r>
      <w:r>
        <w:t xml:space="preserve"> </w:t>
      </w:r>
      <w:r w:rsidRPr="0097142E">
        <w:t>vrste otpada (otpad od rušenja, šuta), koje se u nekim područjima RH slabije prijavljuju. Uzrok se, osim</w:t>
      </w:r>
      <w:r>
        <w:t xml:space="preserve"> </w:t>
      </w:r>
      <w:r w:rsidRPr="0097142E">
        <w:t>nedovoljne informiranosti obveznika, može objasniti nedostatkom ili nedostatnim kapacitetima za</w:t>
      </w:r>
      <w:r>
        <w:t xml:space="preserve"> </w:t>
      </w:r>
      <w:r w:rsidRPr="0097142E">
        <w:t>obradu građevnog otpada na određenim područjima, što u konačnici rezultira značajnim udjelom</w:t>
      </w:r>
      <w:r>
        <w:t xml:space="preserve"> </w:t>
      </w:r>
      <w:r w:rsidRPr="0097142E">
        <w:t>otpada koji nije zbrinut u skladu s izdanim dozvolama, koji na taj način ostaje neevidentiran u</w:t>
      </w:r>
      <w:r>
        <w:t xml:space="preserve"> službenom sustavu. </w:t>
      </w:r>
      <w:r w:rsidRPr="0097142E">
        <w:t>Poboljšanja se očekuju tek s rješavanjem problema nedostatne infrastrukture,</w:t>
      </w:r>
      <w:r>
        <w:t xml:space="preserve"> </w:t>
      </w:r>
      <w:r w:rsidRPr="0097142E">
        <w:t>odnosno pojačanim inspekcijskim nadzorom, pri čemu napore trebaju uložiti svi sudionici sustava</w:t>
      </w:r>
      <w:r>
        <w:t xml:space="preserve"> </w:t>
      </w:r>
      <w:r w:rsidRPr="0097142E">
        <w:t>gospodarenja građevnim otpadom.</w:t>
      </w:r>
    </w:p>
    <w:p w14:paraId="2805296B" w14:textId="756483CA" w:rsidR="001B566B" w:rsidRDefault="001B566B" w:rsidP="001B566B">
      <w:pPr>
        <w:spacing w:after="0"/>
      </w:pPr>
      <w:r w:rsidRPr="0097142E">
        <w:t xml:space="preserve">Ukupno 300-tinjak tvrtki posjeduje dozvolu za obradu tj. </w:t>
      </w:r>
      <w:proofErr w:type="spellStart"/>
      <w:r w:rsidRPr="0097142E">
        <w:t>predobradu</w:t>
      </w:r>
      <w:proofErr w:type="spellEnd"/>
      <w:r w:rsidRPr="0097142E">
        <w:t>, oporabu ili zbrinjavanje</w:t>
      </w:r>
      <w:r>
        <w:t xml:space="preserve"> </w:t>
      </w:r>
      <w:r w:rsidRPr="0097142E">
        <w:t xml:space="preserve">građevnog otpada. Obrada građevnog otpada provodi se na oko </w:t>
      </w:r>
      <w:r>
        <w:t xml:space="preserve">190 </w:t>
      </w:r>
      <w:r w:rsidRPr="0097142E">
        <w:t>lokacija, najviše na području</w:t>
      </w:r>
      <w:r>
        <w:t xml:space="preserve"> </w:t>
      </w:r>
      <w:r w:rsidRPr="0097142E">
        <w:t xml:space="preserve">Grada Zagreba, Zagrebačke županije, Varaždinske županije </w:t>
      </w:r>
      <w:r w:rsidRPr="00AD3E6D">
        <w:t>i Osječko-baranjske</w:t>
      </w:r>
      <w:r w:rsidRPr="00F6365F">
        <w:t xml:space="preserve"> </w:t>
      </w:r>
      <w:r w:rsidRPr="0097142E">
        <w:t>županije, a najmanje</w:t>
      </w:r>
      <w:r>
        <w:t xml:space="preserve"> </w:t>
      </w:r>
      <w:r w:rsidRPr="0097142E">
        <w:t>na području Ličko-senjske</w:t>
      </w:r>
      <w:r w:rsidRPr="00F6365F">
        <w:t xml:space="preserve"> </w:t>
      </w:r>
      <w:r w:rsidRPr="0097142E">
        <w:t>županije</w:t>
      </w:r>
      <w:r>
        <w:t>, Požeško-slavonske</w:t>
      </w:r>
      <w:r w:rsidRPr="00F6365F">
        <w:t xml:space="preserve"> </w:t>
      </w:r>
      <w:r w:rsidRPr="0097142E">
        <w:t>županije i Virovitičko-podravske županije.</w:t>
      </w:r>
      <w:r>
        <w:t xml:space="preserve"> </w:t>
      </w:r>
    </w:p>
    <w:p w14:paraId="6912BA98" w14:textId="77777777" w:rsidR="001B566B" w:rsidRDefault="001B566B" w:rsidP="001B566B">
      <w:pPr>
        <w:spacing w:after="0"/>
      </w:pPr>
    </w:p>
    <w:p w14:paraId="0E8D596D" w14:textId="77777777" w:rsidR="001B566B" w:rsidRDefault="001B566B" w:rsidP="001B566B">
      <w:pPr>
        <w:spacing w:after="0"/>
        <w:rPr>
          <w:rFonts w:ascii="Calibri" w:hAnsi="Calibri" w:cs="Calibri"/>
        </w:rPr>
      </w:pPr>
      <w:r w:rsidRPr="000E77D1">
        <w:t>Najveći udio dozvola odnosi se na otpadne metale, zatim na beton, cigle, crijep/pločice i keramiku te na zemlju (uključujući iskopanu zemlju s onečišćenih lokacija), kamenje i otpad od jaružanja.</w:t>
      </w:r>
      <w:r>
        <w:t xml:space="preserve"> </w:t>
      </w:r>
      <w:r>
        <w:rPr>
          <w:rFonts w:ascii="Calibri" w:hAnsi="Calibri" w:cs="Calibri"/>
        </w:rPr>
        <w:t xml:space="preserve">Dozvolu za neki od postupaka materijalne oporabe građevnog otpada (ne računajući postupke </w:t>
      </w:r>
      <w:proofErr w:type="spellStart"/>
      <w:r>
        <w:rPr>
          <w:rFonts w:ascii="Calibri" w:hAnsi="Calibri" w:cs="Calibri"/>
        </w:rPr>
        <w:t>predobrade</w:t>
      </w:r>
      <w:proofErr w:type="spellEnd"/>
      <w:r>
        <w:rPr>
          <w:rFonts w:ascii="Calibri" w:hAnsi="Calibri" w:cs="Calibri"/>
        </w:rPr>
        <w:t>) ishodilo je 200-tinjak tvrtki. U nekim županijama potrebno je osigurati dodatne kapacitete za obradu pojedinih vrsta otpada, primarno mineralnog neopasnog građevnog otpada.</w:t>
      </w:r>
    </w:p>
    <w:p w14:paraId="5FAC55E8" w14:textId="77777777" w:rsidR="001B566B" w:rsidRDefault="001B566B" w:rsidP="001B566B">
      <w:pPr>
        <w:autoSpaceDE w:val="0"/>
        <w:autoSpaceDN w:val="0"/>
        <w:adjustRightInd w:val="0"/>
        <w:spacing w:after="0" w:line="240" w:lineRule="auto"/>
        <w:rPr>
          <w:rFonts w:ascii="Calibri" w:hAnsi="Calibri" w:cs="Calibri"/>
        </w:rPr>
      </w:pPr>
    </w:p>
    <w:p w14:paraId="4F3A9218" w14:textId="50D05AB5" w:rsidR="00F555DB" w:rsidRPr="00F555DB" w:rsidRDefault="001B566B" w:rsidP="001B566B">
      <w:r w:rsidRPr="00210003">
        <w:rPr>
          <w:rFonts w:ascii="Calibri" w:hAnsi="Calibri" w:cs="Calibri"/>
        </w:rPr>
        <w:t>U 202</w:t>
      </w:r>
      <w:r>
        <w:rPr>
          <w:rFonts w:ascii="Calibri" w:hAnsi="Calibri" w:cs="Calibri"/>
        </w:rPr>
        <w:t>1</w:t>
      </w:r>
      <w:r w:rsidRPr="00210003">
        <w:rPr>
          <w:rFonts w:ascii="Calibri" w:hAnsi="Calibri" w:cs="Calibri"/>
        </w:rPr>
        <w:t xml:space="preserve">. godini </w:t>
      </w:r>
      <w:r w:rsidRPr="00A4565A">
        <w:rPr>
          <w:rFonts w:eastAsia="Times New Roman" w:cs="Times New Roman"/>
          <w:szCs w:val="24"/>
          <w:lang w:eastAsia="hr-HR"/>
        </w:rPr>
        <w:t>identificiran</w:t>
      </w:r>
      <w:r>
        <w:rPr>
          <w:rFonts w:eastAsia="Times New Roman" w:cs="Times New Roman"/>
          <w:szCs w:val="24"/>
          <w:lang w:eastAsia="hr-HR"/>
        </w:rPr>
        <w:t>o</w:t>
      </w:r>
      <w:r w:rsidRPr="00A4565A">
        <w:rPr>
          <w:rFonts w:eastAsia="Times New Roman" w:cs="Times New Roman"/>
          <w:szCs w:val="24"/>
          <w:lang w:eastAsia="hr-HR"/>
        </w:rPr>
        <w:t xml:space="preserve"> </w:t>
      </w:r>
      <w:r>
        <w:rPr>
          <w:rFonts w:eastAsia="Times New Roman" w:cs="Times New Roman"/>
          <w:szCs w:val="24"/>
          <w:lang w:eastAsia="hr-HR"/>
        </w:rPr>
        <w:t>je</w:t>
      </w:r>
      <w:r w:rsidRPr="00A4565A">
        <w:rPr>
          <w:rFonts w:eastAsia="Times New Roman" w:cs="Times New Roman"/>
          <w:szCs w:val="24"/>
          <w:lang w:eastAsia="hr-HR"/>
        </w:rPr>
        <w:t xml:space="preserve"> ukupno 45 uređaja drobilica koje su namijenjene obradi mineralnog građevnog otpada</w:t>
      </w:r>
      <w:r w:rsidRPr="00F6365F">
        <w:rPr>
          <w:rFonts w:ascii="Calibri" w:hAnsi="Calibri" w:cs="Calibri"/>
        </w:rPr>
        <w:t>.</w:t>
      </w:r>
    </w:p>
    <w:p w14:paraId="73C698F5" w14:textId="7DCCE51A" w:rsidR="00C6612D" w:rsidRPr="00D058ED" w:rsidRDefault="00BC155F" w:rsidP="0018450E">
      <w:pPr>
        <w:pStyle w:val="IRNaslov4"/>
        <w:ind w:left="1418" w:hanging="851"/>
        <w:rPr>
          <w:sz w:val="24"/>
        </w:rPr>
      </w:pPr>
      <w:r w:rsidRPr="00D058ED">
        <w:rPr>
          <w:sz w:val="24"/>
        </w:rPr>
        <w:t>Građevni otpad koji sadrži azbest</w:t>
      </w:r>
    </w:p>
    <w:p w14:paraId="579DAC4F" w14:textId="77777777" w:rsidR="001B566B" w:rsidRPr="0097142E" w:rsidRDefault="001B566B" w:rsidP="001B566B">
      <w:r w:rsidRPr="0097142E">
        <w:t>Za potrebe zbrinjavanja građevnog otpada koji sadrži azbest (postupak D5 – odlaganje otpada na</w:t>
      </w:r>
      <w:r>
        <w:t xml:space="preserve"> </w:t>
      </w:r>
      <w:r w:rsidRPr="0097142E">
        <w:t>posebno pripremljeno odlagalište (odlaganje u povezane komore koje su zatvorene i izolirane jedna</w:t>
      </w:r>
      <w:r>
        <w:t xml:space="preserve">  </w:t>
      </w:r>
      <w:r w:rsidRPr="0097142E">
        <w:t>od druge i od okoliša itd.), izgrađene su kazete na prostoru 18 odabranih odlagališta otpada</w:t>
      </w:r>
      <w:r>
        <w:t xml:space="preserve">. </w:t>
      </w:r>
      <w:r w:rsidRPr="0097142E">
        <w:t>Ukupni kapacitet svih 18 izgrađenih kazeta iznosi oko 87.100 m</w:t>
      </w:r>
      <w:r w:rsidRPr="00170AB2">
        <w:rPr>
          <w:vertAlign w:val="superscript"/>
        </w:rPr>
        <w:t>3</w:t>
      </w:r>
      <w:r w:rsidRPr="0097142E">
        <w:t>.</w:t>
      </w:r>
    </w:p>
    <w:p w14:paraId="56E82E56" w14:textId="77777777" w:rsidR="001B566B" w:rsidRPr="0097142E" w:rsidRDefault="001B566B" w:rsidP="001B566B">
      <w:r w:rsidRPr="0097142E">
        <w:t>Intenzitet punjenja kazeta smanjuje se nakon 2016. godine, kada prestaje sufinanciranje sustava</w:t>
      </w:r>
      <w:r>
        <w:t xml:space="preserve"> </w:t>
      </w:r>
      <w:r w:rsidRPr="0097142E">
        <w:t>sakupljanja u sustavu FZOEU.</w:t>
      </w:r>
    </w:p>
    <w:p w14:paraId="244678B4" w14:textId="77777777" w:rsidR="001B566B" w:rsidRPr="0097142E" w:rsidRDefault="001B566B" w:rsidP="001B566B">
      <w:r w:rsidRPr="0097142E">
        <w:t xml:space="preserve">U nekim županijama se na nekima od izgrađenih kazeta otpad ne zbrinjava. Riječ je o </w:t>
      </w:r>
      <w:r>
        <w:t xml:space="preserve">ukupno 12 kazeta na području: </w:t>
      </w:r>
      <w:r w:rsidRPr="0097142E">
        <w:t>Međimursk</w:t>
      </w:r>
      <w:r>
        <w:t xml:space="preserve">e </w:t>
      </w:r>
      <w:r w:rsidRPr="0097142E">
        <w:t>županij</w:t>
      </w:r>
      <w:r>
        <w:t>e</w:t>
      </w:r>
      <w:r w:rsidRPr="0097142E">
        <w:t>, Ličko-senjsk</w:t>
      </w:r>
      <w:r>
        <w:t>e</w:t>
      </w:r>
      <w:r w:rsidRPr="0097142E">
        <w:t xml:space="preserve"> županij</w:t>
      </w:r>
      <w:r>
        <w:t>e</w:t>
      </w:r>
      <w:r w:rsidRPr="0097142E">
        <w:t xml:space="preserve"> (zapunjena), Bjelovarsko-bilogorsk</w:t>
      </w:r>
      <w:r>
        <w:t>e</w:t>
      </w:r>
      <w:r w:rsidRPr="0097142E">
        <w:t xml:space="preserve"> županij</w:t>
      </w:r>
      <w:r>
        <w:t>e</w:t>
      </w:r>
      <w:r w:rsidRPr="0097142E">
        <w:t>, Vukovarsko-srijemsk</w:t>
      </w:r>
      <w:r>
        <w:t xml:space="preserve">e </w:t>
      </w:r>
      <w:r w:rsidRPr="0097142E">
        <w:t>županij</w:t>
      </w:r>
      <w:r>
        <w:t>e</w:t>
      </w:r>
      <w:r w:rsidRPr="0097142E">
        <w:t>, Virovitičko-podravsk</w:t>
      </w:r>
      <w:r>
        <w:t>e</w:t>
      </w:r>
      <w:r w:rsidRPr="0097142E">
        <w:t xml:space="preserve"> županij</w:t>
      </w:r>
      <w:r>
        <w:t>e</w:t>
      </w:r>
      <w:r w:rsidRPr="0097142E">
        <w:t>, Brodsko-posavsk</w:t>
      </w:r>
      <w:r>
        <w:t xml:space="preserve">e </w:t>
      </w:r>
      <w:r w:rsidRPr="0097142E">
        <w:t>županij</w:t>
      </w:r>
      <w:r>
        <w:t>e</w:t>
      </w:r>
      <w:r w:rsidRPr="0097142E">
        <w:t>, Primorsko-goransk</w:t>
      </w:r>
      <w:r>
        <w:t>e</w:t>
      </w:r>
      <w:r w:rsidRPr="0097142E">
        <w:t xml:space="preserve"> županij</w:t>
      </w:r>
      <w:r>
        <w:t>e</w:t>
      </w:r>
      <w:r w:rsidRPr="0097142E">
        <w:t xml:space="preserve"> i</w:t>
      </w:r>
      <w:r>
        <w:t xml:space="preserve"> </w:t>
      </w:r>
      <w:r w:rsidRPr="0097142E">
        <w:t>Gradu Zagrebu.</w:t>
      </w:r>
    </w:p>
    <w:p w14:paraId="3E91549A" w14:textId="77777777" w:rsidR="001B566B" w:rsidRPr="00603AA2" w:rsidRDefault="001B566B" w:rsidP="001B566B">
      <w:r w:rsidRPr="0097142E">
        <w:t xml:space="preserve">Tijekom 2021. godine, građevni otpad koji sadrži azbest </w:t>
      </w:r>
      <w:r>
        <w:t>zbrinut</w:t>
      </w:r>
      <w:r w:rsidRPr="0097142E">
        <w:t xml:space="preserve"> je na šest kazeta na prostoru šest</w:t>
      </w:r>
      <w:r>
        <w:t xml:space="preserve"> </w:t>
      </w:r>
      <w:r w:rsidRPr="0097142E">
        <w:t>županija: Koprivničko-križevačke</w:t>
      </w:r>
      <w:r w:rsidRPr="00603AA2">
        <w:t xml:space="preserve"> </w:t>
      </w:r>
      <w:r w:rsidRPr="0097142E">
        <w:t>županije, Dubrovačko-neretvanske</w:t>
      </w:r>
      <w:r w:rsidRPr="00603AA2">
        <w:t xml:space="preserve"> </w:t>
      </w:r>
      <w:r w:rsidRPr="0097142E">
        <w:t>županije, Splitsko-dalmatinske</w:t>
      </w:r>
      <w:r w:rsidRPr="00603AA2">
        <w:t xml:space="preserve"> </w:t>
      </w:r>
      <w:r w:rsidRPr="0097142E">
        <w:t>županije, Karlovačke</w:t>
      </w:r>
      <w:r w:rsidRPr="00603AA2">
        <w:t xml:space="preserve"> </w:t>
      </w:r>
      <w:r w:rsidRPr="0097142E">
        <w:t>županije,</w:t>
      </w:r>
      <w:r>
        <w:t xml:space="preserve"> </w:t>
      </w:r>
      <w:r w:rsidRPr="0097142E">
        <w:t>Zadarske županije i Požeško-slavonske županije.</w:t>
      </w:r>
      <w:r w:rsidRPr="00603AA2">
        <w:rPr>
          <w:rFonts w:ascii="Times New Roman" w:eastAsia="Times New Roman" w:hAnsi="Times New Roman" w:cs="Times New Roman"/>
          <w:sz w:val="24"/>
          <w:szCs w:val="24"/>
          <w:lang w:eastAsia="hr-HR"/>
        </w:rPr>
        <w:t xml:space="preserve"> </w:t>
      </w:r>
      <w:r w:rsidRPr="00603AA2">
        <w:t xml:space="preserve">U Požeško-slavonskoj županiji je tijekom 2021. godine izgrađena i puštena u rad nova kazeta za azbest u okviru odlagališta. </w:t>
      </w:r>
    </w:p>
    <w:p w14:paraId="68676F29" w14:textId="77777777" w:rsidR="001B566B" w:rsidRDefault="001B566B" w:rsidP="001B566B">
      <w:r w:rsidRPr="00FA00E2">
        <w:t>Na prostoru sedam županija nisu izgrađene kazete za građevni otpad koji sadrži azbest: Zagrebačke, Krapinsko-zagorske, Sisačko-moslavačke, Varaždinske, Šibensko-kninske, Istarske i Osječko-baranjske županije</w:t>
      </w:r>
      <w:r w:rsidRPr="0097142E">
        <w:t>.</w:t>
      </w:r>
    </w:p>
    <w:p w14:paraId="50A56D54" w14:textId="77777777" w:rsidR="001B566B" w:rsidRPr="00BC155F" w:rsidRDefault="001B566B" w:rsidP="001B566B"/>
    <w:p w14:paraId="7D990CFB" w14:textId="5A2B4A3B" w:rsidR="00BC155F" w:rsidRDefault="00BC155F" w:rsidP="00BC155F">
      <w:pPr>
        <w:pStyle w:val="Slika"/>
      </w:pPr>
      <w:bookmarkStart w:id="175" w:name="_Ref111128207"/>
      <w:bookmarkStart w:id="176" w:name="_Toc125363965"/>
      <w:r>
        <w:t xml:space="preserve">Slika </w:t>
      </w:r>
      <w:fldSimple w:instr=" SEQ Slika \* ARABIC ">
        <w:r w:rsidR="00F37B62">
          <w:rPr>
            <w:noProof/>
          </w:rPr>
          <w:t>57</w:t>
        </w:r>
      </w:fldSimple>
      <w:bookmarkEnd w:id="175"/>
      <w:r>
        <w:t xml:space="preserve">. </w:t>
      </w:r>
      <w:r w:rsidRPr="00BC155F">
        <w:rPr>
          <w:b w:val="0"/>
          <w:bCs/>
        </w:rPr>
        <w:t>Raspored kazeta i status odlaganja građevnog otpada koji sadrži azbest u 2021.godini</w:t>
      </w:r>
      <w:bookmarkEnd w:id="176"/>
    </w:p>
    <w:p w14:paraId="2E9010FC" w14:textId="03977985" w:rsidR="00BC155F" w:rsidRPr="002608D7" w:rsidRDefault="00BC155F" w:rsidP="0018450E">
      <w:pPr>
        <w:pStyle w:val="IRNaslov4"/>
      </w:pPr>
      <w:r w:rsidRPr="00D058ED">
        <w:rPr>
          <w:sz w:val="24"/>
        </w:rPr>
        <w:lastRenderedPageBreak/>
        <w:t xml:space="preserve">Otpadni </w:t>
      </w:r>
      <w:proofErr w:type="spellStart"/>
      <w:r w:rsidRPr="00D058ED">
        <w:rPr>
          <w:sz w:val="24"/>
        </w:rPr>
        <w:t>poliklorirani</w:t>
      </w:r>
      <w:proofErr w:type="spellEnd"/>
      <w:r w:rsidRPr="00D058ED">
        <w:rPr>
          <w:sz w:val="24"/>
        </w:rPr>
        <w:t xml:space="preserve"> </w:t>
      </w:r>
      <w:proofErr w:type="spellStart"/>
      <w:r w:rsidRPr="00D058ED">
        <w:rPr>
          <w:sz w:val="24"/>
        </w:rPr>
        <w:t>bifenili</w:t>
      </w:r>
      <w:proofErr w:type="spellEnd"/>
      <w:r w:rsidRPr="00D058ED">
        <w:rPr>
          <w:sz w:val="24"/>
        </w:rPr>
        <w:t xml:space="preserve"> i </w:t>
      </w:r>
      <w:proofErr w:type="spellStart"/>
      <w:r w:rsidRPr="00D058ED">
        <w:rPr>
          <w:sz w:val="24"/>
        </w:rPr>
        <w:t>poliklorirani</w:t>
      </w:r>
      <w:proofErr w:type="spellEnd"/>
      <w:r w:rsidRPr="00D058ED">
        <w:rPr>
          <w:sz w:val="24"/>
        </w:rPr>
        <w:t xml:space="preserve"> </w:t>
      </w:r>
      <w:proofErr w:type="spellStart"/>
      <w:r w:rsidRPr="00D058ED">
        <w:rPr>
          <w:sz w:val="24"/>
        </w:rPr>
        <w:t>terfenili</w:t>
      </w:r>
      <w:proofErr w:type="spellEnd"/>
    </w:p>
    <w:p w14:paraId="185B6CEB" w14:textId="4E3D5BBE" w:rsidR="002608D7" w:rsidRPr="00206BF2" w:rsidRDefault="00654152" w:rsidP="002608D7">
      <w:r>
        <w:t>Od 2008. do 2021</w:t>
      </w:r>
      <w:r w:rsidR="002608D7" w:rsidRPr="00206BF2">
        <w:t>. uočljiv je trend kumulativnog povećanja zbrinute PCB opreme. Međutim, u odnosu na prija</w:t>
      </w:r>
      <w:r>
        <w:t>šnje razdoblje, od 2017. do 2021</w:t>
      </w:r>
      <w:r w:rsidR="002608D7" w:rsidRPr="00206BF2">
        <w:t>. godine smanjio se je godišnji prosjek količine zbri</w:t>
      </w:r>
      <w:r>
        <w:t>nute opreme iz razloga što je 58</w:t>
      </w:r>
      <w:r w:rsidR="002608D7" w:rsidRPr="00206BF2">
        <w:t>% preostale PCB opreme u posjedu tvrtki koje su u stečaju ili im je brisan status poslovnog subjekta.</w:t>
      </w:r>
    </w:p>
    <w:p w14:paraId="53A60DC3" w14:textId="390834D2" w:rsidR="00BC155F" w:rsidRDefault="00206BF2" w:rsidP="002608D7">
      <w:r w:rsidRPr="00E25425">
        <w:t>S</w:t>
      </w:r>
      <w:r w:rsidR="002608D7" w:rsidRPr="00206BF2">
        <w:t xml:space="preserve"> obzirom da se svake godine evidentira određeni broj novih posjednika PCB opreme, vjerojatnost je da i dalje postoji određeni broj tvrtki koje nisu prepoznale vlastite odgovornosti i obveze sukladno Pravilniku o gospodarenju </w:t>
      </w:r>
      <w:proofErr w:type="spellStart"/>
      <w:r w:rsidR="002608D7" w:rsidRPr="00206BF2">
        <w:t>polikloriranim</w:t>
      </w:r>
      <w:proofErr w:type="spellEnd"/>
      <w:r w:rsidR="002608D7" w:rsidRPr="00206BF2">
        <w:t xml:space="preserve"> </w:t>
      </w:r>
      <w:proofErr w:type="spellStart"/>
      <w:r w:rsidR="002608D7" w:rsidRPr="00206BF2">
        <w:t>bifenilima</w:t>
      </w:r>
      <w:proofErr w:type="spellEnd"/>
      <w:r w:rsidR="002608D7" w:rsidRPr="00206BF2">
        <w:t xml:space="preserve"> i </w:t>
      </w:r>
      <w:proofErr w:type="spellStart"/>
      <w:r w:rsidR="002608D7" w:rsidRPr="00206BF2">
        <w:t>polikloriranim</w:t>
      </w:r>
      <w:proofErr w:type="spellEnd"/>
      <w:r w:rsidR="002608D7" w:rsidRPr="00206BF2">
        <w:t xml:space="preserve"> </w:t>
      </w:r>
      <w:proofErr w:type="spellStart"/>
      <w:r w:rsidR="002608D7" w:rsidRPr="00206BF2">
        <w:t>terfenilima</w:t>
      </w:r>
      <w:proofErr w:type="spellEnd"/>
      <w:r w:rsidR="002608D7" w:rsidRPr="00206BF2">
        <w:t xml:space="preserve"> NN 113/14).</w:t>
      </w:r>
    </w:p>
    <w:p w14:paraId="514F2A4E" w14:textId="0B01C75D" w:rsidR="00206BF2" w:rsidRDefault="00206BF2" w:rsidP="002608D7">
      <w:r>
        <w:t>Kašnjenje sa zbrinjavanjem preostalih količina uzrokovano je najvećim dijelom gospodarskom situacijom i nedostatkom financijskih sredstava za zamjenu i zbrinjavanje opreme koja sadrži PCB.</w:t>
      </w:r>
    </w:p>
    <w:p w14:paraId="5E49DF0D" w14:textId="671AEA3F" w:rsidR="00206BF2" w:rsidRPr="002608D7" w:rsidRDefault="00206BF2" w:rsidP="002608D7">
      <w:r>
        <w:t>Oprema koja sadrži PCB (transformatori, kondenzatori) obrađuje se izvan RH što je trenutno odgovarajući način gospodarenja ovom vrstom otpada i nastavit će se u ovom planskom razdoblju.</w:t>
      </w:r>
    </w:p>
    <w:p w14:paraId="5D79371C" w14:textId="53ED8E32" w:rsidR="00BC155F" w:rsidRPr="00D058ED" w:rsidRDefault="00BC155F" w:rsidP="0018450E">
      <w:pPr>
        <w:pStyle w:val="IRNaslov4"/>
        <w:rPr>
          <w:sz w:val="24"/>
        </w:rPr>
      </w:pPr>
      <w:r w:rsidRPr="00D058ED">
        <w:rPr>
          <w:sz w:val="24"/>
        </w:rPr>
        <w:t>Javna usluga prikupljanja komunalnog otpada</w:t>
      </w:r>
    </w:p>
    <w:p w14:paraId="0049ACDE" w14:textId="77777777" w:rsidR="0045369B" w:rsidRDefault="0045369B" w:rsidP="0045369B">
      <w:r>
        <w:t xml:space="preserve">U 2021. godini, odvojeno sakupljanje komunalnog otpada u okviru javne usluge provodilo se na neki od sljedećih načina: putem spremnika kod korisnika usluge (»od vrata do vrata«), putem spremnika na javnim površinama, putem stacionarnih i/ili mobilnih </w:t>
      </w:r>
      <w:proofErr w:type="spellStart"/>
      <w:r>
        <w:t>reciklažnih</w:t>
      </w:r>
      <w:proofErr w:type="spellEnd"/>
      <w:r>
        <w:t xml:space="preserve"> dvorišta. </w:t>
      </w:r>
    </w:p>
    <w:p w14:paraId="25796FB5" w14:textId="3448CDC9" w:rsidR="0045369B" w:rsidRDefault="0045369B" w:rsidP="0045369B">
      <w:r>
        <w:t xml:space="preserve">Prema podacima iz Izvješća o radu davatelja javne usluge, u 2021. godini ukupno je 517 (93 %) JLS, odnosno 123 (96 %) grada i 394 (92 %) općine, imalo osigurane uvjete za odvojeno sakupljanje barem jedne od sljedeće četiri frakcije komunalnog otpada: papir/karton, plastika, staklo i metal. S druge strane 21 (4 %) JLS nije osiguralo uvjete za odvojeno sakupljanje niti jedne od četiri navedene frakcije komunalnog otpada. </w:t>
      </w:r>
    </w:p>
    <w:p w14:paraId="3EBF28EE" w14:textId="77777777" w:rsidR="0045369B" w:rsidRDefault="0045369B" w:rsidP="0045369B">
      <w:r>
        <w:t>Ukupno 403 (72 %) JLS osiguralo je uvjete za odvojeno sakupljanje sve četiri navedene frakcije komunalnog otpada.</w:t>
      </w:r>
    </w:p>
    <w:p w14:paraId="469200D6" w14:textId="77777777" w:rsidR="0045369B" w:rsidRDefault="0045369B" w:rsidP="0045369B">
      <w:r>
        <w:t xml:space="preserve">Za odvojeno sakupljanje otpadnog papira i kartona uvjete je osiguralo 516 (93 %) JLS-a, plastike njih 510 (92 %), stakla 476 (86 %) i metala 421 (76 %). </w:t>
      </w:r>
    </w:p>
    <w:p w14:paraId="6A36EB6E" w14:textId="39201083" w:rsidR="0045369B" w:rsidRDefault="0045369B" w:rsidP="0045369B">
      <w:r>
        <w:t xml:space="preserve">Do kraja 2021. godine kućanstvima je podijeljeno ukupno 65.772 </w:t>
      </w:r>
      <w:proofErr w:type="spellStart"/>
      <w:r>
        <w:t>kompostera</w:t>
      </w:r>
      <w:proofErr w:type="spellEnd"/>
      <w:r>
        <w:t xml:space="preserve"> za kućno kompostiranje, gdje Grad Zagreb prednjači sa 18.936 podijeljenih </w:t>
      </w:r>
      <w:proofErr w:type="spellStart"/>
      <w:r>
        <w:t>kompostera</w:t>
      </w:r>
      <w:proofErr w:type="spellEnd"/>
      <w:r>
        <w:t xml:space="preserve">. </w:t>
      </w:r>
      <w:proofErr w:type="spellStart"/>
      <w:r>
        <w:t>Komposteri</w:t>
      </w:r>
      <w:proofErr w:type="spellEnd"/>
      <w:r>
        <w:t xml:space="preserve"> za kućno kompostiranje podijeljeni su na području 106 (19 %) JLS, od toga 59 (46 %) gradova i 47 (11 %) općina.</w:t>
      </w:r>
    </w:p>
    <w:p w14:paraId="1ABBFE29" w14:textId="3A7EE83B" w:rsidR="00BC155F" w:rsidRPr="00BF1605" w:rsidRDefault="0045369B" w:rsidP="00BF1605">
      <w:r>
        <w:t>Najčešći kriterij naplate javne usluge bio je prema volumenu spremnika za otpad i broju pražnjenja spremnika i to u preko 90 % JLS što uključuje sve korisnike javne usluge (pravne i fizičke osobe). Prema masi predanog otpada naplata se vršila za fizičke osobe na području 6 JLS, a za pravne osobe na području 13 JLS.</w:t>
      </w:r>
    </w:p>
    <w:p w14:paraId="145B5F08" w14:textId="7537C588" w:rsidR="00C6612D" w:rsidRPr="00BC155F" w:rsidRDefault="00BC155F" w:rsidP="00CF16ED">
      <w:pPr>
        <w:pStyle w:val="IRNaslov3"/>
        <w:numPr>
          <w:ilvl w:val="2"/>
          <w:numId w:val="22"/>
        </w:numPr>
        <w:ind w:left="1418"/>
        <w:rPr>
          <w:rStyle w:val="zadanifontodlomka-000023"/>
          <w:rFonts w:asciiTheme="minorHAnsi" w:hAnsiTheme="minorHAnsi"/>
          <w:color w:val="auto"/>
          <w:szCs w:val="26"/>
        </w:rPr>
      </w:pPr>
      <w:bookmarkStart w:id="177" w:name="_Toc123211646"/>
      <w:r w:rsidRPr="00BC155F">
        <w:rPr>
          <w:rStyle w:val="zadanifontodlomka-000023"/>
          <w:rFonts w:asciiTheme="minorHAnsi" w:hAnsiTheme="minorHAnsi"/>
          <w:color w:val="auto"/>
          <w:szCs w:val="26"/>
        </w:rPr>
        <w:t>Pregled tvrtki koje obavljaju neku od djelatnosti gospodarenja otpadom</w:t>
      </w:r>
      <w:bookmarkEnd w:id="177"/>
    </w:p>
    <w:p w14:paraId="41DBA08D" w14:textId="260FA971" w:rsidR="00BC155F" w:rsidRDefault="00BC155F" w:rsidP="00BC155F">
      <w:r w:rsidRPr="00EA2786">
        <w:t xml:space="preserve">Trend kretanja ukupnog broja tvrtki </w:t>
      </w:r>
      <w:r>
        <w:t>u</w:t>
      </w:r>
      <w:r w:rsidRPr="00EA2786">
        <w:t xml:space="preserve"> razdoblju od 2015. do 202</w:t>
      </w:r>
      <w:r>
        <w:t>1</w:t>
      </w:r>
      <w:r w:rsidRPr="00EA2786">
        <w:t xml:space="preserve">. </w:t>
      </w:r>
      <w:r>
        <w:t xml:space="preserve">je u </w:t>
      </w:r>
      <w:r w:rsidRPr="00EA2786">
        <w:t>stagn</w:t>
      </w:r>
      <w:r>
        <w:t xml:space="preserve">aciji </w:t>
      </w:r>
      <w:r w:rsidRPr="00EA2786">
        <w:t>uz manje promjene</w:t>
      </w:r>
      <w:r>
        <w:t xml:space="preserve"> (</w:t>
      </w:r>
      <w:r>
        <w:fldChar w:fldCharType="begin"/>
      </w:r>
      <w:r>
        <w:instrText xml:space="preserve"> REF _Ref111130296 \h </w:instrText>
      </w:r>
      <w:r>
        <w:fldChar w:fldCharType="separate"/>
      </w:r>
      <w:r w:rsidR="00F37B62">
        <w:t xml:space="preserve">Slika </w:t>
      </w:r>
      <w:r w:rsidR="00F37B62">
        <w:rPr>
          <w:noProof/>
        </w:rPr>
        <w:t>58</w:t>
      </w:r>
      <w:r>
        <w:fldChar w:fldCharType="end"/>
      </w:r>
      <w:r>
        <w:t>)</w:t>
      </w:r>
      <w:r w:rsidRPr="00EA2786">
        <w:t>. U 202</w:t>
      </w:r>
      <w:r>
        <w:t>1</w:t>
      </w:r>
      <w:r w:rsidRPr="00EA2786">
        <w:t>. godini</w:t>
      </w:r>
      <w:r>
        <w:t xml:space="preserve"> 462 tvrtke su imale ishođenu dozvolu za gospodarenje otpadom. Dozvolu za gospodarenje opasnim otpadom ishodilo je 79 tvrtki, dok je dozvolu za gospodarenje neopasnim i komunalnim otpadom ishodilo 438 tvrtki. </w:t>
      </w:r>
      <w:r w:rsidRPr="00EA2786">
        <w:t xml:space="preserve">Neke tvrtke </w:t>
      </w:r>
      <w:r>
        <w:t xml:space="preserve">imaju istovremeno </w:t>
      </w:r>
      <w:r w:rsidRPr="00EA2786">
        <w:t>dozvol</w:t>
      </w:r>
      <w:r>
        <w:t>u</w:t>
      </w:r>
      <w:r w:rsidRPr="00EA2786">
        <w:t xml:space="preserve"> </w:t>
      </w:r>
      <w:r>
        <w:t xml:space="preserve">za opasni i za </w:t>
      </w:r>
      <w:r>
        <w:lastRenderedPageBreak/>
        <w:t>neopasni otpad, stoga se njihov zbroj ne poklapa sa ukupnim brojem tvrtki koje imaju ishođenu dozvolu.</w:t>
      </w:r>
    </w:p>
    <w:p w14:paraId="3AB31813" w14:textId="77777777" w:rsidR="00BC155F" w:rsidRPr="00BC155F" w:rsidRDefault="00BC155F" w:rsidP="00BC155F">
      <w:pPr>
        <w:spacing w:after="0"/>
        <w:jc w:val="right"/>
        <w:rPr>
          <w:i/>
          <w:iCs/>
          <w:sz w:val="18"/>
          <w:szCs w:val="20"/>
        </w:rPr>
      </w:pPr>
      <w:r w:rsidRPr="00BC155F">
        <w:rPr>
          <w:i/>
          <w:iCs/>
          <w:sz w:val="18"/>
          <w:szCs w:val="20"/>
        </w:rPr>
        <w:t>Izvor: MINGOR, Registar dozvola i potvrda za gospodarenje otpadom</w:t>
      </w:r>
    </w:p>
    <w:p w14:paraId="03AF5B4F" w14:textId="0F1ACC0B" w:rsidR="00BC155F" w:rsidRPr="00BC155F" w:rsidRDefault="00BC155F" w:rsidP="00BC155F">
      <w:pPr>
        <w:pStyle w:val="Slika"/>
        <w:rPr>
          <w:b w:val="0"/>
          <w:bCs/>
        </w:rPr>
      </w:pPr>
      <w:bookmarkStart w:id="178" w:name="_Ref111130296"/>
      <w:bookmarkStart w:id="179" w:name="_Toc125363966"/>
      <w:r>
        <w:t xml:space="preserve">Slika </w:t>
      </w:r>
      <w:fldSimple w:instr=" SEQ Slika \* ARABIC ">
        <w:r w:rsidR="00F37B62">
          <w:rPr>
            <w:noProof/>
          </w:rPr>
          <w:t>58</w:t>
        </w:r>
      </w:fldSimple>
      <w:bookmarkEnd w:id="178"/>
      <w:r>
        <w:t xml:space="preserve">. </w:t>
      </w:r>
      <w:r w:rsidRPr="00BC155F">
        <w:rPr>
          <w:b w:val="0"/>
          <w:bCs/>
        </w:rPr>
        <w:t>Broj tvrtki koje posjeduju dozvolu za gospodarenje otpadom u razdoblju od 2015. do 2020. godine</w:t>
      </w:r>
      <w:r w:rsidRPr="00BC155F">
        <w:rPr>
          <w:rStyle w:val="Referencafusnote"/>
          <w:b w:val="0"/>
          <w:bCs/>
        </w:rPr>
        <w:footnoteReference w:id="28"/>
      </w:r>
      <w:bookmarkEnd w:id="179"/>
    </w:p>
    <w:p w14:paraId="794EA755" w14:textId="2403E35D" w:rsidR="00BC155F" w:rsidRPr="001C7310" w:rsidRDefault="00BC155F" w:rsidP="00BC155F">
      <w:r w:rsidRPr="001C7310">
        <w:t xml:space="preserve">Stupanjem na snagu Zakona o gospodarenju otpadom od srpnja 2021. godine, </w:t>
      </w:r>
      <w:r w:rsidR="007C72BB" w:rsidRPr="007C72BB">
        <w:t xml:space="preserve">za tvrtke koje obavljaju djelatnost sakupljanja otpada propisana je obaveza upisa u Očevidnik sakupljača i </w:t>
      </w:r>
      <w:proofErr w:type="spellStart"/>
      <w:r w:rsidR="007C72BB" w:rsidRPr="007C72BB">
        <w:t>oporabitelja</w:t>
      </w:r>
      <w:proofErr w:type="spellEnd"/>
      <w:r w:rsidR="007C72BB" w:rsidRPr="007C72BB">
        <w:t xml:space="preserve"> koji je sastavni dio Registra djelatnosti gospodarenja otpadom, te se za tu djelatnost više ne izdaje dozvola o gospodarenju otpadom</w:t>
      </w:r>
      <w:r w:rsidRPr="001C7310">
        <w:t xml:space="preserve">. Također se u navedeni Očevidnik upisuju i </w:t>
      </w:r>
      <w:proofErr w:type="spellStart"/>
      <w:r w:rsidRPr="001C7310">
        <w:t>oporabitelji</w:t>
      </w:r>
      <w:proofErr w:type="spellEnd"/>
      <w:r w:rsidRPr="001C7310">
        <w:t xml:space="preserve"> koji obavljaju djelatnost oporabe postupkom za koji se ne izdaje dozvola za gospodarenje otpadom. Sukladno prethodnom Zakonu o održivom gospodarenju otpadom, </w:t>
      </w:r>
      <w:proofErr w:type="spellStart"/>
      <w:r w:rsidRPr="001C7310">
        <w:t>oporabitelji</w:t>
      </w:r>
      <w:proofErr w:type="spellEnd"/>
      <w:r w:rsidRPr="001C7310">
        <w:t xml:space="preserve"> koji nisu bili u obvezi ishoditi dozvolu za gospodarenje otpadom, su bile pravne ili fizičke osobe – obrtnici te poljoprivrednici koji su obavljali energetsku oporabu određenog neopasnog otpada</w:t>
      </w:r>
      <w:r w:rsidRPr="001C7310">
        <w:rPr>
          <w:rStyle w:val="Referencafusnote"/>
        </w:rPr>
        <w:footnoteReference w:id="29"/>
      </w:r>
      <w:r w:rsidRPr="001C7310">
        <w:t xml:space="preserve">, ako su bili upisani u Očevidnik energetskih </w:t>
      </w:r>
      <w:proofErr w:type="spellStart"/>
      <w:r w:rsidRPr="001C7310">
        <w:t>oporabitelja</w:t>
      </w:r>
      <w:proofErr w:type="spellEnd"/>
      <w:r w:rsidRPr="001C7310">
        <w:t xml:space="preserve"> određenog otpada. Zakonom iz 2021. godine proširuje se opseg djelatnosti gospodarenja otpadom za koje neće biti potrebno ishoditi dozvolu. Popis djelatnosti i postupaka za koje se izdaje dozvola za gospodarenje otpadom te popis postupaka oporabe za koje se ne izdaje dozvola za gospodarenje otpadom, kao i uspostava Očevidnika sakupljača propisan</w:t>
      </w:r>
      <w:r w:rsidR="007C72BB">
        <w:t>a je</w:t>
      </w:r>
      <w:r w:rsidRPr="001C7310">
        <w:t xml:space="preserve"> podzakonskim propisom odnosno Pravilnikom o gospodarenju otpadom</w:t>
      </w:r>
      <w:r w:rsidR="007C72BB">
        <w:t xml:space="preserve"> (NN br. 106/22)</w:t>
      </w:r>
      <w:r w:rsidRPr="001C7310">
        <w:t xml:space="preserve">. </w:t>
      </w:r>
    </w:p>
    <w:p w14:paraId="59766C93" w14:textId="77777777" w:rsidR="00BC155F" w:rsidRPr="001C7310" w:rsidRDefault="00BC155F" w:rsidP="00BC155F">
      <w:pPr>
        <w:rPr>
          <w:rFonts w:cstheme="minorHAnsi"/>
        </w:rPr>
      </w:pPr>
      <w:r w:rsidRPr="001C7310">
        <w:rPr>
          <w:rFonts w:cstheme="minorHAnsi"/>
        </w:rPr>
        <w:t xml:space="preserve">Također stupanjem na snagu Zakona o gospodarenju otpadom, prestaje obaveza upisa u Očevidnik izvoznika/uvoznika otpada koji ne podliježu </w:t>
      </w:r>
      <w:proofErr w:type="spellStart"/>
      <w:r w:rsidRPr="001C7310">
        <w:rPr>
          <w:rFonts w:cstheme="minorHAnsi"/>
        </w:rPr>
        <w:t>notifikacijskom</w:t>
      </w:r>
      <w:proofErr w:type="spellEnd"/>
      <w:r w:rsidRPr="001C7310">
        <w:rPr>
          <w:rFonts w:cstheme="minorHAnsi"/>
        </w:rPr>
        <w:t xml:space="preserve"> postupku. </w:t>
      </w:r>
    </w:p>
    <w:p w14:paraId="2F30379E" w14:textId="18FE001D" w:rsidR="00BC155F" w:rsidRPr="001C7310" w:rsidRDefault="00BC155F" w:rsidP="00BC155F">
      <w:pPr>
        <w:rPr>
          <w:rFonts w:eastAsia="Times New Roman" w:cstheme="minorHAnsi"/>
          <w:lang w:eastAsia="hr-HR"/>
        </w:rPr>
      </w:pPr>
      <w:r w:rsidRPr="001C7310">
        <w:rPr>
          <w:rFonts w:cstheme="minorHAnsi"/>
        </w:rPr>
        <w:t>Nastavno na navedeno, mijenja se i nadležnost za upis Registar djelatnosti gospodarenja otpadom na način da</w:t>
      </w:r>
      <w:r w:rsidRPr="001C7310">
        <w:rPr>
          <w:rFonts w:eastAsia="Times New Roman" w:cstheme="minorHAnsi"/>
          <w:lang w:eastAsia="hr-HR"/>
        </w:rPr>
        <w:t xml:space="preserve"> nadležno upravno tijelo jedinice područne (regionalne) samouprave odnosno Grada Zagreba rješava o zahtjevu za upis u Očevidnik nusproizvoda koji nastaje na lokaciji koja je na području njene nadležnosti i o zahtjevu za upis u Očevidnik sakupljača i </w:t>
      </w:r>
      <w:proofErr w:type="spellStart"/>
      <w:r w:rsidRPr="001C7310">
        <w:rPr>
          <w:rFonts w:eastAsia="Times New Roman" w:cstheme="minorHAnsi"/>
          <w:lang w:eastAsia="hr-HR"/>
        </w:rPr>
        <w:t>oporabitelja</w:t>
      </w:r>
      <w:proofErr w:type="spellEnd"/>
      <w:r w:rsidRPr="001C7310">
        <w:rPr>
          <w:rFonts w:eastAsia="Times New Roman" w:cstheme="minorHAnsi"/>
          <w:lang w:eastAsia="hr-HR"/>
        </w:rPr>
        <w:t xml:space="preserve"> te vodi Evidenciju prijevoznika otpada, posrednika otpadom, trgovaca otpadom</w:t>
      </w:r>
      <w:r w:rsidR="00280EDD">
        <w:rPr>
          <w:rFonts w:eastAsia="Times New Roman" w:cstheme="minorHAnsi"/>
          <w:lang w:eastAsia="hr-HR"/>
        </w:rPr>
        <w:t>,</w:t>
      </w:r>
      <w:r w:rsidRPr="001C7310">
        <w:rPr>
          <w:rFonts w:eastAsia="Times New Roman" w:cstheme="minorHAnsi"/>
          <w:lang w:eastAsia="hr-HR"/>
        </w:rPr>
        <w:t xml:space="preserve">  </w:t>
      </w:r>
      <w:proofErr w:type="spellStart"/>
      <w:r w:rsidRPr="001C7310">
        <w:rPr>
          <w:rFonts w:eastAsia="Times New Roman" w:cstheme="minorHAnsi"/>
          <w:lang w:eastAsia="hr-HR"/>
        </w:rPr>
        <w:t>reciklažnih</w:t>
      </w:r>
      <w:proofErr w:type="spellEnd"/>
      <w:r w:rsidRPr="001C7310">
        <w:rPr>
          <w:rFonts w:eastAsia="Times New Roman" w:cstheme="minorHAnsi"/>
          <w:lang w:eastAsia="hr-HR"/>
        </w:rPr>
        <w:t xml:space="preserve"> dvorišta</w:t>
      </w:r>
      <w:r w:rsidR="00280EDD">
        <w:rPr>
          <w:rFonts w:eastAsia="Times New Roman" w:cstheme="minorHAnsi"/>
          <w:lang w:eastAsia="hr-HR"/>
        </w:rPr>
        <w:t xml:space="preserve"> i centara za ponovnu uporabu</w:t>
      </w:r>
      <w:r w:rsidRPr="001C7310">
        <w:rPr>
          <w:rFonts w:eastAsia="Times New Roman" w:cstheme="minorHAnsi"/>
          <w:lang w:eastAsia="hr-HR"/>
        </w:rPr>
        <w:t>. MINGOR rješava o zahtjevu za upis u Očevidnik ukidanja statusa otpada.</w:t>
      </w:r>
    </w:p>
    <w:p w14:paraId="67D277AC" w14:textId="77777777" w:rsidR="00BC155F" w:rsidRPr="001C7310" w:rsidRDefault="00BC155F" w:rsidP="00BC155F">
      <w:r w:rsidRPr="001C7310">
        <w:t>Broj tvrtki evidentiranih upisom u očevidnike za obavljanje djelatnosti gospodarenja otpadom od 2015. do 2022. godine je u neprekinutom porastu. Međutim, dio upisanih tvrtki bavio se ovim djelatnostima tek povremeno.</w:t>
      </w:r>
    </w:p>
    <w:p w14:paraId="1045E212" w14:textId="52C99880" w:rsidR="00BC155F" w:rsidRDefault="00BC155F" w:rsidP="00BC155F">
      <w:pPr>
        <w:pStyle w:val="Tablica"/>
      </w:pPr>
      <w:bookmarkStart w:id="180" w:name="_Toc125364411"/>
      <w:r>
        <w:t xml:space="preserve">Tablica </w:t>
      </w:r>
      <w:fldSimple w:instr=" SEQ Tablica \* ARABIC ">
        <w:r w:rsidR="00F37B62">
          <w:rPr>
            <w:noProof/>
          </w:rPr>
          <w:t>22</w:t>
        </w:r>
      </w:fldSimple>
      <w:r>
        <w:t xml:space="preserve">. </w:t>
      </w:r>
      <w:r w:rsidRPr="00BC155F">
        <w:rPr>
          <w:b w:val="0"/>
          <w:bCs/>
        </w:rPr>
        <w:t>Broj tvrtki koje posjeduju potvrdu o upisu u Registar djelatnosti gospodarenja otpadom (očevidnike i evidencije), kolovoz 2022.</w:t>
      </w:r>
      <w:bookmarkEnd w:id="180"/>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686"/>
      </w:tblGrid>
      <w:tr w:rsidR="00BC155F" w:rsidRPr="00AF6438" w14:paraId="0D208E79" w14:textId="77777777" w:rsidTr="00CC41BC">
        <w:trPr>
          <w:trHeight w:val="20"/>
        </w:trPr>
        <w:tc>
          <w:tcPr>
            <w:tcW w:w="5240" w:type="dxa"/>
            <w:shd w:val="clear" w:color="auto" w:fill="002060"/>
            <w:noWrap/>
            <w:vAlign w:val="center"/>
            <w:hideMark/>
          </w:tcPr>
          <w:p w14:paraId="63FE852F" w14:textId="77777777" w:rsidR="00BC155F" w:rsidRPr="009D5FD8" w:rsidRDefault="00BC155F" w:rsidP="00CC41BC">
            <w:pPr>
              <w:spacing w:after="0" w:line="240" w:lineRule="auto"/>
              <w:jc w:val="center"/>
              <w:rPr>
                <w:rFonts w:eastAsia="Times New Roman" w:cstheme="minorHAnsi"/>
                <w:b/>
                <w:bCs/>
                <w:color w:val="FFFFFF" w:themeColor="background1"/>
                <w:sz w:val="18"/>
                <w:szCs w:val="18"/>
                <w:lang w:eastAsia="hr-HR"/>
              </w:rPr>
            </w:pPr>
            <w:r w:rsidRPr="009D5FD8">
              <w:rPr>
                <w:rFonts w:eastAsia="Times New Roman" w:cstheme="minorHAnsi"/>
                <w:b/>
                <w:bCs/>
                <w:color w:val="FFFFFF" w:themeColor="background1"/>
                <w:sz w:val="18"/>
                <w:szCs w:val="18"/>
                <w:lang w:eastAsia="hr-HR"/>
              </w:rPr>
              <w:t>Očevidnik / evidencija</w:t>
            </w:r>
          </w:p>
        </w:tc>
        <w:tc>
          <w:tcPr>
            <w:tcW w:w="3686" w:type="dxa"/>
            <w:shd w:val="clear" w:color="auto" w:fill="002060"/>
            <w:noWrap/>
            <w:vAlign w:val="center"/>
            <w:hideMark/>
          </w:tcPr>
          <w:p w14:paraId="36484234" w14:textId="77777777" w:rsidR="00BC155F" w:rsidRPr="009D5FD8" w:rsidRDefault="00BC155F" w:rsidP="00CC41BC">
            <w:pPr>
              <w:spacing w:after="0" w:line="240" w:lineRule="auto"/>
              <w:jc w:val="center"/>
              <w:rPr>
                <w:rFonts w:eastAsia="Times New Roman" w:cstheme="minorHAnsi"/>
                <w:b/>
                <w:bCs/>
                <w:color w:val="FFFFFF" w:themeColor="background1"/>
                <w:sz w:val="18"/>
                <w:szCs w:val="18"/>
                <w:lang w:eastAsia="hr-HR"/>
              </w:rPr>
            </w:pPr>
            <w:r w:rsidRPr="009D5FD8">
              <w:rPr>
                <w:rFonts w:eastAsia="Times New Roman" w:cstheme="minorHAnsi"/>
                <w:b/>
                <w:bCs/>
                <w:color w:val="FFFFFF" w:themeColor="background1"/>
                <w:sz w:val="18"/>
                <w:szCs w:val="18"/>
                <w:lang w:eastAsia="hr-HR"/>
              </w:rPr>
              <w:t>Broj tvrtki koje posjeduju  potvrdu o upisu</w:t>
            </w:r>
          </w:p>
        </w:tc>
      </w:tr>
      <w:tr w:rsidR="00BC155F" w:rsidRPr="00AF6438" w14:paraId="60437140" w14:textId="77777777" w:rsidTr="00CC41BC">
        <w:trPr>
          <w:trHeight w:val="20"/>
        </w:trPr>
        <w:tc>
          <w:tcPr>
            <w:tcW w:w="5240" w:type="dxa"/>
            <w:shd w:val="clear" w:color="auto" w:fill="auto"/>
            <w:noWrap/>
            <w:vAlign w:val="bottom"/>
            <w:hideMark/>
          </w:tcPr>
          <w:p w14:paraId="350679AC" w14:textId="77777777" w:rsidR="00BC155F" w:rsidRPr="00AF6438" w:rsidRDefault="00BC155F" w:rsidP="00CC41BC">
            <w:pPr>
              <w:spacing w:after="0" w:line="240" w:lineRule="auto"/>
              <w:jc w:val="left"/>
              <w:rPr>
                <w:rFonts w:eastAsia="Times New Roman" w:cstheme="minorHAnsi"/>
                <w:sz w:val="18"/>
                <w:szCs w:val="18"/>
                <w:lang w:eastAsia="hr-HR"/>
              </w:rPr>
            </w:pPr>
            <w:r w:rsidRPr="00AF6438">
              <w:rPr>
                <w:rFonts w:eastAsia="Times New Roman" w:cstheme="minorHAnsi"/>
                <w:sz w:val="18"/>
                <w:szCs w:val="18"/>
                <w:lang w:eastAsia="hr-HR"/>
              </w:rPr>
              <w:t>Očevidnik prijevoznika otpada</w:t>
            </w:r>
          </w:p>
        </w:tc>
        <w:tc>
          <w:tcPr>
            <w:tcW w:w="3686" w:type="dxa"/>
            <w:shd w:val="clear" w:color="auto" w:fill="auto"/>
            <w:noWrap/>
            <w:vAlign w:val="bottom"/>
            <w:hideMark/>
          </w:tcPr>
          <w:p w14:paraId="54767A6C" w14:textId="77777777" w:rsidR="00BC155F" w:rsidRPr="00AF6438" w:rsidRDefault="00BC155F" w:rsidP="00CC41BC">
            <w:pPr>
              <w:spacing w:after="0" w:line="240" w:lineRule="auto"/>
              <w:jc w:val="right"/>
              <w:rPr>
                <w:rFonts w:eastAsia="Times New Roman" w:cstheme="minorHAnsi"/>
                <w:sz w:val="18"/>
                <w:szCs w:val="18"/>
                <w:lang w:eastAsia="hr-HR"/>
              </w:rPr>
            </w:pPr>
            <w:r w:rsidRPr="00AF6438">
              <w:rPr>
                <w:rFonts w:eastAsia="Times New Roman" w:cstheme="minorHAnsi"/>
                <w:sz w:val="18"/>
                <w:szCs w:val="18"/>
                <w:lang w:eastAsia="hr-HR"/>
              </w:rPr>
              <w:t>3645</w:t>
            </w:r>
          </w:p>
        </w:tc>
      </w:tr>
      <w:tr w:rsidR="00BC155F" w:rsidRPr="00AF6438" w14:paraId="1B8A96FE" w14:textId="77777777" w:rsidTr="00CC41BC">
        <w:trPr>
          <w:trHeight w:val="20"/>
        </w:trPr>
        <w:tc>
          <w:tcPr>
            <w:tcW w:w="5240" w:type="dxa"/>
            <w:shd w:val="clear" w:color="auto" w:fill="auto"/>
            <w:noWrap/>
            <w:vAlign w:val="bottom"/>
            <w:hideMark/>
          </w:tcPr>
          <w:p w14:paraId="165C934C" w14:textId="77777777" w:rsidR="00BC155F" w:rsidRPr="00AF6438" w:rsidRDefault="00BC155F" w:rsidP="00CC41BC">
            <w:pPr>
              <w:spacing w:after="0" w:line="240" w:lineRule="auto"/>
              <w:jc w:val="left"/>
              <w:rPr>
                <w:rFonts w:eastAsia="Times New Roman" w:cstheme="minorHAnsi"/>
                <w:sz w:val="18"/>
                <w:szCs w:val="18"/>
                <w:lang w:eastAsia="hr-HR"/>
              </w:rPr>
            </w:pPr>
            <w:r w:rsidRPr="00AF6438">
              <w:rPr>
                <w:rFonts w:eastAsia="Times New Roman" w:cstheme="minorHAnsi"/>
                <w:sz w:val="18"/>
                <w:szCs w:val="18"/>
                <w:lang w:eastAsia="hr-HR"/>
              </w:rPr>
              <w:t>Očevidnik posrednika u gospodarenju otpadom</w:t>
            </w:r>
          </w:p>
        </w:tc>
        <w:tc>
          <w:tcPr>
            <w:tcW w:w="3686" w:type="dxa"/>
            <w:shd w:val="clear" w:color="auto" w:fill="auto"/>
            <w:noWrap/>
            <w:vAlign w:val="bottom"/>
            <w:hideMark/>
          </w:tcPr>
          <w:p w14:paraId="788B856D" w14:textId="77777777" w:rsidR="00BC155F" w:rsidRPr="00AF6438" w:rsidRDefault="00BC155F" w:rsidP="00CC41BC">
            <w:pPr>
              <w:spacing w:after="0" w:line="240" w:lineRule="auto"/>
              <w:jc w:val="right"/>
              <w:rPr>
                <w:rFonts w:eastAsia="Times New Roman" w:cstheme="minorHAnsi"/>
                <w:sz w:val="18"/>
                <w:szCs w:val="18"/>
                <w:lang w:eastAsia="hr-HR"/>
              </w:rPr>
            </w:pPr>
            <w:r w:rsidRPr="00AF6438">
              <w:rPr>
                <w:rFonts w:eastAsia="Times New Roman" w:cstheme="minorHAnsi"/>
                <w:sz w:val="18"/>
                <w:szCs w:val="18"/>
                <w:lang w:eastAsia="hr-HR"/>
              </w:rPr>
              <w:t>909</w:t>
            </w:r>
          </w:p>
        </w:tc>
      </w:tr>
      <w:tr w:rsidR="00BC155F" w:rsidRPr="00AF6438" w14:paraId="11438AD3" w14:textId="77777777" w:rsidTr="00CC41BC">
        <w:trPr>
          <w:trHeight w:val="20"/>
        </w:trPr>
        <w:tc>
          <w:tcPr>
            <w:tcW w:w="5240" w:type="dxa"/>
            <w:shd w:val="clear" w:color="auto" w:fill="auto"/>
            <w:noWrap/>
            <w:vAlign w:val="bottom"/>
            <w:hideMark/>
          </w:tcPr>
          <w:p w14:paraId="2ECF536F" w14:textId="77777777" w:rsidR="00BC155F" w:rsidRPr="00AF6438" w:rsidRDefault="00BC155F" w:rsidP="00CC41BC">
            <w:pPr>
              <w:spacing w:after="0" w:line="240" w:lineRule="auto"/>
              <w:jc w:val="left"/>
              <w:rPr>
                <w:rFonts w:eastAsia="Times New Roman" w:cstheme="minorHAnsi"/>
                <w:sz w:val="18"/>
                <w:szCs w:val="18"/>
                <w:lang w:eastAsia="hr-HR"/>
              </w:rPr>
            </w:pPr>
            <w:r w:rsidRPr="00AF6438">
              <w:rPr>
                <w:rFonts w:eastAsia="Times New Roman" w:cstheme="minorHAnsi"/>
                <w:sz w:val="18"/>
                <w:szCs w:val="18"/>
                <w:lang w:eastAsia="hr-HR"/>
              </w:rPr>
              <w:t>Očevidnik trgovaca otpadom</w:t>
            </w:r>
          </w:p>
        </w:tc>
        <w:tc>
          <w:tcPr>
            <w:tcW w:w="3686" w:type="dxa"/>
            <w:shd w:val="clear" w:color="auto" w:fill="auto"/>
            <w:noWrap/>
            <w:vAlign w:val="bottom"/>
            <w:hideMark/>
          </w:tcPr>
          <w:p w14:paraId="62C095E6" w14:textId="77777777" w:rsidR="00BC155F" w:rsidRPr="00AF6438" w:rsidRDefault="00BC155F" w:rsidP="00CC41BC">
            <w:pPr>
              <w:spacing w:after="0" w:line="240" w:lineRule="auto"/>
              <w:jc w:val="right"/>
              <w:rPr>
                <w:rFonts w:eastAsia="Times New Roman" w:cstheme="minorHAnsi"/>
                <w:sz w:val="18"/>
                <w:szCs w:val="18"/>
                <w:lang w:eastAsia="hr-HR"/>
              </w:rPr>
            </w:pPr>
            <w:r w:rsidRPr="00AF6438">
              <w:rPr>
                <w:rFonts w:eastAsia="Times New Roman" w:cstheme="minorHAnsi"/>
                <w:sz w:val="18"/>
                <w:szCs w:val="18"/>
                <w:lang w:eastAsia="hr-HR"/>
              </w:rPr>
              <w:t>680</w:t>
            </w:r>
          </w:p>
        </w:tc>
      </w:tr>
      <w:tr w:rsidR="00BC155F" w:rsidRPr="00AF6438" w14:paraId="164A81AD" w14:textId="77777777" w:rsidTr="00CC41BC">
        <w:trPr>
          <w:trHeight w:val="20"/>
        </w:trPr>
        <w:tc>
          <w:tcPr>
            <w:tcW w:w="5240" w:type="dxa"/>
            <w:shd w:val="clear" w:color="auto" w:fill="auto"/>
            <w:noWrap/>
            <w:vAlign w:val="bottom"/>
            <w:hideMark/>
          </w:tcPr>
          <w:p w14:paraId="67317433" w14:textId="77777777" w:rsidR="00BC155F" w:rsidRPr="00AF6438" w:rsidRDefault="00BC155F" w:rsidP="00CC41BC">
            <w:pPr>
              <w:spacing w:after="0" w:line="240" w:lineRule="auto"/>
              <w:jc w:val="left"/>
              <w:rPr>
                <w:rFonts w:eastAsia="Times New Roman" w:cstheme="minorHAnsi"/>
                <w:sz w:val="18"/>
                <w:szCs w:val="18"/>
                <w:lang w:eastAsia="hr-HR"/>
              </w:rPr>
            </w:pPr>
            <w:r w:rsidRPr="00AF6438">
              <w:rPr>
                <w:rFonts w:eastAsia="Times New Roman" w:cstheme="minorHAnsi"/>
                <w:sz w:val="18"/>
                <w:szCs w:val="18"/>
                <w:lang w:eastAsia="hr-HR"/>
              </w:rPr>
              <w:t xml:space="preserve">Očevidnik </w:t>
            </w:r>
            <w:proofErr w:type="spellStart"/>
            <w:r w:rsidRPr="00AF6438">
              <w:rPr>
                <w:rFonts w:eastAsia="Times New Roman" w:cstheme="minorHAnsi"/>
                <w:sz w:val="18"/>
                <w:szCs w:val="18"/>
                <w:lang w:eastAsia="hr-HR"/>
              </w:rPr>
              <w:t>reciklažnih</w:t>
            </w:r>
            <w:proofErr w:type="spellEnd"/>
            <w:r w:rsidRPr="00AF6438">
              <w:rPr>
                <w:rFonts w:eastAsia="Times New Roman" w:cstheme="minorHAnsi"/>
                <w:sz w:val="18"/>
                <w:szCs w:val="18"/>
                <w:lang w:eastAsia="hr-HR"/>
              </w:rPr>
              <w:t xml:space="preserve"> dvorišta </w:t>
            </w:r>
          </w:p>
        </w:tc>
        <w:tc>
          <w:tcPr>
            <w:tcW w:w="3686" w:type="dxa"/>
            <w:shd w:val="clear" w:color="auto" w:fill="auto"/>
            <w:noWrap/>
            <w:vAlign w:val="bottom"/>
            <w:hideMark/>
          </w:tcPr>
          <w:p w14:paraId="6F43C787" w14:textId="77777777" w:rsidR="00BC155F" w:rsidRPr="00AF6438" w:rsidRDefault="00BC155F" w:rsidP="00CC41BC">
            <w:pPr>
              <w:spacing w:after="0" w:line="240" w:lineRule="auto"/>
              <w:jc w:val="right"/>
              <w:rPr>
                <w:rFonts w:eastAsia="Times New Roman" w:cstheme="minorHAnsi"/>
                <w:sz w:val="18"/>
                <w:szCs w:val="18"/>
                <w:lang w:eastAsia="hr-HR"/>
              </w:rPr>
            </w:pPr>
            <w:r w:rsidRPr="00AF6438">
              <w:rPr>
                <w:rFonts w:eastAsia="Times New Roman" w:cstheme="minorHAnsi"/>
                <w:sz w:val="18"/>
                <w:szCs w:val="18"/>
                <w:lang w:eastAsia="hr-HR"/>
              </w:rPr>
              <w:t>348</w:t>
            </w:r>
          </w:p>
        </w:tc>
      </w:tr>
      <w:tr w:rsidR="00BC155F" w:rsidRPr="00AF6438" w14:paraId="2BCDCA3F" w14:textId="77777777" w:rsidTr="00CC41BC">
        <w:trPr>
          <w:trHeight w:val="20"/>
        </w:trPr>
        <w:tc>
          <w:tcPr>
            <w:tcW w:w="5240" w:type="dxa"/>
            <w:shd w:val="clear" w:color="auto" w:fill="auto"/>
            <w:noWrap/>
            <w:vAlign w:val="bottom"/>
            <w:hideMark/>
          </w:tcPr>
          <w:p w14:paraId="435D9899" w14:textId="77777777" w:rsidR="00BC155F" w:rsidRPr="00AF6438" w:rsidRDefault="00BC155F" w:rsidP="00CC41BC">
            <w:pPr>
              <w:spacing w:after="0" w:line="240" w:lineRule="auto"/>
              <w:jc w:val="left"/>
              <w:rPr>
                <w:rFonts w:eastAsia="Times New Roman" w:cstheme="minorHAnsi"/>
                <w:sz w:val="18"/>
                <w:szCs w:val="18"/>
                <w:lang w:eastAsia="hr-HR"/>
              </w:rPr>
            </w:pPr>
            <w:r w:rsidRPr="00AF6438">
              <w:rPr>
                <w:rFonts w:eastAsia="Times New Roman" w:cstheme="minorHAnsi"/>
                <w:sz w:val="18"/>
                <w:szCs w:val="18"/>
                <w:lang w:eastAsia="hr-HR"/>
              </w:rPr>
              <w:t xml:space="preserve">Očevidnik izvoznika otpada koji ne podliježe </w:t>
            </w:r>
            <w:proofErr w:type="spellStart"/>
            <w:r w:rsidRPr="00AF6438">
              <w:rPr>
                <w:rFonts w:eastAsia="Times New Roman" w:cstheme="minorHAnsi"/>
                <w:sz w:val="18"/>
                <w:szCs w:val="18"/>
                <w:lang w:eastAsia="hr-HR"/>
              </w:rPr>
              <w:t>notifikacijskom</w:t>
            </w:r>
            <w:proofErr w:type="spellEnd"/>
            <w:r w:rsidRPr="00AF6438">
              <w:rPr>
                <w:rFonts w:eastAsia="Times New Roman" w:cstheme="minorHAnsi"/>
                <w:sz w:val="18"/>
                <w:szCs w:val="18"/>
                <w:lang w:eastAsia="hr-HR"/>
              </w:rPr>
              <w:t xml:space="preserve"> postupku</w:t>
            </w:r>
          </w:p>
        </w:tc>
        <w:tc>
          <w:tcPr>
            <w:tcW w:w="3686" w:type="dxa"/>
            <w:shd w:val="clear" w:color="auto" w:fill="auto"/>
            <w:noWrap/>
            <w:vAlign w:val="bottom"/>
            <w:hideMark/>
          </w:tcPr>
          <w:p w14:paraId="78B3FBBF" w14:textId="77777777" w:rsidR="00BC155F" w:rsidRPr="00AF6438" w:rsidRDefault="00BC155F" w:rsidP="00CC41BC">
            <w:pPr>
              <w:spacing w:after="0" w:line="240" w:lineRule="auto"/>
              <w:jc w:val="right"/>
              <w:rPr>
                <w:rFonts w:eastAsia="Times New Roman" w:cstheme="minorHAnsi"/>
                <w:sz w:val="18"/>
                <w:szCs w:val="18"/>
                <w:lang w:eastAsia="hr-HR"/>
              </w:rPr>
            </w:pPr>
            <w:r w:rsidRPr="00AF6438">
              <w:rPr>
                <w:rFonts w:eastAsia="Times New Roman" w:cstheme="minorHAnsi"/>
                <w:sz w:val="18"/>
                <w:szCs w:val="18"/>
                <w:lang w:eastAsia="hr-HR"/>
              </w:rPr>
              <w:t>484</w:t>
            </w:r>
          </w:p>
        </w:tc>
      </w:tr>
      <w:tr w:rsidR="00BC155F" w:rsidRPr="00AF6438" w14:paraId="04097AAF" w14:textId="77777777" w:rsidTr="00CC41BC">
        <w:trPr>
          <w:trHeight w:val="20"/>
        </w:trPr>
        <w:tc>
          <w:tcPr>
            <w:tcW w:w="5240" w:type="dxa"/>
            <w:shd w:val="clear" w:color="auto" w:fill="auto"/>
            <w:noWrap/>
            <w:vAlign w:val="bottom"/>
            <w:hideMark/>
          </w:tcPr>
          <w:p w14:paraId="10D4901B" w14:textId="77777777" w:rsidR="00BC155F" w:rsidRPr="00AF6438" w:rsidRDefault="00BC155F" w:rsidP="00CC41BC">
            <w:pPr>
              <w:spacing w:after="0" w:line="240" w:lineRule="auto"/>
              <w:jc w:val="left"/>
              <w:rPr>
                <w:rFonts w:eastAsia="Times New Roman" w:cstheme="minorHAnsi"/>
                <w:sz w:val="18"/>
                <w:szCs w:val="18"/>
                <w:lang w:eastAsia="hr-HR"/>
              </w:rPr>
            </w:pPr>
            <w:r w:rsidRPr="00AF6438">
              <w:rPr>
                <w:rFonts w:eastAsia="Times New Roman" w:cstheme="minorHAnsi"/>
                <w:sz w:val="18"/>
                <w:szCs w:val="18"/>
                <w:lang w:eastAsia="hr-HR"/>
              </w:rPr>
              <w:t xml:space="preserve">Očevidnik uvoznika otpada koji ne podliježe </w:t>
            </w:r>
            <w:proofErr w:type="spellStart"/>
            <w:r w:rsidRPr="00AF6438">
              <w:rPr>
                <w:rFonts w:eastAsia="Times New Roman" w:cstheme="minorHAnsi"/>
                <w:sz w:val="18"/>
                <w:szCs w:val="18"/>
                <w:lang w:eastAsia="hr-HR"/>
              </w:rPr>
              <w:t>notifikacijskom</w:t>
            </w:r>
            <w:proofErr w:type="spellEnd"/>
            <w:r w:rsidRPr="00AF6438">
              <w:rPr>
                <w:rFonts w:eastAsia="Times New Roman" w:cstheme="minorHAnsi"/>
                <w:sz w:val="18"/>
                <w:szCs w:val="18"/>
                <w:lang w:eastAsia="hr-HR"/>
              </w:rPr>
              <w:t xml:space="preserve"> postupku</w:t>
            </w:r>
          </w:p>
        </w:tc>
        <w:tc>
          <w:tcPr>
            <w:tcW w:w="3686" w:type="dxa"/>
            <w:shd w:val="clear" w:color="auto" w:fill="auto"/>
            <w:noWrap/>
            <w:vAlign w:val="bottom"/>
            <w:hideMark/>
          </w:tcPr>
          <w:p w14:paraId="45A91EA5" w14:textId="77777777" w:rsidR="00BC155F" w:rsidRPr="00AF6438" w:rsidRDefault="00BC155F" w:rsidP="00CC41BC">
            <w:pPr>
              <w:spacing w:after="0" w:line="240" w:lineRule="auto"/>
              <w:jc w:val="right"/>
              <w:rPr>
                <w:rFonts w:eastAsia="Times New Roman" w:cstheme="minorHAnsi"/>
                <w:sz w:val="18"/>
                <w:szCs w:val="18"/>
                <w:lang w:eastAsia="hr-HR"/>
              </w:rPr>
            </w:pPr>
            <w:r w:rsidRPr="00AF6438">
              <w:rPr>
                <w:rFonts w:eastAsia="Times New Roman" w:cstheme="minorHAnsi"/>
                <w:sz w:val="18"/>
                <w:szCs w:val="18"/>
                <w:lang w:eastAsia="hr-HR"/>
              </w:rPr>
              <w:t>236</w:t>
            </w:r>
          </w:p>
        </w:tc>
      </w:tr>
      <w:tr w:rsidR="00BC155F" w:rsidRPr="00AF6438" w14:paraId="38EC9F04" w14:textId="77777777" w:rsidTr="00CC41BC">
        <w:trPr>
          <w:trHeight w:val="20"/>
        </w:trPr>
        <w:tc>
          <w:tcPr>
            <w:tcW w:w="5240" w:type="dxa"/>
            <w:shd w:val="clear" w:color="auto" w:fill="auto"/>
            <w:noWrap/>
            <w:vAlign w:val="bottom"/>
            <w:hideMark/>
          </w:tcPr>
          <w:p w14:paraId="7AB43DC6" w14:textId="77777777" w:rsidR="00BC155F" w:rsidRPr="00AF6438" w:rsidRDefault="00BC155F" w:rsidP="00CC41BC">
            <w:pPr>
              <w:spacing w:after="0" w:line="240" w:lineRule="auto"/>
              <w:jc w:val="left"/>
              <w:rPr>
                <w:rFonts w:eastAsia="Times New Roman" w:cstheme="minorHAnsi"/>
                <w:sz w:val="18"/>
                <w:szCs w:val="18"/>
                <w:lang w:eastAsia="hr-HR"/>
              </w:rPr>
            </w:pPr>
            <w:r w:rsidRPr="00AF6438">
              <w:rPr>
                <w:rFonts w:eastAsia="Times New Roman" w:cstheme="minorHAnsi"/>
                <w:sz w:val="18"/>
                <w:szCs w:val="18"/>
                <w:lang w:eastAsia="hr-HR"/>
              </w:rPr>
              <w:t>Očevidnik nusproizvoda</w:t>
            </w:r>
          </w:p>
        </w:tc>
        <w:tc>
          <w:tcPr>
            <w:tcW w:w="3686" w:type="dxa"/>
            <w:shd w:val="clear" w:color="auto" w:fill="auto"/>
            <w:noWrap/>
            <w:vAlign w:val="bottom"/>
            <w:hideMark/>
          </w:tcPr>
          <w:p w14:paraId="6FB2C997" w14:textId="77777777" w:rsidR="00BC155F" w:rsidRPr="00AF6438" w:rsidRDefault="00BC155F" w:rsidP="00CC41BC">
            <w:pPr>
              <w:spacing w:after="0" w:line="240" w:lineRule="auto"/>
              <w:jc w:val="right"/>
              <w:rPr>
                <w:rFonts w:eastAsia="Times New Roman" w:cstheme="minorHAnsi"/>
                <w:sz w:val="18"/>
                <w:szCs w:val="18"/>
                <w:lang w:eastAsia="hr-HR"/>
              </w:rPr>
            </w:pPr>
            <w:r w:rsidRPr="00AF6438">
              <w:rPr>
                <w:rFonts w:eastAsia="Times New Roman" w:cstheme="minorHAnsi"/>
                <w:sz w:val="18"/>
                <w:szCs w:val="18"/>
                <w:lang w:eastAsia="hr-HR"/>
              </w:rPr>
              <w:t>242</w:t>
            </w:r>
          </w:p>
        </w:tc>
      </w:tr>
      <w:tr w:rsidR="00BC155F" w:rsidRPr="00AF6438" w14:paraId="1F2628BA" w14:textId="77777777" w:rsidTr="00CC41BC">
        <w:trPr>
          <w:trHeight w:val="20"/>
        </w:trPr>
        <w:tc>
          <w:tcPr>
            <w:tcW w:w="5240" w:type="dxa"/>
            <w:shd w:val="clear" w:color="auto" w:fill="auto"/>
            <w:noWrap/>
            <w:vAlign w:val="bottom"/>
            <w:hideMark/>
          </w:tcPr>
          <w:p w14:paraId="689D2B5A" w14:textId="77777777" w:rsidR="00BC155F" w:rsidRPr="00AF6438" w:rsidRDefault="00BC155F" w:rsidP="00CC41BC">
            <w:pPr>
              <w:spacing w:after="0" w:line="240" w:lineRule="auto"/>
              <w:jc w:val="left"/>
              <w:rPr>
                <w:rFonts w:eastAsia="Times New Roman" w:cstheme="minorHAnsi"/>
                <w:sz w:val="18"/>
                <w:szCs w:val="18"/>
                <w:lang w:eastAsia="hr-HR"/>
              </w:rPr>
            </w:pPr>
            <w:r w:rsidRPr="00AF6438">
              <w:rPr>
                <w:rFonts w:eastAsia="Times New Roman" w:cstheme="minorHAnsi"/>
                <w:sz w:val="18"/>
                <w:szCs w:val="18"/>
                <w:lang w:eastAsia="hr-HR"/>
              </w:rPr>
              <w:t xml:space="preserve">Očevidnik za ukidanje statusa otpada </w:t>
            </w:r>
          </w:p>
        </w:tc>
        <w:tc>
          <w:tcPr>
            <w:tcW w:w="3686" w:type="dxa"/>
            <w:shd w:val="clear" w:color="auto" w:fill="auto"/>
            <w:noWrap/>
            <w:vAlign w:val="bottom"/>
            <w:hideMark/>
          </w:tcPr>
          <w:p w14:paraId="7094FFCC" w14:textId="77777777" w:rsidR="00BC155F" w:rsidRPr="00AF6438" w:rsidRDefault="00BC155F" w:rsidP="00CC41BC">
            <w:pPr>
              <w:spacing w:after="0" w:line="240" w:lineRule="auto"/>
              <w:jc w:val="right"/>
              <w:rPr>
                <w:rFonts w:eastAsia="Times New Roman" w:cstheme="minorHAnsi"/>
                <w:sz w:val="18"/>
                <w:szCs w:val="18"/>
                <w:lang w:eastAsia="hr-HR"/>
              </w:rPr>
            </w:pPr>
            <w:r w:rsidRPr="00AF6438">
              <w:rPr>
                <w:rFonts w:eastAsia="Times New Roman" w:cstheme="minorHAnsi"/>
                <w:sz w:val="18"/>
                <w:szCs w:val="18"/>
                <w:lang w:eastAsia="hr-HR"/>
              </w:rPr>
              <w:t>94</w:t>
            </w:r>
          </w:p>
        </w:tc>
      </w:tr>
      <w:tr w:rsidR="00BC155F" w:rsidRPr="00AF6438" w14:paraId="40B48DFD" w14:textId="77777777" w:rsidTr="00CC41BC">
        <w:trPr>
          <w:trHeight w:val="20"/>
        </w:trPr>
        <w:tc>
          <w:tcPr>
            <w:tcW w:w="5240" w:type="dxa"/>
            <w:shd w:val="clear" w:color="auto" w:fill="auto"/>
            <w:noWrap/>
            <w:vAlign w:val="bottom"/>
            <w:hideMark/>
          </w:tcPr>
          <w:p w14:paraId="15F5258A" w14:textId="77777777" w:rsidR="00BC155F" w:rsidRPr="00AF6438" w:rsidRDefault="00BC155F" w:rsidP="00CC41BC">
            <w:pPr>
              <w:spacing w:after="0" w:line="240" w:lineRule="auto"/>
              <w:jc w:val="left"/>
              <w:rPr>
                <w:rFonts w:eastAsia="Times New Roman" w:cstheme="minorHAnsi"/>
                <w:sz w:val="18"/>
                <w:szCs w:val="18"/>
                <w:lang w:eastAsia="hr-HR"/>
              </w:rPr>
            </w:pPr>
            <w:r w:rsidRPr="00AF6438">
              <w:rPr>
                <w:rFonts w:eastAsia="Times New Roman" w:cstheme="minorHAnsi"/>
                <w:sz w:val="18"/>
                <w:szCs w:val="18"/>
                <w:lang w:eastAsia="hr-HR"/>
              </w:rPr>
              <w:lastRenderedPageBreak/>
              <w:t xml:space="preserve">Popis </w:t>
            </w:r>
            <w:proofErr w:type="spellStart"/>
            <w:r w:rsidRPr="00AF6438">
              <w:rPr>
                <w:rFonts w:eastAsia="Times New Roman" w:cstheme="minorHAnsi"/>
                <w:sz w:val="18"/>
                <w:szCs w:val="18"/>
                <w:lang w:eastAsia="hr-HR"/>
              </w:rPr>
              <w:t>oporabitelja</w:t>
            </w:r>
            <w:proofErr w:type="spellEnd"/>
            <w:r w:rsidRPr="00AF6438">
              <w:rPr>
                <w:rFonts w:eastAsia="Times New Roman" w:cstheme="minorHAnsi"/>
                <w:sz w:val="18"/>
                <w:szCs w:val="18"/>
                <w:lang w:eastAsia="hr-HR"/>
              </w:rPr>
              <w:t xml:space="preserve"> otpada za koji nije potrebno ishoditi dozvolu</w:t>
            </w:r>
          </w:p>
        </w:tc>
        <w:tc>
          <w:tcPr>
            <w:tcW w:w="3686" w:type="dxa"/>
            <w:shd w:val="clear" w:color="auto" w:fill="auto"/>
            <w:noWrap/>
            <w:vAlign w:val="bottom"/>
            <w:hideMark/>
          </w:tcPr>
          <w:p w14:paraId="78ADDAEC" w14:textId="77777777" w:rsidR="00BC155F" w:rsidRPr="00AF6438" w:rsidRDefault="00BC155F" w:rsidP="00CC41BC">
            <w:pPr>
              <w:spacing w:after="0" w:line="240" w:lineRule="auto"/>
              <w:jc w:val="right"/>
              <w:rPr>
                <w:rFonts w:eastAsia="Times New Roman" w:cstheme="minorHAnsi"/>
                <w:sz w:val="18"/>
                <w:szCs w:val="18"/>
                <w:lang w:eastAsia="hr-HR"/>
              </w:rPr>
            </w:pPr>
            <w:r w:rsidRPr="00AF6438">
              <w:rPr>
                <w:rFonts w:eastAsia="Times New Roman" w:cstheme="minorHAnsi"/>
                <w:sz w:val="18"/>
                <w:szCs w:val="18"/>
                <w:lang w:eastAsia="hr-HR"/>
              </w:rPr>
              <w:t>63</w:t>
            </w:r>
          </w:p>
        </w:tc>
      </w:tr>
    </w:tbl>
    <w:p w14:paraId="69B7FF4B" w14:textId="77777777" w:rsidR="00BC155F" w:rsidRPr="00BC155F" w:rsidRDefault="00BC155F" w:rsidP="00BC155F">
      <w:pPr>
        <w:spacing w:after="240"/>
        <w:jc w:val="right"/>
        <w:rPr>
          <w:i/>
          <w:iCs/>
          <w:sz w:val="18"/>
          <w:szCs w:val="20"/>
        </w:rPr>
      </w:pPr>
      <w:r w:rsidRPr="00BC155F">
        <w:rPr>
          <w:i/>
          <w:iCs/>
          <w:sz w:val="18"/>
          <w:szCs w:val="20"/>
        </w:rPr>
        <w:t>Izvor: MINGOR</w:t>
      </w:r>
    </w:p>
    <w:p w14:paraId="52C9DF06" w14:textId="77777777" w:rsidR="00BC155F" w:rsidRPr="001C7310" w:rsidRDefault="00BC155F" w:rsidP="00BC155F">
      <w:r w:rsidRPr="001C7310">
        <w:t xml:space="preserve">Broj tvrtki koje obavljaju djelatnost gospodarenja otpadom može se smatrati zadovoljavajućim. </w:t>
      </w:r>
    </w:p>
    <w:p w14:paraId="07216598" w14:textId="668AEF0D" w:rsidR="00C6612D" w:rsidRPr="00BC155F" w:rsidRDefault="00C6612D" w:rsidP="00CF16ED">
      <w:pPr>
        <w:pStyle w:val="IRNaslov3"/>
        <w:numPr>
          <w:ilvl w:val="2"/>
          <w:numId w:val="22"/>
        </w:numPr>
        <w:ind w:left="1418"/>
        <w:rPr>
          <w:rStyle w:val="zadanifontodlomka-000023"/>
          <w:rFonts w:asciiTheme="minorHAnsi" w:hAnsiTheme="minorHAnsi"/>
          <w:color w:val="auto"/>
          <w:szCs w:val="26"/>
        </w:rPr>
      </w:pPr>
      <w:bookmarkStart w:id="181" w:name="_Toc123211647"/>
      <w:r w:rsidRPr="00BC155F">
        <w:rPr>
          <w:rStyle w:val="zadanifontodlomka-000023"/>
          <w:rFonts w:asciiTheme="minorHAnsi" w:hAnsiTheme="minorHAnsi"/>
          <w:color w:val="auto"/>
          <w:szCs w:val="26"/>
        </w:rPr>
        <w:t>Statusi projekata sanacija „crnih točaka“</w:t>
      </w:r>
      <w:bookmarkEnd w:id="181"/>
    </w:p>
    <w:p w14:paraId="68F0AE4D" w14:textId="6B60A516" w:rsidR="0066023C" w:rsidRDefault="0066023C" w:rsidP="0066023C">
      <w:r>
        <w:t xml:space="preserve">„Crne točke“ su lokacije u okolišu visoko opterećene otpadom koji je zaostao nakon dugotrajnog neprimjerenog gospodarenja proizvodnim (tehnološkim) otpadom (npr. otpad iz kožarske i tekstilne industrije, otpad iz proizvodnje i prerade, zatim </w:t>
      </w:r>
      <w:proofErr w:type="spellStart"/>
      <w:r>
        <w:t>isplake</w:t>
      </w:r>
      <w:proofErr w:type="spellEnd"/>
      <w:r>
        <w:t xml:space="preserve">, </w:t>
      </w:r>
      <w:proofErr w:type="spellStart"/>
      <w:r>
        <w:t>zauljena</w:t>
      </w:r>
      <w:proofErr w:type="spellEnd"/>
      <w:r>
        <w:t xml:space="preserve"> zemlja i muljevi koji ostaju oko lokacija dubokih bušotina, </w:t>
      </w:r>
      <w:proofErr w:type="spellStart"/>
      <w:r>
        <w:t>talozi</w:t>
      </w:r>
      <w:proofErr w:type="spellEnd"/>
      <w:r>
        <w:t xml:space="preserve"> u spremnicima, otpad iz anorganskih tehnoloških procesa – kiseline, lužine, soli teških metala, otpad iz proizvodnje umjetnih gnojiva, otpad iz organskih kemijskih procesa, otpad od ostataka boja, lakova, pesticida, otpad od </w:t>
      </w:r>
      <w:proofErr w:type="spellStart"/>
      <w:r>
        <w:t>fotoindustrije</w:t>
      </w:r>
      <w:proofErr w:type="spellEnd"/>
      <w:r>
        <w:t>, otpad iz anorganskih termičkih procesa, otpadna</w:t>
      </w:r>
      <w:r w:rsidR="007C72BB">
        <w:t xml:space="preserve"> mineralna</w:t>
      </w:r>
      <w:r>
        <w:t xml:space="preserve"> ulja i otpadna organska otapala, gume, vozila i otpad iz proizvodnje azbesta, te baterije i akumulatori).</w:t>
      </w:r>
    </w:p>
    <w:p w14:paraId="745BAC17" w14:textId="6C9C45AF" w:rsidR="0066023C" w:rsidRDefault="0066023C" w:rsidP="0066023C">
      <w:r>
        <w:t xml:space="preserve">Popis lokacija </w:t>
      </w:r>
      <w:r w:rsidRPr="00D876F3">
        <w:t>„crnih točaka“</w:t>
      </w:r>
      <w:r>
        <w:t xml:space="preserve"> i statusa sanacije na pojedinoj lokaciji dan je u </w:t>
      </w:r>
      <w:r>
        <w:fldChar w:fldCharType="begin"/>
      </w:r>
      <w:r>
        <w:instrText xml:space="preserve"> REF _Ref111125200 \h </w:instrText>
      </w:r>
      <w:r>
        <w:fldChar w:fldCharType="separate"/>
      </w:r>
      <w:r w:rsidR="00F37B62">
        <w:t xml:space="preserve">Tablica </w:t>
      </w:r>
      <w:r w:rsidR="00F37B62">
        <w:rPr>
          <w:noProof/>
        </w:rPr>
        <w:t>23</w:t>
      </w:r>
      <w:r>
        <w:fldChar w:fldCharType="end"/>
      </w:r>
    </w:p>
    <w:p w14:paraId="7BE5F2AD" w14:textId="7D92348F" w:rsidR="0066023C" w:rsidRDefault="0066023C" w:rsidP="0066023C">
      <w:pPr>
        <w:pStyle w:val="Tablica"/>
      </w:pPr>
      <w:bookmarkStart w:id="182" w:name="_Ref111125200"/>
      <w:bookmarkStart w:id="183" w:name="_Toc125364412"/>
      <w:r>
        <w:t xml:space="preserve">Tablica </w:t>
      </w:r>
      <w:fldSimple w:instr=" SEQ Tablica \* ARABIC ">
        <w:r w:rsidR="00F37B62">
          <w:rPr>
            <w:noProof/>
          </w:rPr>
          <w:t>23</w:t>
        </w:r>
      </w:fldSimple>
      <w:bookmarkEnd w:id="182"/>
      <w:r>
        <w:t xml:space="preserve">. </w:t>
      </w:r>
      <w:r w:rsidRPr="0066023C">
        <w:rPr>
          <w:b w:val="0"/>
          <w:bCs/>
        </w:rPr>
        <w:t>Popis i status sanacije „crnih točaka“ u 2022. godini</w:t>
      </w:r>
      <w:bookmarkEnd w:id="183"/>
    </w:p>
    <w:tbl>
      <w:tblPr>
        <w:tblW w:w="0" w:type="auto"/>
        <w:tblCellMar>
          <w:left w:w="0" w:type="dxa"/>
          <w:right w:w="0" w:type="dxa"/>
        </w:tblCellMar>
        <w:tblLook w:val="04A0" w:firstRow="1" w:lastRow="0" w:firstColumn="1" w:lastColumn="0" w:noHBand="0" w:noVBand="1"/>
      </w:tblPr>
      <w:tblGrid>
        <w:gridCol w:w="526"/>
        <w:gridCol w:w="1432"/>
        <w:gridCol w:w="960"/>
        <w:gridCol w:w="1379"/>
        <w:gridCol w:w="3081"/>
        <w:gridCol w:w="1656"/>
      </w:tblGrid>
      <w:tr w:rsidR="0066023C" w:rsidRPr="009D5FD8" w14:paraId="05D8CA33" w14:textId="77777777" w:rsidTr="00CC41BC">
        <w:trPr>
          <w:tblHeader/>
        </w:trPr>
        <w:tc>
          <w:tcPr>
            <w:tcW w:w="0" w:type="auto"/>
            <w:tcBorders>
              <w:top w:val="single" w:sz="6" w:space="0" w:color="auto"/>
              <w:left w:val="single" w:sz="6" w:space="0" w:color="auto"/>
              <w:bottom w:val="single" w:sz="6" w:space="0" w:color="auto"/>
              <w:right w:val="single" w:sz="6" w:space="0" w:color="auto"/>
            </w:tcBorders>
            <w:shd w:val="clear" w:color="auto" w:fill="002060"/>
            <w:tcMar>
              <w:top w:w="96" w:type="dxa"/>
              <w:left w:w="96" w:type="dxa"/>
              <w:bottom w:w="120" w:type="dxa"/>
              <w:right w:w="96" w:type="dxa"/>
            </w:tcMar>
            <w:vAlign w:val="center"/>
            <w:hideMark/>
          </w:tcPr>
          <w:p w14:paraId="3F9BCEA9" w14:textId="77777777" w:rsidR="0066023C" w:rsidRPr="009D5FD8" w:rsidRDefault="0066023C" w:rsidP="00CC41BC">
            <w:pPr>
              <w:spacing w:after="0" w:line="240" w:lineRule="auto"/>
              <w:jc w:val="center"/>
              <w:rPr>
                <w:rFonts w:eastAsia="Times New Roman" w:cstheme="minorHAnsi"/>
                <w:color w:val="FFFFFF" w:themeColor="background1"/>
                <w:sz w:val="16"/>
                <w:szCs w:val="16"/>
                <w:lang w:eastAsia="hr-HR"/>
              </w:rPr>
            </w:pPr>
            <w:r w:rsidRPr="009D5FD8">
              <w:rPr>
                <w:rFonts w:eastAsia="Times New Roman" w:cstheme="minorHAnsi"/>
                <w:b/>
                <w:bCs/>
                <w:color w:val="FFFFFF" w:themeColor="background1"/>
                <w:sz w:val="16"/>
                <w:szCs w:val="16"/>
                <w:bdr w:val="none" w:sz="0" w:space="0" w:color="auto" w:frame="1"/>
                <w:lang w:eastAsia="hr-HR"/>
              </w:rPr>
              <w:t>Br. na karti</w:t>
            </w:r>
          </w:p>
        </w:tc>
        <w:tc>
          <w:tcPr>
            <w:tcW w:w="0" w:type="auto"/>
            <w:tcBorders>
              <w:top w:val="single" w:sz="6" w:space="0" w:color="auto"/>
              <w:left w:val="single" w:sz="6" w:space="0" w:color="auto"/>
              <w:bottom w:val="single" w:sz="6" w:space="0" w:color="auto"/>
              <w:right w:val="single" w:sz="6" w:space="0" w:color="auto"/>
            </w:tcBorders>
            <w:shd w:val="clear" w:color="auto" w:fill="002060"/>
            <w:tcMar>
              <w:top w:w="96" w:type="dxa"/>
              <w:left w:w="96" w:type="dxa"/>
              <w:bottom w:w="120" w:type="dxa"/>
              <w:right w:w="96" w:type="dxa"/>
            </w:tcMar>
            <w:vAlign w:val="center"/>
            <w:hideMark/>
          </w:tcPr>
          <w:p w14:paraId="5753EDF4" w14:textId="77777777" w:rsidR="0066023C" w:rsidRPr="009D5FD8" w:rsidRDefault="0066023C" w:rsidP="00CC41BC">
            <w:pPr>
              <w:spacing w:after="0" w:line="240" w:lineRule="auto"/>
              <w:jc w:val="center"/>
              <w:rPr>
                <w:rFonts w:eastAsia="Times New Roman" w:cstheme="minorHAnsi"/>
                <w:color w:val="FFFFFF" w:themeColor="background1"/>
                <w:sz w:val="16"/>
                <w:szCs w:val="16"/>
                <w:lang w:eastAsia="hr-HR"/>
              </w:rPr>
            </w:pPr>
            <w:r w:rsidRPr="009D5FD8">
              <w:rPr>
                <w:rFonts w:eastAsia="Times New Roman" w:cstheme="minorHAnsi"/>
                <w:b/>
                <w:bCs/>
                <w:color w:val="FFFFFF" w:themeColor="background1"/>
                <w:sz w:val="16"/>
                <w:szCs w:val="16"/>
                <w:bdr w:val="none" w:sz="0" w:space="0" w:color="auto" w:frame="1"/>
                <w:lang w:eastAsia="hr-HR"/>
              </w:rPr>
              <w:t>„Crna točka“ – naziv</w:t>
            </w:r>
          </w:p>
        </w:tc>
        <w:tc>
          <w:tcPr>
            <w:tcW w:w="0" w:type="auto"/>
            <w:tcBorders>
              <w:top w:val="single" w:sz="6" w:space="0" w:color="auto"/>
              <w:left w:val="single" w:sz="6" w:space="0" w:color="auto"/>
              <w:bottom w:val="single" w:sz="6" w:space="0" w:color="auto"/>
              <w:right w:val="single" w:sz="6" w:space="0" w:color="auto"/>
            </w:tcBorders>
            <w:shd w:val="clear" w:color="auto" w:fill="002060"/>
            <w:tcMar>
              <w:top w:w="96" w:type="dxa"/>
              <w:left w:w="96" w:type="dxa"/>
              <w:bottom w:w="120" w:type="dxa"/>
              <w:right w:w="96" w:type="dxa"/>
            </w:tcMar>
            <w:vAlign w:val="center"/>
            <w:hideMark/>
          </w:tcPr>
          <w:p w14:paraId="49DC8B32" w14:textId="77777777" w:rsidR="0066023C" w:rsidRPr="009D5FD8" w:rsidRDefault="0066023C" w:rsidP="00CC41BC">
            <w:pPr>
              <w:spacing w:after="0" w:line="240" w:lineRule="auto"/>
              <w:jc w:val="center"/>
              <w:rPr>
                <w:rFonts w:eastAsia="Times New Roman" w:cstheme="minorHAnsi"/>
                <w:color w:val="FFFFFF" w:themeColor="background1"/>
                <w:sz w:val="16"/>
                <w:szCs w:val="16"/>
                <w:lang w:eastAsia="hr-HR"/>
              </w:rPr>
            </w:pPr>
            <w:r w:rsidRPr="009D5FD8">
              <w:rPr>
                <w:rFonts w:eastAsia="Times New Roman" w:cstheme="minorHAnsi"/>
                <w:b/>
                <w:bCs/>
                <w:color w:val="FFFFFF" w:themeColor="background1"/>
                <w:sz w:val="16"/>
                <w:szCs w:val="16"/>
                <w:bdr w:val="none" w:sz="0" w:space="0" w:color="auto" w:frame="1"/>
                <w:lang w:eastAsia="hr-HR"/>
              </w:rPr>
              <w:t>Vrsta otpada</w:t>
            </w:r>
          </w:p>
        </w:tc>
        <w:tc>
          <w:tcPr>
            <w:tcW w:w="0" w:type="auto"/>
            <w:tcBorders>
              <w:top w:val="single" w:sz="6" w:space="0" w:color="auto"/>
              <w:left w:val="single" w:sz="6" w:space="0" w:color="auto"/>
              <w:bottom w:val="single" w:sz="6" w:space="0" w:color="auto"/>
              <w:right w:val="single" w:sz="6" w:space="0" w:color="auto"/>
            </w:tcBorders>
            <w:shd w:val="clear" w:color="auto" w:fill="002060"/>
            <w:tcMar>
              <w:top w:w="96" w:type="dxa"/>
              <w:left w:w="96" w:type="dxa"/>
              <w:bottom w:w="120" w:type="dxa"/>
              <w:right w:w="96" w:type="dxa"/>
            </w:tcMar>
            <w:vAlign w:val="center"/>
            <w:hideMark/>
          </w:tcPr>
          <w:p w14:paraId="2CD4EA09" w14:textId="77777777" w:rsidR="0066023C" w:rsidRPr="009D5FD8" w:rsidRDefault="0066023C" w:rsidP="00CC41BC">
            <w:pPr>
              <w:spacing w:after="0" w:line="240" w:lineRule="auto"/>
              <w:jc w:val="center"/>
              <w:rPr>
                <w:rFonts w:eastAsia="Times New Roman" w:cstheme="minorHAnsi"/>
                <w:color w:val="FFFFFF" w:themeColor="background1"/>
                <w:sz w:val="16"/>
                <w:szCs w:val="16"/>
                <w:lang w:eastAsia="hr-HR"/>
              </w:rPr>
            </w:pPr>
            <w:r w:rsidRPr="009D5FD8">
              <w:rPr>
                <w:rFonts w:eastAsia="Times New Roman" w:cstheme="minorHAnsi"/>
                <w:b/>
                <w:bCs/>
                <w:color w:val="FFFFFF" w:themeColor="background1"/>
                <w:sz w:val="16"/>
                <w:szCs w:val="16"/>
                <w:bdr w:val="none" w:sz="0" w:space="0" w:color="auto" w:frame="1"/>
                <w:lang w:eastAsia="hr-HR"/>
              </w:rPr>
              <w:t>Status sanacije</w:t>
            </w:r>
          </w:p>
        </w:tc>
        <w:tc>
          <w:tcPr>
            <w:tcW w:w="0" w:type="auto"/>
            <w:tcBorders>
              <w:top w:val="single" w:sz="6" w:space="0" w:color="auto"/>
              <w:left w:val="single" w:sz="6" w:space="0" w:color="auto"/>
              <w:bottom w:val="single" w:sz="6" w:space="0" w:color="auto"/>
              <w:right w:val="single" w:sz="6" w:space="0" w:color="auto"/>
            </w:tcBorders>
            <w:shd w:val="clear" w:color="auto" w:fill="002060"/>
            <w:tcMar>
              <w:top w:w="96" w:type="dxa"/>
              <w:left w:w="96" w:type="dxa"/>
              <w:bottom w:w="120" w:type="dxa"/>
              <w:right w:w="96" w:type="dxa"/>
            </w:tcMar>
            <w:vAlign w:val="center"/>
            <w:hideMark/>
          </w:tcPr>
          <w:p w14:paraId="7F23322F" w14:textId="77777777" w:rsidR="0066023C" w:rsidRPr="009D5FD8" w:rsidRDefault="0066023C" w:rsidP="00CC41BC">
            <w:pPr>
              <w:spacing w:after="0" w:line="240" w:lineRule="auto"/>
              <w:jc w:val="center"/>
              <w:rPr>
                <w:rFonts w:eastAsia="Times New Roman" w:cstheme="minorHAnsi"/>
                <w:color w:val="FFFFFF" w:themeColor="background1"/>
                <w:sz w:val="16"/>
                <w:szCs w:val="16"/>
                <w:lang w:eastAsia="hr-HR"/>
              </w:rPr>
            </w:pPr>
            <w:r w:rsidRPr="009D5FD8">
              <w:rPr>
                <w:rFonts w:eastAsia="Times New Roman" w:cstheme="minorHAnsi"/>
                <w:b/>
                <w:bCs/>
                <w:color w:val="FFFFFF" w:themeColor="background1"/>
                <w:sz w:val="16"/>
                <w:szCs w:val="16"/>
                <w:bdr w:val="none" w:sz="0" w:space="0" w:color="auto" w:frame="1"/>
                <w:lang w:eastAsia="hr-HR"/>
              </w:rPr>
              <w:t>Opis</w:t>
            </w:r>
          </w:p>
        </w:tc>
        <w:tc>
          <w:tcPr>
            <w:tcW w:w="0" w:type="auto"/>
            <w:tcBorders>
              <w:top w:val="single" w:sz="6" w:space="0" w:color="auto"/>
              <w:left w:val="single" w:sz="6" w:space="0" w:color="auto"/>
              <w:bottom w:val="single" w:sz="6" w:space="0" w:color="auto"/>
              <w:right w:val="single" w:sz="6" w:space="0" w:color="auto"/>
            </w:tcBorders>
            <w:shd w:val="clear" w:color="auto" w:fill="002060"/>
            <w:tcMar>
              <w:top w:w="96" w:type="dxa"/>
              <w:left w:w="96" w:type="dxa"/>
              <w:bottom w:w="120" w:type="dxa"/>
              <w:right w:w="96" w:type="dxa"/>
            </w:tcMar>
            <w:vAlign w:val="center"/>
            <w:hideMark/>
          </w:tcPr>
          <w:p w14:paraId="044929E4" w14:textId="77777777" w:rsidR="0066023C" w:rsidRPr="009D5FD8" w:rsidRDefault="0066023C" w:rsidP="00CC41BC">
            <w:pPr>
              <w:spacing w:after="0" w:line="240" w:lineRule="auto"/>
              <w:jc w:val="center"/>
              <w:rPr>
                <w:rFonts w:eastAsia="Times New Roman" w:cstheme="minorHAnsi"/>
                <w:color w:val="FFFFFF" w:themeColor="background1"/>
                <w:sz w:val="16"/>
                <w:szCs w:val="16"/>
                <w:lang w:eastAsia="hr-HR"/>
              </w:rPr>
            </w:pPr>
            <w:r w:rsidRPr="009D5FD8">
              <w:rPr>
                <w:rFonts w:eastAsia="Times New Roman" w:cstheme="minorHAnsi"/>
                <w:b/>
                <w:bCs/>
                <w:color w:val="FFFFFF" w:themeColor="background1"/>
                <w:sz w:val="16"/>
                <w:szCs w:val="16"/>
                <w:bdr w:val="none" w:sz="0" w:space="0" w:color="auto" w:frame="1"/>
                <w:lang w:eastAsia="hr-HR"/>
              </w:rPr>
              <w:t>Mogući izvori</w:t>
            </w:r>
            <w:r w:rsidRPr="009D5FD8">
              <w:rPr>
                <w:rFonts w:eastAsia="Times New Roman" w:cstheme="minorHAnsi"/>
                <w:b/>
                <w:bCs/>
                <w:color w:val="FFFFFF" w:themeColor="background1"/>
                <w:sz w:val="16"/>
                <w:szCs w:val="16"/>
                <w:bdr w:val="none" w:sz="0" w:space="0" w:color="auto" w:frame="1"/>
                <w:lang w:eastAsia="hr-HR"/>
              </w:rPr>
              <w:br/>
              <w:t>financiranja</w:t>
            </w:r>
          </w:p>
        </w:tc>
      </w:tr>
      <w:tr w:rsidR="0066023C" w:rsidRPr="009D5FD8" w14:paraId="5CC37D80" w14:textId="77777777" w:rsidTr="00CC41B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8D1CD1C" w14:textId="77777777" w:rsidR="0066023C" w:rsidRPr="009D5FD8" w:rsidRDefault="0066023C" w:rsidP="00CC41BC">
            <w:pPr>
              <w:spacing w:after="0" w:line="240" w:lineRule="auto"/>
              <w:jc w:val="center"/>
              <w:rPr>
                <w:rFonts w:eastAsia="Times New Roman" w:cstheme="minorHAnsi"/>
                <w:color w:val="231F20"/>
                <w:sz w:val="16"/>
                <w:szCs w:val="16"/>
                <w:lang w:eastAsia="hr-HR"/>
              </w:rPr>
            </w:pPr>
            <w:r w:rsidRPr="009D5FD8">
              <w:rPr>
                <w:rFonts w:eastAsia="Times New Roman" w:cstheme="minorHAnsi"/>
                <w:b/>
                <w:bCs/>
                <w:color w:val="231F20"/>
                <w:sz w:val="16"/>
                <w:szCs w:val="16"/>
                <w:bdr w:val="none" w:sz="0" w:space="0" w:color="auto" w:frame="1"/>
                <w:lang w:eastAsia="hr-HR"/>
              </w:rPr>
              <w:t>1.</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3B6890E"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Bazeni crvenog mulja i otpadne lužine bivše tvornice glinice u Obrovcu</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CB4CEC8"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crveni mulj i otpadna lužina</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F6D8953" w14:textId="77777777" w:rsidR="0066023C" w:rsidRPr="009D5FD8" w:rsidRDefault="0066023C" w:rsidP="00CC41BC">
            <w:pPr>
              <w:spacing w:after="0" w:line="240" w:lineRule="auto"/>
              <w:rPr>
                <w:rFonts w:eastAsia="Times New Roman" w:cstheme="minorHAnsi"/>
                <w:strike/>
                <w:color w:val="231F20"/>
                <w:sz w:val="16"/>
                <w:szCs w:val="16"/>
                <w:lang w:eastAsia="hr-HR"/>
              </w:rPr>
            </w:pPr>
            <w:r w:rsidRPr="009D5FD8">
              <w:rPr>
                <w:rFonts w:eastAsia="Times New Roman" w:cstheme="minorHAnsi"/>
                <w:color w:val="231F20"/>
                <w:sz w:val="16"/>
                <w:szCs w:val="16"/>
                <w:bdr w:val="none" w:sz="0" w:space="0" w:color="auto" w:frame="1"/>
                <w:lang w:eastAsia="hr-HR"/>
              </w:rPr>
              <w:t>nema aktivnosti</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83A179D"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Fond je u prosincu 2010. kao investitor prekinuo radove iako radovi na sanaciji nisu završeni zbog pravnog statusa dosadašnjih ugovora o izvođenju radova na predmetnoj sanaciji te kaznenog postupka koji je u tijeku.</w:t>
            </w:r>
          </w:p>
          <w:p w14:paraId="37A88913"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Planira se izrada projektne dokumentacije za završetak sanacije.</w:t>
            </w:r>
          </w:p>
          <w:p w14:paraId="579F69BB"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Dijelom je provedena sanacija kojom je trebalo zbrinuti cca. 400.000 m</w:t>
            </w:r>
            <w:r w:rsidRPr="009D5FD8">
              <w:rPr>
                <w:rFonts w:eastAsia="Times New Roman" w:cstheme="minorHAnsi"/>
                <w:color w:val="231F20"/>
                <w:sz w:val="16"/>
                <w:szCs w:val="16"/>
                <w:bdr w:val="none" w:sz="0" w:space="0" w:color="auto" w:frame="1"/>
                <w:vertAlign w:val="superscript"/>
                <w:lang w:eastAsia="hr-HR"/>
              </w:rPr>
              <w:t>3</w:t>
            </w:r>
            <w:r w:rsidRPr="009D5FD8">
              <w:rPr>
                <w:rFonts w:eastAsia="Times New Roman" w:cstheme="minorHAnsi"/>
                <w:color w:val="231F20"/>
                <w:sz w:val="16"/>
                <w:szCs w:val="16"/>
                <w:bdr w:val="none" w:sz="0" w:space="0" w:color="auto" w:frame="1"/>
                <w:lang w:eastAsia="hr-HR"/>
              </w:rPr>
              <w:t> crvenog mulja i cca. 800.000 m</w:t>
            </w:r>
            <w:r w:rsidRPr="009D5FD8">
              <w:rPr>
                <w:rFonts w:eastAsia="Times New Roman" w:cstheme="minorHAnsi"/>
                <w:color w:val="231F20"/>
                <w:sz w:val="16"/>
                <w:szCs w:val="16"/>
                <w:bdr w:val="none" w:sz="0" w:space="0" w:color="auto" w:frame="1"/>
                <w:vertAlign w:val="superscript"/>
                <w:lang w:eastAsia="hr-HR"/>
              </w:rPr>
              <w:t>3</w:t>
            </w:r>
            <w:r w:rsidRPr="009D5FD8">
              <w:rPr>
                <w:rFonts w:eastAsia="Times New Roman" w:cstheme="minorHAnsi"/>
                <w:color w:val="231F20"/>
                <w:sz w:val="16"/>
                <w:szCs w:val="16"/>
                <w:bdr w:val="none" w:sz="0" w:space="0" w:color="auto" w:frame="1"/>
                <w:lang w:eastAsia="hr-HR"/>
              </w:rPr>
              <w:t> otpadne lužnate vode</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9A7FDE2"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Nacionalna sredstva/FZOEU/EU</w:t>
            </w:r>
          </w:p>
        </w:tc>
      </w:tr>
      <w:tr w:rsidR="0066023C" w:rsidRPr="009D5FD8" w14:paraId="10467EC2" w14:textId="77777777" w:rsidTr="00CC41B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2B26C65" w14:textId="77777777" w:rsidR="0066023C" w:rsidRPr="009D5FD8" w:rsidRDefault="0066023C" w:rsidP="00CC41BC">
            <w:pPr>
              <w:spacing w:after="0" w:line="240" w:lineRule="auto"/>
              <w:jc w:val="center"/>
              <w:rPr>
                <w:rFonts w:eastAsia="Times New Roman" w:cstheme="minorHAnsi"/>
                <w:color w:val="231F20"/>
                <w:sz w:val="16"/>
                <w:szCs w:val="16"/>
                <w:lang w:eastAsia="hr-HR"/>
              </w:rPr>
            </w:pPr>
            <w:r w:rsidRPr="009D5FD8">
              <w:rPr>
                <w:rFonts w:eastAsia="Times New Roman" w:cstheme="minorHAnsi"/>
                <w:b/>
                <w:bCs/>
                <w:color w:val="231F20"/>
                <w:sz w:val="16"/>
                <w:szCs w:val="16"/>
                <w:bdr w:val="none" w:sz="0" w:space="0" w:color="auto" w:frame="1"/>
                <w:lang w:eastAsia="hr-HR"/>
              </w:rPr>
              <w:t>2.</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1F530D1"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 xml:space="preserve">Obalni dio nasuprot tvornice Salonit d.d. u stečaju – </w:t>
            </w:r>
            <w:proofErr w:type="spellStart"/>
            <w:r w:rsidRPr="009D5FD8">
              <w:rPr>
                <w:rFonts w:eastAsia="Times New Roman" w:cstheme="minorHAnsi"/>
                <w:color w:val="231F20"/>
                <w:sz w:val="16"/>
                <w:szCs w:val="16"/>
                <w:bdr w:val="none" w:sz="0" w:space="0" w:color="auto" w:frame="1"/>
                <w:lang w:eastAsia="hr-HR"/>
              </w:rPr>
              <w:t>Kosica</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65E7866"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azbest</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13DBCEC"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dokumentacija u izradi</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885515F"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U tijeku je izrada potrebne dokumentacije za prijavu projekta sanacije na financiranje iz EU fondova.</w:t>
            </w:r>
          </w:p>
          <w:p w14:paraId="6D8F86B9"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Potrebno je sanirati površinu od 63.000 m</w:t>
            </w:r>
            <w:r w:rsidRPr="009D5FD8">
              <w:rPr>
                <w:rFonts w:eastAsia="Times New Roman" w:cstheme="minorHAnsi"/>
                <w:color w:val="231F20"/>
                <w:sz w:val="16"/>
                <w:szCs w:val="16"/>
                <w:bdr w:val="none" w:sz="0" w:space="0" w:color="auto" w:frame="1"/>
                <w:vertAlign w:val="superscript"/>
                <w:lang w:eastAsia="hr-HR"/>
              </w:rPr>
              <w:t>2</w:t>
            </w:r>
            <w:r w:rsidRPr="009D5FD8">
              <w:rPr>
                <w:rFonts w:eastAsia="Times New Roman" w:cstheme="minorHAnsi"/>
                <w:color w:val="231F20"/>
                <w:sz w:val="16"/>
                <w:szCs w:val="16"/>
                <w:bdr w:val="none" w:sz="0" w:space="0" w:color="auto" w:frame="1"/>
                <w:lang w:eastAsia="hr-HR"/>
              </w:rPr>
              <w:t> onečišćenu azbestnim otpadom (kopnena i morska površina).</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6304B03"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Nacionalna sredstva/FZOEU/</w:t>
            </w:r>
          </w:p>
          <w:p w14:paraId="75BA89D4"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EU</w:t>
            </w:r>
          </w:p>
        </w:tc>
      </w:tr>
      <w:tr w:rsidR="0066023C" w:rsidRPr="009D5FD8" w14:paraId="7B6E4600" w14:textId="77777777" w:rsidTr="00CC41B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B798BF3" w14:textId="77777777" w:rsidR="0066023C" w:rsidRPr="009D5FD8" w:rsidRDefault="0066023C" w:rsidP="00CC41BC">
            <w:pPr>
              <w:spacing w:after="0" w:line="240" w:lineRule="auto"/>
              <w:jc w:val="center"/>
              <w:rPr>
                <w:rFonts w:eastAsia="Times New Roman" w:cstheme="minorHAnsi"/>
                <w:color w:val="231F20"/>
                <w:sz w:val="16"/>
                <w:szCs w:val="16"/>
                <w:lang w:eastAsia="hr-HR"/>
              </w:rPr>
            </w:pPr>
            <w:r w:rsidRPr="009D5FD8">
              <w:rPr>
                <w:rFonts w:eastAsia="Times New Roman" w:cstheme="minorHAnsi"/>
                <w:b/>
                <w:bCs/>
                <w:color w:val="231F20"/>
                <w:sz w:val="16"/>
                <w:szCs w:val="16"/>
                <w:bdr w:val="none" w:sz="0" w:space="0" w:color="auto" w:frame="1"/>
                <w:lang w:eastAsia="hr-HR"/>
              </w:rPr>
              <w:t>3.</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0FAE151"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Lokacija na kojoj se nalaze veće količine šljake i pepela: odlagalište šljake u Kaštelanskom zaljevu</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3A2939A"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odlagalište šljake</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F05571B" w14:textId="77777777" w:rsidR="0066023C" w:rsidRPr="009D5FD8" w:rsidRDefault="0066023C" w:rsidP="00CC41BC">
            <w:pPr>
              <w:spacing w:after="0" w:line="240" w:lineRule="auto"/>
              <w:rPr>
                <w:rFonts w:eastAsia="Times New Roman" w:cstheme="minorHAnsi"/>
                <w:color w:val="231F20"/>
                <w:sz w:val="16"/>
                <w:szCs w:val="16"/>
                <w:highlight w:val="yellow"/>
                <w:lang w:eastAsia="hr-HR"/>
              </w:rPr>
            </w:pPr>
            <w:r w:rsidRPr="009D5FD8">
              <w:rPr>
                <w:rFonts w:eastAsia="Times New Roman" w:cstheme="minorHAnsi"/>
                <w:color w:val="231F20"/>
                <w:sz w:val="16"/>
                <w:szCs w:val="16"/>
                <w:bdr w:val="none" w:sz="0" w:space="0" w:color="auto" w:frame="1"/>
                <w:lang w:eastAsia="hr-HR"/>
              </w:rPr>
              <w:t>nema aktivnosti</w:t>
            </w:r>
            <w:r w:rsidRPr="009D5FD8">
              <w:rPr>
                <w:rFonts w:eastAsia="Times New Roman" w:cstheme="minorHAnsi"/>
                <w:strike/>
                <w:color w:val="231F20"/>
                <w:sz w:val="16"/>
                <w:szCs w:val="16"/>
                <w:bdr w:val="none" w:sz="0" w:space="0" w:color="auto" w:frame="1"/>
                <w:lang w:eastAsia="hr-HR"/>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AEB9C30"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Program sanacije za odlagalište šljake u Kaštelanskom zaljevu izrađen je 2007, a dopuna Programa sanacije 2014. Dokumentacija je 2014. dostavljena u Grad Kaštela radi usklađenja dokumenata prostornog uređenja, rješavanja vlasničkih odnosa (više privatnih vlasnika), koncesija na lokaciji onečišćenja te utvrđivanje granica pomorskog dobra.</w:t>
            </w:r>
          </w:p>
          <w:p w14:paraId="0BD39291"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Pepeo i šljaka koje treba zbrinuti razmješteni su na površini lokacije cca. 200.000 m</w:t>
            </w:r>
            <w:r w:rsidRPr="009D5FD8">
              <w:rPr>
                <w:rFonts w:eastAsia="Times New Roman" w:cstheme="minorHAnsi"/>
                <w:color w:val="231F20"/>
                <w:sz w:val="16"/>
                <w:szCs w:val="16"/>
                <w:bdr w:val="none" w:sz="0" w:space="0" w:color="auto" w:frame="1"/>
                <w:vertAlign w:val="superscript"/>
                <w:lang w:eastAsia="hr-HR"/>
              </w:rPr>
              <w:t>2</w:t>
            </w:r>
            <w:r w:rsidRPr="009D5FD8">
              <w:rPr>
                <w:rFonts w:eastAsia="Times New Roman" w:cstheme="minorHAnsi"/>
                <w:color w:val="231F20"/>
                <w:sz w:val="16"/>
                <w:szCs w:val="16"/>
                <w:bdr w:val="none" w:sz="0" w:space="0" w:color="auto" w:frame="1"/>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EAA6FD5"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Vlasnik/</w:t>
            </w:r>
          </w:p>
          <w:p w14:paraId="7B913031"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JLS/Nacionalna sredstva/ FZOEU/</w:t>
            </w:r>
          </w:p>
          <w:p w14:paraId="0BF2C4A3"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EU</w:t>
            </w:r>
          </w:p>
        </w:tc>
      </w:tr>
      <w:tr w:rsidR="0066023C" w:rsidRPr="009D5FD8" w14:paraId="39451995" w14:textId="77777777" w:rsidTr="00CC41B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0807552" w14:textId="77777777" w:rsidR="0066023C" w:rsidRPr="009D5FD8" w:rsidRDefault="0066023C" w:rsidP="00CC41BC">
            <w:pPr>
              <w:spacing w:after="0" w:line="240" w:lineRule="auto"/>
              <w:jc w:val="center"/>
              <w:rPr>
                <w:rFonts w:eastAsia="Times New Roman" w:cstheme="minorHAnsi"/>
                <w:color w:val="231F20"/>
                <w:sz w:val="16"/>
                <w:szCs w:val="16"/>
                <w:lang w:eastAsia="hr-HR"/>
              </w:rPr>
            </w:pPr>
            <w:r w:rsidRPr="009D5FD8">
              <w:rPr>
                <w:rFonts w:eastAsia="Times New Roman" w:cstheme="minorHAnsi"/>
                <w:b/>
                <w:bCs/>
                <w:color w:val="231F20"/>
                <w:sz w:val="16"/>
                <w:szCs w:val="16"/>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B21A66D"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 xml:space="preserve">Lokacija praonice i dezinsekcijske stanice u </w:t>
            </w:r>
            <w:proofErr w:type="spellStart"/>
            <w:r w:rsidRPr="009D5FD8">
              <w:rPr>
                <w:rFonts w:eastAsia="Times New Roman" w:cstheme="minorHAnsi"/>
                <w:color w:val="231F20"/>
                <w:sz w:val="16"/>
                <w:szCs w:val="16"/>
                <w:bdr w:val="none" w:sz="0" w:space="0" w:color="auto" w:frame="1"/>
                <w:lang w:eastAsia="hr-HR"/>
              </w:rPr>
              <w:t>Botovu</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4FA830F" w14:textId="77777777" w:rsidR="0066023C" w:rsidRPr="009D5FD8" w:rsidRDefault="0066023C" w:rsidP="00CC41BC">
            <w:pPr>
              <w:spacing w:after="0" w:line="240" w:lineRule="auto"/>
              <w:rPr>
                <w:rFonts w:eastAsia="Times New Roman" w:cstheme="minorHAnsi"/>
                <w:color w:val="231F20"/>
                <w:sz w:val="16"/>
                <w:szCs w:val="16"/>
                <w:lang w:eastAsia="hr-HR"/>
              </w:rPr>
            </w:pPr>
            <w:proofErr w:type="spellStart"/>
            <w:r w:rsidRPr="009D5FD8">
              <w:rPr>
                <w:rFonts w:eastAsia="Times New Roman" w:cstheme="minorHAnsi"/>
                <w:color w:val="231F20"/>
                <w:sz w:val="16"/>
                <w:szCs w:val="16"/>
                <w:bdr w:val="none" w:sz="0" w:space="0" w:color="auto" w:frame="1"/>
                <w:lang w:eastAsia="hr-HR"/>
              </w:rPr>
              <w:t>zauljeni</w:t>
            </w:r>
            <w:proofErr w:type="spellEnd"/>
            <w:r w:rsidRPr="009D5FD8">
              <w:rPr>
                <w:rFonts w:eastAsia="Times New Roman" w:cstheme="minorHAnsi"/>
                <w:color w:val="231F20"/>
                <w:sz w:val="16"/>
                <w:szCs w:val="16"/>
                <w:bdr w:val="none" w:sz="0" w:space="0" w:color="auto" w:frame="1"/>
                <w:lang w:eastAsia="hr-HR"/>
              </w:rPr>
              <w:t xml:space="preserve"> muljevi</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98299D0" w14:textId="77777777" w:rsidR="0066023C" w:rsidRPr="009D5FD8" w:rsidRDefault="0066023C" w:rsidP="00CC41BC">
            <w:pPr>
              <w:spacing w:after="0" w:line="240" w:lineRule="auto"/>
              <w:rPr>
                <w:rFonts w:eastAsia="Times New Roman" w:cstheme="minorHAnsi"/>
                <w:strike/>
                <w:color w:val="231F20"/>
                <w:sz w:val="16"/>
                <w:szCs w:val="16"/>
                <w:lang w:eastAsia="hr-HR"/>
              </w:rPr>
            </w:pPr>
            <w:r w:rsidRPr="009D5FD8">
              <w:rPr>
                <w:rFonts w:eastAsia="Times New Roman" w:cstheme="minorHAnsi"/>
                <w:color w:val="231F20"/>
                <w:sz w:val="16"/>
                <w:szCs w:val="16"/>
                <w:bdr w:val="none" w:sz="0" w:space="0" w:color="auto" w:frame="1"/>
                <w:lang w:eastAsia="hr-HR"/>
              </w:rPr>
              <w:t>nema aktivnosti</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2537F5A"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Nema aktivnosti.</w:t>
            </w:r>
          </w:p>
          <w:p w14:paraId="184981C7"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Podjelom trgovačkog društva onečišćivača osnovana su nova trgovačka društva među kojima je potrebno odrediti nadležnost za sanaciju odnosno pravnog sljednika sanacije.</w:t>
            </w:r>
          </w:p>
          <w:p w14:paraId="57048037"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 xml:space="preserve">Potrebno je provesti dodatne istražne radove kako bi se utvrdila točna količina </w:t>
            </w:r>
            <w:r w:rsidRPr="009D5FD8">
              <w:rPr>
                <w:rFonts w:eastAsia="Times New Roman" w:cstheme="minorHAnsi"/>
                <w:color w:val="231F20"/>
                <w:sz w:val="16"/>
                <w:szCs w:val="16"/>
                <w:bdr w:val="none" w:sz="0" w:space="0" w:color="auto" w:frame="1"/>
                <w:lang w:eastAsia="hr-HR"/>
              </w:rPr>
              <w:lastRenderedPageBreak/>
              <w:t>onečišćenog tla (šljunka i pijeska), vrsta i stupanj onečišćenja te procijenio opseg onečišćenja podzemnih voda.</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2B79E69"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lastRenderedPageBreak/>
              <w:t>Pravni sljednik onečišćivača/EU</w:t>
            </w:r>
          </w:p>
        </w:tc>
      </w:tr>
      <w:tr w:rsidR="0066023C" w:rsidRPr="009D5FD8" w14:paraId="6F66D59E" w14:textId="77777777" w:rsidTr="00CC41B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AF33123" w14:textId="77777777" w:rsidR="0066023C" w:rsidRPr="009D5FD8" w:rsidRDefault="0066023C" w:rsidP="00CC41BC">
            <w:pPr>
              <w:spacing w:after="0" w:line="240" w:lineRule="auto"/>
              <w:jc w:val="center"/>
              <w:rPr>
                <w:rFonts w:eastAsia="Times New Roman" w:cstheme="minorHAnsi"/>
                <w:color w:val="231F20"/>
                <w:sz w:val="16"/>
                <w:szCs w:val="16"/>
                <w:lang w:eastAsia="hr-HR"/>
              </w:rPr>
            </w:pPr>
            <w:r w:rsidRPr="009D5FD8">
              <w:rPr>
                <w:rFonts w:eastAsia="Times New Roman" w:cstheme="minorHAnsi"/>
                <w:b/>
                <w:bCs/>
                <w:color w:val="231F20"/>
                <w:sz w:val="16"/>
                <w:szCs w:val="16"/>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EB0D48B"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 xml:space="preserve">Jama </w:t>
            </w:r>
            <w:proofErr w:type="spellStart"/>
            <w:r w:rsidRPr="009D5FD8">
              <w:rPr>
                <w:rFonts w:eastAsia="Times New Roman" w:cstheme="minorHAnsi"/>
                <w:color w:val="231F20"/>
                <w:sz w:val="16"/>
                <w:szCs w:val="16"/>
                <w:bdr w:val="none" w:sz="0" w:space="0" w:color="auto" w:frame="1"/>
                <w:lang w:eastAsia="hr-HR"/>
              </w:rPr>
              <w:t>Sovjak</w:t>
            </w:r>
            <w:proofErr w:type="spellEnd"/>
            <w:r w:rsidRPr="009D5FD8">
              <w:rPr>
                <w:rFonts w:eastAsia="Times New Roman" w:cstheme="minorHAnsi"/>
                <w:color w:val="231F20"/>
                <w:sz w:val="16"/>
                <w:szCs w:val="16"/>
                <w:bdr w:val="none" w:sz="0" w:space="0" w:color="auto" w:frame="1"/>
                <w:lang w:eastAsia="hr-HR"/>
              </w:rPr>
              <w:t xml:space="preserve"> kod Rijeke</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0D6C79D"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otpadni katran</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AB4BA2F"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sanacija u tijeku</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2578980"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 xml:space="preserve">Sklopljen je Ugovor za projektiranje i izvođenje radova sanacije jame </w:t>
            </w:r>
            <w:proofErr w:type="spellStart"/>
            <w:r w:rsidRPr="009D5FD8">
              <w:rPr>
                <w:rFonts w:eastAsia="Times New Roman" w:cstheme="minorHAnsi"/>
                <w:color w:val="231F20"/>
                <w:sz w:val="16"/>
                <w:szCs w:val="16"/>
                <w:bdr w:val="none" w:sz="0" w:space="0" w:color="auto" w:frame="1"/>
                <w:lang w:eastAsia="hr-HR"/>
              </w:rPr>
              <w:t>Sovjak</w:t>
            </w:r>
            <w:proofErr w:type="spellEnd"/>
            <w:r w:rsidRPr="009D5FD8">
              <w:rPr>
                <w:rFonts w:eastAsia="Times New Roman" w:cstheme="minorHAnsi"/>
                <w:color w:val="231F20"/>
                <w:sz w:val="16"/>
                <w:szCs w:val="16"/>
                <w:bdr w:val="none" w:sz="0" w:space="0" w:color="auto" w:frame="1"/>
                <w:lang w:eastAsia="hr-HR"/>
              </w:rPr>
              <w:t xml:space="preserve"> te su radovi započeli u 02/2022.</w:t>
            </w:r>
          </w:p>
          <w:p w14:paraId="7342A0AE"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Potrebno je sanirati 8.000 m</w:t>
            </w:r>
            <w:r w:rsidRPr="009D5FD8">
              <w:rPr>
                <w:rFonts w:eastAsia="Times New Roman" w:cstheme="minorHAnsi"/>
                <w:color w:val="231F20"/>
                <w:sz w:val="16"/>
                <w:szCs w:val="16"/>
                <w:bdr w:val="none" w:sz="0" w:space="0" w:color="auto" w:frame="1"/>
                <w:vertAlign w:val="superscript"/>
                <w:lang w:eastAsia="hr-HR"/>
              </w:rPr>
              <w:t>2</w:t>
            </w:r>
            <w:r w:rsidRPr="009D5FD8">
              <w:rPr>
                <w:rFonts w:eastAsia="Times New Roman" w:cstheme="minorHAnsi"/>
                <w:color w:val="231F20"/>
                <w:sz w:val="16"/>
                <w:szCs w:val="16"/>
                <w:bdr w:val="none" w:sz="0" w:space="0" w:color="auto" w:frame="1"/>
                <w:lang w:eastAsia="hr-HR"/>
              </w:rPr>
              <w:t> površine</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E1B215B"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FZOEU/</w:t>
            </w:r>
          </w:p>
          <w:p w14:paraId="51DB916D"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EU</w:t>
            </w:r>
          </w:p>
        </w:tc>
      </w:tr>
      <w:tr w:rsidR="0066023C" w:rsidRPr="009D5FD8" w14:paraId="4CB8F76A" w14:textId="77777777" w:rsidTr="00CC41B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71DF220" w14:textId="77777777" w:rsidR="0066023C" w:rsidRPr="009D5FD8" w:rsidRDefault="0066023C" w:rsidP="00CC41BC">
            <w:pPr>
              <w:spacing w:after="0" w:line="240" w:lineRule="auto"/>
              <w:jc w:val="center"/>
              <w:rPr>
                <w:rFonts w:eastAsia="Times New Roman" w:cstheme="minorHAnsi"/>
                <w:color w:val="231F20"/>
                <w:sz w:val="16"/>
                <w:szCs w:val="16"/>
                <w:lang w:eastAsia="hr-HR"/>
              </w:rPr>
            </w:pPr>
            <w:r w:rsidRPr="009D5FD8">
              <w:rPr>
                <w:rFonts w:eastAsia="Times New Roman" w:cstheme="minorHAnsi"/>
                <w:b/>
                <w:bCs/>
                <w:color w:val="231F20"/>
                <w:sz w:val="16"/>
                <w:szCs w:val="16"/>
                <w:bdr w:val="none" w:sz="0" w:space="0" w:color="auto" w:frame="1"/>
                <w:lang w:eastAsia="hr-HR"/>
              </w:rPr>
              <w:t>6.</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2DEACD6"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Tvrtka DIV d.o.o. – mazut u sklopu tvornice vijaka TVIK u Kninu</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3996735"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mazut</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F193172"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dokumentacija u izradi</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48AD069"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U nadležnosti vlasnika DIV-a d.o.o.</w:t>
            </w:r>
          </w:p>
          <w:p w14:paraId="2C6A187F"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 xml:space="preserve">Procijenjeno je onečišćenje katranom unutar tvornice </w:t>
            </w:r>
            <w:proofErr w:type="spellStart"/>
            <w:r w:rsidRPr="009D5FD8">
              <w:rPr>
                <w:rFonts w:eastAsia="Times New Roman" w:cstheme="minorHAnsi"/>
                <w:color w:val="231F20"/>
                <w:sz w:val="16"/>
                <w:szCs w:val="16"/>
                <w:bdr w:val="none" w:sz="0" w:space="0" w:color="auto" w:frame="1"/>
                <w:lang w:eastAsia="hr-HR"/>
              </w:rPr>
              <w:t>Tvik</w:t>
            </w:r>
            <w:proofErr w:type="spellEnd"/>
            <w:r w:rsidRPr="009D5FD8">
              <w:rPr>
                <w:rFonts w:eastAsia="Times New Roman" w:cstheme="minorHAnsi"/>
                <w:color w:val="231F20"/>
                <w:sz w:val="16"/>
                <w:szCs w:val="16"/>
                <w:bdr w:val="none" w:sz="0" w:space="0" w:color="auto" w:frame="1"/>
                <w:lang w:eastAsia="hr-HR"/>
              </w:rPr>
              <w:t xml:space="preserve"> u Kninu na površini od 47.940 m</w:t>
            </w:r>
            <w:r w:rsidRPr="009D5FD8">
              <w:rPr>
                <w:rFonts w:eastAsia="Times New Roman" w:cstheme="minorHAnsi"/>
                <w:color w:val="231F20"/>
                <w:sz w:val="16"/>
                <w:szCs w:val="16"/>
                <w:bdr w:val="none" w:sz="0" w:space="0" w:color="auto" w:frame="1"/>
                <w:vertAlign w:val="superscript"/>
                <w:lang w:eastAsia="hr-HR"/>
              </w:rPr>
              <w:t>2</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D3A9D7E"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Onečišćivač, Grad Knin, Šibensko-kninska županija, Hrvatske vode</w:t>
            </w:r>
          </w:p>
        </w:tc>
      </w:tr>
      <w:tr w:rsidR="0066023C" w:rsidRPr="009D5FD8" w14:paraId="42D02B03" w14:textId="77777777" w:rsidTr="00CC41B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EF87519" w14:textId="77777777" w:rsidR="0066023C" w:rsidRPr="009D5FD8" w:rsidRDefault="0066023C" w:rsidP="00CC41BC">
            <w:pPr>
              <w:spacing w:after="0" w:line="240" w:lineRule="auto"/>
              <w:jc w:val="center"/>
              <w:rPr>
                <w:rFonts w:eastAsia="Times New Roman" w:cstheme="minorHAnsi"/>
                <w:color w:val="231F20"/>
                <w:sz w:val="16"/>
                <w:szCs w:val="16"/>
                <w:lang w:eastAsia="hr-HR"/>
              </w:rPr>
            </w:pPr>
            <w:r w:rsidRPr="009D5FD8">
              <w:rPr>
                <w:rFonts w:eastAsia="Times New Roman" w:cstheme="minorHAnsi"/>
                <w:b/>
                <w:bCs/>
                <w:color w:val="231F20"/>
                <w:sz w:val="16"/>
                <w:szCs w:val="16"/>
                <w:bdr w:val="none" w:sz="0" w:space="0" w:color="auto" w:frame="1"/>
                <w:lang w:eastAsia="hr-HR"/>
              </w:rPr>
              <w:t>7.</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CB126E2"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 xml:space="preserve">Odlagalište </w:t>
            </w:r>
            <w:proofErr w:type="spellStart"/>
            <w:r w:rsidRPr="009D5FD8">
              <w:rPr>
                <w:rFonts w:eastAsia="Times New Roman" w:cstheme="minorHAnsi"/>
                <w:color w:val="231F20"/>
                <w:sz w:val="16"/>
                <w:szCs w:val="16"/>
                <w:bdr w:val="none" w:sz="0" w:space="0" w:color="auto" w:frame="1"/>
                <w:lang w:eastAsia="hr-HR"/>
              </w:rPr>
              <w:t>fosfogipsa</w:t>
            </w:r>
            <w:proofErr w:type="spellEnd"/>
            <w:r w:rsidRPr="009D5FD8">
              <w:rPr>
                <w:rFonts w:eastAsia="Times New Roman" w:cstheme="minorHAnsi"/>
                <w:color w:val="231F20"/>
                <w:sz w:val="16"/>
                <w:szCs w:val="16"/>
                <w:bdr w:val="none" w:sz="0" w:space="0" w:color="auto" w:frame="1"/>
                <w:lang w:eastAsia="hr-HR"/>
              </w:rPr>
              <w:t xml:space="preserve"> – Petrokemija Kutina</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32D8E08" w14:textId="77777777" w:rsidR="0066023C" w:rsidRPr="009D5FD8" w:rsidRDefault="0066023C" w:rsidP="00CC41BC">
            <w:pPr>
              <w:spacing w:after="0" w:line="240" w:lineRule="auto"/>
              <w:rPr>
                <w:rFonts w:eastAsia="Times New Roman" w:cstheme="minorHAnsi"/>
                <w:color w:val="231F20"/>
                <w:sz w:val="16"/>
                <w:szCs w:val="16"/>
                <w:lang w:eastAsia="hr-HR"/>
              </w:rPr>
            </w:pPr>
            <w:proofErr w:type="spellStart"/>
            <w:r w:rsidRPr="009D5FD8">
              <w:rPr>
                <w:rFonts w:eastAsia="Times New Roman" w:cstheme="minorHAnsi"/>
                <w:color w:val="231F20"/>
                <w:sz w:val="16"/>
                <w:szCs w:val="16"/>
                <w:bdr w:val="none" w:sz="0" w:space="0" w:color="auto" w:frame="1"/>
                <w:lang w:eastAsia="hr-HR"/>
              </w:rPr>
              <w:t>fosfogips</w:t>
            </w:r>
            <w:proofErr w:type="spellEnd"/>
            <w:r w:rsidRPr="009D5FD8">
              <w:rPr>
                <w:rFonts w:eastAsia="Times New Roman" w:cstheme="minorHAnsi"/>
                <w:color w:val="231F20"/>
                <w:sz w:val="16"/>
                <w:szCs w:val="16"/>
                <w:bdr w:val="none" w:sz="0" w:space="0" w:color="auto" w:frame="1"/>
                <w:lang w:eastAsia="hr-HR"/>
              </w:rPr>
              <w:t xml:space="preserve"> i kisela voda</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5AEB241" w14:textId="77777777" w:rsidR="0066023C" w:rsidRPr="009D5FD8" w:rsidRDefault="0066023C" w:rsidP="00CC41BC">
            <w:pPr>
              <w:spacing w:after="0" w:line="240" w:lineRule="auto"/>
              <w:rPr>
                <w:rFonts w:eastAsia="Times New Roman" w:cstheme="minorHAnsi"/>
                <w:strike/>
                <w:color w:val="231F20"/>
                <w:sz w:val="16"/>
                <w:szCs w:val="16"/>
                <w:lang w:eastAsia="hr-HR"/>
              </w:rPr>
            </w:pPr>
            <w:r w:rsidRPr="009D5FD8">
              <w:rPr>
                <w:rFonts w:eastAsia="Times New Roman" w:cstheme="minorHAnsi"/>
                <w:color w:val="231F20"/>
                <w:sz w:val="16"/>
                <w:szCs w:val="16"/>
                <w:bdr w:val="none" w:sz="0" w:space="0" w:color="auto" w:frame="1"/>
                <w:lang w:eastAsia="hr-HR"/>
              </w:rPr>
              <w:t>Obrađuje se otpadna voda sukladno Okolišnoj dozvoli za rad odlagališta</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9F95049"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 xml:space="preserve">Kutinska tvrtka </w:t>
            </w:r>
            <w:proofErr w:type="spellStart"/>
            <w:r w:rsidRPr="009D5FD8">
              <w:rPr>
                <w:rFonts w:eastAsia="Times New Roman" w:cstheme="minorHAnsi"/>
                <w:color w:val="231F20"/>
                <w:sz w:val="16"/>
                <w:szCs w:val="16"/>
                <w:bdr w:val="none" w:sz="0" w:space="0" w:color="auto" w:frame="1"/>
                <w:lang w:eastAsia="hr-HR"/>
              </w:rPr>
              <w:t>Flamtron</w:t>
            </w:r>
            <w:proofErr w:type="spellEnd"/>
            <w:r w:rsidRPr="009D5FD8">
              <w:rPr>
                <w:rFonts w:eastAsia="Times New Roman" w:cstheme="minorHAnsi"/>
                <w:color w:val="231F20"/>
                <w:sz w:val="16"/>
                <w:szCs w:val="16"/>
                <w:bdr w:val="none" w:sz="0" w:space="0" w:color="auto" w:frame="1"/>
                <w:lang w:eastAsia="hr-HR"/>
              </w:rPr>
              <w:t xml:space="preserve"> d.o.o. kupila je državnu tvrtku DE-FOS d.o.o. koju je ranije VRH osnovala za zbrinjavanje neopasnog otpada.</w:t>
            </w:r>
          </w:p>
          <w:p w14:paraId="4C89F735"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Ukupna površina deponije je cca. 1.700.000 m</w:t>
            </w:r>
            <w:r w:rsidRPr="009D5FD8">
              <w:rPr>
                <w:rFonts w:eastAsia="Times New Roman" w:cstheme="minorHAnsi"/>
                <w:color w:val="231F20"/>
                <w:sz w:val="16"/>
                <w:szCs w:val="16"/>
                <w:bdr w:val="none" w:sz="0" w:space="0" w:color="auto" w:frame="1"/>
                <w:vertAlign w:val="superscript"/>
                <w:lang w:eastAsia="hr-HR"/>
              </w:rPr>
              <w:t>2</w:t>
            </w:r>
            <w:r w:rsidRPr="009D5FD8">
              <w:rPr>
                <w:rFonts w:eastAsia="Times New Roman" w:cstheme="minorHAnsi"/>
                <w:color w:val="231F20"/>
                <w:sz w:val="16"/>
                <w:szCs w:val="16"/>
                <w:bdr w:val="none" w:sz="0" w:space="0" w:color="auto" w:frame="1"/>
                <w:lang w:eastAsia="hr-HR"/>
              </w:rPr>
              <w:t>, procijenjena količina odloženog neopasnog krutog otpada 8,5 milijuna t uz količinu procesne kisele vode od 2.000.000 m</w:t>
            </w:r>
            <w:r w:rsidRPr="009D5FD8">
              <w:rPr>
                <w:rFonts w:eastAsia="Times New Roman" w:cstheme="minorHAnsi"/>
                <w:color w:val="231F20"/>
                <w:sz w:val="16"/>
                <w:szCs w:val="16"/>
                <w:bdr w:val="none" w:sz="0" w:space="0" w:color="auto" w:frame="1"/>
                <w:vertAlign w:val="superscript"/>
                <w:lang w:eastAsia="hr-HR"/>
              </w:rPr>
              <w:t>3</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3DD7B4D" w14:textId="77777777" w:rsidR="0066023C" w:rsidRPr="009D5FD8" w:rsidRDefault="0066023C" w:rsidP="00CC41BC">
            <w:pPr>
              <w:spacing w:after="0" w:line="240" w:lineRule="auto"/>
              <w:rPr>
                <w:rFonts w:eastAsia="Times New Roman" w:cstheme="minorHAnsi"/>
                <w:strike/>
                <w:color w:val="231F20"/>
                <w:sz w:val="16"/>
                <w:szCs w:val="16"/>
                <w:lang w:eastAsia="hr-HR"/>
              </w:rPr>
            </w:pPr>
            <w:r w:rsidRPr="009D5FD8">
              <w:rPr>
                <w:rFonts w:eastAsia="Times New Roman" w:cstheme="minorHAnsi"/>
                <w:color w:val="231F20"/>
                <w:sz w:val="16"/>
                <w:szCs w:val="16"/>
                <w:bdr w:val="none" w:sz="0" w:space="0" w:color="auto" w:frame="1"/>
                <w:lang w:eastAsia="hr-HR"/>
              </w:rPr>
              <w:t>Vlasnik</w:t>
            </w:r>
          </w:p>
        </w:tc>
      </w:tr>
      <w:tr w:rsidR="0066023C" w:rsidRPr="009D5FD8" w14:paraId="77972DB5" w14:textId="77777777" w:rsidTr="00CC41B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70EFD76" w14:textId="77777777" w:rsidR="0066023C" w:rsidRPr="009D5FD8" w:rsidRDefault="0066023C" w:rsidP="00CC41BC">
            <w:pPr>
              <w:spacing w:after="0" w:line="240" w:lineRule="auto"/>
              <w:jc w:val="center"/>
              <w:rPr>
                <w:rFonts w:eastAsia="Times New Roman" w:cstheme="minorHAnsi"/>
                <w:color w:val="231F20"/>
                <w:sz w:val="16"/>
                <w:szCs w:val="16"/>
                <w:lang w:eastAsia="hr-HR"/>
              </w:rPr>
            </w:pPr>
            <w:r w:rsidRPr="009D5FD8">
              <w:rPr>
                <w:rFonts w:eastAsia="Times New Roman" w:cstheme="minorHAnsi"/>
                <w:b/>
                <w:bCs/>
                <w:color w:val="231F20"/>
                <w:sz w:val="16"/>
                <w:szCs w:val="16"/>
                <w:bdr w:val="none" w:sz="0" w:space="0" w:color="auto" w:frame="1"/>
                <w:lang w:eastAsia="hr-HR"/>
              </w:rPr>
              <w:t>8.</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51E7CDF"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Odlagalište kamenog agregata („crno brdo“) – Biljane Donje</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DA94B29"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Kameni agregat</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2B516B3" w14:textId="321F1A90" w:rsidR="0066023C" w:rsidRPr="009D5FD8" w:rsidRDefault="00FC4169" w:rsidP="00CC41BC">
            <w:pPr>
              <w:spacing w:after="0" w:line="240" w:lineRule="auto"/>
              <w:rPr>
                <w:rFonts w:eastAsia="Times New Roman" w:cstheme="minorHAnsi"/>
                <w:color w:val="231F20"/>
                <w:sz w:val="16"/>
                <w:szCs w:val="16"/>
                <w:lang w:eastAsia="hr-HR"/>
              </w:rPr>
            </w:pPr>
            <w:r>
              <w:rPr>
                <w:rFonts w:eastAsia="Times New Roman" w:cstheme="minorHAnsi"/>
                <w:color w:val="231F20"/>
                <w:sz w:val="16"/>
                <w:szCs w:val="16"/>
                <w:bdr w:val="none" w:sz="0" w:space="0" w:color="auto" w:frame="1"/>
                <w:lang w:eastAsia="hr-HR"/>
              </w:rPr>
              <w:t>određivanje dinamike daljnjeg postupanja</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8348A58" w14:textId="52A0AED6"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 xml:space="preserve">Tijekom sanacije lokacije TEF d.d. u Šibeniku koja je prestala s radom 1994. godine, tvrtka MLM GROUP-ZAGREB d.o.o. je 2009. izvršila iskop, sakupljanje, drobljenje, mljevenje i separaciju </w:t>
            </w:r>
            <w:proofErr w:type="spellStart"/>
            <w:r w:rsidRPr="009D5FD8">
              <w:rPr>
                <w:rFonts w:eastAsia="Times New Roman" w:cstheme="minorHAnsi"/>
                <w:color w:val="231F20"/>
                <w:sz w:val="16"/>
                <w:szCs w:val="16"/>
                <w:bdr w:val="none" w:sz="0" w:space="0" w:color="auto" w:frame="1"/>
                <w:lang w:eastAsia="hr-HR"/>
              </w:rPr>
              <w:t>feromanganske</w:t>
            </w:r>
            <w:proofErr w:type="spellEnd"/>
            <w:r w:rsidRPr="009D5FD8">
              <w:rPr>
                <w:rFonts w:eastAsia="Times New Roman" w:cstheme="minorHAnsi"/>
                <w:color w:val="231F20"/>
                <w:sz w:val="16"/>
                <w:szCs w:val="16"/>
                <w:bdr w:val="none" w:sz="0" w:space="0" w:color="auto" w:frame="1"/>
                <w:lang w:eastAsia="hr-HR"/>
              </w:rPr>
              <w:t xml:space="preserve"> i </w:t>
            </w:r>
            <w:proofErr w:type="spellStart"/>
            <w:r w:rsidRPr="009D5FD8">
              <w:rPr>
                <w:rFonts w:eastAsia="Times New Roman" w:cstheme="minorHAnsi"/>
                <w:color w:val="231F20"/>
                <w:sz w:val="16"/>
                <w:szCs w:val="16"/>
                <w:bdr w:val="none" w:sz="0" w:space="0" w:color="auto" w:frame="1"/>
                <w:lang w:eastAsia="hr-HR"/>
              </w:rPr>
              <w:t>silikomanganske</w:t>
            </w:r>
            <w:proofErr w:type="spellEnd"/>
            <w:r w:rsidRPr="009D5FD8">
              <w:rPr>
                <w:rFonts w:eastAsia="Times New Roman" w:cstheme="minorHAnsi"/>
                <w:color w:val="231F20"/>
                <w:sz w:val="16"/>
                <w:szCs w:val="16"/>
                <w:bdr w:val="none" w:sz="0" w:space="0" w:color="auto" w:frame="1"/>
                <w:lang w:eastAsia="hr-HR"/>
              </w:rPr>
              <w:t xml:space="preserve"> troske te prodala izdvojeni metal (</w:t>
            </w:r>
            <w:proofErr w:type="spellStart"/>
            <w:r w:rsidRPr="009D5FD8">
              <w:rPr>
                <w:rFonts w:eastAsia="Times New Roman" w:cstheme="minorHAnsi"/>
                <w:color w:val="231F20"/>
                <w:sz w:val="16"/>
                <w:szCs w:val="16"/>
                <w:bdr w:val="none" w:sz="0" w:space="0" w:color="auto" w:frame="1"/>
                <w:lang w:eastAsia="hr-HR"/>
              </w:rPr>
              <w:t>feromangan</w:t>
            </w:r>
            <w:proofErr w:type="spellEnd"/>
            <w:r w:rsidRPr="009D5FD8">
              <w:rPr>
                <w:rFonts w:eastAsia="Times New Roman" w:cstheme="minorHAnsi"/>
                <w:color w:val="231F20"/>
                <w:sz w:val="16"/>
                <w:szCs w:val="16"/>
                <w:bdr w:val="none" w:sz="0" w:space="0" w:color="auto" w:frame="1"/>
                <w:lang w:eastAsia="hr-HR"/>
              </w:rPr>
              <w:t xml:space="preserve">), a ostatak tzv. »kameni agregat« je u količini od cca 140.000 tona u vremenu od svibnja 2010. do veljače 2011. godine odložila na lokaciju u Biljane Donje (»crno brdo«) gdje se još uvijek nalazi. U razdoblju od 2008. do 2021. godine izvršeno je niz mjerenja, analiza i vještačenja </w:t>
            </w:r>
            <w:proofErr w:type="spellStart"/>
            <w:r w:rsidRPr="009D5FD8">
              <w:rPr>
                <w:rFonts w:eastAsia="Times New Roman" w:cstheme="minorHAnsi"/>
                <w:color w:val="231F20"/>
                <w:sz w:val="16"/>
                <w:szCs w:val="16"/>
                <w:bdr w:val="none" w:sz="0" w:space="0" w:color="auto" w:frame="1"/>
                <w:lang w:eastAsia="hr-HR"/>
              </w:rPr>
              <w:t>feromanganske</w:t>
            </w:r>
            <w:proofErr w:type="spellEnd"/>
            <w:r w:rsidRPr="009D5FD8">
              <w:rPr>
                <w:rFonts w:eastAsia="Times New Roman" w:cstheme="minorHAnsi"/>
                <w:color w:val="231F20"/>
                <w:sz w:val="16"/>
                <w:szCs w:val="16"/>
                <w:bdr w:val="none" w:sz="0" w:space="0" w:color="auto" w:frame="1"/>
                <w:lang w:eastAsia="hr-HR"/>
              </w:rPr>
              <w:t xml:space="preserve"> i </w:t>
            </w:r>
            <w:proofErr w:type="spellStart"/>
            <w:r w:rsidRPr="009D5FD8">
              <w:rPr>
                <w:rFonts w:eastAsia="Times New Roman" w:cstheme="minorHAnsi"/>
                <w:color w:val="231F20"/>
                <w:sz w:val="16"/>
                <w:szCs w:val="16"/>
                <w:bdr w:val="none" w:sz="0" w:space="0" w:color="auto" w:frame="1"/>
                <w:lang w:eastAsia="hr-HR"/>
              </w:rPr>
              <w:t>silikomanganske</w:t>
            </w:r>
            <w:proofErr w:type="spellEnd"/>
            <w:r w:rsidRPr="009D5FD8">
              <w:rPr>
                <w:rFonts w:eastAsia="Times New Roman" w:cstheme="minorHAnsi"/>
                <w:color w:val="231F20"/>
                <w:sz w:val="16"/>
                <w:szCs w:val="16"/>
                <w:bdr w:val="none" w:sz="0" w:space="0" w:color="auto" w:frame="1"/>
                <w:lang w:eastAsia="hr-HR"/>
              </w:rPr>
              <w:t xml:space="preserve"> troske u svrhu ispitivanja pogodnosti za upotrebu kao kamenog agregata u građevinarstvu i potencijalnih utjecaja na okoliš. </w:t>
            </w:r>
            <w:r w:rsidR="00F825B1" w:rsidRPr="00F825B1">
              <w:rPr>
                <w:rFonts w:eastAsia="Times New Roman" w:cstheme="minorHAnsi"/>
                <w:color w:val="231F20"/>
                <w:sz w:val="16"/>
                <w:szCs w:val="16"/>
                <w:bdr w:val="none" w:sz="0" w:space="0" w:color="auto" w:frame="1"/>
                <w:lang w:eastAsia="hr-HR"/>
              </w:rPr>
              <w:t xml:space="preserve">Vezano za korištenje troske odložene na lokaciji Biljane Donje, a na temelju Izvještaja o </w:t>
            </w:r>
            <w:proofErr w:type="spellStart"/>
            <w:r w:rsidR="00F825B1" w:rsidRPr="00F825B1">
              <w:rPr>
                <w:rFonts w:eastAsia="Times New Roman" w:cstheme="minorHAnsi"/>
                <w:color w:val="231F20"/>
                <w:sz w:val="16"/>
                <w:szCs w:val="16"/>
                <w:bdr w:val="none" w:sz="0" w:space="0" w:color="auto" w:frame="1"/>
                <w:lang w:eastAsia="hr-HR"/>
              </w:rPr>
              <w:t>vještaćenju</w:t>
            </w:r>
            <w:proofErr w:type="spellEnd"/>
            <w:r w:rsidR="00F825B1" w:rsidRPr="00F825B1">
              <w:rPr>
                <w:rFonts w:eastAsia="Times New Roman" w:cstheme="minorHAnsi"/>
                <w:color w:val="231F20"/>
                <w:sz w:val="16"/>
                <w:szCs w:val="16"/>
                <w:bdr w:val="none" w:sz="0" w:space="0" w:color="auto" w:frame="1"/>
                <w:lang w:eastAsia="hr-HR"/>
              </w:rPr>
              <w:t xml:space="preserve"> zgure odložene na lokaciji crno Brdo (</w:t>
            </w:r>
            <w:proofErr w:type="spellStart"/>
            <w:r w:rsidR="00F825B1" w:rsidRPr="00F825B1">
              <w:rPr>
                <w:rFonts w:eastAsia="Times New Roman" w:cstheme="minorHAnsi"/>
                <w:color w:val="231F20"/>
                <w:sz w:val="16"/>
                <w:szCs w:val="16"/>
                <w:bdr w:val="none" w:sz="0" w:space="0" w:color="auto" w:frame="1"/>
                <w:lang w:eastAsia="hr-HR"/>
              </w:rPr>
              <w:t>kč</w:t>
            </w:r>
            <w:proofErr w:type="spellEnd"/>
            <w:r w:rsidR="00F825B1" w:rsidRPr="00F825B1">
              <w:rPr>
                <w:rFonts w:eastAsia="Times New Roman" w:cstheme="minorHAnsi"/>
                <w:color w:val="231F20"/>
                <w:sz w:val="16"/>
                <w:szCs w:val="16"/>
                <w:bdr w:val="none" w:sz="0" w:space="0" w:color="auto" w:frame="1"/>
                <w:lang w:eastAsia="hr-HR"/>
              </w:rPr>
              <w:t>. 87/1, k.o. Biljane Donje) Broj 217/22 od 5. srpnja 2022. godine koje je izrađeno za Ministarstvo prostornoga uređenja, graditeljstva i državne imovine , proizlazi da je trosku moguće koristiti s drugim materijalima i na koji način. U tijeku je definiranje dinamike daljnjeg postupanja</w:t>
            </w:r>
            <w:r w:rsidRPr="009D5FD8">
              <w:rPr>
                <w:rFonts w:eastAsia="Times New Roman" w:cstheme="minorHAnsi"/>
                <w:color w:val="231F20"/>
                <w:sz w:val="16"/>
                <w:szCs w:val="16"/>
                <w:bdr w:val="none" w:sz="0" w:space="0" w:color="auto" w:frame="1"/>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2AC5074"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Nacionalna sredstva/EU</w:t>
            </w:r>
          </w:p>
        </w:tc>
      </w:tr>
    </w:tbl>
    <w:p w14:paraId="20074798" w14:textId="77777777" w:rsidR="0066023C" w:rsidRDefault="0066023C" w:rsidP="0066023C"/>
    <w:p w14:paraId="7DC1621A" w14:textId="74B7DDBD" w:rsidR="0066023C" w:rsidRDefault="0066023C" w:rsidP="0066023C">
      <w:r w:rsidRPr="009E2801">
        <w:t xml:space="preserve">Primjenom načela </w:t>
      </w:r>
      <w:r>
        <w:t>„</w:t>
      </w:r>
      <w:r w:rsidRPr="009E2801">
        <w:t>onečišćivač plaća</w:t>
      </w:r>
      <w:r>
        <w:t>“</w:t>
      </w:r>
      <w:r w:rsidRPr="009E2801">
        <w:t xml:space="preserve"> sanaciju lokacije praonice i dezinsekcijske stanice </w:t>
      </w:r>
      <w:proofErr w:type="spellStart"/>
      <w:r w:rsidRPr="009E2801">
        <w:t>Botovo</w:t>
      </w:r>
      <w:proofErr w:type="spellEnd"/>
      <w:r w:rsidRPr="009E2801">
        <w:t xml:space="preserve"> i sanaciju mazuta u bivš</w:t>
      </w:r>
      <w:r w:rsidR="00F825B1">
        <w:t>oj</w:t>
      </w:r>
      <w:r w:rsidRPr="009E2801">
        <w:t xml:space="preserve"> </w:t>
      </w:r>
      <w:r w:rsidR="00F825B1" w:rsidRPr="009E2801">
        <w:t>tvornic</w:t>
      </w:r>
      <w:r w:rsidR="00F825B1">
        <w:t>i</w:t>
      </w:r>
      <w:r w:rsidR="00F825B1" w:rsidRPr="009E2801">
        <w:t xml:space="preserve"> </w:t>
      </w:r>
      <w:r w:rsidRPr="009E2801">
        <w:t xml:space="preserve">vijaka </w:t>
      </w:r>
      <w:proofErr w:type="spellStart"/>
      <w:r w:rsidRPr="009E2801">
        <w:t>Tvik</w:t>
      </w:r>
      <w:proofErr w:type="spellEnd"/>
      <w:r w:rsidRPr="009E2801">
        <w:t xml:space="preserve"> u Kninu treba provesti pravna osoba-sljedbenik. Također, sanaciju odlagališta </w:t>
      </w:r>
      <w:proofErr w:type="spellStart"/>
      <w:r w:rsidRPr="009E2801">
        <w:t>fosfogipsa</w:t>
      </w:r>
      <w:proofErr w:type="spellEnd"/>
      <w:r w:rsidRPr="009E2801">
        <w:t xml:space="preserve"> Petrokemije Kutina, koja je bila planirana u sklopu cjelovitog projekta sanacije i zatvaranja odlagališta sredstvima onečišćivača, promijenila je vlasnika. Naime, u postupku restrukturiranja i dokapitalizacije društva Petrokemija d.d. Kutina, osnovano je društvo u državnom vlasništvu DE-FOS d.o.o. za zbrinjavanje neopasnog otpada, kojega je putem natječaja CERP-a kupila tvrtka </w:t>
      </w:r>
      <w:proofErr w:type="spellStart"/>
      <w:r w:rsidRPr="009E2801">
        <w:t>Flamtron</w:t>
      </w:r>
      <w:proofErr w:type="spellEnd"/>
      <w:r w:rsidRPr="009E2801">
        <w:t xml:space="preserve"> d.o.o. Kutina koja je u obvezi sanirati i zatvoriti deponij </w:t>
      </w:r>
      <w:proofErr w:type="spellStart"/>
      <w:r w:rsidRPr="009E2801">
        <w:t>fosfogipsa</w:t>
      </w:r>
      <w:proofErr w:type="spellEnd"/>
      <w:r w:rsidRPr="009E2801">
        <w:t xml:space="preserve"> u potpunosti, a na prostoru istoga planira izgraditi solarnu elektranu.</w:t>
      </w:r>
    </w:p>
    <w:p w14:paraId="60314515" w14:textId="1484C608" w:rsidR="00F414D9" w:rsidRDefault="00F414D9" w:rsidP="0018450E">
      <w:pPr>
        <w:pStyle w:val="IRNaslov1"/>
        <w:numPr>
          <w:ilvl w:val="0"/>
          <w:numId w:val="22"/>
        </w:numPr>
        <w:ind w:left="709" w:hanging="709"/>
      </w:pPr>
      <w:bookmarkStart w:id="184" w:name="_Toc123211648"/>
      <w:r>
        <w:lastRenderedPageBreak/>
        <w:t>Ocjena stanja gospodarenja otpadom u Republici Hrvatskoj</w:t>
      </w:r>
      <w:bookmarkEnd w:id="184"/>
    </w:p>
    <w:p w14:paraId="76D7A5C6" w14:textId="2ED85CD9" w:rsidR="00FC5FE1" w:rsidRPr="00D46771" w:rsidRDefault="00FC5FE1" w:rsidP="00FC5FE1">
      <w:pPr>
        <w:rPr>
          <w:lang w:eastAsia="hr-HR"/>
        </w:rPr>
      </w:pPr>
      <w:r w:rsidRPr="00D46771">
        <w:rPr>
          <w:lang w:eastAsia="hr-HR"/>
        </w:rPr>
        <w:t xml:space="preserve">U prethodnom programskom razdoblju postignuti su značajni pomaci na razvoju sustava gospodarenja otpadom. Nastavljen je proces uspostave centara za gospodarenje otpadom, saniran je </w:t>
      </w:r>
      <w:r w:rsidR="00B1226A">
        <w:rPr>
          <w:lang w:eastAsia="hr-HR"/>
        </w:rPr>
        <w:t xml:space="preserve">velik broj </w:t>
      </w:r>
      <w:r w:rsidRPr="00D46771">
        <w:rPr>
          <w:lang w:eastAsia="hr-HR"/>
        </w:rPr>
        <w:t xml:space="preserve">prioritetnih lokacija onečišćenih opasnim otpadom, kao i neusklađenih i divljih odlagališta, te su razvijeni sustavi i infrastruktura za gospodarenje određenim posebnim kategorijama otpada. </w:t>
      </w:r>
    </w:p>
    <w:p w14:paraId="5E8AB541" w14:textId="1D59C315" w:rsidR="00FC5FE1" w:rsidRPr="00D46771" w:rsidRDefault="00FC5FE1" w:rsidP="00FC5FE1">
      <w:pPr>
        <w:rPr>
          <w:lang w:eastAsia="hr-HR"/>
        </w:rPr>
      </w:pPr>
      <w:r w:rsidRPr="00D46771">
        <w:rPr>
          <w:lang w:eastAsia="hr-HR"/>
        </w:rPr>
        <w:t xml:space="preserve">Pojačanim provođenjem mjera i aktivnosti odvojenog sakupljanja i oporabe otpada, ulaganjima u izgradnju nove infrastrukture i nabavku potrebne opreme, aktivnostima podizanja svijesti i edukacije te poticanjem i potporom pripreme, provedbe i razvoja programa i projekata, ostvaren je značajan napredak u gospodarenju komunalnim </w:t>
      </w:r>
      <w:r w:rsidR="00D46771" w:rsidRPr="00D46771">
        <w:rPr>
          <w:lang w:eastAsia="hr-HR"/>
        </w:rPr>
        <w:t>i posebnim kategorijama otpada.</w:t>
      </w:r>
    </w:p>
    <w:p w14:paraId="1CEC8C90" w14:textId="6A755232" w:rsidR="00947C35" w:rsidRPr="00D46771" w:rsidRDefault="00FC5FE1" w:rsidP="00DD4D4C">
      <w:pPr>
        <w:rPr>
          <w:lang w:eastAsia="hr-HR"/>
        </w:rPr>
      </w:pPr>
      <w:r w:rsidRPr="00D46771">
        <w:rPr>
          <w:lang w:eastAsia="hr-HR"/>
        </w:rPr>
        <w:t xml:space="preserve">Međutim, </w:t>
      </w:r>
      <w:r w:rsidR="000E236B" w:rsidRPr="00D46771">
        <w:rPr>
          <w:lang w:eastAsia="hr-HR"/>
        </w:rPr>
        <w:t xml:space="preserve">analiza stanja gospodarenja otpadom u RH (poglavlje </w:t>
      </w:r>
      <w:r w:rsidR="000E236B" w:rsidRPr="00D46771">
        <w:rPr>
          <w:lang w:eastAsia="hr-HR"/>
        </w:rPr>
        <w:fldChar w:fldCharType="begin"/>
      </w:r>
      <w:r w:rsidR="000E236B" w:rsidRPr="00D46771">
        <w:rPr>
          <w:lang w:eastAsia="hr-HR"/>
        </w:rPr>
        <w:instrText xml:space="preserve"> REF _Ref116545180 \r \h </w:instrText>
      </w:r>
      <w:r w:rsidR="000E236B" w:rsidRPr="00D46771">
        <w:rPr>
          <w:lang w:eastAsia="hr-HR"/>
        </w:rPr>
      </w:r>
      <w:r w:rsidR="000E236B" w:rsidRPr="00D46771">
        <w:rPr>
          <w:lang w:eastAsia="hr-HR"/>
        </w:rPr>
        <w:fldChar w:fldCharType="separate"/>
      </w:r>
      <w:r w:rsidR="00F37B62">
        <w:rPr>
          <w:lang w:eastAsia="hr-HR"/>
        </w:rPr>
        <w:t>2</w:t>
      </w:r>
      <w:r w:rsidR="000E236B" w:rsidRPr="00D46771">
        <w:rPr>
          <w:lang w:eastAsia="hr-HR"/>
        </w:rPr>
        <w:fldChar w:fldCharType="end"/>
      </w:r>
      <w:r w:rsidR="000E236B" w:rsidRPr="00D46771">
        <w:rPr>
          <w:lang w:eastAsia="hr-HR"/>
        </w:rPr>
        <w:t xml:space="preserve">) pokazala je da </w:t>
      </w:r>
      <w:r w:rsidRPr="00D46771">
        <w:rPr>
          <w:lang w:eastAsia="hr-HR"/>
        </w:rPr>
        <w:t>postojeći sustav</w:t>
      </w:r>
      <w:r w:rsidR="000E236B" w:rsidRPr="00D46771">
        <w:rPr>
          <w:lang w:eastAsia="hr-HR"/>
        </w:rPr>
        <w:t xml:space="preserve"> gospodarenja otpadom</w:t>
      </w:r>
      <w:r w:rsidRPr="00D46771">
        <w:rPr>
          <w:lang w:eastAsia="hr-HR"/>
        </w:rPr>
        <w:t xml:space="preserve"> ne zadovoljava u potpunosti, te je nužno daljnje intenziviranje aktivnosti i bolja koordinacija istih</w:t>
      </w:r>
      <w:r w:rsidR="00947C35" w:rsidRPr="00D46771">
        <w:rPr>
          <w:lang w:eastAsia="hr-HR"/>
        </w:rPr>
        <w:t>.</w:t>
      </w:r>
      <w:r w:rsidR="000E236B" w:rsidRPr="00D46771">
        <w:rPr>
          <w:lang w:eastAsia="hr-HR"/>
        </w:rPr>
        <w:t xml:space="preserve"> </w:t>
      </w:r>
    </w:p>
    <w:p w14:paraId="560B7F94" w14:textId="6E4AD3CA" w:rsidR="00947C35" w:rsidRPr="00F02B65" w:rsidRDefault="00947C35" w:rsidP="00DD4D4C">
      <w:pPr>
        <w:rPr>
          <w:lang w:eastAsia="hr-HR"/>
        </w:rPr>
      </w:pPr>
      <w:r w:rsidRPr="00F02B65">
        <w:rPr>
          <w:lang w:eastAsia="hr-HR"/>
        </w:rPr>
        <w:t xml:space="preserve">Odvojeno sakupljanje na mjestu nastanka metala, stakla, plastike i papira iz komunalnog otpada provodi se u </w:t>
      </w:r>
      <w:r w:rsidR="00D46771" w:rsidRPr="00F02B65">
        <w:rPr>
          <w:lang w:eastAsia="hr-HR"/>
        </w:rPr>
        <w:t xml:space="preserve">većini </w:t>
      </w:r>
      <w:r w:rsidRPr="00F02B65">
        <w:rPr>
          <w:lang w:eastAsia="hr-HR"/>
        </w:rPr>
        <w:t>općina i gradova</w:t>
      </w:r>
      <w:r w:rsidR="00D46771" w:rsidRPr="00F02B65">
        <w:rPr>
          <w:lang w:eastAsia="hr-HR"/>
        </w:rPr>
        <w:t xml:space="preserve"> (93%). Da </w:t>
      </w:r>
      <w:r w:rsidR="000E236B" w:rsidRPr="00F02B65">
        <w:rPr>
          <w:lang w:eastAsia="hr-HR"/>
        </w:rPr>
        <w:t xml:space="preserve">bi se postigla stopa recikliranja </w:t>
      </w:r>
      <w:r w:rsidR="00E364D5">
        <w:rPr>
          <w:lang w:eastAsia="hr-HR"/>
        </w:rPr>
        <w:t>komunalnog</w:t>
      </w:r>
      <w:r w:rsidR="000E236B" w:rsidRPr="00F02B65">
        <w:rPr>
          <w:lang w:eastAsia="hr-HR"/>
        </w:rPr>
        <w:t xml:space="preserve"> i sličnog otpada</w:t>
      </w:r>
      <w:r w:rsidR="00D46771" w:rsidRPr="00F02B65">
        <w:rPr>
          <w:lang w:eastAsia="hr-HR"/>
        </w:rPr>
        <w:t xml:space="preserve">, </w:t>
      </w:r>
      <w:r w:rsidR="000E236B" w:rsidRPr="00F02B65">
        <w:rPr>
          <w:lang w:eastAsia="hr-HR"/>
        </w:rPr>
        <w:t xml:space="preserve">nužno </w:t>
      </w:r>
      <w:r w:rsidR="00D46771" w:rsidRPr="00F02B65">
        <w:rPr>
          <w:lang w:eastAsia="hr-HR"/>
        </w:rPr>
        <w:t xml:space="preserve">je </w:t>
      </w:r>
      <w:r w:rsidR="000E236B" w:rsidRPr="00F02B65">
        <w:rPr>
          <w:lang w:eastAsia="hr-HR"/>
        </w:rPr>
        <w:t xml:space="preserve">nastaviti s provođenjem </w:t>
      </w:r>
      <w:r w:rsidR="00D46771" w:rsidRPr="00834842">
        <w:rPr>
          <w:highlight w:val="yellow"/>
          <w:lang w:eastAsia="hr-HR"/>
        </w:rPr>
        <w:t xml:space="preserve">informativno-obrazovnih </w:t>
      </w:r>
      <w:r w:rsidR="000E236B" w:rsidRPr="00834842">
        <w:rPr>
          <w:highlight w:val="yellow"/>
          <w:lang w:eastAsia="hr-HR"/>
        </w:rPr>
        <w:t xml:space="preserve"> </w:t>
      </w:r>
      <w:commentRangeStart w:id="185"/>
      <w:r w:rsidR="000E236B" w:rsidRPr="00834842">
        <w:rPr>
          <w:highlight w:val="yellow"/>
          <w:lang w:eastAsia="hr-HR"/>
        </w:rPr>
        <w:t>aktivnosti</w:t>
      </w:r>
      <w:commentRangeEnd w:id="185"/>
      <w:r w:rsidR="00834842">
        <w:rPr>
          <w:rStyle w:val="Referencakomentara"/>
        </w:rPr>
        <w:commentReference w:id="185"/>
      </w:r>
      <w:r w:rsidRPr="00F02B65">
        <w:rPr>
          <w:lang w:eastAsia="hr-HR"/>
        </w:rPr>
        <w:t xml:space="preserve"> </w:t>
      </w:r>
      <w:r w:rsidR="00D46771" w:rsidRPr="00F02B65">
        <w:rPr>
          <w:lang w:eastAsia="hr-HR"/>
        </w:rPr>
        <w:t xml:space="preserve">usmjerenih na poticanje odvojenog sakupljanja otpada u okviru javne usluge te u izgradnju i opremanje dodatnih </w:t>
      </w:r>
      <w:proofErr w:type="spellStart"/>
      <w:r w:rsidR="00D46771" w:rsidRPr="00F02B65">
        <w:rPr>
          <w:lang w:eastAsia="hr-HR"/>
        </w:rPr>
        <w:t>reciklažnih</w:t>
      </w:r>
      <w:proofErr w:type="spellEnd"/>
      <w:r w:rsidR="00D46771" w:rsidRPr="00F02B65">
        <w:rPr>
          <w:lang w:eastAsia="hr-HR"/>
        </w:rPr>
        <w:t xml:space="preserve"> dvorišta i nabave opreme i vozila za prijevoz otpada uključujući i plovila.</w:t>
      </w:r>
    </w:p>
    <w:p w14:paraId="708DE572" w14:textId="47ABD62E" w:rsidR="000E236B" w:rsidRPr="00F02B65" w:rsidRDefault="000E236B" w:rsidP="000E236B">
      <w:pPr>
        <w:rPr>
          <w:lang w:eastAsia="hr-HR"/>
        </w:rPr>
      </w:pPr>
      <w:r w:rsidRPr="00F02B65">
        <w:rPr>
          <w:lang w:eastAsia="hr-HR"/>
        </w:rPr>
        <w:t>Paralelno sa unaprjeđenjem sustava odvojenog sakupljanja nužan je i razvoj odgovarajućeg sustava za obradu komunalnog otpada. Iako je u prethodnom planskom razdoblju udio komunalnog otpada koji se odložio na odlagališta smanjen, najveće količine komunalnog otpada i dalje se bez prethodne obrade zbrinjavaju postupkom odlaganja te se ne ostvaruje dostatno smanjenje količina biorazgradivoga komunalnog otpada koji se odlaže na odlagališta.</w:t>
      </w:r>
      <w:r w:rsidR="00F02B65" w:rsidRPr="00F02B65">
        <w:rPr>
          <w:lang w:eastAsia="hr-HR"/>
        </w:rPr>
        <w:t xml:space="preserve"> </w:t>
      </w:r>
      <w:r w:rsidRPr="00F02B65">
        <w:rPr>
          <w:lang w:eastAsia="hr-HR"/>
        </w:rPr>
        <w:t>U tu svrhu potrebno je povećati dinamiku uspostave centara za gospodarenje otpadom</w:t>
      </w:r>
      <w:r w:rsidR="00E364D5">
        <w:rPr>
          <w:lang w:eastAsia="hr-HR"/>
        </w:rPr>
        <w:t>, postrojenja za materijalnu oporabu</w:t>
      </w:r>
      <w:r w:rsidRPr="00F02B65">
        <w:rPr>
          <w:lang w:eastAsia="hr-HR"/>
        </w:rPr>
        <w:t xml:space="preserve"> te osigurati odgovarajuće kapacitete za energetsku oporabu otpada, a usporedo nastaviti sa aktivnostima sanacije i zatvaranje odlagališta otpada.</w:t>
      </w:r>
      <w:r w:rsidR="005C4422">
        <w:rPr>
          <w:lang w:eastAsia="hr-HR"/>
        </w:rPr>
        <w:t xml:space="preserve"> </w:t>
      </w:r>
      <w:r w:rsidR="005C4422">
        <w:t>Također,</w:t>
      </w:r>
      <w:r w:rsidR="005C4422" w:rsidRPr="00C67DD0">
        <w:t xml:space="preserve"> potrebno </w:t>
      </w:r>
      <w:r w:rsidR="005C4422">
        <w:t>odrediti</w:t>
      </w:r>
      <w:r w:rsidR="005C4422" w:rsidRPr="00C67DD0">
        <w:t xml:space="preserve"> frakcije u otpadu koje je moguće </w:t>
      </w:r>
      <w:proofErr w:type="spellStart"/>
      <w:r w:rsidR="005C4422" w:rsidRPr="00C67DD0">
        <w:t>oporabiti</w:t>
      </w:r>
      <w:proofErr w:type="spellEnd"/>
      <w:r w:rsidR="005C4422" w:rsidRPr="00C67DD0">
        <w:t xml:space="preserve"> i </w:t>
      </w:r>
      <w:r w:rsidR="005C4422">
        <w:t xml:space="preserve">sukladno tome razvijati </w:t>
      </w:r>
      <w:r w:rsidR="005C4422" w:rsidRPr="00C67DD0">
        <w:t>sustav sakupljanja na kućnom pragu kojim će se prikup</w:t>
      </w:r>
      <w:r w:rsidR="005C4422">
        <w:t>ljati</w:t>
      </w:r>
      <w:r w:rsidR="005C4422" w:rsidRPr="00C67DD0">
        <w:t xml:space="preserve"> </w:t>
      </w:r>
      <w:r w:rsidR="005C4422">
        <w:t>ciljane</w:t>
      </w:r>
      <w:r w:rsidR="005C4422" w:rsidRPr="00C67DD0">
        <w:t xml:space="preserve"> frakcije koje </w:t>
      </w:r>
      <w:r w:rsidR="005C4422">
        <w:t xml:space="preserve">je moguće </w:t>
      </w:r>
      <w:r w:rsidR="005C4422" w:rsidRPr="00C67DD0">
        <w:t>reciklira</w:t>
      </w:r>
      <w:r w:rsidR="005C4422">
        <w:t>ti.</w:t>
      </w:r>
    </w:p>
    <w:p w14:paraId="76F18932" w14:textId="1EF5CF6F" w:rsidR="002E32C6" w:rsidRPr="00F02B65" w:rsidRDefault="002E32C6" w:rsidP="002E32C6">
      <w:pPr>
        <w:rPr>
          <w:lang w:eastAsia="hr-HR"/>
        </w:rPr>
      </w:pPr>
      <w:r>
        <w:rPr>
          <w:lang w:eastAsia="hr-HR"/>
        </w:rPr>
        <w:t xml:space="preserve">Obzirom na uspostavu sustava vodoopskrbe i odvodnje, uključujući </w:t>
      </w:r>
      <w:r w:rsidRPr="00F02B65">
        <w:rPr>
          <w:lang w:eastAsia="hr-HR"/>
        </w:rPr>
        <w:t xml:space="preserve">i </w:t>
      </w:r>
      <w:r w:rsidR="00047DDA">
        <w:rPr>
          <w:lang w:eastAsia="hr-HR"/>
        </w:rPr>
        <w:t xml:space="preserve">stavljanje u rad </w:t>
      </w:r>
      <w:r w:rsidRPr="00F02B65">
        <w:rPr>
          <w:lang w:eastAsia="hr-HR"/>
        </w:rPr>
        <w:t>uređaj</w:t>
      </w:r>
      <w:r>
        <w:rPr>
          <w:lang w:eastAsia="hr-HR"/>
        </w:rPr>
        <w:t>a</w:t>
      </w:r>
      <w:r w:rsidRPr="00F02B65">
        <w:rPr>
          <w:lang w:eastAsia="hr-HR"/>
        </w:rPr>
        <w:t xml:space="preserve"> za pročišćavanje otpadnih komunalnih voda</w:t>
      </w:r>
      <w:r w:rsidR="00047DDA">
        <w:rPr>
          <w:lang w:eastAsia="hr-HR"/>
        </w:rPr>
        <w:t xml:space="preserve"> a </w:t>
      </w:r>
      <w:r>
        <w:rPr>
          <w:lang w:eastAsia="hr-HR"/>
        </w:rPr>
        <w:t xml:space="preserve">što rezultira sve </w:t>
      </w:r>
      <w:r w:rsidRPr="00793950">
        <w:rPr>
          <w:color w:val="000000" w:themeColor="text1"/>
          <w:lang w:eastAsia="hr-HR"/>
        </w:rPr>
        <w:t xml:space="preserve">većom proizvodnjom </w:t>
      </w:r>
      <w:r w:rsidR="00047DDA" w:rsidRPr="00C97E27">
        <w:rPr>
          <w:color w:val="000000" w:themeColor="text1"/>
          <w:highlight w:val="yellow"/>
        </w:rPr>
        <w:t>mulja iz uređaja za obradu komunalnih otpadnih voda</w:t>
      </w:r>
      <w:r w:rsidRPr="00793950">
        <w:rPr>
          <w:color w:val="000000" w:themeColor="text1"/>
          <w:lang w:eastAsia="hr-HR"/>
        </w:rPr>
        <w:t xml:space="preserve">, potrebno je </w:t>
      </w:r>
      <w:r w:rsidRPr="00C97E27">
        <w:rPr>
          <w:color w:val="000000" w:themeColor="text1"/>
          <w:highlight w:val="yellow"/>
          <w:lang w:eastAsia="hr-HR"/>
        </w:rPr>
        <w:t>jačanje sustava za</w:t>
      </w:r>
      <w:r w:rsidRPr="00C97E27">
        <w:rPr>
          <w:highlight w:val="yellow"/>
          <w:lang w:eastAsia="hr-HR"/>
        </w:rPr>
        <w:t xml:space="preserve"> materijalnu i energetsku oporabu ove vrste otpada</w:t>
      </w:r>
      <w:r w:rsidRPr="00F02B65">
        <w:rPr>
          <w:lang w:eastAsia="hr-HR"/>
        </w:rPr>
        <w:t>.</w:t>
      </w:r>
    </w:p>
    <w:p w14:paraId="34144EDC" w14:textId="3D6EC37A" w:rsidR="002E32C6" w:rsidRPr="00D46771" w:rsidRDefault="002E32C6" w:rsidP="002E32C6">
      <w:pPr>
        <w:rPr>
          <w:lang w:eastAsia="hr-HR"/>
        </w:rPr>
      </w:pPr>
      <w:r>
        <w:rPr>
          <w:lang w:eastAsia="hr-HR"/>
        </w:rPr>
        <w:t xml:space="preserve">Kao </w:t>
      </w:r>
      <w:r w:rsidRPr="00D46771">
        <w:rPr>
          <w:lang w:eastAsia="hr-HR"/>
        </w:rPr>
        <w:t>rezultat unaprjeđenja nacionalnog sustava za posebne kategorije otpada</w:t>
      </w:r>
      <w:r>
        <w:rPr>
          <w:lang w:eastAsia="hr-HR"/>
        </w:rPr>
        <w:t>,</w:t>
      </w:r>
      <w:r w:rsidRPr="002E32C6">
        <w:rPr>
          <w:lang w:eastAsia="hr-HR"/>
        </w:rPr>
        <w:t xml:space="preserve"> </w:t>
      </w:r>
      <w:r w:rsidRPr="00D46771">
        <w:rPr>
          <w:lang w:eastAsia="hr-HR"/>
        </w:rPr>
        <w:t>u prethodnom programskom razdoblju</w:t>
      </w:r>
      <w:r>
        <w:rPr>
          <w:lang w:eastAsia="hr-HR"/>
        </w:rPr>
        <w:t xml:space="preserve"> porasle su i k</w:t>
      </w:r>
      <w:r w:rsidRPr="00D46771">
        <w:rPr>
          <w:lang w:eastAsia="hr-HR"/>
        </w:rPr>
        <w:t>oličine opasnog otpada</w:t>
      </w:r>
      <w:r>
        <w:rPr>
          <w:lang w:eastAsia="hr-HR"/>
        </w:rPr>
        <w:t>.</w:t>
      </w:r>
      <w:r w:rsidRPr="00D46771">
        <w:rPr>
          <w:lang w:eastAsia="hr-HR"/>
        </w:rPr>
        <w:t xml:space="preserve"> Odgovarajući sustavi i kapaciteti gospodarenja uspostavljeni su za određene kategorije opasnog otpada, ali nije sustavno organizirano gospodarenje opasnim otpadom u cjelini. Opasni otpad zbog nedovoljno razvijene infrastrukture uglavnom se izvozi iz RH.</w:t>
      </w:r>
    </w:p>
    <w:p w14:paraId="0C72948E" w14:textId="2F285F57" w:rsidR="002E32C6" w:rsidRPr="002E32C6" w:rsidRDefault="002E32C6" w:rsidP="002E32C6">
      <w:pPr>
        <w:rPr>
          <w:lang w:eastAsia="hr-HR"/>
        </w:rPr>
      </w:pPr>
      <w:r w:rsidRPr="002E32C6">
        <w:rPr>
          <w:lang w:eastAsia="hr-HR"/>
        </w:rPr>
        <w:t xml:space="preserve">Što se tiče posebnih kategorija otpada, za šest posebnih kategorija otpada (otpadna ambalaža, otpadne gume, otpadna ulja, otpadne baterije i akumulatori, otpadna vozila, otpadna električna i elektronička oprema) organiziran je sustav proširene odgovornosti proizvođača </w:t>
      </w:r>
      <w:r w:rsidR="005C4422">
        <w:rPr>
          <w:lang w:eastAsia="hr-HR"/>
        </w:rPr>
        <w:t>što</w:t>
      </w:r>
      <w:r w:rsidRPr="002E32C6">
        <w:rPr>
          <w:lang w:eastAsia="hr-HR"/>
        </w:rPr>
        <w:t xml:space="preserve"> je rezultiralo intenzivnim rastom sakupljenih i obrađenih količina, što ukazuje na dostizanje maksimuma u okviru postojećih kapaciteta i načina organizacije sustava.</w:t>
      </w:r>
    </w:p>
    <w:p w14:paraId="2B80C932" w14:textId="4C7B5AAA" w:rsidR="001B491E" w:rsidRPr="00835847" w:rsidRDefault="008A4B6C" w:rsidP="0018450E">
      <w:pPr>
        <w:pStyle w:val="IRNaslov1"/>
        <w:numPr>
          <w:ilvl w:val="0"/>
          <w:numId w:val="22"/>
        </w:numPr>
        <w:ind w:left="709" w:hanging="709"/>
      </w:pPr>
      <w:bookmarkStart w:id="186" w:name="_Ref116287843"/>
      <w:bookmarkStart w:id="187" w:name="_Toc123211649"/>
      <w:r>
        <w:lastRenderedPageBreak/>
        <w:t>Ciljevi gospodarenja otpadom</w:t>
      </w:r>
      <w:bookmarkEnd w:id="186"/>
      <w:bookmarkEnd w:id="187"/>
    </w:p>
    <w:p w14:paraId="326FFFE7" w14:textId="60FEFDBD" w:rsidR="00307DF3" w:rsidRPr="00307DF3" w:rsidRDefault="00FA309F" w:rsidP="00307DF3">
      <w:pPr>
        <w:rPr>
          <w:rFonts w:cstheme="minorHAnsi"/>
        </w:rPr>
      </w:pPr>
      <w:r w:rsidRPr="00FA309F">
        <w:rPr>
          <w:rFonts w:cstheme="minorHAnsi"/>
        </w:rPr>
        <w:t>Ciljevi u gospodarenju otpadom koji su određeni Zakonom o gospodarenju otpadom i provedbenim propisima, preneseni su iz propisa EU</w:t>
      </w:r>
      <w:r w:rsidR="00E06818">
        <w:rPr>
          <w:rFonts w:cstheme="minorHAnsi"/>
        </w:rPr>
        <w:t>:</w:t>
      </w:r>
      <w:r w:rsidR="00307DF3" w:rsidRPr="00307DF3">
        <w:rPr>
          <w:rFonts w:cstheme="minorHAnsi"/>
        </w:rPr>
        <w:t xml:space="preserve">: </w:t>
      </w:r>
    </w:p>
    <w:p w14:paraId="0DB8FD04" w14:textId="77777777" w:rsidR="00307DF3" w:rsidRPr="00307DF3" w:rsidRDefault="00307DF3">
      <w:pPr>
        <w:pStyle w:val="Odlomakpopisa"/>
        <w:numPr>
          <w:ilvl w:val="0"/>
          <w:numId w:val="6"/>
        </w:numPr>
        <w:spacing w:line="256" w:lineRule="auto"/>
        <w:rPr>
          <w:rFonts w:cstheme="minorHAnsi"/>
        </w:rPr>
      </w:pPr>
      <w:r w:rsidRPr="00307DF3">
        <w:rPr>
          <w:rFonts w:cstheme="minorHAnsi"/>
        </w:rPr>
        <w:t>Direktivom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 (u daljnjem tekstu: Direktiva (EU) 2008/98/EZ);</w:t>
      </w:r>
    </w:p>
    <w:p w14:paraId="0CCF297F" w14:textId="5EF56C14" w:rsidR="00307DF3" w:rsidRPr="00307DF3" w:rsidRDefault="00307DF3">
      <w:pPr>
        <w:pStyle w:val="Odlomakpopisa"/>
        <w:numPr>
          <w:ilvl w:val="0"/>
          <w:numId w:val="6"/>
        </w:numPr>
        <w:spacing w:line="256" w:lineRule="auto"/>
        <w:rPr>
          <w:rFonts w:cstheme="minorHAnsi"/>
        </w:rPr>
      </w:pPr>
      <w:r w:rsidRPr="00307DF3">
        <w:rPr>
          <w:rFonts w:cstheme="minorHAnsi"/>
        </w:rPr>
        <w:t xml:space="preserve"> Direktivom Vijeća 1999/31/EZ od 26. travnja 1999. o odlagalištima otpada (SL L 182, 16. 7. 1999.) kako je posljednji put izmijenjena Direktivom (EU) 2018/850 Europskog parlamenta i Vijeća od 30. svibnja 2018. o izmjeni Direktive 1999/31/EZ o odlagalištima otpada (SL L 150, 14. 6. 2018.);</w:t>
      </w:r>
      <w:r w:rsidR="00057E06">
        <w:rPr>
          <w:rFonts w:cstheme="minorHAnsi"/>
        </w:rPr>
        <w:t xml:space="preserve"> </w:t>
      </w:r>
      <w:r w:rsidR="00057E06" w:rsidRPr="00307DF3">
        <w:rPr>
          <w:rFonts w:cstheme="minorHAnsi"/>
        </w:rPr>
        <w:t xml:space="preserve">(u daljnjem tekstu: Direktiva (EU) </w:t>
      </w:r>
      <w:r w:rsidR="00057E06">
        <w:rPr>
          <w:rFonts w:cstheme="minorHAnsi"/>
        </w:rPr>
        <w:t>1999</w:t>
      </w:r>
      <w:r w:rsidR="00057E06" w:rsidRPr="00307DF3">
        <w:rPr>
          <w:rFonts w:cstheme="minorHAnsi"/>
        </w:rPr>
        <w:t>/</w:t>
      </w:r>
      <w:r w:rsidR="00057E06">
        <w:rPr>
          <w:rFonts w:cstheme="minorHAnsi"/>
        </w:rPr>
        <w:t>31</w:t>
      </w:r>
      <w:r w:rsidR="00057E06" w:rsidRPr="00307DF3">
        <w:rPr>
          <w:rFonts w:cstheme="minorHAnsi"/>
        </w:rPr>
        <w:t>/EZ)</w:t>
      </w:r>
    </w:p>
    <w:p w14:paraId="0277929B" w14:textId="77777777" w:rsidR="00307DF3" w:rsidRPr="00307DF3" w:rsidRDefault="00307DF3">
      <w:pPr>
        <w:pStyle w:val="Odlomakpopisa"/>
        <w:numPr>
          <w:ilvl w:val="0"/>
          <w:numId w:val="6"/>
        </w:numPr>
        <w:spacing w:line="256" w:lineRule="auto"/>
        <w:rPr>
          <w:rFonts w:cstheme="minorHAnsi"/>
        </w:rPr>
      </w:pPr>
      <w:r w:rsidRPr="00307DF3">
        <w:rPr>
          <w:rFonts w:cstheme="minorHAnsi"/>
        </w:rPr>
        <w:t>Direktivom 2006/66/EZ Europskog parlamenta i Vijeća od 6. rujna 2006. o baterijama i akumulatorima i otpadnim baterijama i akumulatorima te stavljanju izvan snage Direktive 91/157/EEZ (SL L 266, 26. 9. 2006.) kako je posljednji put izmijenjena Direktivom (EU) 2018/849 Europskog parlamenta i Vijeća od 30. svibnja 2018. o izmjeni direktiva 2000/53/EZ o otpadnim vozilima, 2006/66/EZ o baterijama i akumulatorima i o otpadnim baterijama i akumulatorima te 2012/19/EU o otpadnoj električnoj i elektroničkoj opremi (SL L 150, 14. 6. 2018.);</w:t>
      </w:r>
    </w:p>
    <w:p w14:paraId="403FF0E4" w14:textId="77777777" w:rsidR="00307DF3" w:rsidRPr="00307DF3" w:rsidRDefault="00307DF3">
      <w:pPr>
        <w:pStyle w:val="Odlomakpopisa"/>
        <w:numPr>
          <w:ilvl w:val="0"/>
          <w:numId w:val="6"/>
        </w:numPr>
        <w:spacing w:line="256" w:lineRule="auto"/>
        <w:rPr>
          <w:rFonts w:cstheme="minorHAnsi"/>
        </w:rPr>
      </w:pPr>
      <w:r w:rsidRPr="00307DF3">
        <w:rPr>
          <w:rFonts w:cstheme="minorHAnsi"/>
        </w:rPr>
        <w:t>Direktivom Europskog parlamenta i Vijeća 94/62/EZ od 20. prosinca 1994. o ambalaži i ambalažnom otpadu (SL L 365, 31. 12. 1994.) kako je posljednji put izmijenjena Direktivom (EU) 2018/852 Europskog parlamenta i Vijeća od 30. svibnja 2018. o izmjeni Direktive 94/62/EZ o ambalaži i ambalažnom otpadu (SL L 150, 14. 6. 2018.);</w:t>
      </w:r>
    </w:p>
    <w:p w14:paraId="70093797" w14:textId="77777777" w:rsidR="00307DF3" w:rsidRPr="00307DF3" w:rsidRDefault="00307DF3">
      <w:pPr>
        <w:pStyle w:val="Odlomakpopisa"/>
        <w:numPr>
          <w:ilvl w:val="0"/>
          <w:numId w:val="6"/>
        </w:numPr>
        <w:spacing w:line="256" w:lineRule="auto"/>
        <w:rPr>
          <w:rFonts w:cstheme="minorHAnsi"/>
        </w:rPr>
      </w:pPr>
      <w:r w:rsidRPr="00307DF3">
        <w:rPr>
          <w:rFonts w:cstheme="minorHAnsi"/>
        </w:rPr>
        <w:t>Direktivom 2000/53/EZ Europskoga parlamenta i Vijeća od 18. rujna 2000. o otpadnim vozilima (SL L 269, 21. 10. 2000.) kako je posljednji put izmijenjena Direktivom (EU) 2018/849 Europskog parlamenta i Vijeća od 30. svibnja 2018. o izmjeni direktiva 2000/53/EZ o otpadnim vozilima, 2006/66/EZ o baterijama i akumulatorima i o otpadnim baterijama i akumulatorima te 2012/19/EU o otpadnoj električnoj i elektroničkoj opremi (SL L 150, 14. 6. 2018.);</w:t>
      </w:r>
    </w:p>
    <w:p w14:paraId="2CA687C1" w14:textId="77777777" w:rsidR="00307DF3" w:rsidRPr="00307DF3" w:rsidRDefault="00307DF3">
      <w:pPr>
        <w:pStyle w:val="Odlomakpopisa"/>
        <w:numPr>
          <w:ilvl w:val="0"/>
          <w:numId w:val="6"/>
        </w:numPr>
        <w:spacing w:line="256" w:lineRule="auto"/>
        <w:rPr>
          <w:rFonts w:cstheme="minorHAnsi"/>
        </w:rPr>
      </w:pPr>
      <w:r w:rsidRPr="00307DF3">
        <w:rPr>
          <w:rFonts w:cstheme="minorHAnsi"/>
        </w:rPr>
        <w:t>Direktivom 2012/19/EU Europskog parlamenta i Vijeća od 4. srpnja 2012. o otpadnoj električnoj i elektroničkoj opremi (OEEO) (SL L 197, 24. 7. 2012.) kako je zadnje izmijenjena Direktivom (EU) 2018/849 Europskog parlamenta i Vijeća od 30. svibnja 2018. o izmjeni direktiva 2000/53/EZ o otpadnim vozilima, 2006/66/EZ o baterijama i akumulatorima i o otpadnim baterijama i akumulatorima te 2012/19/EU o otpadnoj električnoj i elektroničkoj opremi (SL L 150, 14. 6. 2018.);</w:t>
      </w:r>
    </w:p>
    <w:p w14:paraId="0BB2C02C" w14:textId="7A584727" w:rsidR="00307DF3" w:rsidRDefault="00307DF3">
      <w:pPr>
        <w:pStyle w:val="Odlomakpopisa"/>
        <w:numPr>
          <w:ilvl w:val="0"/>
          <w:numId w:val="6"/>
        </w:numPr>
        <w:spacing w:line="256" w:lineRule="auto"/>
        <w:rPr>
          <w:rFonts w:cstheme="minorHAnsi"/>
        </w:rPr>
      </w:pPr>
      <w:r w:rsidRPr="00307DF3">
        <w:rPr>
          <w:rFonts w:cstheme="minorHAnsi"/>
        </w:rPr>
        <w:t>Direktivom (EU) 2019/904 Europskog parlamenta i Vijeća od 5. lipnja 2019. o smanjenju utjecaja određenih plastičnih proizvoda na okoliš (SL L 155, 12. 6. 2019.).</w:t>
      </w:r>
    </w:p>
    <w:p w14:paraId="25B7DF0F" w14:textId="3E5F85D0" w:rsidR="001933CD" w:rsidRDefault="002307FD" w:rsidP="00A16DDE">
      <w:pPr>
        <w:spacing w:line="256" w:lineRule="auto"/>
        <w:rPr>
          <w:rFonts w:cstheme="minorHAnsi"/>
        </w:rPr>
      </w:pPr>
      <w:r>
        <w:rPr>
          <w:rFonts w:cstheme="minorHAnsi"/>
        </w:rPr>
        <w:t>Osim u gore navedenim EU aktima, z</w:t>
      </w:r>
      <w:r w:rsidR="00EC14C1">
        <w:rPr>
          <w:rFonts w:cstheme="minorHAnsi"/>
        </w:rPr>
        <w:t>a pojedine ciljeve detaljnija m</w:t>
      </w:r>
      <w:r w:rsidR="00EF6841">
        <w:rPr>
          <w:rFonts w:cstheme="minorHAnsi"/>
        </w:rPr>
        <w:t>etodologija izračuna uređen</w:t>
      </w:r>
      <w:r w:rsidR="00AD133D">
        <w:rPr>
          <w:rFonts w:cstheme="minorHAnsi"/>
        </w:rPr>
        <w:t>a</w:t>
      </w:r>
      <w:r w:rsidR="00EF6841">
        <w:rPr>
          <w:rFonts w:cstheme="minorHAnsi"/>
        </w:rPr>
        <w:t xml:space="preserve"> je </w:t>
      </w:r>
      <w:r w:rsidR="00E7386D">
        <w:rPr>
          <w:rFonts w:cstheme="minorHAnsi"/>
        </w:rPr>
        <w:t xml:space="preserve">u </w:t>
      </w:r>
      <w:r w:rsidR="00EF6841">
        <w:rPr>
          <w:rFonts w:cstheme="minorHAnsi"/>
        </w:rPr>
        <w:t xml:space="preserve">sljedećim EU </w:t>
      </w:r>
      <w:r>
        <w:rPr>
          <w:rFonts w:cstheme="minorHAnsi"/>
        </w:rPr>
        <w:t>aktima</w:t>
      </w:r>
      <w:r w:rsidR="00EF6841">
        <w:rPr>
          <w:rFonts w:cstheme="minorHAnsi"/>
        </w:rPr>
        <w:t xml:space="preserve">: </w:t>
      </w:r>
    </w:p>
    <w:p w14:paraId="27AEA35F" w14:textId="691D57A2" w:rsidR="00A16DDE" w:rsidRDefault="001933CD" w:rsidP="004348AA">
      <w:pPr>
        <w:pStyle w:val="Odlomakpopisa"/>
        <w:numPr>
          <w:ilvl w:val="0"/>
          <w:numId w:val="6"/>
        </w:numPr>
        <w:spacing w:line="256" w:lineRule="auto"/>
        <w:rPr>
          <w:rFonts w:cstheme="minorHAnsi"/>
        </w:rPr>
      </w:pPr>
      <w:r w:rsidRPr="001933CD">
        <w:rPr>
          <w:rFonts w:cstheme="minorHAnsi"/>
        </w:rPr>
        <w:t>Odluka Komisije od 18. studenoga 2011. o utvrđivanju pravila i metoda izračuna za provjeru usklađenosti s ciljevima utvrđenim u članku 11. stavku 2. Direktive 2008/98/EZ Europskog parlamenta i Vijeća (priopćena pod brojem dokumenta C(2011) 8165) (2011/753/EU).</w:t>
      </w:r>
    </w:p>
    <w:p w14:paraId="4D5BC198" w14:textId="5280B4FD" w:rsidR="00FB1E03" w:rsidRPr="00EC14C1" w:rsidRDefault="00A16DDE" w:rsidP="00EC14C1">
      <w:pPr>
        <w:pStyle w:val="Odlomakpopisa"/>
        <w:numPr>
          <w:ilvl w:val="0"/>
          <w:numId w:val="6"/>
        </w:numPr>
        <w:spacing w:line="256" w:lineRule="auto"/>
        <w:rPr>
          <w:rFonts w:cstheme="minorHAnsi"/>
        </w:rPr>
      </w:pPr>
      <w:r w:rsidRPr="00EC14C1">
        <w:rPr>
          <w:rFonts w:cstheme="minorHAnsi"/>
        </w:rPr>
        <w:t xml:space="preserve">Provedbena </w:t>
      </w:r>
      <w:r w:rsidR="00EC718B">
        <w:rPr>
          <w:rFonts w:cstheme="minorHAnsi"/>
        </w:rPr>
        <w:t>O</w:t>
      </w:r>
      <w:r w:rsidRPr="00EC14C1">
        <w:rPr>
          <w:rFonts w:cstheme="minorHAnsi"/>
        </w:rPr>
        <w:t xml:space="preserve">dluka Komisije (EU) 2019/1004 </w:t>
      </w:r>
      <w:proofErr w:type="spellStart"/>
      <w:r w:rsidRPr="00EC14C1">
        <w:rPr>
          <w:rFonts w:cstheme="minorHAnsi"/>
        </w:rPr>
        <w:t>оd</w:t>
      </w:r>
      <w:proofErr w:type="spellEnd"/>
      <w:r w:rsidRPr="00EC14C1">
        <w:rPr>
          <w:rFonts w:cstheme="minorHAnsi"/>
        </w:rPr>
        <w:t xml:space="preserve"> 7. lipnja 2019. o utvrđivanju pravila za izračun, provjeru i dostavu podataka o otpadu u skladu s Direktivom 2008/98/EZ Europskog parlamenta i Vijeća te o stavljanju izvan snage Provedbene odluke Komisije C(2012) (priopćeno pod brojem dokumenta C(2019) 4114)</w:t>
      </w:r>
      <w:r w:rsidR="00EF6841" w:rsidRPr="00EC14C1">
        <w:rPr>
          <w:rFonts w:cstheme="minorHAnsi"/>
        </w:rPr>
        <w:t>.</w:t>
      </w:r>
    </w:p>
    <w:p w14:paraId="34DC09EE" w14:textId="2EBABBA9" w:rsidR="00AD133D" w:rsidRDefault="00AD133D" w:rsidP="00AD133D">
      <w:pPr>
        <w:pStyle w:val="Odlomakpopisa"/>
        <w:numPr>
          <w:ilvl w:val="0"/>
          <w:numId w:val="6"/>
        </w:numPr>
        <w:spacing w:line="256" w:lineRule="auto"/>
        <w:rPr>
          <w:rFonts w:cstheme="minorHAnsi"/>
        </w:rPr>
      </w:pPr>
      <w:r w:rsidRPr="00AD133D">
        <w:rPr>
          <w:rFonts w:cstheme="minorHAnsi"/>
        </w:rPr>
        <w:lastRenderedPageBreak/>
        <w:t xml:space="preserve">Odluka Komisije od 22. ožujka 2005. o utvrđivanju formata u odnosu na sustav baza podataka na temelju Direktive 94/62/EZ Europskog parlamenta i Vijeća o ambalaži i ambalažnom otpadu kako je posljednji put izmijenjena Provedbenom odlukom Komisije (EU) 2019/665 </w:t>
      </w:r>
      <w:proofErr w:type="spellStart"/>
      <w:r w:rsidRPr="00AD133D">
        <w:rPr>
          <w:rFonts w:cstheme="minorHAnsi"/>
        </w:rPr>
        <w:t>оd</w:t>
      </w:r>
      <w:proofErr w:type="spellEnd"/>
      <w:r w:rsidRPr="00AD133D">
        <w:rPr>
          <w:rFonts w:cstheme="minorHAnsi"/>
        </w:rPr>
        <w:t xml:space="preserve"> 17. travnja 2019. o izmjeni Odluke 2005/270/EZ o utvrđivanju formata u odnosu na sustav baza podataka na temelju Direktive 94/62/EZ Europskog parlamenta i Vijeća o ambalaži i ambalažnom otpadu (priopćeno pod brojem dokumenta C(2019) 2805)</w:t>
      </w:r>
      <w:r w:rsidR="00FB1E03">
        <w:rPr>
          <w:rFonts w:cstheme="minorHAnsi"/>
        </w:rPr>
        <w:t>,</w:t>
      </w:r>
    </w:p>
    <w:p w14:paraId="7F877FB5" w14:textId="0D134CEF" w:rsidR="00FB1E03" w:rsidRDefault="00FB1E03" w:rsidP="00AD133D">
      <w:pPr>
        <w:pStyle w:val="Odlomakpopisa"/>
        <w:numPr>
          <w:ilvl w:val="0"/>
          <w:numId w:val="6"/>
        </w:numPr>
        <w:spacing w:line="256" w:lineRule="auto"/>
        <w:rPr>
          <w:rFonts w:cstheme="minorHAnsi"/>
        </w:rPr>
      </w:pPr>
      <w:r w:rsidRPr="00FB1E03">
        <w:rPr>
          <w:rFonts w:cstheme="minorHAnsi"/>
        </w:rPr>
        <w:t>Odluka Komisije 2005/293/EZ od 1. travnja 2005. o utvrđivanju detaljnih pravila za praćenje ciljeva u pogledu ponovne uporabe/oporabe i ponovne uporabe/recikliranja koji su utvrđeni u Direktivi 2000/53/EZ Europskog parlamenta i Vijeća o otpadnim vozilima (SL L 94, 13. 4. 2005.) (u daljnjem tekstu: Odluka 2005/293/EZ)</w:t>
      </w:r>
      <w:r>
        <w:rPr>
          <w:rFonts w:cstheme="minorHAnsi"/>
        </w:rPr>
        <w:t>,</w:t>
      </w:r>
    </w:p>
    <w:p w14:paraId="3BAF09BE" w14:textId="57D0F6FA" w:rsidR="00FB1E03" w:rsidRDefault="00FB1E03" w:rsidP="00FB1E03">
      <w:pPr>
        <w:pStyle w:val="Odlomakpopisa"/>
        <w:numPr>
          <w:ilvl w:val="0"/>
          <w:numId w:val="6"/>
        </w:numPr>
        <w:spacing w:line="256" w:lineRule="auto"/>
        <w:rPr>
          <w:rFonts w:cstheme="minorHAnsi"/>
        </w:rPr>
      </w:pPr>
      <w:r w:rsidRPr="00FB1E03">
        <w:rPr>
          <w:rFonts w:cstheme="minorHAnsi"/>
        </w:rPr>
        <w:t>Uredba Komisije (EU) br. 493/2012 od 11. lipnja 2012. o utvrđivanju, u skladu s Direktivom 2006/66/EZ Europskog parlamenta i Vijeća, detaljnih pravila za izračunavanje učinkovitosti recikliranja u procesima recikliranja otpadnih baterija i akumulatora</w:t>
      </w:r>
      <w:r>
        <w:rPr>
          <w:rFonts w:cstheme="minorHAnsi"/>
        </w:rPr>
        <w:t>,</w:t>
      </w:r>
    </w:p>
    <w:p w14:paraId="069FB901" w14:textId="18BFEB5C" w:rsidR="00EF0F2F" w:rsidRDefault="00EF0F2F" w:rsidP="00EF0F2F">
      <w:pPr>
        <w:pStyle w:val="Odlomakpopisa"/>
        <w:numPr>
          <w:ilvl w:val="0"/>
          <w:numId w:val="6"/>
        </w:numPr>
        <w:spacing w:line="256" w:lineRule="auto"/>
        <w:rPr>
          <w:rFonts w:cstheme="minorHAnsi"/>
        </w:rPr>
      </w:pPr>
      <w:r>
        <w:rPr>
          <w:rFonts w:cstheme="minorHAnsi"/>
        </w:rPr>
        <w:t xml:space="preserve">Provedbena </w:t>
      </w:r>
      <w:r w:rsidR="00EC718B">
        <w:rPr>
          <w:rFonts w:cstheme="minorHAnsi"/>
        </w:rPr>
        <w:t>Odluka</w:t>
      </w:r>
      <w:r>
        <w:rPr>
          <w:rFonts w:cstheme="minorHAnsi"/>
        </w:rPr>
        <w:t xml:space="preserve"> Komisije</w:t>
      </w:r>
      <w:r w:rsidRPr="00EF0F2F">
        <w:rPr>
          <w:rFonts w:cstheme="minorHAnsi"/>
        </w:rPr>
        <w:t xml:space="preserve"> (EU) 2017/699 </w:t>
      </w:r>
      <w:proofErr w:type="spellStart"/>
      <w:r w:rsidRPr="00EF0F2F">
        <w:rPr>
          <w:rFonts w:cstheme="minorHAnsi"/>
        </w:rPr>
        <w:t>оd</w:t>
      </w:r>
      <w:proofErr w:type="spellEnd"/>
      <w:r w:rsidRPr="00EF0F2F">
        <w:rPr>
          <w:rFonts w:cstheme="minorHAnsi"/>
        </w:rPr>
        <w:t xml:space="preserve"> 18. travnja 2017. o utvrđivanju zajedničke metodologije za izračun mase električne i elektroničke opreme (EEO) stavljene na tržište svake države članice te zajedničke metodologije za izračun količine nastale otpadne električne i elektroničke opreme (OEEO) izražene masom u svakoj državi članici</w:t>
      </w:r>
      <w:r w:rsidR="00EC718B">
        <w:rPr>
          <w:rFonts w:cstheme="minorHAnsi"/>
        </w:rPr>
        <w:t>,</w:t>
      </w:r>
    </w:p>
    <w:p w14:paraId="36EB0724" w14:textId="1409420D" w:rsidR="00EF0F2F" w:rsidRDefault="00EF0F2F" w:rsidP="00EF0F2F">
      <w:pPr>
        <w:pStyle w:val="Odlomakpopisa"/>
        <w:numPr>
          <w:ilvl w:val="0"/>
          <w:numId w:val="6"/>
        </w:numPr>
        <w:spacing w:line="256" w:lineRule="auto"/>
        <w:rPr>
          <w:rFonts w:cstheme="minorHAnsi"/>
        </w:rPr>
      </w:pPr>
      <w:r w:rsidRPr="00EF0F2F">
        <w:rPr>
          <w:rFonts w:cstheme="minorHAnsi"/>
        </w:rPr>
        <w:t xml:space="preserve">Provedbena </w:t>
      </w:r>
      <w:r w:rsidR="00EC718B">
        <w:rPr>
          <w:rFonts w:cstheme="minorHAnsi"/>
        </w:rPr>
        <w:t>Uredba</w:t>
      </w:r>
      <w:r w:rsidRPr="00EF0F2F">
        <w:rPr>
          <w:rFonts w:cstheme="minorHAnsi"/>
        </w:rPr>
        <w:t xml:space="preserve"> Komisije (EU) 2019/290 </w:t>
      </w:r>
      <w:proofErr w:type="spellStart"/>
      <w:r w:rsidRPr="00EF0F2F">
        <w:rPr>
          <w:rFonts w:cstheme="minorHAnsi"/>
        </w:rPr>
        <w:t>оd</w:t>
      </w:r>
      <w:proofErr w:type="spellEnd"/>
      <w:r w:rsidRPr="00EF0F2F">
        <w:rPr>
          <w:rFonts w:cstheme="minorHAnsi"/>
        </w:rPr>
        <w:t xml:space="preserve"> 19. veljače 2019. o utvrđivanju formata za registraciju i izvješćivanje u registar za proizvođače električne i elektroničke opreme</w:t>
      </w:r>
    </w:p>
    <w:p w14:paraId="796FDB5C" w14:textId="17528D4E" w:rsidR="00EF0F2F" w:rsidRDefault="00EF0F2F" w:rsidP="00EF0F2F">
      <w:pPr>
        <w:pStyle w:val="Odlomakpopisa"/>
        <w:numPr>
          <w:ilvl w:val="0"/>
          <w:numId w:val="6"/>
        </w:numPr>
        <w:spacing w:line="256" w:lineRule="auto"/>
        <w:rPr>
          <w:rFonts w:cstheme="minorHAnsi"/>
        </w:rPr>
      </w:pPr>
      <w:r w:rsidRPr="00EF0F2F">
        <w:rPr>
          <w:rFonts w:cstheme="minorHAnsi"/>
        </w:rPr>
        <w:t xml:space="preserve">Provedbena </w:t>
      </w:r>
      <w:r w:rsidR="00EC718B">
        <w:rPr>
          <w:rFonts w:cstheme="minorHAnsi"/>
        </w:rPr>
        <w:t>Odluka</w:t>
      </w:r>
      <w:r w:rsidRPr="00EF0F2F">
        <w:rPr>
          <w:rFonts w:cstheme="minorHAnsi"/>
        </w:rPr>
        <w:t xml:space="preserve"> Komisije (EU) 2019/2193 </w:t>
      </w:r>
      <w:proofErr w:type="spellStart"/>
      <w:r w:rsidRPr="00EF0F2F">
        <w:rPr>
          <w:rFonts w:cstheme="minorHAnsi"/>
        </w:rPr>
        <w:t>оd</w:t>
      </w:r>
      <w:proofErr w:type="spellEnd"/>
      <w:r w:rsidRPr="00EF0F2F">
        <w:rPr>
          <w:rFonts w:cstheme="minorHAnsi"/>
        </w:rPr>
        <w:t xml:space="preserve"> 17. prosinca 2019. o utvrđivanju pravila za izračun, provjeru i dostavu podataka i utvrđivanju formata podataka za potrebe Direktive 2012/19/EU Europskog parlamenta i Vijeća o otpadnoj električnoj i elektroničkoj opremi (OEEO) (priopćeno pod brojem dokumenta C(2019) 8995)</w:t>
      </w:r>
      <w:r w:rsidR="00EC718B">
        <w:rPr>
          <w:rFonts w:cstheme="minorHAnsi"/>
        </w:rPr>
        <w:t>,</w:t>
      </w:r>
    </w:p>
    <w:p w14:paraId="32B7554A" w14:textId="3D6380B4" w:rsidR="00EC718B" w:rsidRDefault="00EC718B" w:rsidP="00EF0F2F">
      <w:pPr>
        <w:pStyle w:val="Odlomakpopisa"/>
        <w:numPr>
          <w:ilvl w:val="0"/>
          <w:numId w:val="6"/>
        </w:numPr>
        <w:spacing w:line="256" w:lineRule="auto"/>
        <w:rPr>
          <w:rFonts w:cstheme="minorHAnsi"/>
        </w:rPr>
      </w:pPr>
      <w:r w:rsidRPr="00EC718B">
        <w:rPr>
          <w:rFonts w:cstheme="minorHAnsi"/>
        </w:rPr>
        <w:t xml:space="preserve">Provedbena Odluka Komisije (EU) 2021/958 </w:t>
      </w:r>
      <w:proofErr w:type="spellStart"/>
      <w:r w:rsidRPr="00EC718B">
        <w:rPr>
          <w:rFonts w:cstheme="minorHAnsi"/>
        </w:rPr>
        <w:t>оd</w:t>
      </w:r>
      <w:proofErr w:type="spellEnd"/>
      <w:r w:rsidRPr="00EC718B">
        <w:rPr>
          <w:rFonts w:cstheme="minorHAnsi"/>
        </w:rPr>
        <w:t xml:space="preserve"> 31. svibnja 2021. o utvrđivanju formata za dostavljanje podataka i informacija o ribolovnom alatu koji je stavljen na tržište i o skupljenom otpadnom ribolovnom alatu u državama članicama te formata za izvješće o provjeri kvalitete u skladu s člankom 13. stavkom 1. točkom (d) i stavkom 2. Direktive (EU) 2019/904 Europskog parlamenta i Vijeća</w:t>
      </w:r>
      <w:r>
        <w:rPr>
          <w:rFonts w:cstheme="minorHAnsi"/>
        </w:rPr>
        <w:t>,</w:t>
      </w:r>
    </w:p>
    <w:p w14:paraId="140B11E9" w14:textId="072AE734" w:rsidR="00EC718B" w:rsidRPr="00EC718B" w:rsidRDefault="00EC718B" w:rsidP="00EF0F2F">
      <w:pPr>
        <w:pStyle w:val="Odlomakpopisa"/>
        <w:numPr>
          <w:ilvl w:val="0"/>
          <w:numId w:val="6"/>
        </w:numPr>
        <w:spacing w:line="256" w:lineRule="auto"/>
        <w:rPr>
          <w:rFonts w:cstheme="minorHAnsi"/>
        </w:rPr>
      </w:pPr>
      <w:r>
        <w:t xml:space="preserve">Provedbena Odluka Komisije (EU) 2021/2267 </w:t>
      </w:r>
      <w:proofErr w:type="spellStart"/>
      <w:r>
        <w:t>оd</w:t>
      </w:r>
      <w:proofErr w:type="spellEnd"/>
      <w:r>
        <w:t xml:space="preserve"> 17. prosinca 2021. o utvrđivanju formata za dostavu podataka i informacija o prikupljenom otpadu nakon potrošnje duhanskih proizvoda s filtrom i filtara koji se stavljaju na tržište za uporabu u kombinaciji s duhanskim proizvodima, </w:t>
      </w:r>
    </w:p>
    <w:p w14:paraId="1AA891DA" w14:textId="34630D4B" w:rsidR="00EC718B" w:rsidRPr="00EC718B" w:rsidRDefault="00EC718B" w:rsidP="00E11C93">
      <w:pPr>
        <w:pStyle w:val="Odlomakpopisa"/>
        <w:numPr>
          <w:ilvl w:val="0"/>
          <w:numId w:val="6"/>
        </w:numPr>
        <w:shd w:val="clear" w:color="auto" w:fill="FFFFFF"/>
        <w:spacing w:line="256" w:lineRule="auto"/>
        <w:rPr>
          <w:rFonts w:cstheme="minorHAnsi"/>
        </w:rPr>
      </w:pPr>
      <w:r>
        <w:t xml:space="preserve">Provedbena Odluka Komisije (EU) 2021/1752 </w:t>
      </w:r>
      <w:proofErr w:type="spellStart"/>
      <w:r>
        <w:t>оd</w:t>
      </w:r>
      <w:proofErr w:type="spellEnd"/>
      <w:r>
        <w:t xml:space="preserve"> 1. listopada 2021. o utvrđivanju pravila za primjenu Direktive (EU) 2019/904 Europskog parlamenta i Vijeća u pogledu izračuna, provjere i dostave podataka o odvojenom skupljanju otpadnih plastičnih boca za napitke za jednokratnu uporabu,</w:t>
      </w:r>
    </w:p>
    <w:p w14:paraId="2429F922" w14:textId="69F17156" w:rsidR="00EC718B" w:rsidRPr="00EC718B" w:rsidRDefault="00EC718B" w:rsidP="00EF0F2F">
      <w:pPr>
        <w:pStyle w:val="Odlomakpopisa"/>
        <w:numPr>
          <w:ilvl w:val="0"/>
          <w:numId w:val="6"/>
        </w:numPr>
        <w:spacing w:line="256" w:lineRule="auto"/>
        <w:rPr>
          <w:rFonts w:cstheme="minorHAnsi"/>
        </w:rPr>
      </w:pPr>
      <w:r>
        <w:t xml:space="preserve">Provedbena Odluka Komisije (EU) 2022/162 </w:t>
      </w:r>
      <w:proofErr w:type="spellStart"/>
      <w:r>
        <w:t>оd</w:t>
      </w:r>
      <w:proofErr w:type="spellEnd"/>
      <w:r>
        <w:t xml:space="preserve"> 4. veljače 2022. o utvrđivanju pravila za primjenu Direktive (EU) 2019/904 Europskog parlamenta i Vijeća u pogledu izračuna, provjere i izvješćivanja o smanjenju potrošnje određenih plastičnih proizvoda za jednokratnu uporabu i mjerama koje države članice poduzimaju kako bi je smanjile. </w:t>
      </w:r>
    </w:p>
    <w:p w14:paraId="629C12B9" w14:textId="77777777" w:rsidR="00EC718B" w:rsidRPr="00EC718B" w:rsidRDefault="00EC718B" w:rsidP="00E11C93">
      <w:pPr>
        <w:pStyle w:val="Odlomakpopisa"/>
        <w:shd w:val="clear" w:color="auto" w:fill="FFFFFF"/>
        <w:spacing w:line="256" w:lineRule="auto"/>
        <w:rPr>
          <w:rFonts w:cstheme="minorHAnsi"/>
        </w:rPr>
      </w:pPr>
    </w:p>
    <w:p w14:paraId="0660C1AD" w14:textId="21F2101A" w:rsidR="00FB1E03" w:rsidRDefault="00BD1320" w:rsidP="00EC14C1">
      <w:pPr>
        <w:spacing w:line="256" w:lineRule="auto"/>
        <w:rPr>
          <w:rFonts w:cstheme="minorHAnsi"/>
        </w:rPr>
      </w:pPr>
      <w:r>
        <w:rPr>
          <w:rFonts w:cstheme="minorHAnsi"/>
        </w:rPr>
        <w:t>U tablici u nastavku prikazan je status realizacije propisanih EU ciljeva.</w:t>
      </w:r>
    </w:p>
    <w:p w14:paraId="5E60811F" w14:textId="78C39965" w:rsidR="00BD1320" w:rsidRPr="004348AA" w:rsidRDefault="00BD1320" w:rsidP="00BB2706">
      <w:pPr>
        <w:pStyle w:val="Tablica"/>
      </w:pPr>
      <w:bookmarkStart w:id="188" w:name="_Toc125364413"/>
      <w:r w:rsidRPr="004348AA">
        <w:rPr>
          <w:bCs/>
        </w:rPr>
        <w:t xml:space="preserve">Tablica </w:t>
      </w:r>
      <w:r w:rsidRPr="004348AA">
        <w:rPr>
          <w:bCs/>
        </w:rPr>
        <w:fldChar w:fldCharType="begin"/>
      </w:r>
      <w:r w:rsidRPr="004348AA">
        <w:rPr>
          <w:bCs/>
        </w:rPr>
        <w:instrText xml:space="preserve"> SEQ Tablica \* ARABIC </w:instrText>
      </w:r>
      <w:r w:rsidRPr="004348AA">
        <w:rPr>
          <w:bCs/>
        </w:rPr>
        <w:fldChar w:fldCharType="separate"/>
      </w:r>
      <w:r w:rsidR="00F37B62">
        <w:rPr>
          <w:bCs/>
          <w:noProof/>
        </w:rPr>
        <w:t>24</w:t>
      </w:r>
      <w:r w:rsidRPr="004348AA">
        <w:rPr>
          <w:bCs/>
        </w:rPr>
        <w:fldChar w:fldCharType="end"/>
      </w:r>
      <w:r w:rsidRPr="004348AA">
        <w:rPr>
          <w:bCs/>
        </w:rPr>
        <w:t>.</w:t>
      </w:r>
      <w:r w:rsidRPr="004348AA">
        <w:t xml:space="preserve"> </w:t>
      </w:r>
      <w:bookmarkStart w:id="189" w:name="_Hlk119927926"/>
      <w:r w:rsidRPr="00BB2706">
        <w:rPr>
          <w:b w:val="0"/>
        </w:rPr>
        <w:t>Status realizacije ciljeva propisanih EU aktima</w:t>
      </w:r>
      <w:bookmarkEnd w:id="188"/>
    </w:p>
    <w:tbl>
      <w:tblPr>
        <w:tblStyle w:val="Tablicareetke2-isticanje5"/>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86"/>
        <w:gridCol w:w="3834"/>
        <w:gridCol w:w="789"/>
        <w:gridCol w:w="920"/>
        <w:gridCol w:w="1124"/>
        <w:gridCol w:w="6"/>
      </w:tblGrid>
      <w:tr w:rsidR="00BD1320" w:rsidRPr="00BD1320" w14:paraId="16EC420F" w14:textId="77777777" w:rsidTr="00BD1320">
        <w:trPr>
          <w:gridAfter w:val="1"/>
          <w:cnfStyle w:val="100000000000" w:firstRow="1" w:lastRow="0" w:firstColumn="0" w:lastColumn="0" w:oddVBand="0" w:evenVBand="0" w:oddHBand="0" w:evenHBand="0" w:firstRowFirstColumn="0" w:firstRowLastColumn="0" w:lastRowFirstColumn="0" w:lastRowLastColumn="0"/>
          <w:wAfter w:w="6" w:type="dxa"/>
          <w:tblHeader/>
        </w:trPr>
        <w:tc>
          <w:tcPr>
            <w:cnfStyle w:val="001000000000" w:firstRow="0" w:lastRow="0" w:firstColumn="1" w:lastColumn="0" w:oddVBand="0" w:evenVBand="0" w:oddHBand="0" w:evenHBand="0" w:firstRowFirstColumn="0" w:firstRowLastColumn="0" w:lastRowFirstColumn="0" w:lastRowLastColumn="0"/>
            <w:tcW w:w="1271" w:type="dxa"/>
            <w:shd w:val="clear" w:color="auto" w:fill="002060"/>
            <w:vAlign w:val="center"/>
          </w:tcPr>
          <w:bookmarkEnd w:id="189"/>
          <w:p w14:paraId="055B334F" w14:textId="77777777" w:rsidR="00BD1320" w:rsidRPr="004348AA" w:rsidRDefault="00BD1320" w:rsidP="00A41D37">
            <w:pPr>
              <w:spacing w:after="120"/>
              <w:jc w:val="center"/>
              <w:rPr>
                <w:rFonts w:eastAsia="Times New Roman" w:cstheme="minorHAnsi"/>
                <w:color w:val="FFFFFF" w:themeColor="background1"/>
                <w:sz w:val="16"/>
                <w:szCs w:val="16"/>
              </w:rPr>
            </w:pPr>
            <w:r w:rsidRPr="004348AA">
              <w:rPr>
                <w:rFonts w:eastAsia="Times New Roman" w:cstheme="minorHAnsi"/>
                <w:color w:val="FFFFFF" w:themeColor="background1"/>
                <w:sz w:val="16"/>
                <w:szCs w:val="16"/>
              </w:rPr>
              <w:t>EU direktiva</w:t>
            </w:r>
          </w:p>
        </w:tc>
        <w:tc>
          <w:tcPr>
            <w:tcW w:w="986" w:type="dxa"/>
            <w:shd w:val="clear" w:color="auto" w:fill="002060"/>
            <w:vAlign w:val="center"/>
          </w:tcPr>
          <w:p w14:paraId="16CC0B42" w14:textId="77777777" w:rsidR="00BD1320" w:rsidRPr="004348AA" w:rsidRDefault="00BD1320" w:rsidP="00A41D37">
            <w:pPr>
              <w:spacing w:after="12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6"/>
                <w:szCs w:val="16"/>
              </w:rPr>
            </w:pPr>
            <w:r w:rsidRPr="004348AA">
              <w:rPr>
                <w:rFonts w:eastAsia="Times New Roman" w:cstheme="minorHAnsi"/>
                <w:color w:val="FFFFFF" w:themeColor="background1"/>
                <w:sz w:val="16"/>
                <w:szCs w:val="16"/>
              </w:rPr>
              <w:t>Rok</w:t>
            </w:r>
          </w:p>
        </w:tc>
        <w:tc>
          <w:tcPr>
            <w:tcW w:w="3834" w:type="dxa"/>
            <w:shd w:val="clear" w:color="auto" w:fill="002060"/>
            <w:vAlign w:val="center"/>
          </w:tcPr>
          <w:p w14:paraId="2CD8A73D" w14:textId="77777777" w:rsidR="00BD1320" w:rsidRPr="004348AA" w:rsidRDefault="00BD1320" w:rsidP="00A41D37">
            <w:pPr>
              <w:spacing w:after="12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6"/>
                <w:szCs w:val="16"/>
              </w:rPr>
            </w:pPr>
            <w:r w:rsidRPr="004348AA">
              <w:rPr>
                <w:rFonts w:eastAsia="Times New Roman" w:cstheme="minorHAnsi"/>
                <w:color w:val="FFFFFF" w:themeColor="background1"/>
                <w:sz w:val="16"/>
                <w:szCs w:val="16"/>
              </w:rPr>
              <w:t>Cilj</w:t>
            </w:r>
          </w:p>
        </w:tc>
        <w:tc>
          <w:tcPr>
            <w:tcW w:w="789" w:type="dxa"/>
            <w:shd w:val="clear" w:color="auto" w:fill="002060"/>
            <w:vAlign w:val="center"/>
          </w:tcPr>
          <w:p w14:paraId="0E9494D9" w14:textId="77777777" w:rsidR="00BD1320" w:rsidRPr="004348AA" w:rsidRDefault="00BD1320" w:rsidP="00A41D37">
            <w:pPr>
              <w:spacing w:after="12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6"/>
                <w:szCs w:val="16"/>
              </w:rPr>
            </w:pPr>
            <w:r w:rsidRPr="004348AA">
              <w:rPr>
                <w:rFonts w:eastAsia="Times New Roman" w:cstheme="minorHAnsi"/>
                <w:color w:val="FFFFFF" w:themeColor="background1"/>
                <w:sz w:val="16"/>
                <w:szCs w:val="16"/>
              </w:rPr>
              <w:t>Godina</w:t>
            </w:r>
          </w:p>
        </w:tc>
        <w:tc>
          <w:tcPr>
            <w:tcW w:w="920" w:type="dxa"/>
            <w:shd w:val="clear" w:color="auto" w:fill="002060"/>
            <w:vAlign w:val="center"/>
          </w:tcPr>
          <w:p w14:paraId="751EF975" w14:textId="427D9E3D" w:rsidR="00BD1320" w:rsidRPr="004348AA" w:rsidRDefault="00BD1320" w:rsidP="00A41D37">
            <w:pPr>
              <w:spacing w:after="12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6"/>
                <w:szCs w:val="16"/>
              </w:rPr>
            </w:pPr>
            <w:r w:rsidRPr="004348AA">
              <w:rPr>
                <w:rFonts w:eastAsia="Times New Roman" w:cstheme="minorHAnsi"/>
                <w:color w:val="FFFFFF" w:themeColor="background1"/>
                <w:sz w:val="16"/>
                <w:szCs w:val="16"/>
              </w:rPr>
              <w:t>Status ostvarenja cilja</w:t>
            </w:r>
            <w:r w:rsidR="00F44138">
              <w:rPr>
                <w:rFonts w:eastAsia="Times New Roman" w:cstheme="minorHAnsi"/>
                <w:color w:val="FFFFFF" w:themeColor="background1"/>
                <w:sz w:val="16"/>
                <w:szCs w:val="16"/>
              </w:rPr>
              <w:t xml:space="preserve"> RH</w:t>
            </w:r>
          </w:p>
        </w:tc>
        <w:tc>
          <w:tcPr>
            <w:tcW w:w="1124" w:type="dxa"/>
            <w:shd w:val="clear" w:color="auto" w:fill="002060"/>
            <w:vAlign w:val="center"/>
          </w:tcPr>
          <w:p w14:paraId="4054F949" w14:textId="77777777" w:rsidR="00BD1320" w:rsidRPr="004348AA" w:rsidRDefault="00BD1320" w:rsidP="00A41D37">
            <w:pPr>
              <w:spacing w:after="12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6"/>
                <w:szCs w:val="16"/>
              </w:rPr>
            </w:pPr>
            <w:r w:rsidRPr="004348AA">
              <w:rPr>
                <w:rFonts w:eastAsia="Times New Roman" w:cstheme="minorHAnsi"/>
                <w:color w:val="FFFFFF" w:themeColor="background1"/>
                <w:sz w:val="16"/>
                <w:szCs w:val="16"/>
              </w:rPr>
              <w:t>Pokazatelj</w:t>
            </w:r>
          </w:p>
        </w:tc>
      </w:tr>
      <w:tr w:rsidR="004348AA" w:rsidRPr="00BD1320" w14:paraId="13AF0436" w14:textId="77777777" w:rsidTr="004348AA">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auto"/>
            <w:vAlign w:val="center"/>
          </w:tcPr>
          <w:p w14:paraId="00AEF971" w14:textId="77777777" w:rsidR="00BD1320" w:rsidRPr="004348AA" w:rsidRDefault="00BD1320" w:rsidP="00A41D37">
            <w:pPr>
              <w:spacing w:after="120"/>
              <w:rPr>
                <w:rFonts w:eastAsia="Times New Roman" w:cstheme="minorHAnsi"/>
                <w:sz w:val="16"/>
                <w:szCs w:val="16"/>
              </w:rPr>
            </w:pPr>
            <w:r w:rsidRPr="004348AA">
              <w:rPr>
                <w:rFonts w:eastAsia="Times New Roman" w:cstheme="minorHAnsi"/>
                <w:sz w:val="16"/>
                <w:szCs w:val="16"/>
              </w:rPr>
              <w:t xml:space="preserve">Okvirna direktiva o </w:t>
            </w:r>
            <w:r w:rsidRPr="004348AA">
              <w:rPr>
                <w:rFonts w:eastAsia="Times New Roman" w:cstheme="minorHAnsi"/>
                <w:sz w:val="16"/>
                <w:szCs w:val="16"/>
              </w:rPr>
              <w:lastRenderedPageBreak/>
              <w:t>otpadu (2008/98/EC)</w:t>
            </w:r>
          </w:p>
        </w:tc>
        <w:tc>
          <w:tcPr>
            <w:tcW w:w="986" w:type="dxa"/>
            <w:vMerge w:val="restart"/>
            <w:shd w:val="clear" w:color="auto" w:fill="auto"/>
            <w:vAlign w:val="center"/>
          </w:tcPr>
          <w:p w14:paraId="53A41C2C" w14:textId="77777777" w:rsidR="00BD1320" w:rsidRPr="004348AA"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lastRenderedPageBreak/>
              <w:t>12/2020</w:t>
            </w:r>
          </w:p>
        </w:tc>
        <w:tc>
          <w:tcPr>
            <w:tcW w:w="3834" w:type="dxa"/>
            <w:shd w:val="clear" w:color="auto" w:fill="auto"/>
          </w:tcPr>
          <w:p w14:paraId="59D99FB2" w14:textId="77777777" w:rsidR="00BD1320" w:rsidRPr="004348AA"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 xml:space="preserve">Najmanje 50% ukupne mase otpada proizvedenog u kućanstvima i otpada iz drugih izvora čiji tokovi otpada su slični toku otpada iz kućanstva, uključujući barem </w:t>
            </w:r>
            <w:r w:rsidRPr="004348AA">
              <w:rPr>
                <w:rFonts w:eastAsia="Times New Roman" w:cstheme="minorHAnsi"/>
                <w:sz w:val="16"/>
                <w:szCs w:val="16"/>
              </w:rPr>
              <w:lastRenderedPageBreak/>
              <w:t xml:space="preserve">papir, metal, plastiku i staklo, mora se </w:t>
            </w:r>
            <w:proofErr w:type="spellStart"/>
            <w:r w:rsidRPr="004348AA">
              <w:rPr>
                <w:rFonts w:eastAsia="Times New Roman" w:cstheme="minorHAnsi"/>
                <w:sz w:val="16"/>
                <w:szCs w:val="16"/>
              </w:rPr>
              <w:t>oporabiti</w:t>
            </w:r>
            <w:proofErr w:type="spellEnd"/>
            <w:r w:rsidRPr="004348AA">
              <w:rPr>
                <w:rFonts w:eastAsia="Times New Roman" w:cstheme="minorHAnsi"/>
                <w:sz w:val="16"/>
                <w:szCs w:val="16"/>
              </w:rPr>
              <w:t xml:space="preserve"> recikliranjem i pripremom za ponovnu uporabu.</w:t>
            </w:r>
          </w:p>
        </w:tc>
        <w:tc>
          <w:tcPr>
            <w:tcW w:w="789" w:type="dxa"/>
            <w:shd w:val="clear" w:color="auto" w:fill="auto"/>
          </w:tcPr>
          <w:p w14:paraId="0CD0618F" w14:textId="77777777" w:rsidR="00BD1320" w:rsidRPr="004348AA" w:rsidRDefault="00BD1320" w:rsidP="00A41D3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348AA">
              <w:rPr>
                <w:rFonts w:cstheme="minorHAnsi"/>
                <w:sz w:val="16"/>
                <w:szCs w:val="16"/>
              </w:rPr>
              <w:lastRenderedPageBreak/>
              <w:t>2021.</w:t>
            </w:r>
          </w:p>
        </w:tc>
        <w:tc>
          <w:tcPr>
            <w:tcW w:w="920" w:type="dxa"/>
            <w:shd w:val="clear" w:color="auto" w:fill="auto"/>
          </w:tcPr>
          <w:p w14:paraId="313B6206" w14:textId="77777777" w:rsidR="00BD1320" w:rsidRPr="004348AA" w:rsidRDefault="00BD1320" w:rsidP="00A41D37">
            <w:pPr>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348AA">
              <w:rPr>
                <w:rFonts w:cstheme="minorHAnsi"/>
                <w:sz w:val="16"/>
                <w:szCs w:val="16"/>
              </w:rPr>
              <w:t>31%</w:t>
            </w:r>
          </w:p>
        </w:tc>
        <w:tc>
          <w:tcPr>
            <w:tcW w:w="1124" w:type="dxa"/>
            <w:shd w:val="clear" w:color="auto" w:fill="auto"/>
          </w:tcPr>
          <w:p w14:paraId="4E2C4710" w14:textId="77777777" w:rsidR="00BD1320" w:rsidRPr="004348AA" w:rsidRDefault="00BD1320" w:rsidP="00A41D3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348AA">
              <w:rPr>
                <w:rFonts w:cstheme="minorHAnsi"/>
                <w:sz w:val="16"/>
                <w:szCs w:val="16"/>
              </w:rPr>
              <w:t>Nije postignuto.</w:t>
            </w:r>
          </w:p>
        </w:tc>
      </w:tr>
      <w:tr w:rsidR="004348AA" w:rsidRPr="00BD1320" w14:paraId="4517E89C" w14:textId="77777777" w:rsidTr="004348AA">
        <w:trPr>
          <w:gridAfter w:val="1"/>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3C414576"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2F12A266" w14:textId="77777777" w:rsidR="00BD1320" w:rsidRPr="007E7DE5"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78ECF76C" w14:textId="77777777" w:rsidR="00BD1320" w:rsidRPr="007E7DE5"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 xml:space="preserve">Najmanje 70% mase neopasnog građevnog otpada, osim materijala iz prirode određenog ključnim brojem otpada 17 05 04 – zemlja i kamenje koji nisu navedeni pod 17 05 03, mora se </w:t>
            </w:r>
            <w:proofErr w:type="spellStart"/>
            <w:r w:rsidRPr="007E7DE5">
              <w:rPr>
                <w:rFonts w:eastAsia="Times New Roman" w:cstheme="minorHAnsi"/>
                <w:sz w:val="16"/>
                <w:szCs w:val="16"/>
              </w:rPr>
              <w:t>oporabiti</w:t>
            </w:r>
            <w:proofErr w:type="spellEnd"/>
            <w:r w:rsidRPr="007E7DE5">
              <w:rPr>
                <w:rFonts w:eastAsia="Times New Roman" w:cstheme="minorHAnsi"/>
                <w:sz w:val="16"/>
                <w:szCs w:val="16"/>
              </w:rPr>
              <w:t xml:space="preserve"> recikliranjem, pripremom za ponovnu uporabu i drugim postupcima materijalne oporabe, uključujući postupak nasipavanja, kod kojih se otpad koristi kao zamjena za druge materijale.</w:t>
            </w:r>
          </w:p>
        </w:tc>
        <w:tc>
          <w:tcPr>
            <w:tcW w:w="789" w:type="dxa"/>
            <w:shd w:val="clear" w:color="auto" w:fill="auto"/>
          </w:tcPr>
          <w:p w14:paraId="35DCD84E" w14:textId="77777777" w:rsidR="00BD1320" w:rsidRPr="007E7DE5" w:rsidRDefault="00BD1320" w:rsidP="00A41D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E7DE5">
              <w:rPr>
                <w:rFonts w:cstheme="minorHAnsi"/>
                <w:sz w:val="16"/>
                <w:szCs w:val="16"/>
              </w:rPr>
              <w:t>2020.</w:t>
            </w:r>
          </w:p>
        </w:tc>
        <w:tc>
          <w:tcPr>
            <w:tcW w:w="920" w:type="dxa"/>
            <w:shd w:val="clear" w:color="auto" w:fill="auto"/>
          </w:tcPr>
          <w:p w14:paraId="7462FBBA" w14:textId="77777777" w:rsidR="00BD1320" w:rsidRPr="007E7DE5" w:rsidRDefault="00BD1320" w:rsidP="00A41D37">
            <w:pPr>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E7DE5">
              <w:rPr>
                <w:rFonts w:cstheme="minorHAnsi"/>
                <w:sz w:val="16"/>
                <w:szCs w:val="16"/>
              </w:rPr>
              <w:t>60%</w:t>
            </w:r>
          </w:p>
        </w:tc>
        <w:tc>
          <w:tcPr>
            <w:tcW w:w="1124" w:type="dxa"/>
            <w:shd w:val="clear" w:color="auto" w:fill="auto"/>
          </w:tcPr>
          <w:p w14:paraId="14601525" w14:textId="77777777" w:rsidR="00BD1320" w:rsidRPr="007E7DE5" w:rsidRDefault="00BD1320" w:rsidP="00A41D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E7DE5">
              <w:rPr>
                <w:rFonts w:cstheme="minorHAnsi"/>
                <w:sz w:val="16"/>
                <w:szCs w:val="16"/>
              </w:rPr>
              <w:t>Nije postignuto.</w:t>
            </w:r>
          </w:p>
        </w:tc>
      </w:tr>
      <w:tr w:rsidR="004348AA" w:rsidRPr="00BD1320" w14:paraId="7E996BC2" w14:textId="77777777" w:rsidTr="004348AA">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auto"/>
            <w:vAlign w:val="center"/>
          </w:tcPr>
          <w:p w14:paraId="41437D0B" w14:textId="77777777" w:rsidR="00BD1320" w:rsidRPr="004348AA" w:rsidRDefault="00BD1320" w:rsidP="00A41D37">
            <w:pPr>
              <w:spacing w:after="120"/>
              <w:rPr>
                <w:rFonts w:eastAsia="Times New Roman" w:cstheme="minorHAnsi"/>
                <w:sz w:val="16"/>
                <w:szCs w:val="16"/>
              </w:rPr>
            </w:pPr>
            <w:r w:rsidRPr="004348AA">
              <w:rPr>
                <w:rFonts w:cstheme="minorHAnsi"/>
                <w:color w:val="000000"/>
                <w:sz w:val="16"/>
                <w:szCs w:val="16"/>
              </w:rPr>
              <w:t>Direktiva o ambalaži i otpadnoj ambalaži (94/62/EC)</w:t>
            </w:r>
          </w:p>
        </w:tc>
        <w:tc>
          <w:tcPr>
            <w:tcW w:w="986" w:type="dxa"/>
            <w:vMerge w:val="restart"/>
            <w:shd w:val="clear" w:color="auto" w:fill="auto"/>
            <w:vAlign w:val="center"/>
          </w:tcPr>
          <w:p w14:paraId="5520D6B4" w14:textId="77777777" w:rsidR="00BD1320" w:rsidRPr="004348AA"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Od 31.12.2008.</w:t>
            </w:r>
          </w:p>
        </w:tc>
        <w:tc>
          <w:tcPr>
            <w:tcW w:w="3834" w:type="dxa"/>
            <w:shd w:val="clear" w:color="auto" w:fill="auto"/>
          </w:tcPr>
          <w:p w14:paraId="67D98AB5" w14:textId="77777777" w:rsidR="00BD1320" w:rsidRPr="004348AA"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 xml:space="preserve">Odvojeno sakupiti i </w:t>
            </w:r>
            <w:proofErr w:type="spellStart"/>
            <w:r w:rsidRPr="004348AA">
              <w:rPr>
                <w:rFonts w:eastAsia="Times New Roman" w:cstheme="minorHAnsi"/>
                <w:sz w:val="16"/>
                <w:szCs w:val="16"/>
              </w:rPr>
              <w:t>oporabiti</w:t>
            </w:r>
            <w:proofErr w:type="spellEnd"/>
            <w:r w:rsidRPr="004348AA">
              <w:rPr>
                <w:rFonts w:eastAsia="Times New Roman" w:cstheme="minorHAnsi"/>
                <w:sz w:val="16"/>
                <w:szCs w:val="16"/>
              </w:rPr>
              <w:t>, materijalno ili energetski, najmanje 60% ukupne mase otpadne ambalaže proizvedene na području Republike Hrvatske.</w:t>
            </w:r>
          </w:p>
        </w:tc>
        <w:tc>
          <w:tcPr>
            <w:tcW w:w="789" w:type="dxa"/>
            <w:shd w:val="clear" w:color="auto" w:fill="auto"/>
          </w:tcPr>
          <w:p w14:paraId="1FAB415C" w14:textId="77777777" w:rsidR="00BD1320" w:rsidRPr="004348AA" w:rsidRDefault="00BD1320" w:rsidP="00A41D3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348AA">
              <w:rPr>
                <w:rFonts w:cstheme="minorHAnsi"/>
                <w:sz w:val="16"/>
                <w:szCs w:val="16"/>
              </w:rPr>
              <w:t>2021.</w:t>
            </w:r>
          </w:p>
        </w:tc>
        <w:tc>
          <w:tcPr>
            <w:tcW w:w="920" w:type="dxa"/>
            <w:shd w:val="clear" w:color="auto" w:fill="auto"/>
          </w:tcPr>
          <w:p w14:paraId="07F726B7" w14:textId="77777777" w:rsidR="00BD1320" w:rsidRPr="004348AA" w:rsidRDefault="00BD1320" w:rsidP="00A41D37">
            <w:pPr>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348AA">
              <w:rPr>
                <w:rFonts w:cstheme="minorHAnsi"/>
                <w:sz w:val="16"/>
                <w:szCs w:val="16"/>
              </w:rPr>
              <w:t>51%</w:t>
            </w:r>
          </w:p>
        </w:tc>
        <w:tc>
          <w:tcPr>
            <w:tcW w:w="1124" w:type="dxa"/>
            <w:shd w:val="clear" w:color="auto" w:fill="auto"/>
            <w:vAlign w:val="center"/>
          </w:tcPr>
          <w:p w14:paraId="2F94E81D" w14:textId="77777777" w:rsidR="00BD1320" w:rsidRPr="004348AA"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Nije postignuto</w:t>
            </w:r>
          </w:p>
        </w:tc>
      </w:tr>
      <w:tr w:rsidR="004348AA" w:rsidRPr="00BD1320" w14:paraId="44C0622F" w14:textId="77777777" w:rsidTr="004348AA">
        <w:trPr>
          <w:gridAfter w:val="1"/>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5EC7FFC4"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39ABD9A5" w14:textId="77777777" w:rsidR="00BD1320" w:rsidRPr="007E7DE5"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10C967CF" w14:textId="77777777" w:rsidR="00BD1320" w:rsidRPr="007E7DE5"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Reciklirati najmanje 55% i do najviše 80% ukupne mase otpadne ambalaže namijenjene materijalnoj oporabi.</w:t>
            </w:r>
          </w:p>
        </w:tc>
        <w:tc>
          <w:tcPr>
            <w:tcW w:w="789" w:type="dxa"/>
            <w:shd w:val="clear" w:color="auto" w:fill="auto"/>
          </w:tcPr>
          <w:p w14:paraId="19A03403" w14:textId="77777777" w:rsidR="00BD1320" w:rsidRPr="004348AA" w:rsidRDefault="00BD1320" w:rsidP="00A41D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tcPr>
          <w:p w14:paraId="31F81954" w14:textId="77777777" w:rsidR="00BD1320" w:rsidRPr="004348AA" w:rsidRDefault="00BD1320" w:rsidP="00A41D37">
            <w:pPr>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48AA">
              <w:rPr>
                <w:rFonts w:cstheme="minorHAnsi"/>
                <w:sz w:val="16"/>
                <w:szCs w:val="16"/>
              </w:rPr>
              <w:t>51%</w:t>
            </w:r>
          </w:p>
        </w:tc>
        <w:tc>
          <w:tcPr>
            <w:tcW w:w="1124" w:type="dxa"/>
            <w:shd w:val="clear" w:color="auto" w:fill="auto"/>
            <w:vAlign w:val="center"/>
          </w:tcPr>
          <w:p w14:paraId="15F074E0" w14:textId="77777777" w:rsidR="00BD1320" w:rsidRPr="004348AA"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Nije postignuto</w:t>
            </w:r>
          </w:p>
        </w:tc>
      </w:tr>
      <w:tr w:rsidR="00BD1320" w:rsidRPr="00BD1320" w14:paraId="55EEBED5" w14:textId="77777777" w:rsidTr="00434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23837061" w14:textId="77777777" w:rsidR="00BD1320" w:rsidRPr="007E7DE5" w:rsidRDefault="00BD1320" w:rsidP="00A41D37">
            <w:pPr>
              <w:spacing w:after="120"/>
              <w:rPr>
                <w:rFonts w:eastAsia="Times New Roman" w:cstheme="minorHAnsi"/>
                <w:sz w:val="16"/>
                <w:szCs w:val="16"/>
              </w:rPr>
            </w:pPr>
          </w:p>
        </w:tc>
        <w:tc>
          <w:tcPr>
            <w:tcW w:w="0" w:type="dxa"/>
            <w:vMerge/>
            <w:shd w:val="clear" w:color="auto" w:fill="auto"/>
            <w:vAlign w:val="center"/>
          </w:tcPr>
          <w:p w14:paraId="047B01C6" w14:textId="77777777" w:rsidR="00BD1320" w:rsidRPr="007E7DE5"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p>
        </w:tc>
        <w:tc>
          <w:tcPr>
            <w:tcW w:w="6673" w:type="dxa"/>
            <w:gridSpan w:val="5"/>
            <w:shd w:val="clear" w:color="auto" w:fill="auto"/>
            <w:vAlign w:val="center"/>
          </w:tcPr>
          <w:p w14:paraId="7DFFB5CF" w14:textId="77777777" w:rsidR="00BD1320" w:rsidRPr="007E7DE5"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Minimalni godišnji ciljevi recikliranja materijala sadržanih u ambalažnom otpadu:</w:t>
            </w:r>
          </w:p>
        </w:tc>
      </w:tr>
      <w:tr w:rsidR="004348AA" w:rsidRPr="00BD1320" w14:paraId="213D63CE" w14:textId="77777777" w:rsidTr="004348AA">
        <w:trPr>
          <w:gridAfter w:val="1"/>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431BDC4D"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1EDF5788" w14:textId="77777777" w:rsidR="00BD1320" w:rsidRPr="007E7DE5"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792DC2E9" w14:textId="77777777" w:rsidR="00BD1320" w:rsidRPr="007E7DE5"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(i) 60% mase za staklo</w:t>
            </w:r>
          </w:p>
        </w:tc>
        <w:tc>
          <w:tcPr>
            <w:tcW w:w="789" w:type="dxa"/>
            <w:shd w:val="clear" w:color="auto" w:fill="auto"/>
          </w:tcPr>
          <w:p w14:paraId="6B9B61EC" w14:textId="77777777" w:rsidR="00BD1320" w:rsidRPr="004348AA" w:rsidRDefault="00BD1320" w:rsidP="00A41D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tcPr>
          <w:p w14:paraId="43088F8C" w14:textId="77777777" w:rsidR="00BD1320" w:rsidRPr="004348AA" w:rsidRDefault="00BD1320" w:rsidP="00A41D37">
            <w:pPr>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48AA">
              <w:rPr>
                <w:rFonts w:cstheme="minorHAnsi"/>
                <w:sz w:val="16"/>
                <w:szCs w:val="16"/>
              </w:rPr>
              <w:t>55%</w:t>
            </w:r>
          </w:p>
        </w:tc>
        <w:tc>
          <w:tcPr>
            <w:tcW w:w="1124" w:type="dxa"/>
            <w:shd w:val="clear" w:color="auto" w:fill="auto"/>
            <w:vAlign w:val="center"/>
          </w:tcPr>
          <w:p w14:paraId="3A77CE98" w14:textId="77777777" w:rsidR="00BD1320" w:rsidRPr="004348AA"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Nije postignuto</w:t>
            </w:r>
          </w:p>
        </w:tc>
      </w:tr>
      <w:tr w:rsidR="004348AA" w:rsidRPr="00BD1320" w14:paraId="1F7BF967" w14:textId="77777777" w:rsidTr="004348AA">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4B2A8D5C"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3A7DCCC0" w14:textId="77777777" w:rsidR="00BD1320" w:rsidRPr="007E7DE5"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0724C2C9" w14:textId="77777777" w:rsidR="00BD1320" w:rsidRPr="007E7DE5"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(ii) 60% mase za papir i karton.</w:t>
            </w:r>
          </w:p>
        </w:tc>
        <w:tc>
          <w:tcPr>
            <w:tcW w:w="789" w:type="dxa"/>
            <w:shd w:val="clear" w:color="auto" w:fill="auto"/>
          </w:tcPr>
          <w:p w14:paraId="2851551D" w14:textId="77777777" w:rsidR="00BD1320" w:rsidRPr="004348AA" w:rsidRDefault="00BD1320" w:rsidP="00A41D3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tcPr>
          <w:p w14:paraId="533B06EF" w14:textId="77777777" w:rsidR="00BD1320" w:rsidRPr="004348AA" w:rsidRDefault="00BD1320" w:rsidP="00A41D37">
            <w:pPr>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348AA">
              <w:rPr>
                <w:rFonts w:cstheme="minorHAnsi"/>
                <w:sz w:val="16"/>
                <w:szCs w:val="16"/>
              </w:rPr>
              <w:t>82%</w:t>
            </w:r>
          </w:p>
        </w:tc>
        <w:tc>
          <w:tcPr>
            <w:tcW w:w="1124" w:type="dxa"/>
            <w:shd w:val="clear" w:color="auto" w:fill="auto"/>
            <w:vAlign w:val="center"/>
          </w:tcPr>
          <w:p w14:paraId="1A85F104" w14:textId="77777777" w:rsidR="00BD1320" w:rsidRPr="00C97E27"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97E27">
              <w:rPr>
                <w:rFonts w:eastAsia="Times New Roman" w:cstheme="minorHAnsi"/>
                <w:sz w:val="16"/>
                <w:szCs w:val="16"/>
              </w:rPr>
              <w:t>Postignuto</w:t>
            </w:r>
          </w:p>
        </w:tc>
      </w:tr>
      <w:tr w:rsidR="004348AA" w:rsidRPr="00BD1320" w14:paraId="68B20B00" w14:textId="77777777" w:rsidTr="004348AA">
        <w:trPr>
          <w:gridAfter w:val="1"/>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721B9AD0"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280F18D2" w14:textId="77777777" w:rsidR="00BD1320" w:rsidRPr="007E7DE5"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6638027C" w14:textId="77777777" w:rsidR="00BD1320" w:rsidRPr="007E7DE5"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(iii) 50% mase za metale.</w:t>
            </w:r>
          </w:p>
        </w:tc>
        <w:tc>
          <w:tcPr>
            <w:tcW w:w="789" w:type="dxa"/>
            <w:shd w:val="clear" w:color="auto" w:fill="auto"/>
          </w:tcPr>
          <w:p w14:paraId="0DC432DB" w14:textId="77777777" w:rsidR="00BD1320" w:rsidRPr="004348AA" w:rsidRDefault="00BD1320" w:rsidP="00A41D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tcPr>
          <w:p w14:paraId="3ADFACF0" w14:textId="77777777" w:rsidR="00BD1320" w:rsidRPr="004348AA" w:rsidRDefault="00BD1320" w:rsidP="00A41D37">
            <w:pPr>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48AA">
              <w:rPr>
                <w:rFonts w:cstheme="minorHAnsi"/>
                <w:sz w:val="16"/>
                <w:szCs w:val="16"/>
              </w:rPr>
              <w:t>27%</w:t>
            </w:r>
          </w:p>
        </w:tc>
        <w:tc>
          <w:tcPr>
            <w:tcW w:w="1124" w:type="dxa"/>
            <w:shd w:val="clear" w:color="auto" w:fill="auto"/>
            <w:vAlign w:val="center"/>
          </w:tcPr>
          <w:p w14:paraId="31FA4190" w14:textId="77777777" w:rsidR="00BD1320" w:rsidRPr="00C97E27"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C97E27">
              <w:rPr>
                <w:rFonts w:eastAsia="Times New Roman" w:cstheme="minorHAnsi"/>
                <w:sz w:val="16"/>
                <w:szCs w:val="16"/>
              </w:rPr>
              <w:t>Nije postignuto</w:t>
            </w:r>
          </w:p>
        </w:tc>
      </w:tr>
      <w:tr w:rsidR="004348AA" w:rsidRPr="00BD1320" w14:paraId="0CA330A7" w14:textId="77777777" w:rsidTr="004348AA">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115CE91A"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346745B7" w14:textId="77777777" w:rsidR="00BD1320" w:rsidRPr="007E7DE5"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78EA4AF4" w14:textId="77777777" w:rsidR="00BD1320" w:rsidRPr="007E7DE5"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(iv) 22,5% mase za plastiku, računajući isključivo materijal koji je recikliran natrag u plastiku.</w:t>
            </w:r>
          </w:p>
        </w:tc>
        <w:tc>
          <w:tcPr>
            <w:tcW w:w="789" w:type="dxa"/>
            <w:shd w:val="clear" w:color="auto" w:fill="auto"/>
          </w:tcPr>
          <w:p w14:paraId="4F4A6BCD" w14:textId="77777777" w:rsidR="00BD1320" w:rsidRPr="004348AA" w:rsidRDefault="00BD1320" w:rsidP="00A41D3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tcPr>
          <w:p w14:paraId="7516665F" w14:textId="77777777" w:rsidR="00BD1320" w:rsidRPr="004348AA" w:rsidRDefault="00BD1320" w:rsidP="00A41D37">
            <w:pPr>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348AA">
              <w:rPr>
                <w:rFonts w:cstheme="minorHAnsi"/>
                <w:sz w:val="16"/>
                <w:szCs w:val="16"/>
              </w:rPr>
              <w:t>36%</w:t>
            </w:r>
          </w:p>
        </w:tc>
        <w:tc>
          <w:tcPr>
            <w:tcW w:w="1124" w:type="dxa"/>
            <w:shd w:val="clear" w:color="auto" w:fill="auto"/>
            <w:vAlign w:val="center"/>
          </w:tcPr>
          <w:p w14:paraId="77622E9D" w14:textId="77777777" w:rsidR="00BD1320" w:rsidRPr="00C97E27"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97E27">
              <w:rPr>
                <w:rFonts w:eastAsia="Times New Roman" w:cstheme="minorHAnsi"/>
                <w:sz w:val="16"/>
                <w:szCs w:val="16"/>
              </w:rPr>
              <w:t>Postignuto</w:t>
            </w:r>
          </w:p>
        </w:tc>
      </w:tr>
      <w:tr w:rsidR="004348AA" w:rsidRPr="00BD1320" w14:paraId="6CC6FA38" w14:textId="77777777" w:rsidTr="004348AA">
        <w:trPr>
          <w:gridAfter w:val="1"/>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6B8E34A2"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49860D02" w14:textId="77777777" w:rsidR="00BD1320" w:rsidRPr="007E7DE5"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36ADDDC5" w14:textId="77777777" w:rsidR="00BD1320" w:rsidRPr="007E7DE5"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(v) 15% mase za drvo.</w:t>
            </w:r>
          </w:p>
        </w:tc>
        <w:tc>
          <w:tcPr>
            <w:tcW w:w="789" w:type="dxa"/>
            <w:shd w:val="clear" w:color="auto" w:fill="auto"/>
          </w:tcPr>
          <w:p w14:paraId="47219274" w14:textId="77777777" w:rsidR="00BD1320" w:rsidRPr="004348AA" w:rsidRDefault="00BD1320" w:rsidP="00A41D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tcPr>
          <w:p w14:paraId="6DFC3558" w14:textId="77777777" w:rsidR="00BD1320" w:rsidRPr="004348AA" w:rsidRDefault="00BD1320" w:rsidP="00A41D37">
            <w:pPr>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48AA">
              <w:rPr>
                <w:rFonts w:cstheme="minorHAnsi"/>
                <w:sz w:val="16"/>
                <w:szCs w:val="16"/>
              </w:rPr>
              <w:t>16%</w:t>
            </w:r>
          </w:p>
        </w:tc>
        <w:tc>
          <w:tcPr>
            <w:tcW w:w="1124" w:type="dxa"/>
            <w:shd w:val="clear" w:color="auto" w:fill="auto"/>
            <w:vAlign w:val="center"/>
          </w:tcPr>
          <w:p w14:paraId="7F975C90" w14:textId="77777777" w:rsidR="00BD1320" w:rsidRPr="00C97E27"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C97E27">
              <w:rPr>
                <w:rFonts w:eastAsia="Times New Roman" w:cstheme="minorHAnsi"/>
                <w:sz w:val="16"/>
                <w:szCs w:val="16"/>
              </w:rPr>
              <w:t>Postignuto</w:t>
            </w:r>
          </w:p>
        </w:tc>
      </w:tr>
      <w:tr w:rsidR="004348AA" w:rsidRPr="00BD1320" w14:paraId="3E6099E7" w14:textId="77777777" w:rsidTr="004348AA">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auto"/>
            <w:vAlign w:val="center"/>
          </w:tcPr>
          <w:p w14:paraId="287A2491" w14:textId="77777777" w:rsidR="00BD1320" w:rsidRPr="004348AA" w:rsidRDefault="00BD1320" w:rsidP="00A41D37">
            <w:pPr>
              <w:spacing w:after="120"/>
              <w:rPr>
                <w:rFonts w:eastAsia="Times New Roman" w:cstheme="minorHAnsi"/>
                <w:sz w:val="16"/>
                <w:szCs w:val="16"/>
              </w:rPr>
            </w:pPr>
            <w:r w:rsidRPr="004348AA">
              <w:rPr>
                <w:rFonts w:cstheme="minorHAnsi"/>
                <w:color w:val="000000"/>
                <w:sz w:val="16"/>
                <w:szCs w:val="16"/>
              </w:rPr>
              <w:t>Direktiva o otpadnim vozilima (2000/53/EC)</w:t>
            </w:r>
          </w:p>
        </w:tc>
        <w:tc>
          <w:tcPr>
            <w:tcW w:w="986" w:type="dxa"/>
            <w:vMerge w:val="restart"/>
            <w:shd w:val="clear" w:color="auto" w:fill="auto"/>
            <w:vAlign w:val="center"/>
          </w:tcPr>
          <w:p w14:paraId="70D989A4" w14:textId="77777777" w:rsidR="00BD1320" w:rsidRPr="004348AA"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1.1.2015.</w:t>
            </w:r>
          </w:p>
        </w:tc>
        <w:tc>
          <w:tcPr>
            <w:tcW w:w="3834" w:type="dxa"/>
            <w:shd w:val="clear" w:color="auto" w:fill="auto"/>
          </w:tcPr>
          <w:p w14:paraId="648256E8" w14:textId="77777777" w:rsidR="00BD1320" w:rsidRPr="004348AA"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Ponovna uporaba i oporaba godišnje najmanje 95% prosječne težine vozila.</w:t>
            </w:r>
          </w:p>
        </w:tc>
        <w:tc>
          <w:tcPr>
            <w:tcW w:w="789" w:type="dxa"/>
            <w:shd w:val="clear" w:color="auto" w:fill="auto"/>
          </w:tcPr>
          <w:p w14:paraId="774CE5B5" w14:textId="77777777" w:rsidR="00BD1320" w:rsidRPr="004348AA" w:rsidRDefault="00BD1320" w:rsidP="00A41D3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348AA">
              <w:rPr>
                <w:rFonts w:cstheme="minorHAnsi"/>
                <w:sz w:val="16"/>
                <w:szCs w:val="16"/>
              </w:rPr>
              <w:t>2021.</w:t>
            </w:r>
          </w:p>
        </w:tc>
        <w:tc>
          <w:tcPr>
            <w:tcW w:w="920" w:type="dxa"/>
            <w:shd w:val="clear" w:color="auto" w:fill="auto"/>
          </w:tcPr>
          <w:p w14:paraId="5C155261" w14:textId="77777777" w:rsidR="00BD1320" w:rsidRPr="004348AA" w:rsidRDefault="00BD1320" w:rsidP="00A41D37">
            <w:pPr>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348AA">
              <w:rPr>
                <w:rFonts w:cstheme="minorHAnsi"/>
                <w:sz w:val="16"/>
                <w:szCs w:val="16"/>
              </w:rPr>
              <w:t>97,28%</w:t>
            </w:r>
          </w:p>
        </w:tc>
        <w:tc>
          <w:tcPr>
            <w:tcW w:w="1124" w:type="dxa"/>
            <w:shd w:val="clear" w:color="auto" w:fill="auto"/>
            <w:vAlign w:val="center"/>
          </w:tcPr>
          <w:p w14:paraId="3906365F" w14:textId="77777777" w:rsidR="00BD1320" w:rsidRPr="00C97E27"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97E27">
              <w:rPr>
                <w:rFonts w:eastAsia="Times New Roman" w:cstheme="minorHAnsi"/>
                <w:sz w:val="16"/>
                <w:szCs w:val="16"/>
              </w:rPr>
              <w:t>Postignuto</w:t>
            </w:r>
          </w:p>
        </w:tc>
      </w:tr>
      <w:tr w:rsidR="004348AA" w:rsidRPr="00BD1320" w14:paraId="577EE6E5" w14:textId="77777777" w:rsidTr="004348AA">
        <w:trPr>
          <w:gridAfter w:val="1"/>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1AFD0006"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76F69621" w14:textId="77777777" w:rsidR="00BD1320" w:rsidRPr="007E7DE5"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6CEA79C7" w14:textId="77777777" w:rsidR="00BD1320" w:rsidRPr="007E7DE5"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 xml:space="preserve">Ponovna uporaba i recikliranje godišnje najmanje 85% prosječne težine vozila. </w:t>
            </w:r>
          </w:p>
        </w:tc>
        <w:tc>
          <w:tcPr>
            <w:tcW w:w="789" w:type="dxa"/>
            <w:shd w:val="clear" w:color="auto" w:fill="auto"/>
          </w:tcPr>
          <w:p w14:paraId="7A4EC8FE" w14:textId="77777777" w:rsidR="00BD1320" w:rsidRPr="004348AA" w:rsidRDefault="00BD1320" w:rsidP="00A41D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tcPr>
          <w:p w14:paraId="3B81A24C" w14:textId="77777777" w:rsidR="00BD1320" w:rsidRPr="004348AA" w:rsidRDefault="00BD1320" w:rsidP="00A41D37">
            <w:pPr>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48AA">
              <w:rPr>
                <w:rFonts w:cstheme="minorHAnsi"/>
                <w:sz w:val="16"/>
                <w:szCs w:val="16"/>
              </w:rPr>
              <w:t>97,97%</w:t>
            </w:r>
          </w:p>
        </w:tc>
        <w:tc>
          <w:tcPr>
            <w:tcW w:w="1124" w:type="dxa"/>
            <w:shd w:val="clear" w:color="auto" w:fill="auto"/>
            <w:vAlign w:val="center"/>
          </w:tcPr>
          <w:p w14:paraId="773C1858" w14:textId="77777777" w:rsidR="00BD1320" w:rsidRPr="00C97E27"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C97E27">
              <w:rPr>
                <w:rFonts w:eastAsia="Times New Roman" w:cstheme="minorHAnsi"/>
                <w:sz w:val="16"/>
                <w:szCs w:val="16"/>
              </w:rPr>
              <w:t>Postignuto</w:t>
            </w:r>
          </w:p>
        </w:tc>
      </w:tr>
      <w:tr w:rsidR="004348AA" w:rsidRPr="00BD1320" w14:paraId="506A21D5" w14:textId="77777777" w:rsidTr="004348AA">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auto"/>
            <w:vAlign w:val="center"/>
          </w:tcPr>
          <w:p w14:paraId="3A6CD401" w14:textId="77777777" w:rsidR="00BD1320" w:rsidRPr="004348AA" w:rsidRDefault="00BD1320" w:rsidP="00A41D37">
            <w:pPr>
              <w:pStyle w:val="Default"/>
              <w:rPr>
                <w:rFonts w:asciiTheme="minorHAnsi" w:hAnsiTheme="minorHAnsi" w:cstheme="minorHAnsi"/>
                <w:sz w:val="16"/>
                <w:szCs w:val="16"/>
              </w:rPr>
            </w:pPr>
            <w:r w:rsidRPr="004348AA">
              <w:rPr>
                <w:rFonts w:asciiTheme="minorHAnsi" w:hAnsiTheme="minorHAnsi" w:cstheme="minorHAnsi"/>
                <w:sz w:val="16"/>
                <w:szCs w:val="16"/>
              </w:rPr>
              <w:t xml:space="preserve">Direktiva o baterijama (2006/66/EC) </w:t>
            </w:r>
          </w:p>
        </w:tc>
        <w:tc>
          <w:tcPr>
            <w:tcW w:w="986" w:type="dxa"/>
            <w:shd w:val="clear" w:color="auto" w:fill="auto"/>
            <w:vAlign w:val="center"/>
          </w:tcPr>
          <w:p w14:paraId="7C0E0B04" w14:textId="77777777" w:rsidR="00BD1320" w:rsidRPr="004348AA"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26.9.2016.</w:t>
            </w:r>
          </w:p>
        </w:tc>
        <w:tc>
          <w:tcPr>
            <w:tcW w:w="3834" w:type="dxa"/>
            <w:shd w:val="clear" w:color="auto" w:fill="auto"/>
            <w:vAlign w:val="center"/>
          </w:tcPr>
          <w:p w14:paraId="41C9A4CB" w14:textId="77777777" w:rsidR="00BD1320" w:rsidRPr="004348AA"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Godišnja stopa odvojenog sakupljanja otpadnih baterija i akumulatora mora biti najmanje 45% od prosječne godišnje količine stavljene na tržište u protekle tri godine.</w:t>
            </w:r>
          </w:p>
        </w:tc>
        <w:tc>
          <w:tcPr>
            <w:tcW w:w="789" w:type="dxa"/>
            <w:shd w:val="clear" w:color="auto" w:fill="auto"/>
          </w:tcPr>
          <w:p w14:paraId="6FC3E1D3" w14:textId="77777777" w:rsidR="00BD1320" w:rsidRPr="004348AA" w:rsidRDefault="00BD1320" w:rsidP="00A41D3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348AA">
              <w:rPr>
                <w:rFonts w:cstheme="minorHAnsi"/>
                <w:sz w:val="16"/>
                <w:szCs w:val="16"/>
              </w:rPr>
              <w:t>2021.</w:t>
            </w:r>
          </w:p>
        </w:tc>
        <w:tc>
          <w:tcPr>
            <w:tcW w:w="920" w:type="dxa"/>
            <w:shd w:val="clear" w:color="auto" w:fill="auto"/>
            <w:vAlign w:val="center"/>
          </w:tcPr>
          <w:p w14:paraId="48BB52F0" w14:textId="77777777" w:rsidR="00BD1320" w:rsidRPr="004348AA" w:rsidRDefault="00BD1320" w:rsidP="00A41D37">
            <w:pPr>
              <w:spacing w:after="120"/>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74 %</w:t>
            </w:r>
          </w:p>
        </w:tc>
        <w:tc>
          <w:tcPr>
            <w:tcW w:w="1124" w:type="dxa"/>
            <w:shd w:val="clear" w:color="auto" w:fill="auto"/>
            <w:vAlign w:val="center"/>
          </w:tcPr>
          <w:p w14:paraId="5569A19F" w14:textId="77777777" w:rsidR="00BD1320" w:rsidRPr="00C97E27"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97E27">
              <w:rPr>
                <w:rFonts w:eastAsia="Times New Roman" w:cstheme="minorHAnsi"/>
                <w:sz w:val="16"/>
                <w:szCs w:val="16"/>
              </w:rPr>
              <w:t>Postignuto</w:t>
            </w:r>
          </w:p>
        </w:tc>
      </w:tr>
      <w:tr w:rsidR="00BD1320" w:rsidRPr="00BD1320" w14:paraId="2C95B8E3" w14:textId="77777777" w:rsidTr="004348AA">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12A0D6C0" w14:textId="77777777" w:rsidR="00BD1320" w:rsidRPr="007E7DE5" w:rsidRDefault="00BD1320" w:rsidP="00A41D37">
            <w:pPr>
              <w:pStyle w:val="Default"/>
              <w:rPr>
                <w:rFonts w:asciiTheme="minorHAnsi" w:hAnsiTheme="minorHAnsi" w:cstheme="minorHAnsi"/>
                <w:sz w:val="16"/>
                <w:szCs w:val="16"/>
              </w:rPr>
            </w:pPr>
          </w:p>
        </w:tc>
        <w:tc>
          <w:tcPr>
            <w:tcW w:w="7659" w:type="dxa"/>
            <w:gridSpan w:val="6"/>
            <w:shd w:val="clear" w:color="auto" w:fill="auto"/>
            <w:vAlign w:val="center"/>
          </w:tcPr>
          <w:p w14:paraId="3F5B4C95" w14:textId="77777777" w:rsidR="00BD1320" w:rsidRPr="00C97E27"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C97E27">
              <w:rPr>
                <w:rFonts w:eastAsia="Times New Roman" w:cstheme="minorHAnsi"/>
                <w:sz w:val="16"/>
                <w:szCs w:val="16"/>
              </w:rPr>
              <w:t>Procesi recikliranja moraju postići sljedeće minimalne učinkovitosti recikliranja:</w:t>
            </w:r>
          </w:p>
        </w:tc>
      </w:tr>
      <w:tr w:rsidR="004348AA" w:rsidRPr="00BD1320" w14:paraId="15974449" w14:textId="77777777" w:rsidTr="004348AA">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06E29E41" w14:textId="77777777" w:rsidR="00BD1320" w:rsidRPr="007E7DE5" w:rsidRDefault="00BD1320" w:rsidP="00A41D37">
            <w:pPr>
              <w:spacing w:after="120"/>
              <w:rPr>
                <w:rFonts w:eastAsia="Times New Roman" w:cstheme="minorHAnsi"/>
                <w:sz w:val="16"/>
                <w:szCs w:val="16"/>
              </w:rPr>
            </w:pPr>
          </w:p>
        </w:tc>
        <w:tc>
          <w:tcPr>
            <w:tcW w:w="986" w:type="dxa"/>
            <w:vMerge w:val="restart"/>
            <w:shd w:val="clear" w:color="auto" w:fill="auto"/>
            <w:vAlign w:val="center"/>
          </w:tcPr>
          <w:p w14:paraId="3EDDE986" w14:textId="77777777" w:rsidR="00BD1320" w:rsidRPr="007E7DE5"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26.9.2011</w:t>
            </w:r>
          </w:p>
        </w:tc>
        <w:tc>
          <w:tcPr>
            <w:tcW w:w="3834" w:type="dxa"/>
            <w:shd w:val="clear" w:color="auto" w:fill="auto"/>
          </w:tcPr>
          <w:p w14:paraId="62547F36" w14:textId="77777777" w:rsidR="00BD1320" w:rsidRPr="007E7DE5"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(a) recikliranje 65 % prosječne mase olovno-kiselih baterija i akumulatora, uključujući recikliranje sadržaja olova u najvećoj tehnički izvedivoj mjeri uz izbjegavanje prekomjernih troškova.</w:t>
            </w:r>
          </w:p>
        </w:tc>
        <w:tc>
          <w:tcPr>
            <w:tcW w:w="789" w:type="dxa"/>
            <w:shd w:val="clear" w:color="auto" w:fill="auto"/>
          </w:tcPr>
          <w:p w14:paraId="5EA12A09" w14:textId="77777777" w:rsidR="00BD1320" w:rsidRPr="004348AA" w:rsidRDefault="00BD1320" w:rsidP="00A41D3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tcPr>
          <w:p w14:paraId="67D678EE" w14:textId="77777777" w:rsidR="00BD1320" w:rsidRPr="004348AA" w:rsidRDefault="00BD1320" w:rsidP="00A41D37">
            <w:pPr>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348AA">
              <w:rPr>
                <w:rFonts w:cstheme="minorHAnsi"/>
                <w:sz w:val="16"/>
                <w:szCs w:val="16"/>
              </w:rPr>
              <w:t>83%</w:t>
            </w:r>
          </w:p>
        </w:tc>
        <w:tc>
          <w:tcPr>
            <w:tcW w:w="1124" w:type="dxa"/>
            <w:shd w:val="clear" w:color="auto" w:fill="auto"/>
            <w:vAlign w:val="center"/>
          </w:tcPr>
          <w:p w14:paraId="29EA1E40" w14:textId="77777777" w:rsidR="00BD1320" w:rsidRPr="00C97E27"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97E27">
              <w:rPr>
                <w:rFonts w:eastAsia="Times New Roman" w:cstheme="minorHAnsi"/>
                <w:sz w:val="16"/>
                <w:szCs w:val="16"/>
              </w:rPr>
              <w:t>Postignuto</w:t>
            </w:r>
          </w:p>
        </w:tc>
      </w:tr>
      <w:tr w:rsidR="004348AA" w:rsidRPr="00BD1320" w14:paraId="755BDF97" w14:textId="77777777" w:rsidTr="004348AA">
        <w:trPr>
          <w:gridAfter w:val="1"/>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67235F7C"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53131660" w14:textId="77777777" w:rsidR="00BD1320" w:rsidRPr="007E7DE5"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1E4E4428" w14:textId="77777777" w:rsidR="00BD1320" w:rsidRPr="007E7DE5"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b) recikliranje 75 % prosječne mase nikal-</w:t>
            </w:r>
            <w:proofErr w:type="spellStart"/>
            <w:r w:rsidRPr="007E7DE5">
              <w:rPr>
                <w:rFonts w:eastAsia="Times New Roman" w:cstheme="minorHAnsi"/>
                <w:sz w:val="16"/>
                <w:szCs w:val="16"/>
              </w:rPr>
              <w:t>kadmijskih</w:t>
            </w:r>
            <w:proofErr w:type="spellEnd"/>
            <w:r w:rsidRPr="007E7DE5">
              <w:rPr>
                <w:rFonts w:eastAsia="Times New Roman" w:cstheme="minorHAnsi"/>
                <w:sz w:val="16"/>
                <w:szCs w:val="16"/>
              </w:rPr>
              <w:t xml:space="preserve"> baterija i akumulatora, uključujući recikliranje sadržaja kadmija u najvećoj tehnički izvedivoj mjeri uz izbjegavanje prekomjernih troškova.</w:t>
            </w:r>
          </w:p>
        </w:tc>
        <w:tc>
          <w:tcPr>
            <w:tcW w:w="789" w:type="dxa"/>
            <w:shd w:val="clear" w:color="auto" w:fill="auto"/>
          </w:tcPr>
          <w:p w14:paraId="3B997FDC" w14:textId="77777777" w:rsidR="00BD1320" w:rsidRPr="004348AA" w:rsidRDefault="00BD1320" w:rsidP="00A41D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tcPr>
          <w:p w14:paraId="0ACADFC9" w14:textId="77777777" w:rsidR="00BD1320" w:rsidRPr="004348AA" w:rsidRDefault="00BD1320" w:rsidP="00A41D37">
            <w:pPr>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48AA">
              <w:rPr>
                <w:rFonts w:cstheme="minorHAnsi"/>
                <w:sz w:val="16"/>
                <w:szCs w:val="16"/>
              </w:rPr>
              <w:t>79%</w:t>
            </w:r>
          </w:p>
        </w:tc>
        <w:tc>
          <w:tcPr>
            <w:tcW w:w="1124" w:type="dxa"/>
            <w:shd w:val="clear" w:color="auto" w:fill="auto"/>
            <w:vAlign w:val="center"/>
          </w:tcPr>
          <w:p w14:paraId="23F7D2BA" w14:textId="77777777" w:rsidR="00BD1320" w:rsidRPr="00C97E27"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C97E27">
              <w:rPr>
                <w:rFonts w:eastAsia="Times New Roman" w:cstheme="minorHAnsi"/>
                <w:sz w:val="16"/>
                <w:szCs w:val="16"/>
              </w:rPr>
              <w:t>Postignuto</w:t>
            </w:r>
          </w:p>
        </w:tc>
      </w:tr>
      <w:tr w:rsidR="004348AA" w:rsidRPr="00BD1320" w14:paraId="3DC4FAC7" w14:textId="77777777" w:rsidTr="004348AA">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609DA2A2"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1A750795" w14:textId="77777777" w:rsidR="00BD1320" w:rsidRPr="007E7DE5"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16B093BB" w14:textId="77777777" w:rsidR="00BD1320" w:rsidRPr="007E7DE5"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(c) recikliranje 50 % prosječne mase ostalih otpadnih baterija i akumulatora.</w:t>
            </w:r>
          </w:p>
        </w:tc>
        <w:tc>
          <w:tcPr>
            <w:tcW w:w="789" w:type="dxa"/>
            <w:shd w:val="clear" w:color="auto" w:fill="auto"/>
          </w:tcPr>
          <w:p w14:paraId="0F20340B" w14:textId="77777777" w:rsidR="00BD1320" w:rsidRPr="004348AA" w:rsidRDefault="00BD1320" w:rsidP="00A41D3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tcPr>
          <w:p w14:paraId="61794BEE" w14:textId="77777777" w:rsidR="00BD1320" w:rsidRPr="004348AA" w:rsidRDefault="00BD1320" w:rsidP="00A41D37">
            <w:pPr>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348AA">
              <w:rPr>
                <w:rFonts w:cstheme="minorHAnsi"/>
                <w:sz w:val="16"/>
                <w:szCs w:val="16"/>
              </w:rPr>
              <w:t>86%</w:t>
            </w:r>
          </w:p>
        </w:tc>
        <w:tc>
          <w:tcPr>
            <w:tcW w:w="1124" w:type="dxa"/>
            <w:shd w:val="clear" w:color="auto" w:fill="auto"/>
            <w:vAlign w:val="center"/>
          </w:tcPr>
          <w:p w14:paraId="0562E3AC" w14:textId="77777777" w:rsidR="00BD1320" w:rsidRPr="00C97E27"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97E27">
              <w:rPr>
                <w:rFonts w:eastAsia="Times New Roman" w:cstheme="minorHAnsi"/>
                <w:sz w:val="16"/>
                <w:szCs w:val="16"/>
              </w:rPr>
              <w:t>Postignuto</w:t>
            </w:r>
          </w:p>
        </w:tc>
      </w:tr>
      <w:tr w:rsidR="004348AA" w:rsidRPr="00BD1320" w14:paraId="794576B9" w14:textId="77777777" w:rsidTr="004348AA">
        <w:trPr>
          <w:gridAfter w:val="1"/>
          <w:wAfter w:w="6" w:type="dxa"/>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tcPr>
          <w:p w14:paraId="48D56E19" w14:textId="77777777" w:rsidR="00BD1320" w:rsidRPr="004348AA" w:rsidRDefault="00BD1320" w:rsidP="00A41D37">
            <w:pPr>
              <w:pStyle w:val="Default"/>
              <w:rPr>
                <w:rFonts w:asciiTheme="minorHAnsi" w:hAnsiTheme="minorHAnsi" w:cstheme="minorHAnsi"/>
                <w:sz w:val="16"/>
                <w:szCs w:val="16"/>
              </w:rPr>
            </w:pPr>
            <w:r w:rsidRPr="004348AA">
              <w:rPr>
                <w:rFonts w:asciiTheme="minorHAnsi" w:hAnsiTheme="minorHAnsi" w:cstheme="minorHAnsi"/>
                <w:sz w:val="16"/>
                <w:szCs w:val="16"/>
              </w:rPr>
              <w:t xml:space="preserve">Direktiva o odlagalištima (1999/31/EC) </w:t>
            </w:r>
          </w:p>
          <w:p w14:paraId="3EED8BB3" w14:textId="77777777" w:rsidR="00BD1320" w:rsidRPr="004348AA" w:rsidRDefault="00BD1320" w:rsidP="00A41D37">
            <w:pPr>
              <w:spacing w:after="120"/>
              <w:rPr>
                <w:rFonts w:eastAsia="Times New Roman" w:cstheme="minorHAnsi"/>
                <w:sz w:val="16"/>
                <w:szCs w:val="16"/>
              </w:rPr>
            </w:pPr>
          </w:p>
        </w:tc>
        <w:tc>
          <w:tcPr>
            <w:tcW w:w="986" w:type="dxa"/>
            <w:shd w:val="clear" w:color="auto" w:fill="auto"/>
            <w:vAlign w:val="center"/>
          </w:tcPr>
          <w:p w14:paraId="3A152AF8" w14:textId="77777777" w:rsidR="00BD1320" w:rsidRPr="004348AA"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Do 31.12.2020.</w:t>
            </w:r>
          </w:p>
        </w:tc>
        <w:tc>
          <w:tcPr>
            <w:tcW w:w="3834" w:type="dxa"/>
            <w:shd w:val="clear" w:color="auto" w:fill="auto"/>
          </w:tcPr>
          <w:p w14:paraId="591E36DF" w14:textId="77777777" w:rsidR="00BD1320" w:rsidRPr="004348AA"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Smanjiti odlaganje biorazgradivog komunalnog otpada na odlagalištima na 35% mase biorazgradivog komunalnog otpada proizvedenog 1997. (264.661 t).</w:t>
            </w:r>
          </w:p>
        </w:tc>
        <w:tc>
          <w:tcPr>
            <w:tcW w:w="789" w:type="dxa"/>
            <w:shd w:val="clear" w:color="auto" w:fill="auto"/>
          </w:tcPr>
          <w:p w14:paraId="772BED7D" w14:textId="77777777" w:rsidR="00BD1320" w:rsidRPr="004348AA" w:rsidRDefault="00BD1320" w:rsidP="00A41D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48AA">
              <w:rPr>
                <w:rFonts w:cstheme="minorHAnsi"/>
                <w:sz w:val="16"/>
                <w:szCs w:val="16"/>
              </w:rPr>
              <w:t>2021.</w:t>
            </w:r>
          </w:p>
        </w:tc>
        <w:tc>
          <w:tcPr>
            <w:tcW w:w="920" w:type="dxa"/>
            <w:shd w:val="clear" w:color="auto" w:fill="auto"/>
            <w:vAlign w:val="center"/>
          </w:tcPr>
          <w:p w14:paraId="6B42C480" w14:textId="77777777" w:rsidR="00BD1320" w:rsidRPr="004348AA" w:rsidRDefault="00BD1320" w:rsidP="00A41D37">
            <w:pPr>
              <w:spacing w:after="12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594.107 t (79 % količine iz 1997.)</w:t>
            </w:r>
          </w:p>
        </w:tc>
        <w:tc>
          <w:tcPr>
            <w:tcW w:w="1124" w:type="dxa"/>
            <w:shd w:val="clear" w:color="auto" w:fill="auto"/>
            <w:vAlign w:val="center"/>
          </w:tcPr>
          <w:p w14:paraId="7B795882" w14:textId="77777777" w:rsidR="00BD1320" w:rsidRPr="00C97E27"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C97E27">
              <w:rPr>
                <w:rFonts w:eastAsia="Times New Roman" w:cstheme="minorHAnsi"/>
                <w:sz w:val="16"/>
                <w:szCs w:val="16"/>
              </w:rPr>
              <w:t>Nije postignuto</w:t>
            </w:r>
          </w:p>
        </w:tc>
      </w:tr>
      <w:tr w:rsidR="004348AA" w:rsidRPr="00BD1320" w14:paraId="410F2A7A" w14:textId="77777777" w:rsidTr="004348AA">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auto"/>
            <w:vAlign w:val="center"/>
          </w:tcPr>
          <w:p w14:paraId="78E88F04" w14:textId="69498975" w:rsidR="00BD1320" w:rsidRPr="004348AA" w:rsidRDefault="00BD1320" w:rsidP="00A41D37">
            <w:pPr>
              <w:spacing w:after="120"/>
              <w:rPr>
                <w:rFonts w:eastAsia="Times New Roman" w:cstheme="minorHAnsi"/>
                <w:sz w:val="16"/>
                <w:szCs w:val="16"/>
              </w:rPr>
            </w:pPr>
            <w:r w:rsidRPr="004348AA">
              <w:rPr>
                <w:rFonts w:eastAsia="Times New Roman" w:cstheme="minorHAnsi"/>
                <w:sz w:val="16"/>
                <w:szCs w:val="16"/>
              </w:rPr>
              <w:t>Direktiva o EE</w:t>
            </w:r>
            <w:r>
              <w:rPr>
                <w:rFonts w:eastAsia="Times New Roman" w:cstheme="minorHAnsi"/>
                <w:sz w:val="16"/>
                <w:szCs w:val="16"/>
              </w:rPr>
              <w:t xml:space="preserve"> opremi</w:t>
            </w:r>
            <w:r w:rsidRPr="004348AA">
              <w:rPr>
                <w:rFonts w:eastAsia="Times New Roman" w:cstheme="minorHAnsi"/>
                <w:sz w:val="16"/>
                <w:szCs w:val="16"/>
              </w:rPr>
              <w:t xml:space="preserve"> (2012/19/EC)</w:t>
            </w:r>
          </w:p>
        </w:tc>
        <w:tc>
          <w:tcPr>
            <w:tcW w:w="986" w:type="dxa"/>
            <w:shd w:val="clear" w:color="auto" w:fill="auto"/>
            <w:vAlign w:val="center"/>
          </w:tcPr>
          <w:p w14:paraId="0CC37761" w14:textId="77777777" w:rsidR="00BD1320" w:rsidRPr="004348AA"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Od 2019.</w:t>
            </w:r>
          </w:p>
        </w:tc>
        <w:tc>
          <w:tcPr>
            <w:tcW w:w="3834" w:type="dxa"/>
            <w:shd w:val="clear" w:color="auto" w:fill="auto"/>
          </w:tcPr>
          <w:p w14:paraId="41C77F82" w14:textId="77777777" w:rsidR="00BD1320" w:rsidRPr="004348AA"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 xml:space="preserve">Godišnja stopa odvojenog sakupljanja otpadne električne i elektroničke opreme mora biti najmanje 65% prosječne mase električne i elektroničke opreme </w:t>
            </w:r>
            <w:r w:rsidRPr="004348AA">
              <w:rPr>
                <w:rFonts w:eastAsia="Times New Roman" w:cstheme="minorHAnsi"/>
                <w:sz w:val="16"/>
                <w:szCs w:val="16"/>
              </w:rPr>
              <w:lastRenderedPageBreak/>
              <w:t>stavljene na tržište u tri prethodne godine ili 85% EE otpada proizvedenog na teritoriju Republike Hrvatske.</w:t>
            </w:r>
          </w:p>
        </w:tc>
        <w:tc>
          <w:tcPr>
            <w:tcW w:w="789" w:type="dxa"/>
            <w:shd w:val="clear" w:color="auto" w:fill="auto"/>
          </w:tcPr>
          <w:p w14:paraId="1D736BB4" w14:textId="77777777" w:rsidR="00BD1320" w:rsidRPr="004348AA" w:rsidRDefault="00BD1320" w:rsidP="00A41D3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348AA">
              <w:rPr>
                <w:rFonts w:cstheme="minorHAnsi"/>
                <w:sz w:val="16"/>
                <w:szCs w:val="16"/>
              </w:rPr>
              <w:lastRenderedPageBreak/>
              <w:t>2021.</w:t>
            </w:r>
          </w:p>
        </w:tc>
        <w:tc>
          <w:tcPr>
            <w:tcW w:w="920" w:type="dxa"/>
            <w:shd w:val="clear" w:color="auto" w:fill="auto"/>
            <w:vAlign w:val="center"/>
          </w:tcPr>
          <w:p w14:paraId="6FF7AB2F" w14:textId="77777777" w:rsidR="00BD1320" w:rsidRPr="004348AA" w:rsidRDefault="00BD1320" w:rsidP="00A41D37">
            <w:pPr>
              <w:spacing w:after="120"/>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55 %</w:t>
            </w:r>
            <w:r w:rsidRPr="004348AA">
              <w:rPr>
                <w:rStyle w:val="Referencafusnote"/>
                <w:rFonts w:eastAsia="Times New Roman" w:cstheme="minorHAnsi"/>
                <w:sz w:val="16"/>
                <w:szCs w:val="16"/>
              </w:rPr>
              <w:footnoteReference w:id="30"/>
            </w:r>
          </w:p>
        </w:tc>
        <w:tc>
          <w:tcPr>
            <w:tcW w:w="1124" w:type="dxa"/>
            <w:shd w:val="clear" w:color="auto" w:fill="auto"/>
            <w:vAlign w:val="center"/>
          </w:tcPr>
          <w:p w14:paraId="0B6F1F44" w14:textId="77777777" w:rsidR="00BD1320" w:rsidRPr="00C97E27"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97E27">
              <w:rPr>
                <w:rFonts w:eastAsia="Times New Roman" w:cstheme="minorHAnsi"/>
                <w:sz w:val="16"/>
                <w:szCs w:val="16"/>
              </w:rPr>
              <w:t xml:space="preserve">Nije postignuto </w:t>
            </w:r>
          </w:p>
        </w:tc>
      </w:tr>
      <w:tr w:rsidR="004348AA" w:rsidRPr="00BD1320" w14:paraId="69376FE6" w14:textId="77777777" w:rsidTr="004348AA">
        <w:trPr>
          <w:gridAfter w:val="1"/>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7DDD5BB0" w14:textId="77777777" w:rsidR="00BD1320" w:rsidRPr="007E7DE5" w:rsidRDefault="00BD1320" w:rsidP="00A41D37">
            <w:pPr>
              <w:spacing w:after="120"/>
              <w:rPr>
                <w:rFonts w:eastAsia="Times New Roman" w:cstheme="minorHAnsi"/>
                <w:sz w:val="16"/>
                <w:szCs w:val="16"/>
              </w:rPr>
            </w:pPr>
          </w:p>
        </w:tc>
        <w:tc>
          <w:tcPr>
            <w:tcW w:w="986" w:type="dxa"/>
            <w:vMerge w:val="restart"/>
            <w:shd w:val="clear" w:color="auto" w:fill="auto"/>
            <w:vAlign w:val="center"/>
          </w:tcPr>
          <w:p w14:paraId="3013792E" w14:textId="77777777" w:rsidR="00BD1320" w:rsidRPr="007E7DE5"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Od 15.8.2018.</w:t>
            </w:r>
          </w:p>
        </w:tc>
        <w:tc>
          <w:tcPr>
            <w:tcW w:w="3834" w:type="dxa"/>
            <w:shd w:val="clear" w:color="auto" w:fill="auto"/>
          </w:tcPr>
          <w:p w14:paraId="761CB87E" w14:textId="77777777" w:rsidR="00BD1320" w:rsidRPr="007E7DE5"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Za opremu za izmjenu topline:</w:t>
            </w:r>
          </w:p>
          <w:p w14:paraId="46DEB15C" w14:textId="77777777" w:rsidR="00BD1320" w:rsidRPr="007E7DE5" w:rsidRDefault="00BD1320" w:rsidP="004348AA">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- 85 % oporaba</w:t>
            </w:r>
          </w:p>
          <w:p w14:paraId="6846EC5D" w14:textId="77777777" w:rsidR="00BD1320" w:rsidRPr="007E7DE5" w:rsidRDefault="00BD1320" w:rsidP="004348AA">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- 80 %  priprema za ponovnu uporabu i recikliranje</w:t>
            </w:r>
          </w:p>
          <w:p w14:paraId="03E692BE" w14:textId="7A9164EE" w:rsidR="00BD1320" w:rsidRPr="007E7DE5"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sakupljene mase.</w:t>
            </w:r>
          </w:p>
        </w:tc>
        <w:tc>
          <w:tcPr>
            <w:tcW w:w="789" w:type="dxa"/>
            <w:shd w:val="clear" w:color="auto" w:fill="auto"/>
          </w:tcPr>
          <w:p w14:paraId="3F98262A" w14:textId="77777777" w:rsidR="00BD1320" w:rsidRPr="004348AA" w:rsidRDefault="00BD1320" w:rsidP="00A41D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vAlign w:val="center"/>
          </w:tcPr>
          <w:p w14:paraId="4AFCFA5D" w14:textId="77777777" w:rsidR="00BD1320" w:rsidRPr="004348AA" w:rsidRDefault="00BD1320" w:rsidP="004348A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97 %</w:t>
            </w:r>
          </w:p>
          <w:p w14:paraId="661DAB35" w14:textId="77777777" w:rsidR="00BD1320" w:rsidRPr="004348AA" w:rsidRDefault="00BD1320" w:rsidP="004348A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95 %</w:t>
            </w:r>
          </w:p>
        </w:tc>
        <w:tc>
          <w:tcPr>
            <w:tcW w:w="1124" w:type="dxa"/>
            <w:shd w:val="clear" w:color="auto" w:fill="auto"/>
            <w:vAlign w:val="center"/>
          </w:tcPr>
          <w:p w14:paraId="348EE6C2" w14:textId="54FECABC" w:rsidR="00BD1320" w:rsidRPr="00C97E27" w:rsidRDefault="00BD1320" w:rsidP="007222ED">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C97E27">
              <w:rPr>
                <w:rFonts w:eastAsia="Times New Roman" w:cstheme="minorHAnsi"/>
                <w:sz w:val="16"/>
                <w:szCs w:val="16"/>
              </w:rPr>
              <w:t>Postignuto</w:t>
            </w:r>
          </w:p>
        </w:tc>
      </w:tr>
      <w:tr w:rsidR="004348AA" w:rsidRPr="00BD1320" w14:paraId="34167097" w14:textId="77777777" w:rsidTr="004348AA">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0ECCB914"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5EE4E4AB" w14:textId="77777777" w:rsidR="00BD1320" w:rsidRPr="007E7DE5"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0E255B00" w14:textId="77777777" w:rsidR="00BD1320" w:rsidRPr="007E7DE5"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Za zaslone, monitore i oprema koja sadrži zaslone površine veće od 100 cm</w:t>
            </w:r>
            <w:r w:rsidRPr="007E7DE5">
              <w:rPr>
                <w:rFonts w:eastAsia="Times New Roman" w:cstheme="minorHAnsi"/>
                <w:sz w:val="16"/>
                <w:szCs w:val="16"/>
                <w:vertAlign w:val="superscript"/>
              </w:rPr>
              <w:t>2</w:t>
            </w:r>
            <w:r w:rsidRPr="007E7DE5">
              <w:rPr>
                <w:rFonts w:eastAsia="Times New Roman" w:cstheme="minorHAnsi"/>
                <w:sz w:val="16"/>
                <w:szCs w:val="16"/>
              </w:rPr>
              <w:t>:</w:t>
            </w:r>
          </w:p>
          <w:p w14:paraId="4A20D189" w14:textId="77777777" w:rsidR="00BD1320" w:rsidRPr="007E7DE5" w:rsidRDefault="00BD1320" w:rsidP="004348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- 80 % oporaba</w:t>
            </w:r>
          </w:p>
          <w:p w14:paraId="681359FF" w14:textId="77777777" w:rsidR="00BD1320" w:rsidRPr="007E7DE5" w:rsidRDefault="00BD1320" w:rsidP="004348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- 70 %  priprema za ponovnu uporabu i recikliranje</w:t>
            </w:r>
          </w:p>
          <w:p w14:paraId="497074B0" w14:textId="77777777" w:rsidR="00BD1320" w:rsidRPr="007E7DE5"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sakupljene mase.</w:t>
            </w:r>
          </w:p>
        </w:tc>
        <w:tc>
          <w:tcPr>
            <w:tcW w:w="789" w:type="dxa"/>
            <w:shd w:val="clear" w:color="auto" w:fill="auto"/>
          </w:tcPr>
          <w:p w14:paraId="7A3950BC" w14:textId="77777777" w:rsidR="00BD1320" w:rsidRPr="004348AA" w:rsidRDefault="00BD1320" w:rsidP="00A41D3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vAlign w:val="center"/>
          </w:tcPr>
          <w:p w14:paraId="03DB4379" w14:textId="77777777" w:rsidR="00BD1320" w:rsidRPr="004348AA" w:rsidRDefault="00BD1320" w:rsidP="004348A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92 %</w:t>
            </w:r>
          </w:p>
          <w:p w14:paraId="0DB82026" w14:textId="77777777" w:rsidR="00BD1320" w:rsidRPr="004348AA" w:rsidRDefault="00BD1320" w:rsidP="004348A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92 %</w:t>
            </w:r>
          </w:p>
        </w:tc>
        <w:tc>
          <w:tcPr>
            <w:tcW w:w="1124" w:type="dxa"/>
            <w:shd w:val="clear" w:color="auto" w:fill="auto"/>
            <w:vAlign w:val="center"/>
          </w:tcPr>
          <w:p w14:paraId="40F28CF5" w14:textId="4DB47612" w:rsidR="00BD1320" w:rsidRPr="00C97E27" w:rsidRDefault="00BD1320" w:rsidP="007222ED">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97E27">
              <w:rPr>
                <w:rFonts w:eastAsia="Times New Roman" w:cstheme="minorHAnsi"/>
                <w:sz w:val="16"/>
                <w:szCs w:val="16"/>
              </w:rPr>
              <w:t>Postignuto</w:t>
            </w:r>
          </w:p>
        </w:tc>
      </w:tr>
      <w:tr w:rsidR="004348AA" w:rsidRPr="00BD1320" w14:paraId="55E7A9EA" w14:textId="77777777" w:rsidTr="004348AA">
        <w:trPr>
          <w:gridAfter w:val="1"/>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5BEA25AC"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40B42900" w14:textId="77777777" w:rsidR="00BD1320" w:rsidRPr="007E7DE5"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5A95C5F5" w14:textId="77777777" w:rsidR="00BD1320" w:rsidRPr="007E7DE5"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Za žarulje:</w:t>
            </w:r>
          </w:p>
          <w:p w14:paraId="3ED8237E" w14:textId="77777777" w:rsidR="00BD1320" w:rsidRPr="007E7DE5"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- 80 % sakupljene mase reciklirati.</w:t>
            </w:r>
          </w:p>
        </w:tc>
        <w:tc>
          <w:tcPr>
            <w:tcW w:w="789" w:type="dxa"/>
            <w:shd w:val="clear" w:color="auto" w:fill="auto"/>
          </w:tcPr>
          <w:p w14:paraId="04D66A4D" w14:textId="77777777" w:rsidR="00BD1320" w:rsidRPr="004348AA" w:rsidRDefault="00BD1320" w:rsidP="00A41D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vAlign w:val="center"/>
          </w:tcPr>
          <w:p w14:paraId="30B8B110" w14:textId="77777777" w:rsidR="00BD1320" w:rsidRPr="004348AA" w:rsidRDefault="00BD1320" w:rsidP="00A41D37">
            <w:pPr>
              <w:spacing w:after="12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83 %</w:t>
            </w:r>
          </w:p>
        </w:tc>
        <w:tc>
          <w:tcPr>
            <w:tcW w:w="1124" w:type="dxa"/>
            <w:shd w:val="clear" w:color="auto" w:fill="auto"/>
            <w:vAlign w:val="center"/>
          </w:tcPr>
          <w:p w14:paraId="5D385A28" w14:textId="1F228056" w:rsidR="00BD1320" w:rsidRPr="00C97E27" w:rsidRDefault="00BD1320" w:rsidP="007222ED">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C97E27">
              <w:rPr>
                <w:rFonts w:eastAsia="Times New Roman" w:cstheme="minorHAnsi"/>
                <w:sz w:val="16"/>
                <w:szCs w:val="16"/>
              </w:rPr>
              <w:t>Postignuto</w:t>
            </w:r>
          </w:p>
        </w:tc>
      </w:tr>
      <w:tr w:rsidR="004348AA" w:rsidRPr="00BD1320" w14:paraId="04C6205C" w14:textId="77777777" w:rsidTr="004348AA">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336E59BD"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2B75786F" w14:textId="77777777" w:rsidR="00BD1320" w:rsidRPr="007E7DE5"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549A0CD2" w14:textId="77777777" w:rsidR="00BD1320" w:rsidRPr="007E7DE5"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Za veliku opremu čija vanjska dimenzija je veća od 50 cm:</w:t>
            </w:r>
          </w:p>
          <w:p w14:paraId="34EAAD9B" w14:textId="77777777" w:rsidR="00BD1320" w:rsidRPr="007E7DE5" w:rsidRDefault="00BD1320" w:rsidP="004348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- 85 %  oporaba</w:t>
            </w:r>
          </w:p>
          <w:p w14:paraId="2A12DA91" w14:textId="77777777" w:rsidR="00BD1320" w:rsidRPr="007E7DE5" w:rsidRDefault="00BD1320" w:rsidP="004348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- 80 %  priprema za ponovnu uporabu i recikliranje</w:t>
            </w:r>
          </w:p>
          <w:p w14:paraId="3057BC8D" w14:textId="77777777" w:rsidR="00BD1320" w:rsidRPr="007E7DE5"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sakupljene mase.</w:t>
            </w:r>
          </w:p>
        </w:tc>
        <w:tc>
          <w:tcPr>
            <w:tcW w:w="789" w:type="dxa"/>
            <w:shd w:val="clear" w:color="auto" w:fill="auto"/>
          </w:tcPr>
          <w:p w14:paraId="30E938D4" w14:textId="77777777" w:rsidR="00BD1320" w:rsidRPr="004348AA" w:rsidRDefault="00BD1320" w:rsidP="00A41D3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vAlign w:val="center"/>
          </w:tcPr>
          <w:p w14:paraId="7E35DB0E" w14:textId="77777777" w:rsidR="00BD1320" w:rsidRPr="004348AA" w:rsidRDefault="00BD1320" w:rsidP="004348A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95 %</w:t>
            </w:r>
          </w:p>
          <w:p w14:paraId="73219135" w14:textId="77777777" w:rsidR="00BD1320" w:rsidRPr="004348AA" w:rsidRDefault="00BD1320" w:rsidP="004348A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95 %</w:t>
            </w:r>
          </w:p>
        </w:tc>
        <w:tc>
          <w:tcPr>
            <w:tcW w:w="1124" w:type="dxa"/>
            <w:shd w:val="clear" w:color="auto" w:fill="auto"/>
            <w:vAlign w:val="center"/>
          </w:tcPr>
          <w:p w14:paraId="6901CA98" w14:textId="09A21705" w:rsidR="00BD1320" w:rsidRPr="00C97E27" w:rsidRDefault="00BD1320" w:rsidP="007222ED">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97E27">
              <w:rPr>
                <w:rFonts w:eastAsia="Times New Roman" w:cstheme="minorHAnsi"/>
                <w:sz w:val="16"/>
                <w:szCs w:val="16"/>
              </w:rPr>
              <w:t>Postignuto</w:t>
            </w:r>
          </w:p>
        </w:tc>
      </w:tr>
      <w:tr w:rsidR="004348AA" w:rsidRPr="00BD1320" w14:paraId="405C5898" w14:textId="77777777" w:rsidTr="004348AA">
        <w:trPr>
          <w:gridAfter w:val="1"/>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3FD4158E"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464BC1E7" w14:textId="77777777" w:rsidR="00BD1320" w:rsidRPr="007E7DE5"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635A822C" w14:textId="77777777" w:rsidR="00BD1320" w:rsidRPr="007E7DE5"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Za malu opremu čija nijedna vanjska dimenzija nije veća od 50 cm:</w:t>
            </w:r>
          </w:p>
          <w:p w14:paraId="2240C839" w14:textId="77777777" w:rsidR="00BD1320" w:rsidRPr="007E7DE5" w:rsidRDefault="00BD1320" w:rsidP="004348AA">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 xml:space="preserve">- 75 % povrat </w:t>
            </w:r>
          </w:p>
          <w:p w14:paraId="2A4DFE50" w14:textId="77777777" w:rsidR="00BD1320" w:rsidRPr="007E7DE5" w:rsidRDefault="00BD1320" w:rsidP="004348AA">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- 55 % priprema za ponovnu uporabu i recikliranje</w:t>
            </w:r>
          </w:p>
          <w:p w14:paraId="0D22011B" w14:textId="77777777" w:rsidR="00BD1320" w:rsidRPr="007E7DE5"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sakupljene mase.</w:t>
            </w:r>
          </w:p>
        </w:tc>
        <w:tc>
          <w:tcPr>
            <w:tcW w:w="789" w:type="dxa"/>
            <w:shd w:val="clear" w:color="auto" w:fill="auto"/>
          </w:tcPr>
          <w:p w14:paraId="6C912B91" w14:textId="77777777" w:rsidR="00BD1320" w:rsidRPr="004348AA" w:rsidRDefault="00BD1320" w:rsidP="00A41D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vAlign w:val="center"/>
          </w:tcPr>
          <w:p w14:paraId="184153D0" w14:textId="77777777" w:rsidR="00BD1320" w:rsidRPr="004348AA" w:rsidRDefault="00BD1320" w:rsidP="004348A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p>
          <w:p w14:paraId="301C7A22" w14:textId="77777777" w:rsidR="00BD1320" w:rsidRPr="004348AA" w:rsidRDefault="00BD1320" w:rsidP="004348A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89 %</w:t>
            </w:r>
          </w:p>
          <w:p w14:paraId="4F86385A" w14:textId="77777777" w:rsidR="00BD1320" w:rsidRPr="004348AA" w:rsidRDefault="00BD1320" w:rsidP="004348A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89 %</w:t>
            </w:r>
          </w:p>
        </w:tc>
        <w:tc>
          <w:tcPr>
            <w:tcW w:w="1124" w:type="dxa"/>
            <w:shd w:val="clear" w:color="auto" w:fill="auto"/>
            <w:vAlign w:val="center"/>
          </w:tcPr>
          <w:p w14:paraId="2CB1E9A0" w14:textId="2A59E200" w:rsidR="00BD1320" w:rsidRPr="00C97E27" w:rsidRDefault="00BD1320" w:rsidP="007222ED">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C97E27">
              <w:rPr>
                <w:rFonts w:eastAsia="Times New Roman" w:cstheme="minorHAnsi"/>
                <w:sz w:val="16"/>
                <w:szCs w:val="16"/>
              </w:rPr>
              <w:t>Postignuto</w:t>
            </w:r>
          </w:p>
        </w:tc>
      </w:tr>
      <w:tr w:rsidR="004348AA" w:rsidRPr="00BD1320" w14:paraId="53D9FC71" w14:textId="77777777" w:rsidTr="004348AA">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31BFA546"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2034310B" w14:textId="77777777" w:rsidR="00BD1320" w:rsidRPr="007E7DE5"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0D4A38D5" w14:textId="77777777" w:rsidR="00BD1320" w:rsidRPr="007E7DE5"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Za malu opremu informatičke tehnike i opreme za telekomunikacije čija nijedna vanjska dimenzija nije veća od 50 cm:</w:t>
            </w:r>
          </w:p>
          <w:p w14:paraId="737301F1" w14:textId="77777777" w:rsidR="00BD1320" w:rsidRPr="007E7DE5" w:rsidRDefault="00BD1320" w:rsidP="004348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 xml:space="preserve">- 75 % povrat </w:t>
            </w:r>
          </w:p>
          <w:p w14:paraId="1E1E6E18" w14:textId="77777777" w:rsidR="00BD1320" w:rsidRPr="007E7DE5" w:rsidRDefault="00BD1320" w:rsidP="004348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- 55 % priprema za ponovnu uporabu i recikliranje</w:t>
            </w:r>
          </w:p>
          <w:p w14:paraId="107245CB" w14:textId="77777777" w:rsidR="00BD1320" w:rsidRPr="007E7DE5"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sakupljene mase.</w:t>
            </w:r>
          </w:p>
        </w:tc>
        <w:tc>
          <w:tcPr>
            <w:tcW w:w="789" w:type="dxa"/>
            <w:shd w:val="clear" w:color="auto" w:fill="auto"/>
          </w:tcPr>
          <w:p w14:paraId="0AEC43A2" w14:textId="77777777" w:rsidR="00BD1320" w:rsidRPr="007E7DE5" w:rsidRDefault="00BD1320" w:rsidP="00A41D3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vAlign w:val="center"/>
          </w:tcPr>
          <w:p w14:paraId="71A4A04F" w14:textId="77777777" w:rsidR="00BD1320" w:rsidRPr="007E7DE5" w:rsidRDefault="00BD1320" w:rsidP="004348A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p>
          <w:p w14:paraId="53A6D93B" w14:textId="77777777" w:rsidR="00BD1320" w:rsidRPr="007E7DE5" w:rsidRDefault="00BD1320" w:rsidP="004348A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89 %</w:t>
            </w:r>
          </w:p>
          <w:p w14:paraId="42E880E1" w14:textId="77777777" w:rsidR="00BD1320" w:rsidRPr="007E7DE5" w:rsidRDefault="00BD1320" w:rsidP="004348A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89 %</w:t>
            </w:r>
          </w:p>
        </w:tc>
        <w:tc>
          <w:tcPr>
            <w:tcW w:w="1124" w:type="dxa"/>
            <w:shd w:val="clear" w:color="auto" w:fill="auto"/>
            <w:vAlign w:val="center"/>
          </w:tcPr>
          <w:p w14:paraId="11F3DFB6" w14:textId="553FE2E7" w:rsidR="00BD1320" w:rsidRPr="00C97E27" w:rsidRDefault="00BD1320" w:rsidP="007222ED">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C97E27">
              <w:rPr>
                <w:rFonts w:eastAsia="Times New Roman" w:cstheme="minorHAnsi"/>
                <w:sz w:val="16"/>
                <w:szCs w:val="16"/>
              </w:rPr>
              <w:t>Postignuto</w:t>
            </w:r>
          </w:p>
        </w:tc>
      </w:tr>
    </w:tbl>
    <w:p w14:paraId="392CFCE2" w14:textId="77777777" w:rsidR="00FB1E03" w:rsidRPr="007222ED" w:rsidRDefault="00FB1E03" w:rsidP="007222ED">
      <w:pPr>
        <w:spacing w:line="256" w:lineRule="auto"/>
        <w:rPr>
          <w:rFonts w:cstheme="minorHAnsi"/>
        </w:rPr>
      </w:pPr>
    </w:p>
    <w:p w14:paraId="63830F48" w14:textId="5728F7E2" w:rsidR="00307DF3" w:rsidRPr="00307DF3" w:rsidRDefault="00307DF3" w:rsidP="00307DF3">
      <w:pPr>
        <w:rPr>
          <w:rFonts w:cstheme="minorHAnsi"/>
        </w:rPr>
      </w:pPr>
      <w:r w:rsidRPr="00307DF3">
        <w:rPr>
          <w:rFonts w:cstheme="minorHAnsi"/>
        </w:rPr>
        <w:t>Ciljevi gospodarenja otpadom ovog Plana proizlaze i</w:t>
      </w:r>
      <w:r w:rsidR="00FA309F">
        <w:rPr>
          <w:rFonts w:cstheme="minorHAnsi"/>
        </w:rPr>
        <w:t>z</w:t>
      </w:r>
      <w:r w:rsidRPr="00307DF3">
        <w:rPr>
          <w:rFonts w:cstheme="minorHAnsi"/>
        </w:rPr>
        <w:t xml:space="preserve"> obveza koje proizlaze iz Zakona o gospodarenju otpadom odnosno EU zakonodavstva (</w:t>
      </w:r>
      <w:r w:rsidRPr="00307DF3">
        <w:rPr>
          <w:rFonts w:cstheme="minorHAnsi"/>
        </w:rPr>
        <w:fldChar w:fldCharType="begin"/>
      </w:r>
      <w:r w:rsidRPr="00307DF3">
        <w:rPr>
          <w:rFonts w:cstheme="minorHAnsi"/>
        </w:rPr>
        <w:instrText xml:space="preserve"> REF _Ref115075362 \h </w:instrText>
      </w:r>
      <w:r>
        <w:rPr>
          <w:rFonts w:cstheme="minorHAnsi"/>
        </w:rPr>
        <w:instrText xml:space="preserve"> \* MERGEFORMAT </w:instrText>
      </w:r>
      <w:r w:rsidRPr="00307DF3">
        <w:rPr>
          <w:rFonts w:cstheme="minorHAnsi"/>
        </w:rPr>
      </w:r>
      <w:r w:rsidRPr="00307DF3">
        <w:rPr>
          <w:rFonts w:cstheme="minorHAnsi"/>
        </w:rPr>
        <w:fldChar w:fldCharType="separate"/>
      </w:r>
      <w:r w:rsidR="00F37B62">
        <w:t xml:space="preserve">Tablica </w:t>
      </w:r>
      <w:r w:rsidR="00F37B62">
        <w:rPr>
          <w:noProof/>
        </w:rPr>
        <w:t>25</w:t>
      </w:r>
      <w:r w:rsidRPr="00307DF3">
        <w:rPr>
          <w:rFonts w:cstheme="minorHAnsi"/>
        </w:rPr>
        <w:fldChar w:fldCharType="end"/>
      </w:r>
      <w:r w:rsidRPr="00307DF3">
        <w:rPr>
          <w:rFonts w:cstheme="minorHAnsi"/>
        </w:rPr>
        <w:t xml:space="preserve">). </w:t>
      </w:r>
    </w:p>
    <w:p w14:paraId="40F54E8A" w14:textId="219FE7F4" w:rsidR="00307DF3" w:rsidRPr="00307DF3" w:rsidRDefault="00307DF3" w:rsidP="00307DF3">
      <w:pPr>
        <w:pStyle w:val="Tablica"/>
        <w:rPr>
          <w:b w:val="0"/>
          <w:bCs/>
        </w:rPr>
      </w:pPr>
      <w:bookmarkStart w:id="190" w:name="_Ref115075362"/>
      <w:bookmarkStart w:id="191" w:name="_Ref115075350"/>
      <w:bookmarkStart w:id="192" w:name="_Toc125364414"/>
      <w:r>
        <w:t xml:space="preserve">Tablica </w:t>
      </w:r>
      <w:fldSimple w:instr=" SEQ Tablica \* ARABIC ">
        <w:r w:rsidR="00F37B62">
          <w:rPr>
            <w:noProof/>
          </w:rPr>
          <w:t>25</w:t>
        </w:r>
      </w:fldSimple>
      <w:bookmarkEnd w:id="190"/>
      <w:r>
        <w:t xml:space="preserve">. </w:t>
      </w:r>
      <w:r w:rsidRPr="00307DF3">
        <w:rPr>
          <w:b w:val="0"/>
          <w:bCs/>
        </w:rPr>
        <w:t>Ciljevi Plana gospodarenja otpadom Republike Hrvatske za razdoblje 2023.-2028.</w:t>
      </w:r>
      <w:bookmarkEnd w:id="191"/>
      <w:bookmarkEnd w:id="192"/>
    </w:p>
    <w:tbl>
      <w:tblPr>
        <w:tblStyle w:val="Reetkatablice"/>
        <w:tblW w:w="9067" w:type="dxa"/>
        <w:tblLook w:val="04A0" w:firstRow="1" w:lastRow="0" w:firstColumn="1" w:lastColumn="0" w:noHBand="0" w:noVBand="1"/>
      </w:tblPr>
      <w:tblGrid>
        <w:gridCol w:w="562"/>
        <w:gridCol w:w="1276"/>
        <w:gridCol w:w="7229"/>
      </w:tblGrid>
      <w:tr w:rsidR="00307DF3" w14:paraId="53DBB64D" w14:textId="77777777" w:rsidTr="00307DF3">
        <w:trPr>
          <w:trHeight w:val="500"/>
          <w:tblHeader/>
        </w:trPr>
        <w:tc>
          <w:tcPr>
            <w:tcW w:w="56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B90BEF0" w14:textId="77777777" w:rsidR="00307DF3" w:rsidRDefault="00307DF3">
            <w:pPr>
              <w:jc w:val="center"/>
              <w:rPr>
                <w:rFonts w:eastAsia="Calibri" w:cstheme="minorHAnsi"/>
                <w:b/>
                <w:bCs/>
                <w:sz w:val="16"/>
                <w:szCs w:val="16"/>
              </w:rPr>
            </w:pPr>
            <w:bookmarkStart w:id="193" w:name="_Hlk111042381"/>
            <w:r>
              <w:rPr>
                <w:rFonts w:eastAsia="Calibri" w:cstheme="minorHAnsi"/>
                <w:b/>
                <w:bCs/>
                <w:sz w:val="16"/>
                <w:szCs w:val="16"/>
              </w:rPr>
              <w:t>Br.</w:t>
            </w:r>
          </w:p>
        </w:tc>
        <w:tc>
          <w:tcPr>
            <w:tcW w:w="127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AF9CABE" w14:textId="77777777" w:rsidR="00307DF3" w:rsidRDefault="00307DF3">
            <w:pPr>
              <w:jc w:val="center"/>
              <w:rPr>
                <w:rFonts w:eastAsia="Calibri" w:cstheme="minorHAnsi"/>
                <w:b/>
                <w:bCs/>
                <w:sz w:val="16"/>
                <w:szCs w:val="16"/>
              </w:rPr>
            </w:pPr>
            <w:r>
              <w:rPr>
                <w:rFonts w:eastAsia="Calibri" w:cstheme="minorHAnsi"/>
                <w:b/>
                <w:bCs/>
                <w:sz w:val="16"/>
                <w:szCs w:val="16"/>
              </w:rPr>
              <w:t>Vrsta otpada</w:t>
            </w:r>
          </w:p>
        </w:tc>
        <w:tc>
          <w:tcPr>
            <w:tcW w:w="722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BE38E6D" w14:textId="77777777" w:rsidR="00307DF3" w:rsidRDefault="00307DF3">
            <w:pPr>
              <w:jc w:val="center"/>
              <w:rPr>
                <w:rFonts w:eastAsia="Calibri" w:cstheme="minorHAnsi"/>
                <w:b/>
                <w:bCs/>
                <w:sz w:val="16"/>
                <w:szCs w:val="16"/>
              </w:rPr>
            </w:pPr>
            <w:r>
              <w:rPr>
                <w:rFonts w:eastAsia="Calibri" w:cstheme="minorHAnsi"/>
                <w:b/>
                <w:bCs/>
                <w:sz w:val="16"/>
                <w:szCs w:val="16"/>
              </w:rPr>
              <w:t>Cilj</w:t>
            </w:r>
          </w:p>
        </w:tc>
      </w:tr>
      <w:tr w:rsidR="00307DF3" w14:paraId="7A867D20" w14:textId="77777777" w:rsidTr="00307DF3">
        <w:trPr>
          <w:trHeight w:val="848"/>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2EED857C" w14:textId="77777777" w:rsidR="00307DF3" w:rsidRDefault="00307DF3">
            <w:pPr>
              <w:rPr>
                <w:rFonts w:eastAsia="Calibri" w:cstheme="minorHAnsi"/>
                <w:b/>
                <w:bCs/>
                <w:sz w:val="16"/>
                <w:szCs w:val="16"/>
              </w:rPr>
            </w:pPr>
            <w:r>
              <w:rPr>
                <w:rFonts w:eastAsia="Calibri" w:cstheme="minorHAnsi"/>
                <w:b/>
                <w:bCs/>
                <w:sz w:val="16"/>
                <w:szCs w:val="16"/>
              </w:rPr>
              <w:t>1.</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926B3E5" w14:textId="77777777" w:rsidR="00307DF3" w:rsidRDefault="00307DF3">
            <w:pPr>
              <w:rPr>
                <w:rFonts w:eastAsia="Calibri" w:cstheme="minorHAnsi"/>
                <w:b/>
                <w:bCs/>
                <w:sz w:val="16"/>
                <w:szCs w:val="16"/>
              </w:rPr>
            </w:pPr>
            <w:r>
              <w:rPr>
                <w:rFonts w:eastAsia="Calibri" w:cstheme="minorHAnsi"/>
                <w:b/>
                <w:bCs/>
                <w:sz w:val="16"/>
                <w:szCs w:val="16"/>
              </w:rPr>
              <w:t>Komunalni otpad</w:t>
            </w:r>
          </w:p>
        </w:tc>
        <w:tc>
          <w:tcPr>
            <w:tcW w:w="7229" w:type="dxa"/>
            <w:tcBorders>
              <w:top w:val="single" w:sz="4" w:space="0" w:color="auto"/>
              <w:left w:val="single" w:sz="4" w:space="0" w:color="auto"/>
              <w:bottom w:val="single" w:sz="4" w:space="0" w:color="auto"/>
              <w:right w:val="single" w:sz="4" w:space="0" w:color="auto"/>
            </w:tcBorders>
            <w:vAlign w:val="center"/>
            <w:hideMark/>
          </w:tcPr>
          <w:p w14:paraId="0CD04DD5" w14:textId="77777777" w:rsidR="00307DF3" w:rsidRPr="00C97E27" w:rsidRDefault="00307DF3">
            <w:pPr>
              <w:rPr>
                <w:rFonts w:eastAsia="Calibri" w:cstheme="minorHAnsi"/>
                <w:sz w:val="16"/>
                <w:szCs w:val="16"/>
                <w:highlight w:val="yellow"/>
              </w:rPr>
            </w:pPr>
            <w:proofErr w:type="spellStart"/>
            <w:r w:rsidRPr="00C97E27">
              <w:rPr>
                <w:rFonts w:eastAsia="Calibri" w:cstheme="minorHAnsi"/>
                <w:sz w:val="16"/>
                <w:szCs w:val="16"/>
                <w:highlight w:val="yellow"/>
              </w:rPr>
              <w:t>Oporabiti</w:t>
            </w:r>
            <w:proofErr w:type="spellEnd"/>
            <w:r w:rsidRPr="00C97E27">
              <w:rPr>
                <w:rFonts w:eastAsia="Calibri" w:cstheme="minorHAnsi"/>
                <w:sz w:val="16"/>
                <w:szCs w:val="16"/>
                <w:highlight w:val="yellow"/>
              </w:rPr>
              <w:t xml:space="preserve"> recikliranjem i pripremom za ponovnu uporabu najmanje: </w:t>
            </w:r>
          </w:p>
          <w:p w14:paraId="2E469E99" w14:textId="77777777" w:rsidR="00307DF3" w:rsidRPr="00C97E27" w:rsidRDefault="00307DF3">
            <w:pPr>
              <w:pStyle w:val="Odlomakpopisa"/>
              <w:numPr>
                <w:ilvl w:val="0"/>
                <w:numId w:val="7"/>
              </w:numPr>
              <w:jc w:val="left"/>
              <w:rPr>
                <w:rFonts w:eastAsia="Calibri" w:cstheme="minorHAnsi"/>
                <w:sz w:val="16"/>
                <w:szCs w:val="16"/>
                <w:highlight w:val="yellow"/>
              </w:rPr>
            </w:pPr>
            <w:r w:rsidRPr="00C97E27">
              <w:rPr>
                <w:rFonts w:eastAsia="Calibri" w:cstheme="minorHAnsi"/>
                <w:sz w:val="16"/>
                <w:szCs w:val="16"/>
                <w:highlight w:val="yellow"/>
              </w:rPr>
              <w:t>55% mase komunalnog otpada do 2025. godine</w:t>
            </w:r>
          </w:p>
          <w:p w14:paraId="663F3297" w14:textId="77777777" w:rsidR="00307DF3" w:rsidRPr="00C97E27" w:rsidRDefault="00307DF3">
            <w:pPr>
              <w:pStyle w:val="Odlomakpopisa"/>
              <w:numPr>
                <w:ilvl w:val="0"/>
                <w:numId w:val="7"/>
              </w:numPr>
              <w:jc w:val="left"/>
              <w:rPr>
                <w:rFonts w:eastAsia="Calibri" w:cstheme="minorHAnsi"/>
                <w:sz w:val="16"/>
                <w:szCs w:val="16"/>
                <w:highlight w:val="yellow"/>
              </w:rPr>
            </w:pPr>
            <w:r w:rsidRPr="00C97E27">
              <w:rPr>
                <w:rFonts w:eastAsia="Calibri" w:cstheme="minorHAnsi"/>
                <w:sz w:val="16"/>
                <w:szCs w:val="16"/>
                <w:highlight w:val="yellow"/>
              </w:rPr>
              <w:t>60% mase komunalnog otpada do 2030. godine i</w:t>
            </w:r>
          </w:p>
          <w:p w14:paraId="2184B0FC" w14:textId="77777777" w:rsidR="00307DF3" w:rsidRDefault="00307DF3">
            <w:pPr>
              <w:pStyle w:val="Odlomakpopisa"/>
              <w:numPr>
                <w:ilvl w:val="0"/>
                <w:numId w:val="7"/>
              </w:numPr>
              <w:jc w:val="left"/>
              <w:rPr>
                <w:rFonts w:eastAsia="Calibri" w:cstheme="minorHAnsi"/>
                <w:sz w:val="16"/>
                <w:szCs w:val="16"/>
              </w:rPr>
            </w:pPr>
            <w:r w:rsidRPr="00C97E27">
              <w:rPr>
                <w:rFonts w:eastAsia="Calibri" w:cstheme="minorHAnsi"/>
                <w:sz w:val="16"/>
                <w:szCs w:val="16"/>
                <w:highlight w:val="yellow"/>
              </w:rPr>
              <w:t>65% mase komunalnog otpada do 2035. godine.</w:t>
            </w:r>
          </w:p>
        </w:tc>
      </w:tr>
      <w:tr w:rsidR="00307DF3" w14:paraId="40E06C57" w14:textId="77777777" w:rsidTr="00307DF3">
        <w:trPr>
          <w:trHeight w:val="6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7B1CB4" w14:textId="77777777" w:rsidR="00307DF3" w:rsidRDefault="00307DF3">
            <w:pPr>
              <w:rPr>
                <w:rFonts w:eastAsia="Calibri" w:cstheme="minorHAnsi"/>
                <w:b/>
                <w:bCs/>
                <w:sz w:val="16"/>
                <w:szCs w:val="1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8E468" w14:textId="77777777" w:rsidR="00307DF3" w:rsidRDefault="00307DF3">
            <w:pPr>
              <w:rPr>
                <w:rFonts w:eastAsia="Calibri" w:cstheme="minorHAnsi"/>
                <w:b/>
                <w:bCs/>
                <w:sz w:val="16"/>
                <w:szCs w:val="16"/>
                <w:lang w:val="en-GB"/>
              </w:rP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3A2F3A68" w14:textId="77777777" w:rsidR="00307DF3" w:rsidRDefault="00307DF3">
            <w:pPr>
              <w:rPr>
                <w:rFonts w:eastAsia="Calibri" w:cstheme="minorHAnsi"/>
                <w:sz w:val="16"/>
                <w:szCs w:val="16"/>
              </w:rPr>
            </w:pPr>
            <w:r>
              <w:rPr>
                <w:rFonts w:eastAsia="Calibri" w:cstheme="minorHAnsi"/>
                <w:sz w:val="16"/>
                <w:szCs w:val="16"/>
              </w:rPr>
              <w:t xml:space="preserve">Svim dozvolama za gospodarenje otpadom u RH dopustiti, u jednoj kalendarskoj godini, odlaganje najviše 264.661 tone mase biorazgradivog komunalnog otpada </w:t>
            </w:r>
            <w:r w:rsidRPr="00C97E27">
              <w:rPr>
                <w:rFonts w:eastAsia="Calibri" w:cstheme="minorHAnsi"/>
                <w:sz w:val="16"/>
                <w:szCs w:val="16"/>
                <w:highlight w:val="yellow"/>
              </w:rPr>
              <w:t>(35% mase biorazgradivog komunalnog otpada proizvedenog u 1997. godini)</w:t>
            </w:r>
          </w:p>
        </w:tc>
      </w:tr>
      <w:tr w:rsidR="00307DF3" w14:paraId="7CB90D95" w14:textId="77777777" w:rsidTr="00307DF3">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92729" w14:textId="77777777" w:rsidR="00307DF3" w:rsidRDefault="00307DF3">
            <w:pPr>
              <w:rPr>
                <w:rFonts w:eastAsia="Calibri" w:cstheme="minorHAnsi"/>
                <w:b/>
                <w:bCs/>
                <w:sz w:val="16"/>
                <w:szCs w:val="1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03CC5" w14:textId="77777777" w:rsidR="00307DF3" w:rsidRDefault="00307DF3">
            <w:pPr>
              <w:rPr>
                <w:rFonts w:eastAsia="Calibri" w:cstheme="minorHAnsi"/>
                <w:b/>
                <w:bCs/>
                <w:sz w:val="16"/>
                <w:szCs w:val="16"/>
                <w:lang w:val="en-GB"/>
              </w:rP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21380232" w14:textId="77777777" w:rsidR="00307DF3" w:rsidRDefault="00307DF3">
            <w:pPr>
              <w:rPr>
                <w:rFonts w:eastAsia="Calibri" w:cstheme="minorHAnsi"/>
                <w:sz w:val="16"/>
                <w:szCs w:val="16"/>
              </w:rPr>
            </w:pPr>
            <w:r w:rsidRPr="00C97E27">
              <w:rPr>
                <w:rFonts w:eastAsia="Calibri" w:cstheme="minorHAnsi"/>
                <w:sz w:val="16"/>
                <w:szCs w:val="16"/>
                <w:highlight w:val="yellow"/>
              </w:rPr>
              <w:t>Količina komunalnog otpada odloženog na odlagališta otpada iznosi najviše 10% mase ukupno proizvedenog komunalnog otpada, do 2035. godine</w:t>
            </w:r>
          </w:p>
        </w:tc>
      </w:tr>
      <w:tr w:rsidR="00307DF3" w14:paraId="22BB56B8" w14:textId="77777777" w:rsidTr="00307DF3">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AF80D" w14:textId="77777777" w:rsidR="00307DF3" w:rsidRDefault="00307DF3">
            <w:pPr>
              <w:rPr>
                <w:rFonts w:eastAsia="Calibri" w:cstheme="minorHAnsi"/>
                <w:b/>
                <w:bCs/>
                <w:sz w:val="16"/>
                <w:szCs w:val="1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AEC5A" w14:textId="77777777" w:rsidR="00307DF3" w:rsidRDefault="00307DF3">
            <w:pPr>
              <w:rPr>
                <w:rFonts w:eastAsia="Calibri" w:cstheme="minorHAnsi"/>
                <w:b/>
                <w:bCs/>
                <w:sz w:val="16"/>
                <w:szCs w:val="16"/>
                <w:lang w:val="en-GB"/>
              </w:rP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30EA2C89" w14:textId="77777777" w:rsidR="00307DF3" w:rsidRDefault="00307DF3">
            <w:pPr>
              <w:rPr>
                <w:rFonts w:eastAsia="Calibri" w:cstheme="minorHAnsi"/>
                <w:sz w:val="16"/>
                <w:szCs w:val="16"/>
              </w:rPr>
            </w:pPr>
            <w:r>
              <w:rPr>
                <w:rFonts w:eastAsia="Calibri" w:cstheme="minorHAnsi"/>
                <w:sz w:val="16"/>
                <w:szCs w:val="16"/>
              </w:rPr>
              <w:t>Unaprijediti sustav za skupljanje i oporabu biootpada</w:t>
            </w:r>
          </w:p>
        </w:tc>
      </w:tr>
      <w:tr w:rsidR="00307DF3" w14:paraId="5D863AE6" w14:textId="77777777" w:rsidTr="00307DF3">
        <w:trPr>
          <w:trHeight w:val="553"/>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07FA873F" w14:textId="77777777" w:rsidR="00307DF3" w:rsidRDefault="00307DF3">
            <w:pPr>
              <w:rPr>
                <w:rFonts w:eastAsia="Calibri" w:cstheme="minorHAnsi"/>
                <w:b/>
                <w:bCs/>
                <w:sz w:val="16"/>
                <w:szCs w:val="16"/>
              </w:rPr>
            </w:pPr>
            <w:r>
              <w:rPr>
                <w:rFonts w:eastAsia="Calibri" w:cstheme="minorHAnsi"/>
                <w:b/>
                <w:bCs/>
                <w:sz w:val="16"/>
                <w:szCs w:val="16"/>
              </w:rPr>
              <w:t>2.</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1232A6B" w14:textId="77777777" w:rsidR="00307DF3" w:rsidRDefault="00307DF3">
            <w:pPr>
              <w:rPr>
                <w:rFonts w:eastAsia="Calibri" w:cstheme="minorHAnsi"/>
                <w:b/>
                <w:bCs/>
                <w:sz w:val="16"/>
                <w:szCs w:val="16"/>
              </w:rPr>
            </w:pPr>
            <w:r>
              <w:rPr>
                <w:rFonts w:eastAsia="Calibri" w:cstheme="minorHAnsi"/>
                <w:b/>
                <w:bCs/>
                <w:sz w:val="16"/>
                <w:szCs w:val="16"/>
              </w:rPr>
              <w:t>Otpadna ambalaža</w:t>
            </w:r>
          </w:p>
        </w:tc>
        <w:tc>
          <w:tcPr>
            <w:tcW w:w="7229" w:type="dxa"/>
            <w:tcBorders>
              <w:top w:val="single" w:sz="6" w:space="0" w:color="auto"/>
              <w:left w:val="single" w:sz="6" w:space="0" w:color="auto"/>
              <w:bottom w:val="single" w:sz="6" w:space="0" w:color="auto"/>
              <w:right w:val="single" w:sz="6" w:space="0" w:color="auto"/>
            </w:tcBorders>
            <w:shd w:val="clear" w:color="auto" w:fill="FFFFFF" w:themeFill="background1"/>
          </w:tcPr>
          <w:p w14:paraId="2D1F1CFE" w14:textId="77777777" w:rsidR="00307DF3" w:rsidRPr="00C97E27" w:rsidRDefault="00307DF3">
            <w:pPr>
              <w:pStyle w:val="normal-000301"/>
              <w:numPr>
                <w:ilvl w:val="0"/>
                <w:numId w:val="8"/>
              </w:numPr>
              <w:rPr>
                <w:rStyle w:val="zadanifontodlomka-000112"/>
                <w:rFonts w:asciiTheme="minorHAnsi" w:hAnsiTheme="minorHAnsi" w:cstheme="minorHAnsi"/>
                <w:sz w:val="16"/>
                <w:szCs w:val="16"/>
                <w:highlight w:val="yellow"/>
                <w:lang w:eastAsia="en-US"/>
              </w:rPr>
            </w:pPr>
            <w:r>
              <w:rPr>
                <w:rStyle w:val="zadanifontodlomka-000112"/>
                <w:rFonts w:asciiTheme="minorHAnsi" w:hAnsiTheme="minorHAnsi" w:cstheme="minorHAnsi"/>
                <w:sz w:val="16"/>
                <w:szCs w:val="16"/>
                <w:lang w:eastAsia="en-US"/>
              </w:rPr>
              <w:t xml:space="preserve">Odvojeno sakupiti i </w:t>
            </w:r>
            <w:proofErr w:type="spellStart"/>
            <w:r>
              <w:rPr>
                <w:rStyle w:val="zadanifontodlomka-000112"/>
                <w:rFonts w:asciiTheme="minorHAnsi" w:hAnsiTheme="minorHAnsi" w:cstheme="minorHAnsi"/>
                <w:sz w:val="16"/>
                <w:szCs w:val="16"/>
                <w:lang w:eastAsia="en-US"/>
              </w:rPr>
              <w:t>oporabiti</w:t>
            </w:r>
            <w:proofErr w:type="spellEnd"/>
            <w:r>
              <w:rPr>
                <w:rStyle w:val="zadanifontodlomka-000112"/>
                <w:rFonts w:asciiTheme="minorHAnsi" w:hAnsiTheme="minorHAnsi" w:cstheme="minorHAnsi"/>
                <w:sz w:val="16"/>
                <w:szCs w:val="16"/>
                <w:lang w:eastAsia="en-US"/>
              </w:rPr>
              <w:t xml:space="preserve">, materijalno ili energetski, najmanje </w:t>
            </w:r>
            <w:r w:rsidRPr="00C97E27">
              <w:rPr>
                <w:rStyle w:val="zadanifontodlomka-000112"/>
                <w:rFonts w:asciiTheme="minorHAnsi" w:hAnsiTheme="minorHAnsi" w:cstheme="minorHAnsi"/>
                <w:sz w:val="16"/>
                <w:szCs w:val="16"/>
                <w:highlight w:val="yellow"/>
                <w:lang w:eastAsia="en-US"/>
              </w:rPr>
              <w:t>60% ukupne mase otpadne ambalaže proizvedene na području RH.</w:t>
            </w:r>
          </w:p>
          <w:p w14:paraId="1DA8191D" w14:textId="77777777" w:rsidR="00307DF3" w:rsidRDefault="00307DF3">
            <w:pPr>
              <w:pStyle w:val="normal-000301"/>
              <w:rPr>
                <w:rStyle w:val="zadanifontodlomka-000112"/>
                <w:rFonts w:asciiTheme="minorHAnsi" w:hAnsiTheme="minorHAnsi" w:cstheme="minorHAnsi"/>
                <w:sz w:val="16"/>
                <w:szCs w:val="16"/>
                <w:lang w:val="en-GB" w:eastAsia="en-US"/>
              </w:rPr>
            </w:pPr>
          </w:p>
          <w:p w14:paraId="54D82308" w14:textId="77777777" w:rsidR="00307DF3" w:rsidRDefault="00307DF3">
            <w:pPr>
              <w:pStyle w:val="normal-000301"/>
              <w:numPr>
                <w:ilvl w:val="0"/>
                <w:numId w:val="8"/>
              </w:numPr>
              <w:rPr>
                <w:rStyle w:val="zadanifontodlomka-000112"/>
                <w:rFonts w:asciiTheme="minorHAnsi" w:hAnsiTheme="minorHAnsi" w:cstheme="minorHAnsi"/>
                <w:sz w:val="16"/>
                <w:szCs w:val="16"/>
                <w:lang w:eastAsia="en-US"/>
              </w:rPr>
            </w:pPr>
            <w:r w:rsidRPr="00C97E27">
              <w:rPr>
                <w:rStyle w:val="zadanifontodlomka-000112"/>
                <w:rFonts w:asciiTheme="minorHAnsi" w:hAnsiTheme="minorHAnsi" w:cstheme="minorHAnsi"/>
                <w:sz w:val="16"/>
                <w:szCs w:val="16"/>
                <w:highlight w:val="yellow"/>
                <w:lang w:eastAsia="en-US"/>
              </w:rPr>
              <w:t>Reciklirati 55 % - 80 % ukupne mase otpadne ambalaže</w:t>
            </w:r>
            <w:r>
              <w:rPr>
                <w:rStyle w:val="zadanifontodlomka-000112"/>
                <w:rFonts w:asciiTheme="minorHAnsi" w:hAnsiTheme="minorHAnsi" w:cstheme="minorHAnsi"/>
                <w:sz w:val="16"/>
                <w:szCs w:val="16"/>
                <w:lang w:eastAsia="en-US"/>
              </w:rPr>
              <w:t xml:space="preserve"> namijenjene materijalnoj oporabi</w:t>
            </w:r>
          </w:p>
          <w:p w14:paraId="02C4DE46" w14:textId="77777777" w:rsidR="00307DF3" w:rsidRDefault="00307DF3">
            <w:pPr>
              <w:pStyle w:val="normal-000301"/>
            </w:pPr>
            <w:r>
              <w:rPr>
                <w:rStyle w:val="zadanifontodlomka-000112"/>
                <w:rFonts w:asciiTheme="minorHAnsi" w:hAnsiTheme="minorHAnsi" w:cstheme="minorHAnsi"/>
                <w:sz w:val="16"/>
                <w:szCs w:val="16"/>
                <w:lang w:eastAsia="en-US"/>
              </w:rPr>
              <w:t>Obraditi postupkom recikliranja najmanje mase materijala u otpadnoj ambalaži:</w:t>
            </w:r>
            <w:r>
              <w:rPr>
                <w:rFonts w:asciiTheme="minorHAnsi" w:hAnsiTheme="minorHAnsi" w:cstheme="minorHAnsi"/>
                <w:sz w:val="16"/>
                <w:szCs w:val="16"/>
                <w:lang w:eastAsia="en-US"/>
              </w:rPr>
              <w:t xml:space="preserve"> </w:t>
            </w:r>
          </w:p>
          <w:p w14:paraId="558FDA47" w14:textId="77777777" w:rsidR="00307DF3" w:rsidRDefault="00307DF3">
            <w:pPr>
              <w:pStyle w:val="normal-000301"/>
              <w:numPr>
                <w:ilvl w:val="0"/>
                <w:numId w:val="9"/>
              </w:numPr>
              <w:rPr>
                <w:rStyle w:val="zadanifontodlomka-000112"/>
                <w:rFonts w:asciiTheme="minorHAnsi" w:hAnsiTheme="minorHAnsi" w:cstheme="minorHAnsi"/>
                <w:sz w:val="16"/>
                <w:szCs w:val="16"/>
              </w:rPr>
            </w:pPr>
            <w:r>
              <w:rPr>
                <w:rStyle w:val="zadanifontodlomka-000112"/>
                <w:rFonts w:asciiTheme="minorHAnsi" w:hAnsiTheme="minorHAnsi" w:cstheme="minorHAnsi"/>
                <w:sz w:val="16"/>
                <w:szCs w:val="16"/>
                <w:lang w:eastAsia="en-US"/>
              </w:rPr>
              <w:t>60 % mase za staklo;</w:t>
            </w:r>
          </w:p>
          <w:p w14:paraId="0AB5AE24" w14:textId="77777777" w:rsidR="00307DF3" w:rsidRDefault="00307DF3">
            <w:pPr>
              <w:pStyle w:val="normal-000301"/>
              <w:numPr>
                <w:ilvl w:val="0"/>
                <w:numId w:val="9"/>
              </w:numPr>
              <w:rPr>
                <w:rStyle w:val="zadanifontodlomka-000112"/>
                <w:rFonts w:asciiTheme="minorHAnsi" w:hAnsiTheme="minorHAnsi" w:cstheme="minorHAnsi"/>
                <w:sz w:val="16"/>
                <w:szCs w:val="16"/>
                <w:lang w:eastAsia="en-US"/>
              </w:rPr>
            </w:pPr>
            <w:r>
              <w:rPr>
                <w:rStyle w:val="zadanifontodlomka-000112"/>
                <w:rFonts w:asciiTheme="minorHAnsi" w:hAnsiTheme="minorHAnsi" w:cstheme="minorHAnsi"/>
                <w:sz w:val="16"/>
                <w:szCs w:val="16"/>
                <w:lang w:eastAsia="en-US"/>
              </w:rPr>
              <w:t>60 % mase za papir i karton;</w:t>
            </w:r>
          </w:p>
          <w:p w14:paraId="76E6451C" w14:textId="77777777" w:rsidR="00307DF3" w:rsidRDefault="00307DF3">
            <w:pPr>
              <w:pStyle w:val="normal-000301"/>
              <w:numPr>
                <w:ilvl w:val="0"/>
                <w:numId w:val="9"/>
              </w:numPr>
              <w:rPr>
                <w:rStyle w:val="zadanifontodlomka-000112"/>
                <w:rFonts w:asciiTheme="minorHAnsi" w:hAnsiTheme="minorHAnsi" w:cstheme="minorHAnsi"/>
                <w:sz w:val="16"/>
                <w:szCs w:val="16"/>
                <w:lang w:eastAsia="en-US"/>
              </w:rPr>
            </w:pPr>
            <w:r>
              <w:rPr>
                <w:rStyle w:val="zadanifontodlomka-000112"/>
                <w:rFonts w:asciiTheme="minorHAnsi" w:hAnsiTheme="minorHAnsi" w:cstheme="minorHAnsi"/>
                <w:sz w:val="16"/>
                <w:szCs w:val="16"/>
                <w:lang w:eastAsia="en-US"/>
              </w:rPr>
              <w:t>50 % mase za metale;</w:t>
            </w:r>
          </w:p>
          <w:p w14:paraId="7AF63F8D" w14:textId="77777777" w:rsidR="00307DF3" w:rsidRDefault="00307DF3">
            <w:pPr>
              <w:pStyle w:val="normal-000301"/>
              <w:numPr>
                <w:ilvl w:val="0"/>
                <w:numId w:val="9"/>
              </w:numPr>
              <w:rPr>
                <w:rStyle w:val="zadanifontodlomka-000112"/>
                <w:rFonts w:asciiTheme="minorHAnsi" w:hAnsiTheme="minorHAnsi" w:cstheme="minorHAnsi"/>
                <w:sz w:val="16"/>
                <w:szCs w:val="16"/>
                <w:lang w:eastAsia="en-US"/>
              </w:rPr>
            </w:pPr>
            <w:r>
              <w:rPr>
                <w:rStyle w:val="zadanifontodlomka-000112"/>
                <w:rFonts w:asciiTheme="minorHAnsi" w:hAnsiTheme="minorHAnsi" w:cstheme="minorHAnsi"/>
                <w:sz w:val="16"/>
                <w:szCs w:val="16"/>
                <w:lang w:eastAsia="en-US"/>
              </w:rPr>
              <w:lastRenderedPageBreak/>
              <w:t>22,5 % mase za plastiku, računajući isključivo materijal koji se ponovno reciklira u plastiku;</w:t>
            </w:r>
          </w:p>
          <w:p w14:paraId="53F0F224" w14:textId="5900E34E" w:rsidR="00307DF3" w:rsidRPr="00891EC4" w:rsidRDefault="00307DF3" w:rsidP="00891EC4">
            <w:pPr>
              <w:pStyle w:val="Odlomakpopisa"/>
              <w:numPr>
                <w:ilvl w:val="0"/>
                <w:numId w:val="11"/>
              </w:numPr>
              <w:spacing w:after="160" w:line="259" w:lineRule="auto"/>
              <w:jc w:val="left"/>
              <w:rPr>
                <w:rFonts w:cstheme="minorHAnsi"/>
                <w:sz w:val="16"/>
                <w:szCs w:val="16"/>
              </w:rPr>
            </w:pPr>
            <w:r w:rsidRPr="00891EC4">
              <w:rPr>
                <w:rStyle w:val="zadanifontodlomka-000112"/>
                <w:rFonts w:asciiTheme="minorHAnsi" w:hAnsiTheme="minorHAnsi" w:cstheme="minorHAnsi"/>
                <w:sz w:val="16"/>
                <w:szCs w:val="16"/>
              </w:rPr>
              <w:t>15 % mase za drvo</w:t>
            </w:r>
            <w:r w:rsidR="00891EC4">
              <w:rPr>
                <w:rFonts w:cstheme="minorHAnsi"/>
                <w:sz w:val="16"/>
                <w:szCs w:val="16"/>
              </w:rPr>
              <w:t>.</w:t>
            </w:r>
          </w:p>
        </w:tc>
      </w:tr>
      <w:tr w:rsidR="00307DF3" w14:paraId="1453D0EE" w14:textId="77777777" w:rsidTr="00307DF3">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8E7202" w14:textId="77777777" w:rsidR="00307DF3" w:rsidRDefault="00307DF3">
            <w:pPr>
              <w:rPr>
                <w:rFonts w:eastAsia="Calibri" w:cstheme="minorHAnsi"/>
                <w:b/>
                <w:bCs/>
                <w:sz w:val="16"/>
                <w:szCs w:val="1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87225" w14:textId="77777777" w:rsidR="00307DF3" w:rsidRDefault="00307DF3">
            <w:pPr>
              <w:rPr>
                <w:rFonts w:eastAsia="Calibri" w:cstheme="minorHAnsi"/>
                <w:b/>
                <w:bCs/>
                <w:sz w:val="16"/>
                <w:szCs w:val="16"/>
                <w:lang w:val="en-GB"/>
              </w:rPr>
            </w:pPr>
          </w:p>
        </w:tc>
        <w:tc>
          <w:tcPr>
            <w:tcW w:w="7229" w:type="dxa"/>
            <w:tcBorders>
              <w:top w:val="single" w:sz="6" w:space="0" w:color="auto"/>
              <w:left w:val="single" w:sz="6" w:space="0" w:color="auto"/>
              <w:bottom w:val="single" w:sz="6" w:space="0" w:color="auto"/>
              <w:right w:val="single" w:sz="6" w:space="0" w:color="auto"/>
            </w:tcBorders>
            <w:vAlign w:val="center"/>
          </w:tcPr>
          <w:p w14:paraId="4EFFD0DB" w14:textId="77777777" w:rsidR="00307DF3" w:rsidRPr="00C97E27" w:rsidRDefault="00307DF3">
            <w:pPr>
              <w:pStyle w:val="Odlomakpopisa"/>
              <w:numPr>
                <w:ilvl w:val="0"/>
                <w:numId w:val="10"/>
              </w:numPr>
              <w:jc w:val="left"/>
              <w:rPr>
                <w:rFonts w:cstheme="minorHAnsi"/>
                <w:sz w:val="16"/>
                <w:szCs w:val="16"/>
                <w:highlight w:val="yellow"/>
              </w:rPr>
            </w:pPr>
            <w:r w:rsidRPr="00C97E27">
              <w:rPr>
                <w:rFonts w:cstheme="minorHAnsi"/>
                <w:sz w:val="16"/>
                <w:szCs w:val="16"/>
                <w:highlight w:val="yellow"/>
              </w:rPr>
              <w:t xml:space="preserve">Reciklirati najmanje 65 % mase ukupne otpadne ambalaže, do </w:t>
            </w:r>
            <w:r w:rsidRPr="00C97E27">
              <w:rPr>
                <w:rFonts w:cstheme="minorHAnsi"/>
                <w:b/>
                <w:bCs/>
                <w:sz w:val="16"/>
                <w:szCs w:val="16"/>
                <w:highlight w:val="yellow"/>
              </w:rPr>
              <w:t>31. prosinca 2025.</w:t>
            </w:r>
          </w:p>
          <w:p w14:paraId="46FC3794" w14:textId="77777777" w:rsidR="00307DF3" w:rsidRDefault="00307DF3">
            <w:pPr>
              <w:rPr>
                <w:rFonts w:cstheme="minorHAnsi"/>
                <w:sz w:val="16"/>
                <w:szCs w:val="16"/>
              </w:rPr>
            </w:pPr>
            <w:r>
              <w:rPr>
                <w:rFonts w:cstheme="minorHAnsi"/>
                <w:sz w:val="16"/>
                <w:szCs w:val="16"/>
              </w:rPr>
              <w:t>Do 31. prosinca 2025. obraditi postupkom recikliranja barem sljedeće mase materijala u otpadnoj ambalaži:</w:t>
            </w:r>
          </w:p>
          <w:p w14:paraId="54ECF052" w14:textId="77777777" w:rsidR="00307DF3" w:rsidRDefault="00307DF3">
            <w:pPr>
              <w:pStyle w:val="Odlomakpopisa"/>
              <w:numPr>
                <w:ilvl w:val="0"/>
                <w:numId w:val="11"/>
              </w:numPr>
              <w:jc w:val="left"/>
              <w:rPr>
                <w:rFonts w:cstheme="minorHAnsi"/>
                <w:sz w:val="16"/>
                <w:szCs w:val="16"/>
              </w:rPr>
            </w:pPr>
            <w:r>
              <w:rPr>
                <w:rFonts w:cstheme="minorHAnsi"/>
                <w:sz w:val="16"/>
                <w:szCs w:val="16"/>
              </w:rPr>
              <w:t>50 % plastike;</w:t>
            </w:r>
          </w:p>
          <w:p w14:paraId="20CC658A" w14:textId="77777777" w:rsidR="00307DF3" w:rsidRDefault="00307DF3">
            <w:pPr>
              <w:pStyle w:val="Odlomakpopisa"/>
              <w:numPr>
                <w:ilvl w:val="0"/>
                <w:numId w:val="11"/>
              </w:numPr>
              <w:jc w:val="left"/>
              <w:rPr>
                <w:rFonts w:cstheme="minorHAnsi"/>
                <w:sz w:val="16"/>
                <w:szCs w:val="16"/>
              </w:rPr>
            </w:pPr>
            <w:r>
              <w:rPr>
                <w:rFonts w:cstheme="minorHAnsi"/>
                <w:sz w:val="16"/>
                <w:szCs w:val="16"/>
              </w:rPr>
              <w:t>25 % drva;</w:t>
            </w:r>
          </w:p>
          <w:p w14:paraId="5C601A40" w14:textId="77777777" w:rsidR="00307DF3" w:rsidRDefault="00307DF3">
            <w:pPr>
              <w:pStyle w:val="Odlomakpopisa"/>
              <w:numPr>
                <w:ilvl w:val="0"/>
                <w:numId w:val="11"/>
              </w:numPr>
              <w:jc w:val="left"/>
              <w:rPr>
                <w:rFonts w:cstheme="minorHAnsi"/>
                <w:sz w:val="16"/>
                <w:szCs w:val="16"/>
              </w:rPr>
            </w:pPr>
            <w:r>
              <w:rPr>
                <w:rFonts w:cstheme="minorHAnsi"/>
                <w:sz w:val="16"/>
                <w:szCs w:val="16"/>
              </w:rPr>
              <w:t>70 % neobojenih metala;</w:t>
            </w:r>
          </w:p>
          <w:p w14:paraId="6DDBEF26" w14:textId="77777777" w:rsidR="00307DF3" w:rsidRDefault="00307DF3">
            <w:pPr>
              <w:pStyle w:val="Odlomakpopisa"/>
              <w:numPr>
                <w:ilvl w:val="0"/>
                <w:numId w:val="11"/>
              </w:numPr>
              <w:jc w:val="left"/>
              <w:rPr>
                <w:rFonts w:cstheme="minorHAnsi"/>
                <w:sz w:val="16"/>
                <w:szCs w:val="16"/>
              </w:rPr>
            </w:pPr>
            <w:r>
              <w:rPr>
                <w:rFonts w:cstheme="minorHAnsi"/>
                <w:sz w:val="16"/>
                <w:szCs w:val="16"/>
              </w:rPr>
              <w:t>50 % aluminija;</w:t>
            </w:r>
          </w:p>
          <w:p w14:paraId="29728635" w14:textId="77777777" w:rsidR="00307DF3" w:rsidRDefault="00307DF3">
            <w:pPr>
              <w:pStyle w:val="Odlomakpopisa"/>
              <w:numPr>
                <w:ilvl w:val="0"/>
                <w:numId w:val="11"/>
              </w:numPr>
              <w:jc w:val="left"/>
              <w:rPr>
                <w:rFonts w:cstheme="minorHAnsi"/>
                <w:sz w:val="16"/>
                <w:szCs w:val="16"/>
              </w:rPr>
            </w:pPr>
            <w:r>
              <w:rPr>
                <w:rFonts w:cstheme="minorHAnsi"/>
                <w:sz w:val="16"/>
                <w:szCs w:val="16"/>
              </w:rPr>
              <w:t>70 % stakla;</w:t>
            </w:r>
          </w:p>
          <w:p w14:paraId="29936D68" w14:textId="77777777" w:rsidR="00307DF3" w:rsidRDefault="00307DF3">
            <w:pPr>
              <w:pStyle w:val="Odlomakpopisa"/>
              <w:numPr>
                <w:ilvl w:val="0"/>
                <w:numId w:val="11"/>
              </w:numPr>
              <w:jc w:val="left"/>
              <w:rPr>
                <w:rFonts w:cstheme="minorHAnsi"/>
                <w:sz w:val="16"/>
                <w:szCs w:val="16"/>
              </w:rPr>
            </w:pPr>
            <w:r>
              <w:rPr>
                <w:rFonts w:cstheme="minorHAnsi"/>
                <w:sz w:val="16"/>
                <w:szCs w:val="16"/>
              </w:rPr>
              <w:t>75 % papira i kartona;</w:t>
            </w:r>
          </w:p>
          <w:p w14:paraId="17D8F391" w14:textId="77777777" w:rsidR="00307DF3" w:rsidRDefault="00307DF3">
            <w:pPr>
              <w:rPr>
                <w:rFonts w:cstheme="minorHAnsi"/>
                <w:sz w:val="16"/>
                <w:szCs w:val="16"/>
              </w:rPr>
            </w:pPr>
          </w:p>
          <w:p w14:paraId="7904D1C5" w14:textId="77777777" w:rsidR="00307DF3" w:rsidRDefault="00307DF3">
            <w:pPr>
              <w:pStyle w:val="Odlomakpopisa"/>
              <w:numPr>
                <w:ilvl w:val="0"/>
                <w:numId w:val="10"/>
              </w:numPr>
              <w:jc w:val="left"/>
              <w:rPr>
                <w:rFonts w:cstheme="minorHAnsi"/>
                <w:b/>
                <w:bCs/>
                <w:sz w:val="16"/>
                <w:szCs w:val="16"/>
              </w:rPr>
            </w:pPr>
            <w:r w:rsidRPr="00C97E27">
              <w:rPr>
                <w:rFonts w:cstheme="minorHAnsi"/>
                <w:sz w:val="16"/>
                <w:szCs w:val="16"/>
                <w:highlight w:val="yellow"/>
              </w:rPr>
              <w:t xml:space="preserve">Reciklirati najmanje 70 mase ukupne otpadne ambalaže, najkasnije do </w:t>
            </w:r>
            <w:r w:rsidRPr="00C97E27">
              <w:rPr>
                <w:rFonts w:cstheme="minorHAnsi"/>
                <w:b/>
                <w:bCs/>
                <w:sz w:val="16"/>
                <w:szCs w:val="16"/>
                <w:highlight w:val="yellow"/>
              </w:rPr>
              <w:t>31. prosinca 2030</w:t>
            </w:r>
            <w:r>
              <w:rPr>
                <w:rFonts w:cstheme="minorHAnsi"/>
                <w:b/>
                <w:bCs/>
                <w:sz w:val="16"/>
                <w:szCs w:val="16"/>
              </w:rPr>
              <w:t>.</w:t>
            </w:r>
          </w:p>
          <w:p w14:paraId="48F07970" w14:textId="77777777" w:rsidR="00307DF3" w:rsidRDefault="00307DF3">
            <w:pPr>
              <w:rPr>
                <w:rFonts w:cstheme="minorHAnsi"/>
                <w:sz w:val="16"/>
                <w:szCs w:val="16"/>
              </w:rPr>
            </w:pPr>
            <w:r>
              <w:rPr>
                <w:rFonts w:cstheme="minorHAnsi"/>
                <w:sz w:val="16"/>
                <w:szCs w:val="16"/>
              </w:rPr>
              <w:t>Do 31. prosinca 2030. obraditi postupkom recikliranja barem sljedeće mase materijala u otpadnoj ambalaži:</w:t>
            </w:r>
          </w:p>
          <w:p w14:paraId="4C6F95BA" w14:textId="77777777" w:rsidR="00307DF3" w:rsidRDefault="00307DF3">
            <w:pPr>
              <w:pStyle w:val="Odlomakpopisa"/>
              <w:numPr>
                <w:ilvl w:val="0"/>
                <w:numId w:val="12"/>
              </w:numPr>
              <w:jc w:val="left"/>
              <w:rPr>
                <w:rFonts w:cstheme="minorHAnsi"/>
                <w:sz w:val="16"/>
                <w:szCs w:val="16"/>
              </w:rPr>
            </w:pPr>
            <w:r>
              <w:rPr>
                <w:rFonts w:cstheme="minorHAnsi"/>
                <w:sz w:val="16"/>
                <w:szCs w:val="16"/>
              </w:rPr>
              <w:t>55 % plastike;</w:t>
            </w:r>
          </w:p>
          <w:p w14:paraId="6FCFEAD1" w14:textId="77777777" w:rsidR="00307DF3" w:rsidRDefault="00307DF3">
            <w:pPr>
              <w:pStyle w:val="Odlomakpopisa"/>
              <w:numPr>
                <w:ilvl w:val="0"/>
                <w:numId w:val="12"/>
              </w:numPr>
              <w:jc w:val="left"/>
              <w:rPr>
                <w:rFonts w:cstheme="minorHAnsi"/>
                <w:sz w:val="16"/>
                <w:szCs w:val="16"/>
              </w:rPr>
            </w:pPr>
            <w:r>
              <w:rPr>
                <w:rFonts w:cstheme="minorHAnsi"/>
                <w:sz w:val="16"/>
                <w:szCs w:val="16"/>
              </w:rPr>
              <w:t>30 % drva;</w:t>
            </w:r>
          </w:p>
          <w:p w14:paraId="1670437F" w14:textId="77777777" w:rsidR="00307DF3" w:rsidRDefault="00307DF3">
            <w:pPr>
              <w:pStyle w:val="Odlomakpopisa"/>
              <w:numPr>
                <w:ilvl w:val="0"/>
                <w:numId w:val="12"/>
              </w:numPr>
              <w:jc w:val="left"/>
              <w:rPr>
                <w:rFonts w:cstheme="minorHAnsi"/>
                <w:sz w:val="16"/>
                <w:szCs w:val="16"/>
              </w:rPr>
            </w:pPr>
            <w:r>
              <w:rPr>
                <w:rFonts w:cstheme="minorHAnsi"/>
                <w:sz w:val="16"/>
                <w:szCs w:val="16"/>
              </w:rPr>
              <w:t>80 % neobojenih metala;</w:t>
            </w:r>
          </w:p>
          <w:p w14:paraId="6BDA2471" w14:textId="77777777" w:rsidR="00307DF3" w:rsidRDefault="00307DF3">
            <w:pPr>
              <w:pStyle w:val="Odlomakpopisa"/>
              <w:numPr>
                <w:ilvl w:val="0"/>
                <w:numId w:val="12"/>
              </w:numPr>
              <w:jc w:val="left"/>
              <w:rPr>
                <w:rFonts w:cstheme="minorHAnsi"/>
                <w:sz w:val="16"/>
                <w:szCs w:val="16"/>
              </w:rPr>
            </w:pPr>
            <w:r>
              <w:rPr>
                <w:rFonts w:cstheme="minorHAnsi"/>
                <w:sz w:val="16"/>
                <w:szCs w:val="16"/>
              </w:rPr>
              <w:t>60 % aluminija;</w:t>
            </w:r>
          </w:p>
          <w:p w14:paraId="2AB503EE" w14:textId="77777777" w:rsidR="00307DF3" w:rsidRDefault="00307DF3">
            <w:pPr>
              <w:pStyle w:val="Odlomakpopisa"/>
              <w:numPr>
                <w:ilvl w:val="0"/>
                <w:numId w:val="12"/>
              </w:numPr>
              <w:jc w:val="left"/>
              <w:rPr>
                <w:rFonts w:cstheme="minorHAnsi"/>
                <w:sz w:val="16"/>
                <w:szCs w:val="16"/>
              </w:rPr>
            </w:pPr>
            <w:r>
              <w:rPr>
                <w:rFonts w:cstheme="minorHAnsi"/>
                <w:sz w:val="16"/>
                <w:szCs w:val="16"/>
              </w:rPr>
              <w:t>75 % stakla;</w:t>
            </w:r>
          </w:p>
          <w:p w14:paraId="7D64851E" w14:textId="77777777" w:rsidR="00307DF3" w:rsidRDefault="00307DF3">
            <w:pPr>
              <w:rPr>
                <w:rFonts w:eastAsia="Calibri" w:cstheme="minorHAnsi"/>
                <w:sz w:val="16"/>
                <w:szCs w:val="16"/>
              </w:rPr>
            </w:pPr>
            <w:r>
              <w:rPr>
                <w:rFonts w:cstheme="minorHAnsi"/>
                <w:sz w:val="16"/>
                <w:szCs w:val="16"/>
              </w:rPr>
              <w:t>85 % papira i kartona.</w:t>
            </w:r>
          </w:p>
        </w:tc>
      </w:tr>
      <w:tr w:rsidR="00307DF3" w14:paraId="4DA617B7" w14:textId="77777777" w:rsidTr="00307DF3">
        <w:trPr>
          <w:trHeight w:val="65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6E82E5D8" w14:textId="77777777" w:rsidR="00307DF3" w:rsidRDefault="00307DF3">
            <w:pPr>
              <w:rPr>
                <w:rFonts w:eastAsia="Calibri" w:cstheme="minorHAnsi"/>
                <w:b/>
                <w:bCs/>
                <w:sz w:val="16"/>
                <w:szCs w:val="16"/>
              </w:rPr>
            </w:pPr>
            <w:r>
              <w:rPr>
                <w:rFonts w:eastAsia="Calibri" w:cstheme="minorHAnsi"/>
                <w:b/>
                <w:bCs/>
                <w:sz w:val="16"/>
                <w:szCs w:val="16"/>
              </w:rPr>
              <w:t xml:space="preserve">3.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EB86FD4" w14:textId="77777777" w:rsidR="00307DF3" w:rsidRDefault="00307DF3">
            <w:pPr>
              <w:rPr>
                <w:rFonts w:eastAsia="Calibri" w:cstheme="minorHAnsi"/>
                <w:b/>
                <w:bCs/>
                <w:sz w:val="16"/>
                <w:szCs w:val="16"/>
              </w:rPr>
            </w:pPr>
            <w:r>
              <w:rPr>
                <w:rFonts w:eastAsia="Calibri" w:cstheme="minorHAnsi"/>
                <w:b/>
                <w:bCs/>
                <w:sz w:val="16"/>
                <w:szCs w:val="16"/>
              </w:rPr>
              <w:t>Otpadni plastični proizvodi za jednokratnu uporabu</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4A6E244" w14:textId="77777777" w:rsidR="00307DF3" w:rsidRDefault="00307DF3">
            <w:pPr>
              <w:pStyle w:val="htmlunaprijedoblikovano-000262"/>
              <w:numPr>
                <w:ilvl w:val="0"/>
                <w:numId w:val="13"/>
              </w:numPr>
              <w:rPr>
                <w:rStyle w:val="zadanifontodlomka-000315"/>
                <w:rFonts w:asciiTheme="minorHAnsi" w:hAnsiTheme="minorHAnsi" w:cstheme="minorHAnsi"/>
                <w:sz w:val="16"/>
                <w:szCs w:val="16"/>
                <w:lang w:eastAsia="en-US"/>
              </w:rPr>
            </w:pPr>
            <w:r>
              <w:rPr>
                <w:rStyle w:val="zadanifontodlomka-000315"/>
                <w:rFonts w:asciiTheme="minorHAnsi" w:hAnsiTheme="minorHAnsi" w:cstheme="minorHAnsi"/>
                <w:sz w:val="16"/>
                <w:szCs w:val="16"/>
                <w:lang w:eastAsia="en-US"/>
              </w:rPr>
              <w:t>Do 2025. godine</w:t>
            </w:r>
            <w:r>
              <w:rPr>
                <w:rStyle w:val="zadanifontodlomka-000015"/>
                <w:rFonts w:asciiTheme="minorHAnsi" w:hAnsiTheme="minorHAnsi" w:cstheme="minorHAnsi"/>
                <w:sz w:val="16"/>
                <w:szCs w:val="16"/>
                <w:lang w:eastAsia="en-US"/>
              </w:rPr>
              <w:t xml:space="preserve"> osigurati</w:t>
            </w:r>
            <w:r>
              <w:rPr>
                <w:rStyle w:val="zadanifontodlomka-000015"/>
                <w:rFonts w:asciiTheme="minorHAnsi" w:hAnsiTheme="minorHAnsi" w:cstheme="minorHAnsi"/>
                <w:b/>
                <w:bCs/>
                <w:sz w:val="16"/>
                <w:szCs w:val="16"/>
                <w:lang w:eastAsia="en-US"/>
              </w:rPr>
              <w:t xml:space="preserve"> </w:t>
            </w:r>
            <w:r>
              <w:rPr>
                <w:rStyle w:val="zadanifontodlomka-000315"/>
                <w:rFonts w:asciiTheme="minorHAnsi" w:hAnsiTheme="minorHAnsi" w:cstheme="minorHAnsi"/>
                <w:sz w:val="16"/>
                <w:szCs w:val="16"/>
                <w:lang w:eastAsia="en-US"/>
              </w:rPr>
              <w:t xml:space="preserve">odvojeno sakupljanje </w:t>
            </w:r>
            <w:r>
              <w:rPr>
                <w:rStyle w:val="zadanifontodlomka-000015"/>
                <w:rFonts w:asciiTheme="minorHAnsi" w:hAnsiTheme="minorHAnsi" w:cstheme="minorHAnsi"/>
                <w:sz w:val="16"/>
                <w:szCs w:val="16"/>
                <w:lang w:eastAsia="en-US"/>
              </w:rPr>
              <w:t xml:space="preserve">radi recikliranja, količine boca za piće (do 3L, uključujući njihove čepove i poklopce) koje su izrađene od polietilen </w:t>
            </w:r>
            <w:proofErr w:type="spellStart"/>
            <w:r>
              <w:rPr>
                <w:rStyle w:val="zadanifontodlomka-000015"/>
                <w:rFonts w:asciiTheme="minorHAnsi" w:hAnsiTheme="minorHAnsi" w:cstheme="minorHAnsi"/>
                <w:sz w:val="16"/>
                <w:szCs w:val="16"/>
                <w:lang w:eastAsia="en-US"/>
              </w:rPr>
              <w:t>tereftalata</w:t>
            </w:r>
            <w:proofErr w:type="spellEnd"/>
            <w:r>
              <w:rPr>
                <w:rStyle w:val="zadanifontodlomka-000015"/>
                <w:rFonts w:asciiTheme="minorHAnsi" w:hAnsiTheme="minorHAnsi" w:cstheme="minorHAnsi"/>
                <w:sz w:val="16"/>
                <w:szCs w:val="16"/>
                <w:lang w:eastAsia="en-US"/>
              </w:rPr>
              <w:t xml:space="preserve"> kao glavne komponente („PET boce“), </w:t>
            </w:r>
            <w:r>
              <w:rPr>
                <w:rStyle w:val="zadanifontodlomka-000315"/>
                <w:rFonts w:asciiTheme="minorHAnsi" w:hAnsiTheme="minorHAnsi" w:cstheme="minorHAnsi"/>
                <w:sz w:val="16"/>
                <w:szCs w:val="16"/>
                <w:lang w:eastAsia="en-US"/>
              </w:rPr>
              <w:t xml:space="preserve">77 % </w:t>
            </w:r>
            <w:r>
              <w:rPr>
                <w:rStyle w:val="zadanifontodlomka-000015"/>
                <w:rFonts w:asciiTheme="minorHAnsi" w:hAnsiTheme="minorHAnsi" w:cstheme="minorHAnsi"/>
                <w:sz w:val="16"/>
                <w:szCs w:val="16"/>
                <w:lang w:eastAsia="en-US"/>
              </w:rPr>
              <w:t xml:space="preserve">mase stavljenih na tržište u godini, a do 2029. godine </w:t>
            </w:r>
            <w:r>
              <w:rPr>
                <w:rStyle w:val="zadanifontodlomka-000315"/>
                <w:rFonts w:asciiTheme="minorHAnsi" w:hAnsiTheme="minorHAnsi" w:cstheme="minorHAnsi"/>
                <w:sz w:val="16"/>
                <w:szCs w:val="16"/>
                <w:lang w:eastAsia="en-US"/>
              </w:rPr>
              <w:t xml:space="preserve">90 %. </w:t>
            </w:r>
          </w:p>
          <w:p w14:paraId="41434B21" w14:textId="1E95FE6C" w:rsidR="00307DF3" w:rsidRDefault="00BD2DEA">
            <w:pPr>
              <w:pStyle w:val="htmlunaprijedoblikovano-000262"/>
              <w:numPr>
                <w:ilvl w:val="0"/>
                <w:numId w:val="13"/>
              </w:numPr>
            </w:pPr>
            <w:r>
              <w:rPr>
                <w:rStyle w:val="zadanifontodlomka-000315"/>
                <w:rFonts w:asciiTheme="minorHAnsi" w:hAnsiTheme="minorHAnsi" w:cstheme="minorHAnsi"/>
                <w:sz w:val="16"/>
                <w:szCs w:val="16"/>
                <w:lang w:eastAsia="en-US"/>
              </w:rPr>
              <w:t>O</w:t>
            </w:r>
            <w:r>
              <w:rPr>
                <w:rStyle w:val="zadanifontodlomka-000315"/>
                <w:rFonts w:cstheme="minorHAnsi"/>
                <w:sz w:val="16"/>
                <w:szCs w:val="16"/>
              </w:rPr>
              <w:t>d</w:t>
            </w:r>
            <w:r>
              <w:rPr>
                <w:rStyle w:val="zadanifontodlomka-000315"/>
                <w:rFonts w:asciiTheme="minorHAnsi" w:hAnsiTheme="minorHAnsi" w:cstheme="minorHAnsi"/>
                <w:sz w:val="16"/>
                <w:szCs w:val="16"/>
                <w:lang w:eastAsia="en-US"/>
              </w:rPr>
              <w:t xml:space="preserve"> </w:t>
            </w:r>
            <w:r w:rsidR="00307DF3">
              <w:rPr>
                <w:rStyle w:val="zadanifontodlomka-000315"/>
                <w:rFonts w:asciiTheme="minorHAnsi" w:hAnsiTheme="minorHAnsi" w:cstheme="minorHAnsi"/>
                <w:sz w:val="16"/>
                <w:szCs w:val="16"/>
                <w:lang w:eastAsia="en-US"/>
              </w:rPr>
              <w:t>2025. godine</w:t>
            </w:r>
            <w:r w:rsidR="00307DF3">
              <w:rPr>
                <w:rStyle w:val="zadanifontodlomka-000015"/>
                <w:rFonts w:asciiTheme="minorHAnsi" w:hAnsiTheme="minorHAnsi" w:cstheme="minorHAnsi"/>
                <w:sz w:val="16"/>
                <w:szCs w:val="16"/>
                <w:lang w:eastAsia="en-US"/>
              </w:rPr>
              <w:t xml:space="preserve"> osigurati da “PET boce” sadrže najmanje 25 % reciklirane plastike, izračunate kao prosjek za sve PET boce stavljene na u RH; a od 2030. godine udio reciklirane plastike od najmanje 30 %</w:t>
            </w:r>
          </w:p>
        </w:tc>
      </w:tr>
      <w:tr w:rsidR="00307DF3" w14:paraId="6BD2051D" w14:textId="77777777" w:rsidTr="00307DF3">
        <w:trPr>
          <w:trHeight w:val="6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8A271" w14:textId="77777777" w:rsidR="00307DF3" w:rsidRDefault="00307DF3">
            <w:pPr>
              <w:rPr>
                <w:rFonts w:eastAsia="Calibri" w:cstheme="minorHAnsi"/>
                <w:b/>
                <w:bCs/>
                <w:sz w:val="16"/>
                <w:szCs w:val="1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CB686" w14:textId="77777777" w:rsidR="00307DF3" w:rsidRDefault="00307DF3">
            <w:pPr>
              <w:rPr>
                <w:rFonts w:eastAsia="Calibri" w:cstheme="minorHAnsi"/>
                <w:b/>
                <w:bCs/>
                <w:sz w:val="16"/>
                <w:szCs w:val="16"/>
                <w:lang w:val="en-GB"/>
              </w:rP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26E2F4B2" w14:textId="77777777" w:rsidR="00307DF3" w:rsidRDefault="00307DF3">
            <w:pPr>
              <w:rPr>
                <w:rFonts w:eastAsia="Calibri" w:cstheme="minorHAnsi"/>
                <w:sz w:val="16"/>
                <w:szCs w:val="16"/>
              </w:rPr>
            </w:pPr>
            <w:r>
              <w:rPr>
                <w:rFonts w:eastAsia="Calibri" w:cstheme="minorHAnsi"/>
                <w:sz w:val="16"/>
                <w:szCs w:val="16"/>
              </w:rPr>
              <w:t>Postići mjerljivo kvantitativno smanjenje potrošnje plastičnih proizvoda za jednokratnu uporabu (čaše za napitke, uključujući njihove čepove i poklopce, spremnici za hranu, tj. posude kao što su kutije, s poklopcem ili bez njega, koji se upotrebljavaju za držanje hrane) do 2026. godine u usporedbi s 2022. godinom.</w:t>
            </w:r>
          </w:p>
        </w:tc>
      </w:tr>
      <w:tr w:rsidR="00307DF3" w14:paraId="616865B8" w14:textId="77777777" w:rsidTr="00307DF3">
        <w:trPr>
          <w:trHeight w:val="5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1B0911" w14:textId="77777777" w:rsidR="00307DF3" w:rsidRDefault="00307DF3">
            <w:pPr>
              <w:rPr>
                <w:rFonts w:eastAsia="Calibri" w:cstheme="minorHAnsi"/>
                <w:b/>
                <w:bCs/>
                <w:sz w:val="16"/>
                <w:szCs w:val="1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7C1CA" w14:textId="77777777" w:rsidR="00307DF3" w:rsidRDefault="00307DF3">
            <w:pPr>
              <w:rPr>
                <w:rFonts w:eastAsia="Calibri" w:cstheme="minorHAnsi"/>
                <w:b/>
                <w:bCs/>
                <w:sz w:val="16"/>
                <w:szCs w:val="16"/>
                <w:lang w:val="en-GB"/>
              </w:rP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491262E2" w14:textId="77777777" w:rsidR="00307DF3" w:rsidRDefault="00307DF3">
            <w:pPr>
              <w:rPr>
                <w:rFonts w:eastAsia="Calibri" w:cstheme="minorHAnsi"/>
                <w:sz w:val="16"/>
                <w:szCs w:val="16"/>
              </w:rPr>
            </w:pPr>
            <w:r>
              <w:rPr>
                <w:rFonts w:eastAsia="Calibri" w:cstheme="minorHAnsi"/>
                <w:sz w:val="16"/>
                <w:szCs w:val="16"/>
              </w:rPr>
              <w:t>Postići minimalnu godišnju stopu sakupljanja ribolovnog alata koji sadrži plastiku i koji je namijenjen recikliranju</w:t>
            </w:r>
            <w:r>
              <w:rPr>
                <w:rStyle w:val="Referencafusnote"/>
                <w:rFonts w:eastAsia="Calibri" w:cstheme="minorHAnsi"/>
                <w:sz w:val="16"/>
                <w:szCs w:val="16"/>
              </w:rPr>
              <w:footnoteReference w:id="31"/>
            </w:r>
          </w:p>
        </w:tc>
      </w:tr>
      <w:tr w:rsidR="00307DF3" w14:paraId="43F824BD" w14:textId="77777777" w:rsidTr="00307DF3">
        <w:tc>
          <w:tcPr>
            <w:tcW w:w="562" w:type="dxa"/>
            <w:tcBorders>
              <w:top w:val="single" w:sz="4" w:space="0" w:color="auto"/>
              <w:left w:val="single" w:sz="4" w:space="0" w:color="auto"/>
              <w:bottom w:val="single" w:sz="4" w:space="0" w:color="auto"/>
              <w:right w:val="single" w:sz="4" w:space="0" w:color="auto"/>
            </w:tcBorders>
            <w:vAlign w:val="center"/>
            <w:hideMark/>
          </w:tcPr>
          <w:p w14:paraId="7D133A14" w14:textId="77777777" w:rsidR="00307DF3" w:rsidRDefault="00307DF3">
            <w:pPr>
              <w:rPr>
                <w:rFonts w:eastAsia="Calibri" w:cstheme="minorHAnsi"/>
                <w:b/>
                <w:bCs/>
                <w:sz w:val="16"/>
                <w:szCs w:val="16"/>
              </w:rPr>
            </w:pPr>
            <w:r>
              <w:rPr>
                <w:rFonts w:eastAsia="Calibri" w:cstheme="minorHAnsi"/>
                <w:b/>
                <w:bCs/>
                <w:sz w:val="16"/>
                <w:szCs w:val="16"/>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A8033B" w14:textId="77777777" w:rsidR="00307DF3" w:rsidRDefault="00307DF3">
            <w:pPr>
              <w:rPr>
                <w:rFonts w:eastAsia="Calibri" w:cstheme="minorHAnsi"/>
                <w:b/>
                <w:bCs/>
                <w:sz w:val="16"/>
                <w:szCs w:val="16"/>
              </w:rPr>
            </w:pPr>
            <w:r>
              <w:rPr>
                <w:rFonts w:eastAsia="Calibri" w:cstheme="minorHAnsi"/>
                <w:b/>
                <w:bCs/>
                <w:sz w:val="16"/>
                <w:szCs w:val="16"/>
              </w:rPr>
              <w:t>Građevni otpad</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990D2E9" w14:textId="77777777" w:rsidR="00307DF3" w:rsidRDefault="00307DF3">
            <w:pPr>
              <w:rPr>
                <w:rFonts w:eastAsia="Calibri" w:cstheme="minorHAnsi"/>
                <w:sz w:val="16"/>
                <w:szCs w:val="16"/>
              </w:rPr>
            </w:pPr>
            <w:proofErr w:type="spellStart"/>
            <w:r>
              <w:rPr>
                <w:rFonts w:eastAsia="Calibri" w:cstheme="minorHAnsi"/>
                <w:sz w:val="16"/>
                <w:szCs w:val="16"/>
              </w:rPr>
              <w:t>Oporabiti</w:t>
            </w:r>
            <w:proofErr w:type="spellEnd"/>
            <w:r>
              <w:rPr>
                <w:rFonts w:eastAsia="Calibri" w:cstheme="minorHAnsi"/>
                <w:sz w:val="16"/>
                <w:szCs w:val="16"/>
              </w:rPr>
              <w:t xml:space="preserve"> recikliranjem, pripremom za ponovnu uporabu i drugim postupcima materijalne oporabe, uključujući postupak nasipavanja, kod kojih se otpad koristi kao zamjena za druge materijale, najmanje 70% mase neopasnog građevnog otpada, osim materijala iz prirode određenog ključnim brojem otpada 17 05 04 – zemlja i kamenje koji nisu navedeni pod 17 05 03, </w:t>
            </w:r>
          </w:p>
        </w:tc>
      </w:tr>
      <w:tr w:rsidR="00307DF3" w14:paraId="7E095C69" w14:textId="77777777" w:rsidTr="00307DF3">
        <w:tc>
          <w:tcPr>
            <w:tcW w:w="562" w:type="dxa"/>
            <w:tcBorders>
              <w:top w:val="single" w:sz="4" w:space="0" w:color="auto"/>
              <w:left w:val="single" w:sz="4" w:space="0" w:color="auto"/>
              <w:bottom w:val="single" w:sz="4" w:space="0" w:color="auto"/>
              <w:right w:val="single" w:sz="4" w:space="0" w:color="auto"/>
            </w:tcBorders>
            <w:vAlign w:val="center"/>
            <w:hideMark/>
          </w:tcPr>
          <w:p w14:paraId="21A63650" w14:textId="77777777" w:rsidR="00307DF3" w:rsidRDefault="00307DF3">
            <w:pPr>
              <w:rPr>
                <w:rFonts w:eastAsia="Calibri" w:cstheme="minorHAnsi"/>
                <w:b/>
                <w:bCs/>
                <w:sz w:val="16"/>
                <w:szCs w:val="16"/>
              </w:rPr>
            </w:pPr>
            <w:r>
              <w:rPr>
                <w:rFonts w:eastAsia="Calibri" w:cstheme="minorHAnsi"/>
                <w:b/>
                <w:bCs/>
                <w:sz w:val="16"/>
                <w:szCs w:val="16"/>
              </w:rPr>
              <w:t xml:space="preserve">5.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7E51C4" w14:textId="77777777" w:rsidR="00307DF3" w:rsidRDefault="00307DF3">
            <w:pPr>
              <w:rPr>
                <w:rFonts w:eastAsia="Calibri" w:cstheme="minorHAnsi"/>
                <w:b/>
                <w:bCs/>
                <w:sz w:val="16"/>
                <w:szCs w:val="16"/>
              </w:rPr>
            </w:pPr>
            <w:r>
              <w:rPr>
                <w:rFonts w:eastAsia="Calibri" w:cstheme="minorHAnsi"/>
                <w:b/>
                <w:bCs/>
                <w:sz w:val="16"/>
                <w:szCs w:val="16"/>
              </w:rPr>
              <w:t>Otpadna vozila</w:t>
            </w:r>
          </w:p>
        </w:tc>
        <w:tc>
          <w:tcPr>
            <w:tcW w:w="7229" w:type="dxa"/>
            <w:tcBorders>
              <w:top w:val="single" w:sz="4" w:space="0" w:color="auto"/>
              <w:left w:val="single" w:sz="4" w:space="0" w:color="auto"/>
              <w:bottom w:val="single" w:sz="4" w:space="0" w:color="auto"/>
              <w:right w:val="single" w:sz="4" w:space="0" w:color="auto"/>
            </w:tcBorders>
            <w:hideMark/>
          </w:tcPr>
          <w:p w14:paraId="0913703F" w14:textId="77777777" w:rsidR="00307DF3" w:rsidRDefault="00307DF3">
            <w:pPr>
              <w:rPr>
                <w:rFonts w:eastAsia="Calibri" w:cstheme="minorHAnsi"/>
                <w:sz w:val="16"/>
                <w:szCs w:val="16"/>
              </w:rPr>
            </w:pPr>
            <w:r>
              <w:rPr>
                <w:rFonts w:eastAsia="Calibri" w:cstheme="minorHAnsi"/>
                <w:sz w:val="16"/>
                <w:szCs w:val="16"/>
              </w:rPr>
              <w:t>Na godišnjoj razini postići:</w:t>
            </w:r>
          </w:p>
          <w:p w14:paraId="49C5E286" w14:textId="77777777" w:rsidR="00307DF3" w:rsidRDefault="00307DF3">
            <w:pPr>
              <w:pStyle w:val="Odlomakpopisa"/>
              <w:numPr>
                <w:ilvl w:val="0"/>
                <w:numId w:val="14"/>
              </w:numPr>
              <w:jc w:val="left"/>
              <w:rPr>
                <w:rFonts w:eastAsia="Calibri" w:cstheme="minorHAnsi"/>
                <w:sz w:val="16"/>
                <w:szCs w:val="16"/>
              </w:rPr>
            </w:pPr>
            <w:r>
              <w:rPr>
                <w:rFonts w:eastAsia="Calibri" w:cstheme="minorHAnsi"/>
                <w:sz w:val="16"/>
                <w:szCs w:val="16"/>
              </w:rPr>
              <w:t>Stopu ponovne uporabe i oporabe otpadnih vozila predanih na obradu od najmanje 95% prosječne mase otpadnog vozila</w:t>
            </w:r>
          </w:p>
          <w:p w14:paraId="47901884" w14:textId="77777777" w:rsidR="00307DF3" w:rsidRDefault="00307DF3">
            <w:pPr>
              <w:pStyle w:val="Odlomakpopisa"/>
              <w:numPr>
                <w:ilvl w:val="0"/>
                <w:numId w:val="15"/>
              </w:numPr>
              <w:jc w:val="left"/>
              <w:rPr>
                <w:rFonts w:eastAsia="Calibri" w:cstheme="minorHAnsi"/>
                <w:sz w:val="16"/>
                <w:szCs w:val="16"/>
              </w:rPr>
            </w:pPr>
            <w:r>
              <w:rPr>
                <w:rFonts w:eastAsia="Calibri" w:cstheme="minorHAnsi"/>
                <w:sz w:val="16"/>
                <w:szCs w:val="16"/>
              </w:rPr>
              <w:t xml:space="preserve">Stopu ponovne uporabe i recikliranja otpadnih vozila predanih na obradu od najmanje 85% prosječne mase otpadnog vozila </w:t>
            </w:r>
          </w:p>
        </w:tc>
      </w:tr>
      <w:tr w:rsidR="00C043BE" w14:paraId="463B263C" w14:textId="77777777" w:rsidTr="00307DF3">
        <w:tc>
          <w:tcPr>
            <w:tcW w:w="562" w:type="dxa"/>
            <w:tcBorders>
              <w:top w:val="single" w:sz="4" w:space="0" w:color="auto"/>
              <w:left w:val="single" w:sz="4" w:space="0" w:color="auto"/>
              <w:bottom w:val="single" w:sz="4" w:space="0" w:color="auto"/>
              <w:right w:val="single" w:sz="4" w:space="0" w:color="auto"/>
            </w:tcBorders>
            <w:vAlign w:val="center"/>
            <w:hideMark/>
          </w:tcPr>
          <w:p w14:paraId="482B2DE4" w14:textId="77777777" w:rsidR="00C043BE" w:rsidRDefault="00C043BE" w:rsidP="00C043BE">
            <w:pPr>
              <w:rPr>
                <w:rFonts w:eastAsia="Calibri" w:cstheme="minorHAnsi"/>
                <w:b/>
                <w:bCs/>
                <w:sz w:val="16"/>
                <w:szCs w:val="16"/>
              </w:rPr>
            </w:pPr>
            <w:r>
              <w:rPr>
                <w:rFonts w:eastAsia="Calibri" w:cstheme="minorHAnsi"/>
                <w:b/>
                <w:bCs/>
                <w:sz w:val="16"/>
                <w:szCs w:val="16"/>
              </w:rPr>
              <w:t xml:space="preserve">6.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8C6682" w14:textId="77777777" w:rsidR="00C043BE" w:rsidRDefault="00C043BE" w:rsidP="00C043BE">
            <w:pPr>
              <w:rPr>
                <w:rFonts w:eastAsia="Calibri" w:cstheme="minorHAnsi"/>
                <w:b/>
                <w:bCs/>
                <w:sz w:val="16"/>
                <w:szCs w:val="16"/>
              </w:rPr>
            </w:pPr>
            <w:r>
              <w:rPr>
                <w:rFonts w:eastAsia="Calibri" w:cstheme="minorHAnsi"/>
                <w:b/>
                <w:bCs/>
                <w:sz w:val="16"/>
                <w:szCs w:val="16"/>
              </w:rPr>
              <w:t>Otpadne baterije i akumulatori</w:t>
            </w:r>
          </w:p>
        </w:tc>
        <w:tc>
          <w:tcPr>
            <w:tcW w:w="7229" w:type="dxa"/>
            <w:tcBorders>
              <w:top w:val="single" w:sz="4" w:space="0" w:color="auto"/>
              <w:left w:val="single" w:sz="4" w:space="0" w:color="auto"/>
              <w:bottom w:val="single" w:sz="4" w:space="0" w:color="auto"/>
              <w:right w:val="single" w:sz="4" w:space="0" w:color="auto"/>
            </w:tcBorders>
            <w:hideMark/>
          </w:tcPr>
          <w:p w14:paraId="1A613BDA" w14:textId="77777777" w:rsidR="00C043BE" w:rsidRDefault="00C043BE" w:rsidP="00C043BE">
            <w:pPr>
              <w:rPr>
                <w:rFonts w:eastAsia="Calibri" w:cstheme="minorHAnsi"/>
                <w:sz w:val="16"/>
                <w:szCs w:val="16"/>
              </w:rPr>
            </w:pPr>
            <w:r>
              <w:rPr>
                <w:rFonts w:eastAsia="Calibri" w:cstheme="minorHAnsi"/>
                <w:sz w:val="16"/>
                <w:szCs w:val="16"/>
              </w:rPr>
              <w:t>Postići godišnju stopa odvojenog sakupljanja otpadnih baterija i akumulatora najmanje 45% od prosječne godišnje količine stavljene na tržište u protekle tri godine</w:t>
            </w:r>
          </w:p>
          <w:p w14:paraId="1F41CAE7" w14:textId="77777777" w:rsidR="00C043BE" w:rsidRDefault="00C043BE" w:rsidP="00C043BE">
            <w:pPr>
              <w:rPr>
                <w:rFonts w:eastAsia="Calibri" w:cstheme="minorHAnsi"/>
                <w:sz w:val="16"/>
                <w:szCs w:val="16"/>
              </w:rPr>
            </w:pPr>
          </w:p>
          <w:p w14:paraId="3A11B5F1" w14:textId="77777777" w:rsidR="00C043BE" w:rsidRPr="00296F51" w:rsidRDefault="00C043BE" w:rsidP="00C043BE">
            <w:pPr>
              <w:rPr>
                <w:rFonts w:eastAsia="Calibri" w:cstheme="minorHAnsi"/>
                <w:sz w:val="16"/>
                <w:szCs w:val="16"/>
              </w:rPr>
            </w:pPr>
            <w:r w:rsidRPr="00296F51">
              <w:rPr>
                <w:rFonts w:eastAsia="Calibri" w:cstheme="minorHAnsi"/>
                <w:sz w:val="16"/>
                <w:szCs w:val="16"/>
              </w:rPr>
              <w:t>Postići minimalnu učinkovitost recikliranja:</w:t>
            </w:r>
          </w:p>
          <w:p w14:paraId="547DB6F7" w14:textId="77777777" w:rsidR="00C043BE" w:rsidRPr="00296F51" w:rsidRDefault="00C043BE" w:rsidP="00C043BE">
            <w:pPr>
              <w:rPr>
                <w:rFonts w:eastAsia="Calibri" w:cstheme="minorHAnsi"/>
                <w:sz w:val="16"/>
                <w:szCs w:val="16"/>
              </w:rPr>
            </w:pPr>
          </w:p>
          <w:p w14:paraId="75E10874" w14:textId="77777777" w:rsidR="00C043BE" w:rsidRPr="00296F51" w:rsidRDefault="00C043BE" w:rsidP="00C043BE">
            <w:pPr>
              <w:rPr>
                <w:rFonts w:eastAsia="Calibri" w:cstheme="minorHAnsi"/>
                <w:sz w:val="16"/>
                <w:szCs w:val="16"/>
              </w:rPr>
            </w:pPr>
            <w:r w:rsidRPr="00296F51">
              <w:rPr>
                <w:rFonts w:eastAsia="Calibri" w:cstheme="minorHAnsi"/>
                <w:sz w:val="16"/>
                <w:szCs w:val="16"/>
              </w:rPr>
              <w:t>(a)</w:t>
            </w:r>
            <w:r w:rsidRPr="00296F51">
              <w:rPr>
                <w:rFonts w:eastAsia="Calibri" w:cstheme="minorHAnsi"/>
                <w:sz w:val="16"/>
                <w:szCs w:val="16"/>
              </w:rPr>
              <w:tab/>
              <w:t>recikliranje 65 % prosječne mase olovno-kiselih baterija i akumulatora, uključujući recikliranje sadržaja olova u najvećoj tehnički izvedivoj mjeri uz izbjegavanje prekomjernih troškova;</w:t>
            </w:r>
          </w:p>
          <w:p w14:paraId="550E4B77" w14:textId="77777777" w:rsidR="00C043BE" w:rsidRPr="00296F51" w:rsidRDefault="00C043BE" w:rsidP="00C043BE">
            <w:pPr>
              <w:rPr>
                <w:rFonts w:eastAsia="Calibri" w:cstheme="minorHAnsi"/>
                <w:sz w:val="16"/>
                <w:szCs w:val="16"/>
              </w:rPr>
            </w:pPr>
            <w:r w:rsidRPr="00296F51">
              <w:rPr>
                <w:rFonts w:eastAsia="Calibri" w:cstheme="minorHAnsi"/>
                <w:sz w:val="16"/>
                <w:szCs w:val="16"/>
              </w:rPr>
              <w:t>(b)</w:t>
            </w:r>
            <w:r w:rsidRPr="00296F51">
              <w:rPr>
                <w:rFonts w:eastAsia="Calibri" w:cstheme="minorHAnsi"/>
                <w:sz w:val="16"/>
                <w:szCs w:val="16"/>
              </w:rPr>
              <w:tab/>
              <w:t>recikliranje 75 % prosječne mase nikal-</w:t>
            </w:r>
            <w:proofErr w:type="spellStart"/>
            <w:r w:rsidRPr="00296F51">
              <w:rPr>
                <w:rFonts w:eastAsia="Calibri" w:cstheme="minorHAnsi"/>
                <w:sz w:val="16"/>
                <w:szCs w:val="16"/>
              </w:rPr>
              <w:t>kadmijskih</w:t>
            </w:r>
            <w:proofErr w:type="spellEnd"/>
            <w:r w:rsidRPr="00296F51">
              <w:rPr>
                <w:rFonts w:eastAsia="Calibri" w:cstheme="minorHAnsi"/>
                <w:sz w:val="16"/>
                <w:szCs w:val="16"/>
              </w:rPr>
              <w:t xml:space="preserve"> baterija i akumulatora, uključujući recikliranje sadržaja kadmija u najvećoj tehnički izvedivoj mjeri uz izbjegavanje prekomjernih troškova; i</w:t>
            </w:r>
          </w:p>
          <w:p w14:paraId="14456B89" w14:textId="207201DA" w:rsidR="00C043BE" w:rsidRDefault="00C043BE" w:rsidP="00C043BE">
            <w:pPr>
              <w:rPr>
                <w:rFonts w:eastAsia="Calibri" w:cstheme="minorHAnsi"/>
                <w:sz w:val="16"/>
                <w:szCs w:val="16"/>
              </w:rPr>
            </w:pPr>
            <w:r w:rsidRPr="00296F51">
              <w:rPr>
                <w:rFonts w:eastAsia="Calibri" w:cstheme="minorHAnsi"/>
                <w:sz w:val="16"/>
                <w:szCs w:val="16"/>
              </w:rPr>
              <w:t>(c)</w:t>
            </w:r>
            <w:r w:rsidRPr="00296F51">
              <w:rPr>
                <w:rFonts w:eastAsia="Calibri" w:cstheme="minorHAnsi"/>
                <w:sz w:val="16"/>
                <w:szCs w:val="16"/>
              </w:rPr>
              <w:tab/>
              <w:t>recikliranje 50 % prosječne mase ostalih otpadnih baterija i akumulatora.</w:t>
            </w:r>
          </w:p>
        </w:tc>
      </w:tr>
      <w:tr w:rsidR="00307DF3" w14:paraId="5F15565C" w14:textId="77777777" w:rsidTr="00307DF3">
        <w:trPr>
          <w:trHeight w:val="788"/>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66369FDD" w14:textId="77777777" w:rsidR="00307DF3" w:rsidRDefault="00307DF3">
            <w:pPr>
              <w:rPr>
                <w:rFonts w:eastAsia="Calibri" w:cstheme="minorHAnsi"/>
                <w:b/>
                <w:bCs/>
                <w:sz w:val="16"/>
                <w:szCs w:val="16"/>
              </w:rPr>
            </w:pPr>
            <w:r>
              <w:rPr>
                <w:rFonts w:eastAsia="Calibri" w:cstheme="minorHAnsi"/>
                <w:b/>
                <w:bCs/>
                <w:sz w:val="16"/>
                <w:szCs w:val="16"/>
              </w:rPr>
              <w:t>7.</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89FD9D8" w14:textId="77777777" w:rsidR="00307DF3" w:rsidRDefault="00307DF3">
            <w:pPr>
              <w:rPr>
                <w:rFonts w:eastAsia="Calibri" w:cstheme="minorHAnsi"/>
                <w:b/>
                <w:bCs/>
                <w:sz w:val="16"/>
                <w:szCs w:val="16"/>
              </w:rPr>
            </w:pPr>
            <w:r>
              <w:rPr>
                <w:rFonts w:eastAsia="Calibri" w:cstheme="minorHAnsi"/>
                <w:b/>
                <w:bCs/>
                <w:sz w:val="16"/>
                <w:szCs w:val="16"/>
              </w:rPr>
              <w:t>Otpadna električna i elektronička oprema</w:t>
            </w:r>
          </w:p>
        </w:tc>
        <w:tc>
          <w:tcPr>
            <w:tcW w:w="7229" w:type="dxa"/>
            <w:tcBorders>
              <w:top w:val="single" w:sz="4" w:space="0" w:color="auto"/>
              <w:left w:val="single" w:sz="4" w:space="0" w:color="auto"/>
              <w:bottom w:val="single" w:sz="4" w:space="0" w:color="auto"/>
              <w:right w:val="single" w:sz="4" w:space="0" w:color="auto"/>
            </w:tcBorders>
            <w:hideMark/>
          </w:tcPr>
          <w:p w14:paraId="07751747" w14:textId="77777777" w:rsidR="00307DF3" w:rsidRDefault="00307DF3">
            <w:pPr>
              <w:rPr>
                <w:rFonts w:eastAsia="Calibri" w:cstheme="minorHAnsi"/>
                <w:sz w:val="16"/>
                <w:szCs w:val="16"/>
              </w:rPr>
            </w:pPr>
            <w:r>
              <w:rPr>
                <w:rFonts w:eastAsia="Calibri" w:cstheme="minorHAnsi"/>
                <w:sz w:val="16"/>
                <w:szCs w:val="16"/>
              </w:rPr>
              <w:t xml:space="preserve">Postići godišnja stopa odvojenog sakupljanja otpadne električne i elektroničke opreme najmanje 65% prosječne mase električne i elektroničke opreme stavljene na tržište u tri prethodne godine </w:t>
            </w:r>
          </w:p>
          <w:p w14:paraId="320AB02C" w14:textId="77777777" w:rsidR="00307DF3" w:rsidRDefault="00307DF3">
            <w:pPr>
              <w:rPr>
                <w:rFonts w:eastAsia="Calibri" w:cstheme="minorHAnsi"/>
                <w:sz w:val="16"/>
                <w:szCs w:val="16"/>
              </w:rPr>
            </w:pPr>
            <w:r>
              <w:rPr>
                <w:rFonts w:eastAsia="Calibri" w:cstheme="minorHAnsi"/>
                <w:sz w:val="16"/>
                <w:szCs w:val="16"/>
              </w:rPr>
              <w:t>ili 85% EE otpada proizvedenog na teritoriju RH.</w:t>
            </w:r>
          </w:p>
        </w:tc>
      </w:tr>
      <w:tr w:rsidR="00307DF3" w14:paraId="4ECA22A0" w14:textId="77777777" w:rsidTr="00307DF3">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9EE11C" w14:textId="77777777" w:rsidR="00307DF3" w:rsidRDefault="00307DF3">
            <w:pPr>
              <w:rPr>
                <w:rFonts w:eastAsia="Calibri" w:cstheme="minorHAnsi"/>
                <w:b/>
                <w:bCs/>
                <w:sz w:val="16"/>
                <w:szCs w:val="1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ED944" w14:textId="77777777" w:rsidR="00307DF3" w:rsidRDefault="00307DF3">
            <w:pPr>
              <w:rPr>
                <w:rFonts w:eastAsia="Calibri" w:cstheme="minorHAnsi"/>
                <w:b/>
                <w:bCs/>
                <w:sz w:val="16"/>
                <w:szCs w:val="16"/>
                <w:lang w:val="en-GB"/>
              </w:rPr>
            </w:pPr>
          </w:p>
        </w:tc>
        <w:tc>
          <w:tcPr>
            <w:tcW w:w="7229" w:type="dxa"/>
            <w:tcBorders>
              <w:top w:val="single" w:sz="4" w:space="0" w:color="auto"/>
              <w:left w:val="single" w:sz="4" w:space="0" w:color="auto"/>
              <w:bottom w:val="single" w:sz="4" w:space="0" w:color="auto"/>
              <w:right w:val="single" w:sz="4" w:space="0" w:color="auto"/>
            </w:tcBorders>
            <w:hideMark/>
          </w:tcPr>
          <w:p w14:paraId="72520DB2" w14:textId="77777777" w:rsidR="00307DF3" w:rsidRDefault="00307DF3">
            <w:pPr>
              <w:rPr>
                <w:rFonts w:eastAsia="Calibri" w:cstheme="minorHAnsi"/>
                <w:sz w:val="16"/>
                <w:szCs w:val="16"/>
              </w:rPr>
            </w:pPr>
            <w:proofErr w:type="spellStart"/>
            <w:r>
              <w:rPr>
                <w:rFonts w:eastAsia="Calibri" w:cstheme="minorHAnsi"/>
                <w:sz w:val="16"/>
                <w:szCs w:val="16"/>
              </w:rPr>
              <w:t>Oporabiti</w:t>
            </w:r>
            <w:proofErr w:type="spellEnd"/>
            <w:r>
              <w:rPr>
                <w:rFonts w:eastAsia="Calibri" w:cstheme="minorHAnsi"/>
                <w:sz w:val="16"/>
                <w:szCs w:val="16"/>
              </w:rPr>
              <w:t xml:space="preserve"> EE otpada na godišnjoj razini najmanje:</w:t>
            </w:r>
          </w:p>
          <w:p w14:paraId="50E45994" w14:textId="77777777" w:rsidR="00307DF3" w:rsidRDefault="00307DF3">
            <w:pPr>
              <w:pStyle w:val="Odlomakpopisa"/>
              <w:numPr>
                <w:ilvl w:val="0"/>
                <w:numId w:val="15"/>
              </w:numPr>
              <w:jc w:val="left"/>
              <w:rPr>
                <w:rFonts w:eastAsia="Calibri" w:cstheme="minorHAnsi"/>
                <w:sz w:val="16"/>
                <w:szCs w:val="16"/>
              </w:rPr>
            </w:pPr>
            <w:r>
              <w:rPr>
                <w:rFonts w:eastAsia="Calibri" w:cstheme="minorHAnsi"/>
                <w:sz w:val="16"/>
                <w:szCs w:val="16"/>
              </w:rPr>
              <w:t>85% ili postupkom pripreme za ponovnu uporabu i postupkom recikliranja najmanje 80% mase sakupljene opreme za izmjenu topline ili velike opreme čija vanjska dimenzija je veća od 50 cm</w:t>
            </w:r>
          </w:p>
          <w:p w14:paraId="634D5C9A" w14:textId="77777777" w:rsidR="00307DF3" w:rsidRDefault="00307DF3">
            <w:pPr>
              <w:pStyle w:val="Odlomakpopisa"/>
              <w:numPr>
                <w:ilvl w:val="0"/>
                <w:numId w:val="15"/>
              </w:numPr>
              <w:jc w:val="left"/>
              <w:rPr>
                <w:rFonts w:eastAsia="Calibri" w:cstheme="minorHAnsi"/>
                <w:sz w:val="16"/>
                <w:szCs w:val="16"/>
              </w:rPr>
            </w:pPr>
            <w:r>
              <w:rPr>
                <w:rFonts w:eastAsia="Calibri" w:cstheme="minorHAnsi"/>
                <w:sz w:val="16"/>
                <w:szCs w:val="16"/>
              </w:rPr>
              <w:t>80% ili postupkom pripreme za ponovnu uporabu i postupkom recikliranja najmanje 70% mase sakupljenih zaslona, monitora i oprema koja sadrži zaslone površine veće od 100 cm</w:t>
            </w:r>
            <w:r>
              <w:rPr>
                <w:rFonts w:eastAsia="Calibri" w:cstheme="minorHAnsi"/>
                <w:sz w:val="16"/>
                <w:szCs w:val="16"/>
                <w:vertAlign w:val="superscript"/>
              </w:rPr>
              <w:t>2</w:t>
            </w:r>
          </w:p>
          <w:p w14:paraId="29E677FB" w14:textId="77777777" w:rsidR="00307DF3" w:rsidRDefault="00307DF3">
            <w:pPr>
              <w:pStyle w:val="Odlomakpopisa"/>
              <w:numPr>
                <w:ilvl w:val="0"/>
                <w:numId w:val="15"/>
              </w:numPr>
              <w:jc w:val="left"/>
              <w:rPr>
                <w:rFonts w:eastAsia="Calibri" w:cstheme="minorHAnsi"/>
                <w:sz w:val="16"/>
                <w:szCs w:val="16"/>
              </w:rPr>
            </w:pPr>
            <w:r>
              <w:rPr>
                <w:rFonts w:eastAsia="Calibri" w:cstheme="minorHAnsi"/>
                <w:sz w:val="16"/>
                <w:szCs w:val="16"/>
              </w:rPr>
              <w:t>75% ili postupkom pripreme za ponovnu uporabu i postupkom recikliranja najmanje 55% mase sakupljene male opreme čija nijedna vanjska dimenzija nije veća od 50 cm ili male opreme informatičke tehnike i opreme za telekomunikacije čija nijedna vanjska dimenzija nije veća od 50 cm</w:t>
            </w:r>
          </w:p>
          <w:p w14:paraId="0995B194" w14:textId="77777777" w:rsidR="00307DF3" w:rsidRDefault="00307DF3">
            <w:pPr>
              <w:pStyle w:val="Odlomakpopisa"/>
              <w:numPr>
                <w:ilvl w:val="0"/>
                <w:numId w:val="15"/>
              </w:numPr>
              <w:jc w:val="left"/>
              <w:rPr>
                <w:rFonts w:eastAsia="Calibri" w:cstheme="minorHAnsi"/>
                <w:sz w:val="16"/>
                <w:szCs w:val="16"/>
              </w:rPr>
            </w:pPr>
            <w:r>
              <w:rPr>
                <w:rFonts w:eastAsia="Calibri" w:cstheme="minorHAnsi"/>
                <w:sz w:val="16"/>
                <w:szCs w:val="16"/>
              </w:rPr>
              <w:lastRenderedPageBreak/>
              <w:t>80% mase sakupljenih žarulja postupkom recikliranja</w:t>
            </w:r>
          </w:p>
        </w:tc>
      </w:tr>
      <w:tr w:rsidR="00307DF3" w14:paraId="4F504748" w14:textId="77777777" w:rsidTr="00307DF3">
        <w:trPr>
          <w:trHeight w:val="837"/>
        </w:trPr>
        <w:tc>
          <w:tcPr>
            <w:tcW w:w="562" w:type="dxa"/>
            <w:tcBorders>
              <w:top w:val="single" w:sz="4" w:space="0" w:color="auto"/>
              <w:left w:val="single" w:sz="4" w:space="0" w:color="auto"/>
              <w:bottom w:val="single" w:sz="4" w:space="0" w:color="auto"/>
              <w:right w:val="single" w:sz="4" w:space="0" w:color="auto"/>
            </w:tcBorders>
            <w:vAlign w:val="center"/>
            <w:hideMark/>
          </w:tcPr>
          <w:p w14:paraId="3B9F463E" w14:textId="77777777" w:rsidR="00307DF3" w:rsidRDefault="00307DF3">
            <w:pPr>
              <w:rPr>
                <w:rFonts w:eastAsia="Calibri" w:cstheme="minorHAnsi"/>
                <w:b/>
                <w:bCs/>
                <w:sz w:val="16"/>
                <w:szCs w:val="16"/>
              </w:rPr>
            </w:pPr>
            <w:r>
              <w:rPr>
                <w:rFonts w:eastAsia="Calibri" w:cstheme="minorHAnsi"/>
                <w:b/>
                <w:bCs/>
                <w:sz w:val="16"/>
                <w:szCs w:val="16"/>
              </w:rPr>
              <w:lastRenderedPageBreak/>
              <w:t>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568480" w14:textId="77777777" w:rsidR="00307DF3" w:rsidRDefault="00307DF3">
            <w:pPr>
              <w:rPr>
                <w:rFonts w:eastAsia="Calibri" w:cstheme="minorHAnsi"/>
                <w:b/>
                <w:bCs/>
                <w:sz w:val="16"/>
                <w:szCs w:val="16"/>
              </w:rPr>
            </w:pPr>
            <w:r>
              <w:rPr>
                <w:rFonts w:eastAsia="Calibri" w:cstheme="minorHAnsi"/>
                <w:b/>
                <w:bCs/>
                <w:sz w:val="16"/>
                <w:szCs w:val="16"/>
              </w:rPr>
              <w:t>Otpadne gume</w:t>
            </w:r>
          </w:p>
        </w:tc>
        <w:tc>
          <w:tcPr>
            <w:tcW w:w="7229" w:type="dxa"/>
            <w:tcBorders>
              <w:top w:val="single" w:sz="4" w:space="0" w:color="auto"/>
              <w:left w:val="single" w:sz="4" w:space="0" w:color="auto"/>
              <w:bottom w:val="single" w:sz="4" w:space="0" w:color="auto"/>
              <w:right w:val="single" w:sz="4" w:space="0" w:color="auto"/>
            </w:tcBorders>
            <w:hideMark/>
          </w:tcPr>
          <w:p w14:paraId="5A260362" w14:textId="77777777" w:rsidR="00307DF3" w:rsidRDefault="00307DF3">
            <w:pPr>
              <w:rPr>
                <w:rFonts w:eastAsia="Calibri" w:cstheme="minorHAnsi"/>
                <w:sz w:val="16"/>
                <w:szCs w:val="16"/>
              </w:rPr>
            </w:pPr>
            <w:r>
              <w:rPr>
                <w:rFonts w:eastAsia="Calibri" w:cstheme="minorHAnsi"/>
                <w:sz w:val="16"/>
                <w:szCs w:val="16"/>
              </w:rPr>
              <w:t>Osigurati:</w:t>
            </w:r>
          </w:p>
          <w:p w14:paraId="7F5C9B1E" w14:textId="77777777" w:rsidR="00307DF3" w:rsidRDefault="00307DF3">
            <w:pPr>
              <w:pStyle w:val="Odlomakpopisa"/>
              <w:numPr>
                <w:ilvl w:val="0"/>
                <w:numId w:val="16"/>
              </w:numPr>
              <w:jc w:val="left"/>
              <w:rPr>
                <w:rFonts w:eastAsia="Calibri" w:cstheme="minorHAnsi"/>
                <w:sz w:val="16"/>
                <w:szCs w:val="16"/>
              </w:rPr>
            </w:pPr>
            <w:r>
              <w:rPr>
                <w:rFonts w:eastAsia="Calibri" w:cstheme="minorHAnsi"/>
                <w:sz w:val="16"/>
                <w:szCs w:val="16"/>
              </w:rPr>
              <w:t>Sustavno odvojeno sakupljanje otpadnih guma</w:t>
            </w:r>
          </w:p>
          <w:p w14:paraId="1EB7C9E8" w14:textId="77777777" w:rsidR="00307DF3" w:rsidRDefault="00307DF3">
            <w:pPr>
              <w:pStyle w:val="Odlomakpopisa"/>
              <w:numPr>
                <w:ilvl w:val="0"/>
                <w:numId w:val="16"/>
              </w:numPr>
              <w:jc w:val="left"/>
              <w:rPr>
                <w:rFonts w:eastAsia="Calibri" w:cstheme="minorHAnsi"/>
                <w:sz w:val="16"/>
                <w:szCs w:val="16"/>
              </w:rPr>
            </w:pPr>
            <w:r>
              <w:rPr>
                <w:rFonts w:eastAsia="Calibri" w:cstheme="minorHAnsi"/>
                <w:sz w:val="16"/>
                <w:szCs w:val="16"/>
              </w:rPr>
              <w:t>Obradu svih odvojeno sakupljenih otpadnih guma</w:t>
            </w:r>
          </w:p>
          <w:p w14:paraId="0BC99470" w14:textId="77777777" w:rsidR="00307DF3" w:rsidRDefault="00307DF3">
            <w:pPr>
              <w:pStyle w:val="Odlomakpopisa"/>
              <w:numPr>
                <w:ilvl w:val="0"/>
                <w:numId w:val="16"/>
              </w:numPr>
              <w:jc w:val="left"/>
              <w:rPr>
                <w:rFonts w:eastAsia="Calibri" w:cstheme="minorHAnsi"/>
                <w:sz w:val="16"/>
                <w:szCs w:val="16"/>
              </w:rPr>
            </w:pPr>
            <w:r>
              <w:rPr>
                <w:rFonts w:eastAsia="Calibri" w:cstheme="minorHAnsi"/>
                <w:sz w:val="16"/>
                <w:szCs w:val="16"/>
              </w:rPr>
              <w:t>Recikliranje najmanje 80% mase odvojeno sakupljenih otpadnih guma u kalendarskoj godini u RH</w:t>
            </w:r>
          </w:p>
        </w:tc>
      </w:tr>
      <w:tr w:rsidR="00307DF3" w14:paraId="78AD3B76" w14:textId="77777777" w:rsidTr="00307DF3">
        <w:tc>
          <w:tcPr>
            <w:tcW w:w="9067" w:type="dxa"/>
            <w:gridSpan w:val="3"/>
            <w:tcBorders>
              <w:top w:val="single" w:sz="4" w:space="0" w:color="auto"/>
              <w:left w:val="single" w:sz="4" w:space="0" w:color="auto"/>
              <w:bottom w:val="single" w:sz="4" w:space="0" w:color="auto"/>
              <w:right w:val="single" w:sz="4" w:space="0" w:color="auto"/>
            </w:tcBorders>
            <w:hideMark/>
          </w:tcPr>
          <w:p w14:paraId="55CB70A5" w14:textId="2EAC3B28" w:rsidR="00307DF3" w:rsidRDefault="00307DF3">
            <w:pPr>
              <w:rPr>
                <w:rFonts w:eastAsia="Calibri" w:cstheme="minorHAnsi"/>
                <w:b/>
                <w:bCs/>
                <w:sz w:val="16"/>
                <w:szCs w:val="16"/>
              </w:rPr>
            </w:pPr>
            <w:r>
              <w:rPr>
                <w:rFonts w:eastAsia="Calibri" w:cstheme="minorHAnsi"/>
                <w:b/>
                <w:bCs/>
                <w:sz w:val="16"/>
                <w:szCs w:val="16"/>
              </w:rPr>
              <w:t xml:space="preserve">9. Unaprijediti sustav gospodarenja svim ostalim posebnim kategorijama otpada koji nisu obuhvaćeni ciljevima 1-8 </w:t>
            </w:r>
          </w:p>
        </w:tc>
      </w:tr>
      <w:tr w:rsidR="00307DF3" w14:paraId="2A99831E" w14:textId="77777777" w:rsidTr="00307DF3">
        <w:tc>
          <w:tcPr>
            <w:tcW w:w="9067" w:type="dxa"/>
            <w:gridSpan w:val="3"/>
            <w:tcBorders>
              <w:top w:val="single" w:sz="4" w:space="0" w:color="auto"/>
              <w:left w:val="single" w:sz="4" w:space="0" w:color="auto"/>
              <w:bottom w:val="single" w:sz="4" w:space="0" w:color="auto"/>
              <w:right w:val="single" w:sz="4" w:space="0" w:color="auto"/>
            </w:tcBorders>
            <w:hideMark/>
          </w:tcPr>
          <w:p w14:paraId="28CF0FAF" w14:textId="77777777" w:rsidR="00307DF3" w:rsidRDefault="00307DF3">
            <w:pPr>
              <w:rPr>
                <w:rFonts w:eastAsia="Calibri" w:cstheme="minorHAnsi"/>
                <w:b/>
                <w:bCs/>
                <w:sz w:val="16"/>
                <w:szCs w:val="16"/>
              </w:rPr>
            </w:pPr>
            <w:r>
              <w:rPr>
                <w:rFonts w:eastAsia="Calibri" w:cstheme="minorHAnsi"/>
                <w:b/>
                <w:bCs/>
                <w:sz w:val="16"/>
                <w:szCs w:val="16"/>
              </w:rPr>
              <w:t>10. Unaprijediti sustav gospodarenja opasnim otpadom</w:t>
            </w:r>
          </w:p>
        </w:tc>
      </w:tr>
      <w:tr w:rsidR="00307DF3" w14:paraId="079724EA" w14:textId="77777777" w:rsidTr="00307DF3">
        <w:tc>
          <w:tcPr>
            <w:tcW w:w="9067" w:type="dxa"/>
            <w:gridSpan w:val="3"/>
            <w:tcBorders>
              <w:top w:val="single" w:sz="4" w:space="0" w:color="auto"/>
              <w:left w:val="single" w:sz="4" w:space="0" w:color="auto"/>
              <w:bottom w:val="single" w:sz="4" w:space="0" w:color="auto"/>
              <w:right w:val="single" w:sz="4" w:space="0" w:color="auto"/>
            </w:tcBorders>
            <w:hideMark/>
          </w:tcPr>
          <w:p w14:paraId="5E47E7DE" w14:textId="77777777" w:rsidR="00307DF3" w:rsidRDefault="00307DF3">
            <w:pPr>
              <w:rPr>
                <w:rFonts w:eastAsia="Calibri" w:cstheme="minorHAnsi"/>
                <w:b/>
                <w:bCs/>
                <w:sz w:val="16"/>
                <w:szCs w:val="16"/>
              </w:rPr>
            </w:pPr>
            <w:r>
              <w:rPr>
                <w:rFonts w:eastAsia="Calibri" w:cstheme="minorHAnsi"/>
                <w:b/>
                <w:bCs/>
                <w:sz w:val="16"/>
                <w:szCs w:val="16"/>
              </w:rPr>
              <w:t>11. Sanirati lokacije onečišćene otpadom</w:t>
            </w:r>
          </w:p>
        </w:tc>
      </w:tr>
      <w:tr w:rsidR="00307DF3" w14:paraId="7B5AACFF" w14:textId="77777777" w:rsidTr="00307DF3">
        <w:tc>
          <w:tcPr>
            <w:tcW w:w="9067" w:type="dxa"/>
            <w:gridSpan w:val="3"/>
            <w:tcBorders>
              <w:top w:val="single" w:sz="4" w:space="0" w:color="auto"/>
              <w:left w:val="single" w:sz="4" w:space="0" w:color="auto"/>
              <w:bottom w:val="single" w:sz="4" w:space="0" w:color="auto"/>
              <w:right w:val="single" w:sz="4" w:space="0" w:color="auto"/>
            </w:tcBorders>
            <w:hideMark/>
          </w:tcPr>
          <w:p w14:paraId="4C6FE2C0" w14:textId="77777777" w:rsidR="00307DF3" w:rsidRDefault="00307DF3">
            <w:pPr>
              <w:rPr>
                <w:rFonts w:eastAsia="Calibri" w:cstheme="minorHAnsi"/>
                <w:b/>
                <w:bCs/>
                <w:sz w:val="16"/>
                <w:szCs w:val="16"/>
              </w:rPr>
            </w:pPr>
            <w:r>
              <w:rPr>
                <w:rFonts w:eastAsia="Calibri" w:cstheme="minorHAnsi"/>
                <w:b/>
                <w:bCs/>
                <w:sz w:val="16"/>
                <w:szCs w:val="16"/>
              </w:rPr>
              <w:t>12. Unaprijediti informacijski sustav gospodarenja otpadom</w:t>
            </w:r>
          </w:p>
        </w:tc>
      </w:tr>
      <w:tr w:rsidR="00307DF3" w14:paraId="378841F4" w14:textId="77777777" w:rsidTr="00307DF3">
        <w:tc>
          <w:tcPr>
            <w:tcW w:w="9067" w:type="dxa"/>
            <w:gridSpan w:val="3"/>
            <w:tcBorders>
              <w:top w:val="single" w:sz="4" w:space="0" w:color="auto"/>
              <w:left w:val="single" w:sz="4" w:space="0" w:color="auto"/>
              <w:bottom w:val="single" w:sz="4" w:space="0" w:color="auto"/>
              <w:right w:val="single" w:sz="4" w:space="0" w:color="auto"/>
            </w:tcBorders>
            <w:hideMark/>
          </w:tcPr>
          <w:p w14:paraId="60ABBD41" w14:textId="77777777" w:rsidR="00307DF3" w:rsidRDefault="00307DF3">
            <w:pPr>
              <w:rPr>
                <w:rFonts w:eastAsia="Calibri" w:cstheme="minorHAnsi"/>
                <w:b/>
                <w:bCs/>
                <w:sz w:val="16"/>
                <w:szCs w:val="16"/>
                <w:highlight w:val="yellow"/>
              </w:rPr>
            </w:pPr>
            <w:r>
              <w:rPr>
                <w:rFonts w:eastAsia="Calibri" w:cstheme="minorHAnsi"/>
                <w:b/>
                <w:bCs/>
                <w:sz w:val="16"/>
                <w:szCs w:val="16"/>
              </w:rPr>
              <w:t xml:space="preserve">13. Unaprijediti nadzor nad gospodarenjem otpadom </w:t>
            </w:r>
          </w:p>
        </w:tc>
      </w:tr>
      <w:bookmarkEnd w:id="193"/>
    </w:tbl>
    <w:p w14:paraId="0156F13B" w14:textId="77777777" w:rsidR="00307DF3" w:rsidRDefault="00307DF3" w:rsidP="00307DF3">
      <w:pPr>
        <w:rPr>
          <w:rFonts w:cstheme="minorHAnsi"/>
          <w:sz w:val="20"/>
          <w:szCs w:val="20"/>
        </w:rPr>
      </w:pPr>
    </w:p>
    <w:p w14:paraId="7F7111C3" w14:textId="1545A485" w:rsidR="00307DF3" w:rsidRPr="00307DF3" w:rsidRDefault="00307DF3" w:rsidP="00307DF3">
      <w:pPr>
        <w:rPr>
          <w:rFonts w:cstheme="minorHAnsi"/>
        </w:rPr>
      </w:pPr>
      <w:r w:rsidRPr="00307DF3">
        <w:rPr>
          <w:rFonts w:cstheme="minorHAnsi"/>
        </w:rPr>
        <w:t>Ciljevi, mjere i aktivnosti kojima RH planira pridonijeti ostvarenju ciljeva EU i UN-ove Agende 2030 za održivi razvoj, konkretno cilju 12.3. Odgovorna proizvodnja i potrošnja sa specifičnim ciljem smanjenja otpada od hrane po stanovniku, za polovinu na razini maloprodaje i potrošača te smanjenja gubitaka hrane duž cijelog lanca proizvodnje i opskrbe do 2030. godine, bit će definirane u planu sprječavanja i smanjenja nastajanja otpada od hrane u RH za razdoblje 2023.-2028., čija izrada i implementacija je u nadležnosti Ministarstva poljoprivrede.</w:t>
      </w:r>
    </w:p>
    <w:p w14:paraId="29968F1C" w14:textId="1A2FF084" w:rsidR="008A4B6C" w:rsidRDefault="008A4B6C" w:rsidP="00E55A31"/>
    <w:p w14:paraId="3C2AB984" w14:textId="77777777" w:rsidR="008A4B6C" w:rsidRPr="00835847" w:rsidRDefault="008A4B6C" w:rsidP="00E55A31"/>
    <w:p w14:paraId="7F4A5681" w14:textId="218164F3" w:rsidR="009C3C11" w:rsidRPr="00835847" w:rsidRDefault="008A4B6C" w:rsidP="0018450E">
      <w:pPr>
        <w:pStyle w:val="IRNaslov1"/>
        <w:numPr>
          <w:ilvl w:val="0"/>
          <w:numId w:val="22"/>
        </w:numPr>
        <w:ind w:left="709" w:hanging="709"/>
      </w:pPr>
      <w:bookmarkStart w:id="194" w:name="_Toc123211650"/>
      <w:r>
        <w:lastRenderedPageBreak/>
        <w:t>Procjena razvoja tijeka otpada, potrebe i način uspostave novih sustava i mreže građevina i uređaja za gospodarenje otpadom</w:t>
      </w:r>
      <w:bookmarkEnd w:id="194"/>
    </w:p>
    <w:p w14:paraId="65157B9D" w14:textId="4D37988D" w:rsidR="00477694" w:rsidRPr="00835847" w:rsidRDefault="00A919BD" w:rsidP="0018450E">
      <w:pPr>
        <w:pStyle w:val="IRNaslov2"/>
        <w:numPr>
          <w:ilvl w:val="1"/>
          <w:numId w:val="22"/>
        </w:numPr>
        <w:ind w:left="709" w:hanging="709"/>
      </w:pPr>
      <w:bookmarkStart w:id="195" w:name="_Toc123211651"/>
      <w:r>
        <w:t>Procjena razvoja tijeka komunalnog otpada</w:t>
      </w:r>
      <w:bookmarkEnd w:id="195"/>
    </w:p>
    <w:p w14:paraId="6D2018A9" w14:textId="2BC533EC" w:rsidR="00AC5856" w:rsidRDefault="00AC5856" w:rsidP="00AC5856">
      <w:r>
        <w:t xml:space="preserve">Procjena </w:t>
      </w:r>
      <w:r w:rsidR="00205E74">
        <w:t xml:space="preserve">budućih </w:t>
      </w:r>
      <w:r>
        <w:t>količina komunalnog</w:t>
      </w:r>
      <w:r w:rsidR="0065555D">
        <w:t xml:space="preserve"> i ambalažnog</w:t>
      </w:r>
      <w:r>
        <w:t xml:space="preserve"> otpada izrađena je za razdoblje od 2023. godine do 2035. godine. Za istu se koristio model višestruke linearne regresije, koja se temeljila na tri pokazatelja koja imaju utjecaj na nastajanje komunalnog otpada, a to su: </w:t>
      </w:r>
    </w:p>
    <w:p w14:paraId="035F0C93" w14:textId="77777777" w:rsidR="00AC5856" w:rsidRDefault="00AC5856">
      <w:pPr>
        <w:pStyle w:val="Odlomakpopisa"/>
        <w:numPr>
          <w:ilvl w:val="0"/>
          <w:numId w:val="20"/>
        </w:numPr>
        <w:spacing w:line="256" w:lineRule="auto"/>
      </w:pPr>
      <w:r>
        <w:t>Demografska kretanja u RH u razdoblju između dva cenzusa stanovništva 2011. 2021. (Izvor: DZS);</w:t>
      </w:r>
    </w:p>
    <w:p w14:paraId="70721C92" w14:textId="77777777" w:rsidR="00AC5856" w:rsidRDefault="00AC5856">
      <w:pPr>
        <w:pStyle w:val="Odlomakpopisa"/>
        <w:numPr>
          <w:ilvl w:val="0"/>
          <w:numId w:val="20"/>
        </w:numPr>
        <w:spacing w:line="256" w:lineRule="auto"/>
      </w:pPr>
      <w:r>
        <w:t>Procjena kretanja Bruto društvenog proizvoda za RH (Izvor: Ministarstvo financija, Nacionalna razvojna strategija Republike Hrvatske do 2030. godine</w:t>
      </w:r>
      <w:r>
        <w:rPr>
          <w:rStyle w:val="Referencafusnote"/>
        </w:rPr>
        <w:footnoteReference w:id="32"/>
      </w:r>
      <w:r>
        <w:t>);</w:t>
      </w:r>
    </w:p>
    <w:p w14:paraId="64BEFD94" w14:textId="77777777" w:rsidR="00AC5856" w:rsidRDefault="00AC5856">
      <w:pPr>
        <w:pStyle w:val="Odlomakpopisa"/>
        <w:numPr>
          <w:ilvl w:val="0"/>
          <w:numId w:val="20"/>
        </w:numPr>
        <w:spacing w:line="256" w:lineRule="auto"/>
      </w:pPr>
      <w:r>
        <w:t>Broj stranih turističkih noćenja u RH za razdoblje 2009.-2019. (Izvor: DZS).</w:t>
      </w:r>
    </w:p>
    <w:p w14:paraId="0E131061" w14:textId="77777777" w:rsidR="00AC5856" w:rsidRDefault="00AC5856" w:rsidP="00AC5856">
      <w:r>
        <w:t>Kod projekcija broja stanovnika od 2023. do 2035. godine koristila se aritmetička stopa rasta/pada za razdoblje između 2011. i 2021. godine, odnosno razdoblje između dvije godine u kojima se provodio popis stanovnika. Ista je iznosila -0.84% za godišnju razinu.</w:t>
      </w:r>
    </w:p>
    <w:p w14:paraId="0C680526" w14:textId="77777777" w:rsidR="00AC5856" w:rsidRDefault="00AC5856" w:rsidP="00AC5856">
      <w:r>
        <w:t>Kod utvrđivanja vrijednosti rasta BDP-a, za razdoblje od 2023. do 2025. godine koristile su se projekcije Ministarstva financija iz travnja 2022. godine</w:t>
      </w:r>
      <w:r>
        <w:rPr>
          <w:rStyle w:val="Referencafusnote"/>
        </w:rPr>
        <w:footnoteReference w:id="33"/>
      </w:r>
      <w:r>
        <w:t xml:space="preserve">, dok se za razdoblje od 2026. godine nadalje koristila pretpostavka o godišnjem rastu BDP-a od 3,5 % do 2030. godine, kako je navedeno u Nacionalnoj razvojnoj strategiji Republike Hrvatske do 2030. godine, a koja je preuzeta iz prognoza Europske komisije. </w:t>
      </w:r>
    </w:p>
    <w:p w14:paraId="0D9A4738" w14:textId="77777777" w:rsidR="00AC5856" w:rsidRDefault="00AC5856" w:rsidP="00AC5856">
      <w:r>
        <w:t>U projekciji broja stranih turističkih noćenja koristila se aritmetička stopa rasta/pada za razdoblje između 2009. i 2019. godine, koja je iznosila 6,1 %. Zbog značajnog negativnog učinka pandemije COVID-19 na turističku potražnju u 2020. i 2021. godini, navedene godine nisu uzete u obzir kod projekcije, već je uzeto u obzir prethodno stabilno razdoblje.</w:t>
      </w:r>
    </w:p>
    <w:p w14:paraId="72AADC99" w14:textId="2498C0C2" w:rsidR="00AC5856" w:rsidRDefault="00836A9C" w:rsidP="00AC5856">
      <w:r w:rsidRPr="00836A9C">
        <w:t>Procjena količine komunalnog otpada u 2028.</w:t>
      </w:r>
      <w:r w:rsidR="00B6209C">
        <w:t xml:space="preserve"> </w:t>
      </w:r>
      <w:r w:rsidRPr="00836A9C">
        <w:t>iznosila bi</w:t>
      </w:r>
      <w:r w:rsidR="00AC5856">
        <w:t xml:space="preserve"> 2.070.164 tone, a u 2035. godini 2.550.158 tona (</w:t>
      </w:r>
      <w:r w:rsidR="00AC5856">
        <w:fldChar w:fldCharType="begin"/>
      </w:r>
      <w:r w:rsidR="00AC5856">
        <w:instrText xml:space="preserve"> REF _Ref115076381 \h </w:instrText>
      </w:r>
      <w:r w:rsidR="00AC5856">
        <w:fldChar w:fldCharType="separate"/>
      </w:r>
      <w:r w:rsidR="00F37B62">
        <w:t xml:space="preserve">Slika </w:t>
      </w:r>
      <w:r w:rsidR="00F37B62">
        <w:rPr>
          <w:noProof/>
        </w:rPr>
        <w:t>59</w:t>
      </w:r>
      <w:r w:rsidR="00AC5856">
        <w:fldChar w:fldCharType="end"/>
      </w:r>
      <w:r w:rsidR="00AC5856">
        <w:t>).</w:t>
      </w:r>
    </w:p>
    <w:p w14:paraId="1327917F" w14:textId="77777777" w:rsidR="005D5B78" w:rsidRDefault="005D5B78" w:rsidP="00AC5856"/>
    <w:p w14:paraId="28397F8C" w14:textId="14508667" w:rsidR="00AC5856" w:rsidRPr="00AC5856" w:rsidRDefault="00AC5856" w:rsidP="00891EC4">
      <w:pPr>
        <w:pStyle w:val="Slika"/>
      </w:pPr>
      <w:bookmarkStart w:id="196" w:name="_Ref115076381"/>
      <w:bookmarkStart w:id="197" w:name="_Toc125363967"/>
      <w:r>
        <w:t xml:space="preserve">Slika </w:t>
      </w:r>
      <w:fldSimple w:instr=" SEQ Slika \* ARABIC ">
        <w:r w:rsidR="00F37B62">
          <w:rPr>
            <w:noProof/>
          </w:rPr>
          <w:t>59</w:t>
        </w:r>
      </w:fldSimple>
      <w:bookmarkEnd w:id="196"/>
      <w:r>
        <w:t xml:space="preserve">. </w:t>
      </w:r>
      <w:r w:rsidRPr="00AC5856">
        <w:rPr>
          <w:b w:val="0"/>
          <w:bCs/>
        </w:rPr>
        <w:t>Projekcija godišnjih količina nastalog komunalnog otpada za razdoblje od 2023. godine do 2035. godine</w:t>
      </w:r>
      <w:bookmarkEnd w:id="197"/>
    </w:p>
    <w:p w14:paraId="121356DD" w14:textId="168415BD" w:rsidR="00477694" w:rsidRPr="00B6209C" w:rsidRDefault="0038033A" w:rsidP="00D058ED">
      <w:pPr>
        <w:pStyle w:val="IRNaslov2"/>
      </w:pPr>
      <w:bookmarkStart w:id="198" w:name="_Toc123211652"/>
      <w:r>
        <w:t>5.2</w:t>
      </w:r>
      <w:r w:rsidR="007E7DE5">
        <w:t>.</w:t>
      </w:r>
      <w:r>
        <w:t xml:space="preserve"> </w:t>
      </w:r>
      <w:r w:rsidR="008A4B6C" w:rsidRPr="00B6209C">
        <w:t>Otpadna ambalaža</w:t>
      </w:r>
      <w:bookmarkEnd w:id="198"/>
    </w:p>
    <w:p w14:paraId="5F5D57C6" w14:textId="60AF58FB" w:rsidR="00AF2D2D" w:rsidRDefault="00AF2D2D" w:rsidP="00AF2D2D">
      <w:r>
        <w:t xml:space="preserve">Projekcija </w:t>
      </w:r>
      <w:r w:rsidR="00836A9C">
        <w:t>količina</w:t>
      </w:r>
      <w:r>
        <w:t xml:space="preserve"> ambalažnog otpada je izrađena za dvije varijable: </w:t>
      </w:r>
    </w:p>
    <w:p w14:paraId="1AFD2664" w14:textId="77777777" w:rsidR="00AF2D2D" w:rsidRDefault="00AF2D2D">
      <w:pPr>
        <w:pStyle w:val="Odlomakpopisa"/>
        <w:numPr>
          <w:ilvl w:val="0"/>
          <w:numId w:val="21"/>
        </w:numPr>
        <w:spacing w:line="256" w:lineRule="auto"/>
      </w:pPr>
      <w:r>
        <w:t>ambalažni otpad iz sustava FZOEU koji obuhvaća količine ambalažnog otpada sakupljene i evidentirane putem sustava proširene odgovornosti proizvođača FZOEU</w:t>
      </w:r>
    </w:p>
    <w:p w14:paraId="7CB68D89" w14:textId="155C77E2" w:rsidR="00AF2D2D" w:rsidRDefault="00AF2D2D">
      <w:pPr>
        <w:pStyle w:val="Odlomakpopisa"/>
        <w:numPr>
          <w:ilvl w:val="0"/>
          <w:numId w:val="21"/>
        </w:numPr>
        <w:spacing w:line="256" w:lineRule="auto"/>
      </w:pPr>
      <w:r>
        <w:lastRenderedPageBreak/>
        <w:t xml:space="preserve">ukupna količina ambalažnog otpada koja </w:t>
      </w:r>
      <w:r w:rsidR="00836A9C">
        <w:t xml:space="preserve">osim količina iz sustava FZOEU </w:t>
      </w:r>
      <w:r>
        <w:t xml:space="preserve">obuhvaća </w:t>
      </w:r>
      <w:r w:rsidR="00836A9C">
        <w:t xml:space="preserve">i </w:t>
      </w:r>
      <w:r>
        <w:t xml:space="preserve">količine ambalažnog u otpada koje </w:t>
      </w:r>
      <w:r w:rsidR="00836A9C">
        <w:t>nisu evidentirane putem sustava</w:t>
      </w:r>
      <w:r>
        <w:t xml:space="preserve"> </w:t>
      </w:r>
      <w:proofErr w:type="spellStart"/>
      <w:r>
        <w:t>sustava</w:t>
      </w:r>
      <w:proofErr w:type="spellEnd"/>
      <w:r w:rsidR="00836A9C">
        <w:t xml:space="preserve"> FZOEU</w:t>
      </w:r>
      <w:r>
        <w:t xml:space="preserve">. </w:t>
      </w:r>
    </w:p>
    <w:p w14:paraId="135D928B" w14:textId="176FE3A8" w:rsidR="009B61DD" w:rsidRDefault="00AF2D2D" w:rsidP="00AF2D2D">
      <w:r>
        <w:t>Projekcija pokazuje trend porasta količina za obje varijable</w:t>
      </w:r>
      <w:r w:rsidR="00836A9C">
        <w:t xml:space="preserve"> i za sljedeće vrste ambalažnog otpad: </w:t>
      </w:r>
      <w:proofErr w:type="spellStart"/>
      <w:r w:rsidR="00836A9C">
        <w:t>amabalažni</w:t>
      </w:r>
      <w:proofErr w:type="spellEnd"/>
      <w:r w:rsidR="00836A9C">
        <w:t xml:space="preserve"> otpad od papira i kartona, ambalažni otpad od plastike, ambalažni otpad od stakla, ambalažni otpad </w:t>
      </w:r>
      <w:r w:rsidR="009B61DD">
        <w:t>metala, ambalažni otpad od drva i ambalažni otpad od stakla.</w:t>
      </w:r>
    </w:p>
    <w:p w14:paraId="0260BE5A" w14:textId="3A7D739B" w:rsidR="00AF2D2D" w:rsidRDefault="00AF2D2D" w:rsidP="00AF2D2D">
      <w:r>
        <w:t xml:space="preserve">U planskom razdoblju ukupne količine ambalažnog otpada kretat će se između 376.000 tona i 423.000 tona, sa godišnjom stopom rasta od 2%. </w:t>
      </w:r>
    </w:p>
    <w:p w14:paraId="547346A8" w14:textId="28FC58F2" w:rsidR="00AF2D2D" w:rsidRDefault="00AF2D2D" w:rsidP="00AF2D2D">
      <w:r>
        <w:t xml:space="preserve">Vezano za količine sakupljene </w:t>
      </w:r>
      <w:r w:rsidR="00836A9C">
        <w:t xml:space="preserve">u sustavu </w:t>
      </w:r>
      <w:r>
        <w:t>FZOEU, sukladno projekciji iste će se u planskom razdoblju kretati između 152.000 tona i 168.000 tona, s godišnjom stopom rasta od 1,7%.</w:t>
      </w:r>
    </w:p>
    <w:p w14:paraId="656A6B34" w14:textId="482E9EB5" w:rsidR="00AF2D2D" w:rsidRDefault="00AF2D2D" w:rsidP="00AF2D2D">
      <w:r>
        <w:t>U nastavku se daje prikaz projekcije ukupne količine ambalažnog otpada za obje varijable (</w:t>
      </w:r>
      <w:r>
        <w:fldChar w:fldCharType="begin"/>
      </w:r>
      <w:r>
        <w:instrText xml:space="preserve"> REF _Ref115076538 \h </w:instrText>
      </w:r>
      <w:r>
        <w:fldChar w:fldCharType="separate"/>
      </w:r>
      <w:r w:rsidR="00F37B62">
        <w:t xml:space="preserve">Slika </w:t>
      </w:r>
      <w:r w:rsidR="00F37B62">
        <w:rPr>
          <w:noProof/>
        </w:rPr>
        <w:t>60</w:t>
      </w:r>
      <w:r>
        <w:fldChar w:fldCharType="end"/>
      </w:r>
      <w:r>
        <w:t>).</w:t>
      </w:r>
    </w:p>
    <w:p w14:paraId="3F8B5F85" w14:textId="77777777" w:rsidR="005D5B78" w:rsidRDefault="005D5B78" w:rsidP="00AF2D2D"/>
    <w:p w14:paraId="0E0B0F5E" w14:textId="5499F038" w:rsidR="00AF2D2D" w:rsidRDefault="00AF2D2D" w:rsidP="00AF2D2D">
      <w:pPr>
        <w:pStyle w:val="Slika"/>
      </w:pPr>
      <w:bookmarkStart w:id="199" w:name="_Ref115076538"/>
      <w:bookmarkStart w:id="200" w:name="_Toc125363968"/>
      <w:r>
        <w:t xml:space="preserve">Slika </w:t>
      </w:r>
      <w:fldSimple w:instr=" SEQ Slika \* ARABIC ">
        <w:r w:rsidR="00F37B62">
          <w:rPr>
            <w:noProof/>
          </w:rPr>
          <w:t>60</w:t>
        </w:r>
      </w:fldSimple>
      <w:bookmarkEnd w:id="199"/>
      <w:r>
        <w:t xml:space="preserve">. </w:t>
      </w:r>
      <w:r w:rsidRPr="00AF2D2D">
        <w:rPr>
          <w:b w:val="0"/>
          <w:bCs/>
        </w:rPr>
        <w:t>Projekcija godišnjih količina ukupno sakupljenog ambalažnog otpada i ambalažnog otpada sakupljenog putem sustava FZOEU za razdoblje od 2023. godine do 2035. godine</w:t>
      </w:r>
      <w:bookmarkEnd w:id="200"/>
    </w:p>
    <w:p w14:paraId="59594E3B" w14:textId="7B2D8442" w:rsidR="00AF2D2D" w:rsidRDefault="00AF2D2D" w:rsidP="00AF2D2D">
      <w:r>
        <w:t xml:space="preserve">Projekcija </w:t>
      </w:r>
      <w:r w:rsidR="009B61DD">
        <w:t xml:space="preserve">količina </w:t>
      </w:r>
      <w:r>
        <w:t>po vrstama ambalažnog otpada izrađena je temeljem podataka iz Informacijskog sustava gospodarenja otpadom. Ista je pokazala da će u planskom razdoblju kod svih vrsta osim kod drva doći do pozitivne godišnje stope porasta količina. Za karton i papir godišnja stopa porasta iznosit će 1,0 %, za staklo 4,9 %, za Al/Fe 2,0 % te za polimerni ambalažni otpad 2,6 %. Za drvo se predviđa negativna godišnja stopa porasta u iznosu od -0,05 %.</w:t>
      </w:r>
    </w:p>
    <w:p w14:paraId="1C37BEEE" w14:textId="77777777" w:rsidR="005D5B78" w:rsidRDefault="005D5B78" w:rsidP="00AF2D2D"/>
    <w:p w14:paraId="74AA7ACD" w14:textId="7E59DBEB" w:rsidR="00AF2D2D" w:rsidRDefault="00AF2D2D" w:rsidP="00AF2D2D">
      <w:pPr>
        <w:pStyle w:val="Slika"/>
      </w:pPr>
      <w:bookmarkStart w:id="201" w:name="_Toc125363969"/>
      <w:r>
        <w:t xml:space="preserve">Slika </w:t>
      </w:r>
      <w:fldSimple w:instr=" SEQ Slika \* ARABIC ">
        <w:r w:rsidR="00F37B62">
          <w:rPr>
            <w:noProof/>
          </w:rPr>
          <w:t>61</w:t>
        </w:r>
      </w:fldSimple>
      <w:r>
        <w:t xml:space="preserve">. </w:t>
      </w:r>
      <w:r w:rsidRPr="00AF2D2D">
        <w:rPr>
          <w:b w:val="0"/>
          <w:bCs/>
        </w:rPr>
        <w:t>Projekcija godišnjih količina ukupno sakupljenog ambalažnog otpada po materijalima za razdoblje od 2023. godine do 2035. godine</w:t>
      </w:r>
      <w:bookmarkEnd w:id="201"/>
    </w:p>
    <w:p w14:paraId="731AD225" w14:textId="4CB2F7B6" w:rsidR="00A919BD" w:rsidRPr="00B6209C" w:rsidRDefault="00965CCB" w:rsidP="00D058ED">
      <w:pPr>
        <w:pStyle w:val="IRNaslov2"/>
        <w:rPr>
          <w:sz w:val="32"/>
          <w:szCs w:val="32"/>
        </w:rPr>
      </w:pPr>
      <w:bookmarkStart w:id="202" w:name="_Toc123211653"/>
      <w:r w:rsidRPr="00B6209C">
        <w:t xml:space="preserve">5.3. </w:t>
      </w:r>
      <w:r w:rsidR="00A919BD" w:rsidRPr="00B6209C">
        <w:t xml:space="preserve">Otpadni muljevi iz uređaja za pročišćavanje </w:t>
      </w:r>
      <w:r w:rsidR="00047DDA">
        <w:t xml:space="preserve">komunalnih </w:t>
      </w:r>
      <w:r w:rsidR="00A919BD" w:rsidRPr="00B6209C">
        <w:t>otpadnih voda</w:t>
      </w:r>
      <w:bookmarkEnd w:id="202"/>
    </w:p>
    <w:p w14:paraId="66FCCA8D" w14:textId="7C42E4FE" w:rsidR="00A919BD" w:rsidRDefault="005B6EBF" w:rsidP="00A919BD">
      <w:r>
        <w:t>Prema postojećim analizama</w:t>
      </w:r>
      <w:r>
        <w:rPr>
          <w:rStyle w:val="Referencafusnote"/>
        </w:rPr>
        <w:footnoteReference w:id="34"/>
      </w:r>
      <w:r>
        <w:t xml:space="preserve">, procjenjuje se da trenutna proizvodnja otpadnog mulja na uređajima za pročišćavanje </w:t>
      </w:r>
      <w:r w:rsidR="00047DDA">
        <w:t xml:space="preserve">komunalnih </w:t>
      </w:r>
      <w:r>
        <w:t xml:space="preserve">otpadnih voda u republici Hrvatskoj iznosi </w:t>
      </w:r>
      <w:r w:rsidRPr="005B6EBF">
        <w:t>oko 26.750 t ST/god</w:t>
      </w:r>
      <w:r>
        <w:t xml:space="preserve">. </w:t>
      </w:r>
    </w:p>
    <w:p w14:paraId="05BD292D" w14:textId="13E4C65B" w:rsidR="005B6EBF" w:rsidRDefault="005B6EBF" w:rsidP="00A919BD">
      <w:r>
        <w:t xml:space="preserve">U razdoblju od 2018. do 2026. procjenjuje se </w:t>
      </w:r>
      <w:r w:rsidRPr="005B6EBF">
        <w:t xml:space="preserve">značajan porast </w:t>
      </w:r>
      <w:r w:rsidR="00965CCB" w:rsidRPr="005B6EBF">
        <w:t>p</w:t>
      </w:r>
      <w:r w:rsidR="00965CCB">
        <w:t>roizvodnje</w:t>
      </w:r>
      <w:r w:rsidR="00965CCB" w:rsidRPr="005B6EBF">
        <w:t xml:space="preserve"> </w:t>
      </w:r>
      <w:r w:rsidRPr="005B6EBF">
        <w:t>mulja</w:t>
      </w:r>
      <w:r w:rsidR="00047DDA">
        <w:t xml:space="preserve"> iz uređaja za pročišćavanje komunalnih otpadnih voda</w:t>
      </w:r>
      <w:r>
        <w:t>, kako zbog povećanja aglomeracija, tako i zbog puštanja u rad novih uređaja, što će biti rezultat usklađivanja s odredbama Direktive o</w:t>
      </w:r>
      <w:r w:rsidRPr="005B6EBF">
        <w:t xml:space="preserve"> pročišćavanju komunalnih otpadnih voda</w:t>
      </w:r>
      <w:r w:rsidR="008B5AC0" w:rsidRPr="008B5AC0">
        <w:t xml:space="preserve"> (91/271/EEZ)</w:t>
      </w:r>
      <w:r w:rsidR="008B5AC0">
        <w:t>.</w:t>
      </w:r>
    </w:p>
    <w:p w14:paraId="71642ED3" w14:textId="3C251E5A" w:rsidR="008B5AC0" w:rsidRDefault="008B5AC0" w:rsidP="008B5AC0">
      <w:r>
        <w:t>Nadalje, u razdoblju od 2026. do 2031. dodatno se očekuje blagi rast proizvodnje otpadnog mulja</w:t>
      </w:r>
      <w:r w:rsidR="00047DDA">
        <w:t xml:space="preserve"> iz uređaja za pročišćavanje komunalnih otpadnih voda</w:t>
      </w:r>
      <w:r w:rsidRPr="008B5AC0">
        <w:t xml:space="preserve"> uslijed daljnjeg povećanja opterećenja aglomeracija, te se 2031. postiže vršna proizvodnja mulja</w:t>
      </w:r>
      <w:r w:rsidR="009732FB">
        <w:t xml:space="preserve"> iz uređaja za pročišćavanje komunalnih otpadnih voda</w:t>
      </w:r>
      <w:r w:rsidRPr="008B5AC0">
        <w:t xml:space="preserve"> od 79.300 t ST/god. U </w:t>
      </w:r>
      <w:r>
        <w:t>narednim</w:t>
      </w:r>
      <w:r w:rsidRPr="008B5AC0">
        <w:t xml:space="preserve"> godinama navedene količine stagniraju.</w:t>
      </w:r>
    </w:p>
    <w:p w14:paraId="770A3AC5" w14:textId="77777777" w:rsidR="005D5B78" w:rsidRPr="008B5AC0" w:rsidRDefault="005D5B78" w:rsidP="008B5AC0"/>
    <w:p w14:paraId="744CB843" w14:textId="00098B85" w:rsidR="005B6EBF" w:rsidRDefault="005B6EBF" w:rsidP="005B6EBF">
      <w:pPr>
        <w:pStyle w:val="Slika"/>
      </w:pPr>
      <w:bookmarkStart w:id="203" w:name="_Toc125363970"/>
      <w:r>
        <w:t xml:space="preserve">Slika </w:t>
      </w:r>
      <w:fldSimple w:instr=" SEQ Slika \* ARABIC ">
        <w:r w:rsidR="00F37B62">
          <w:rPr>
            <w:noProof/>
          </w:rPr>
          <w:t>62</w:t>
        </w:r>
      </w:fldSimple>
      <w:r>
        <w:t xml:space="preserve">. </w:t>
      </w:r>
      <w:r w:rsidRPr="005B6EBF">
        <w:rPr>
          <w:b w:val="0"/>
          <w:bCs/>
        </w:rPr>
        <w:t xml:space="preserve">Procjena količina proizvedenog otpadnog mulja </w:t>
      </w:r>
      <w:r w:rsidR="009732FB" w:rsidRPr="00BB2706">
        <w:rPr>
          <w:b w:val="0"/>
          <w:bCs/>
        </w:rPr>
        <w:t>iz uređaja za pročišćavanje komunalnih otpadnih voda</w:t>
      </w:r>
      <w:r w:rsidR="009732FB" w:rsidRPr="005B6EBF">
        <w:rPr>
          <w:b w:val="0"/>
          <w:bCs/>
        </w:rPr>
        <w:t xml:space="preserve"> </w:t>
      </w:r>
      <w:r w:rsidRPr="005B6EBF">
        <w:rPr>
          <w:b w:val="0"/>
          <w:bCs/>
        </w:rPr>
        <w:t>za razdoblje od 2018. do 2051. godine</w:t>
      </w:r>
      <w:bookmarkEnd w:id="203"/>
    </w:p>
    <w:p w14:paraId="72115F8A" w14:textId="49A3465B" w:rsidR="008B5AC0" w:rsidRDefault="008B5AC0" w:rsidP="008B5AC0">
      <w:r>
        <w:lastRenderedPageBreak/>
        <w:t>Trenutno u RH ne postoji odgovarajući način gospodarenja otpadnim muljem</w:t>
      </w:r>
      <w:r w:rsidR="009732FB">
        <w:t xml:space="preserve"> iz uređaja za pročišćavanje komunalnih otpadnih voda</w:t>
      </w:r>
      <w:r>
        <w:t xml:space="preserve">. Otpadni mulj </w:t>
      </w:r>
      <w:r w:rsidR="009732FB">
        <w:t xml:space="preserve">iz uređaja za pročišćavanje komunalnih otpadnih voda </w:t>
      </w:r>
      <w:r>
        <w:t>se uglavnom privremeno skladišti ili odlaže na odlagališta, a manje količine koriste se u poljoprivredne svrhe ili se podvrgavaju postupku kompostiranja.</w:t>
      </w:r>
    </w:p>
    <w:p w14:paraId="503ABC62" w14:textId="1CB184DC" w:rsidR="00ED1F0D" w:rsidRDefault="008B5AC0" w:rsidP="00E25425">
      <w:r>
        <w:t>Potrebno je uspostaviti odgovarajući sustav gospodarenja otpadnim muljem</w:t>
      </w:r>
      <w:r w:rsidR="009732FB">
        <w:t xml:space="preserve"> iz uređaja za pročišćavanje komunalnih otpadnih voda</w:t>
      </w:r>
      <w:r>
        <w:t xml:space="preserve"> koji će </w:t>
      </w:r>
      <w:r w:rsidR="00ED1F0D">
        <w:t xml:space="preserve">uz materijalnu </w:t>
      </w:r>
      <w:r>
        <w:t>uključivati i energetsku oporabu otpadnog mulja.</w:t>
      </w:r>
      <w:r w:rsidR="00ED1F0D">
        <w:t xml:space="preserve"> Otpadni mulj </w:t>
      </w:r>
      <w:r w:rsidR="009732FB">
        <w:t xml:space="preserve">iz uređaja za pročišćavanje komunalnih otpadnih voda </w:t>
      </w:r>
      <w:r w:rsidR="00ED1F0D">
        <w:t xml:space="preserve">potrebno je </w:t>
      </w:r>
      <w:r w:rsidR="00ED1F0D" w:rsidRPr="00E25425">
        <w:t>pripremiti/obraditi kako bi se dobile što manje količine otpada (otpad s većim postotkom suhe tvari)</w:t>
      </w:r>
      <w:r w:rsidR="009732FB">
        <w:t xml:space="preserve"> čime se olakšava postupanje prije konačne oporabe i/ili zbrinjavanja</w:t>
      </w:r>
      <w:r w:rsidR="00ED1F0D">
        <w:t>.</w:t>
      </w:r>
      <w:r w:rsidR="00ED1F0D" w:rsidRPr="00E25425">
        <w:t xml:space="preserve"> </w:t>
      </w:r>
    </w:p>
    <w:p w14:paraId="376659F9" w14:textId="77777777" w:rsidR="00470BAA" w:rsidRDefault="00470BAA" w:rsidP="00470BAA">
      <w:pPr>
        <w:spacing w:after="120" w:line="240" w:lineRule="auto"/>
        <w:rPr>
          <w:rStyle w:val="markedcontent"/>
          <w:rFonts w:cstheme="minorHAnsi"/>
        </w:rPr>
      </w:pPr>
      <w:r>
        <w:rPr>
          <w:rStyle w:val="markedcontent"/>
          <w:rFonts w:cstheme="minorHAnsi"/>
        </w:rPr>
        <w:t>Prema</w:t>
      </w:r>
      <w:r w:rsidRPr="0046762E">
        <w:rPr>
          <w:rStyle w:val="markedcontent"/>
          <w:rFonts w:cstheme="minorHAnsi"/>
        </w:rPr>
        <w:t xml:space="preserve"> odredbama Zakona o gospodarenju otpadom (Narodne novine, broj 84/21) otpadni mulj iz uređaja</w:t>
      </w:r>
      <w:r w:rsidRPr="0046762E">
        <w:rPr>
          <w:rFonts w:cstheme="minorHAnsi"/>
        </w:rPr>
        <w:t xml:space="preserve"> </w:t>
      </w:r>
      <w:r w:rsidRPr="0046762E">
        <w:rPr>
          <w:rStyle w:val="markedcontent"/>
          <w:rFonts w:cstheme="minorHAnsi"/>
        </w:rPr>
        <w:t>za pročišćavanje otpadnih voda više se ne svrstava u posebnu kategoriju otpada.</w:t>
      </w:r>
    </w:p>
    <w:p w14:paraId="6C967B06" w14:textId="77777777" w:rsidR="00470BAA" w:rsidRPr="006919D5" w:rsidRDefault="00470BAA" w:rsidP="00470BAA">
      <w:pPr>
        <w:rPr>
          <w:rStyle w:val="markedcontent"/>
          <w:rFonts w:cstheme="minorHAnsi"/>
          <w:lang w:eastAsia="hr-HR"/>
        </w:rPr>
      </w:pPr>
      <w:r w:rsidRPr="006919D5">
        <w:rPr>
          <w:rFonts w:cstheme="minorHAnsi"/>
          <w:lang w:eastAsia="hr-HR"/>
        </w:rPr>
        <w:t>Nastavno na navedeno, a sukladno V</w:t>
      </w:r>
      <w:r w:rsidRPr="006919D5">
        <w:rPr>
          <w:rStyle w:val="markedcontent"/>
          <w:rFonts w:cstheme="minorHAnsi"/>
        </w:rPr>
        <w:t>išegodišnjem programu gradnje komunalnih vodnih</w:t>
      </w:r>
      <w:r w:rsidRPr="006919D5">
        <w:rPr>
          <w:rFonts w:cstheme="minorHAnsi"/>
        </w:rPr>
        <w:t xml:space="preserve"> </w:t>
      </w:r>
      <w:r w:rsidRPr="006919D5">
        <w:rPr>
          <w:rStyle w:val="markedcontent"/>
          <w:rFonts w:cstheme="minorHAnsi"/>
        </w:rPr>
        <w:t xml:space="preserve">građevina za razdoblje do 2030. godine </w:t>
      </w:r>
      <w:hyperlink r:id="rId13" w:history="1">
        <w:r w:rsidRPr="006919D5">
          <w:rPr>
            <w:rStyle w:val="Hiperveza"/>
            <w:rFonts w:cstheme="minorHAnsi"/>
          </w:rPr>
          <w:t>https://voda.hr/sites/default/files/2022-04/visegodisnji_program_gradnje_komunalnih_vodnih_gradevina_za_razdoblje_do_2030._godine.pdf</w:t>
        </w:r>
      </w:hyperlink>
      <w:r w:rsidRPr="006919D5">
        <w:rPr>
          <w:rFonts w:cstheme="minorHAnsi"/>
          <w:color w:val="1F497D"/>
        </w:rPr>
        <w:t xml:space="preserve"> , i</w:t>
      </w:r>
      <w:r w:rsidRPr="006919D5">
        <w:rPr>
          <w:rFonts w:cstheme="minorHAnsi"/>
          <w:lang w:eastAsia="hr-HR"/>
        </w:rPr>
        <w:t xml:space="preserve">zbor konkretnog načina zbrinjavanja mulja odvijati će se na razini pružatelja usluga, odnosno uslužnih područja., te regija u kasnijim fazama donošenja odluka, i to tijekom pripreme za realizaciju projekata u sklopu kojih će se provoditi i dodatne analize utjecaja na okoliš, pri čemu će izbor ovisiti o raspoloživim organizacijskim, financijskim i provedbenim mogućnostima. </w:t>
      </w:r>
      <w:r w:rsidRPr="006919D5">
        <w:rPr>
          <w:rStyle w:val="markedcontent"/>
          <w:rFonts w:cstheme="minorHAnsi"/>
        </w:rPr>
        <w:t>Imajući u vidu načela kružnog gospodarstva, pri planiranju i projektiranju uređaja potrebno je</w:t>
      </w:r>
      <w:r w:rsidRPr="006919D5">
        <w:rPr>
          <w:rFonts w:cstheme="minorHAnsi"/>
        </w:rPr>
        <w:t xml:space="preserve"> </w:t>
      </w:r>
      <w:r w:rsidRPr="006919D5">
        <w:rPr>
          <w:rStyle w:val="markedcontent"/>
          <w:rFonts w:cstheme="minorHAnsi"/>
        </w:rPr>
        <w:t>analizirati moguće postupke obrade mulja koji bi se koristio u određene svrhe, sve sa ciljem da se s tim</w:t>
      </w:r>
      <w:r w:rsidRPr="006919D5">
        <w:rPr>
          <w:rFonts w:cstheme="minorHAnsi"/>
        </w:rPr>
        <w:t xml:space="preserve"> </w:t>
      </w:r>
      <w:r w:rsidRPr="006919D5">
        <w:rPr>
          <w:rStyle w:val="markedcontent"/>
          <w:rFonts w:cstheme="minorHAnsi"/>
        </w:rPr>
        <w:t>postupcima dobiju što manje količine otpada i da se postignu utvrđeni parametri za te svrhe,</w:t>
      </w:r>
      <w:r w:rsidRPr="006919D5">
        <w:rPr>
          <w:rFonts w:cstheme="minorHAnsi"/>
        </w:rPr>
        <w:t xml:space="preserve"> </w:t>
      </w:r>
      <w:r w:rsidRPr="006919D5">
        <w:rPr>
          <w:rStyle w:val="markedcontent"/>
          <w:rFonts w:cstheme="minorHAnsi"/>
        </w:rPr>
        <w:t>uključujući postotak suhe tvari i sastav mulja. U svrhu sprječavanja i smanjivanja nastanka otpada na</w:t>
      </w:r>
      <w:r w:rsidRPr="006919D5">
        <w:rPr>
          <w:rFonts w:cstheme="minorHAnsi"/>
        </w:rPr>
        <w:t xml:space="preserve"> </w:t>
      </w:r>
      <w:r w:rsidRPr="006919D5">
        <w:rPr>
          <w:rStyle w:val="markedcontent"/>
          <w:rFonts w:cstheme="minorHAnsi"/>
        </w:rPr>
        <w:t>uređajima za pročišćavanje otpadnih voda, planska i projektna dokumentacija uređaja treba</w:t>
      </w:r>
      <w:r w:rsidRPr="006919D5">
        <w:rPr>
          <w:rFonts w:cstheme="minorHAnsi"/>
        </w:rPr>
        <w:t xml:space="preserve"> </w:t>
      </w:r>
      <w:r w:rsidRPr="006919D5">
        <w:rPr>
          <w:rStyle w:val="markedcontent"/>
          <w:rFonts w:cstheme="minorHAnsi"/>
        </w:rPr>
        <w:t>razmotriti prihvatljiva rješenja koja podrazumijevaju unaprjeđenje postojeće linije obrade mulja ili</w:t>
      </w:r>
      <w:r w:rsidRPr="006919D5">
        <w:rPr>
          <w:rFonts w:cstheme="minorHAnsi"/>
        </w:rPr>
        <w:t xml:space="preserve"> </w:t>
      </w:r>
      <w:r w:rsidRPr="006919D5">
        <w:rPr>
          <w:rStyle w:val="markedcontent"/>
          <w:rFonts w:cstheme="minorHAnsi"/>
        </w:rPr>
        <w:t>izgradnju nove linije obrade mulja s bilo kojim postupkom obrade (zgušnjavanje, stabilizacija (biološka,</w:t>
      </w:r>
      <w:r w:rsidRPr="006919D5">
        <w:rPr>
          <w:rFonts w:cstheme="minorHAnsi"/>
        </w:rPr>
        <w:t xml:space="preserve"> </w:t>
      </w:r>
      <w:r w:rsidRPr="006919D5">
        <w:rPr>
          <w:rStyle w:val="markedcontent"/>
          <w:rFonts w:cstheme="minorHAnsi"/>
        </w:rPr>
        <w:t xml:space="preserve">kemijska, toplinska), termalna hidroliza, </w:t>
      </w:r>
      <w:proofErr w:type="spellStart"/>
      <w:r w:rsidRPr="006919D5">
        <w:rPr>
          <w:rStyle w:val="markedcontent"/>
          <w:rFonts w:cstheme="minorHAnsi"/>
        </w:rPr>
        <w:t>ko</w:t>
      </w:r>
      <w:proofErr w:type="spellEnd"/>
      <w:r w:rsidRPr="006919D5">
        <w:rPr>
          <w:rStyle w:val="markedcontent"/>
          <w:rFonts w:cstheme="minorHAnsi"/>
        </w:rPr>
        <w:t>-digestija, dehidracija, sušenje (</w:t>
      </w:r>
      <w:proofErr w:type="spellStart"/>
      <w:r w:rsidRPr="006919D5">
        <w:rPr>
          <w:rStyle w:val="markedcontent"/>
          <w:rFonts w:cstheme="minorHAnsi"/>
        </w:rPr>
        <w:t>konvekcijsko</w:t>
      </w:r>
      <w:proofErr w:type="spellEnd"/>
      <w:r w:rsidRPr="006919D5">
        <w:rPr>
          <w:rStyle w:val="markedcontent"/>
          <w:rFonts w:cstheme="minorHAnsi"/>
        </w:rPr>
        <w:t>, kontaktno,</w:t>
      </w:r>
      <w:r w:rsidRPr="006919D5">
        <w:rPr>
          <w:rFonts w:cstheme="minorHAnsi"/>
        </w:rPr>
        <w:t xml:space="preserve"> </w:t>
      </w:r>
      <w:r w:rsidRPr="006919D5">
        <w:rPr>
          <w:rStyle w:val="markedcontent"/>
          <w:rFonts w:cstheme="minorHAnsi"/>
        </w:rPr>
        <w:t xml:space="preserve">solarno), </w:t>
      </w:r>
      <w:proofErr w:type="spellStart"/>
      <w:r w:rsidRPr="006919D5">
        <w:rPr>
          <w:rStyle w:val="markedcontent"/>
          <w:rFonts w:cstheme="minorHAnsi"/>
        </w:rPr>
        <w:t>peletiranje</w:t>
      </w:r>
      <w:proofErr w:type="spellEnd"/>
      <w:r w:rsidRPr="006919D5">
        <w:rPr>
          <w:rStyle w:val="markedcontent"/>
          <w:rFonts w:cstheme="minorHAnsi"/>
        </w:rPr>
        <w:t xml:space="preserve">, mono spaljivanje, uplinjavanje, </w:t>
      </w:r>
      <w:proofErr w:type="spellStart"/>
      <w:r w:rsidRPr="006919D5">
        <w:rPr>
          <w:rStyle w:val="markedcontent"/>
          <w:rFonts w:cstheme="minorHAnsi"/>
        </w:rPr>
        <w:t>piroliza</w:t>
      </w:r>
      <w:proofErr w:type="spellEnd"/>
      <w:r w:rsidRPr="006919D5">
        <w:rPr>
          <w:rStyle w:val="markedcontent"/>
          <w:rFonts w:cstheme="minorHAnsi"/>
        </w:rPr>
        <w:t>, suspaljivanje (cementare,</w:t>
      </w:r>
      <w:r w:rsidRPr="006919D5">
        <w:rPr>
          <w:rFonts w:cstheme="minorHAnsi"/>
        </w:rPr>
        <w:t xml:space="preserve"> </w:t>
      </w:r>
      <w:r w:rsidRPr="006919D5">
        <w:rPr>
          <w:rStyle w:val="markedcontent"/>
          <w:rFonts w:cstheme="minorHAnsi"/>
        </w:rPr>
        <w:t>termoelektrane, ciglane, bioplinska postrojenja, s komunalnim otpadom), kompostiranje,</w:t>
      </w:r>
      <w:r w:rsidRPr="006919D5">
        <w:rPr>
          <w:rFonts w:cstheme="minorHAnsi"/>
        </w:rPr>
        <w:t xml:space="preserve"> </w:t>
      </w:r>
      <w:proofErr w:type="spellStart"/>
      <w:r w:rsidRPr="006919D5">
        <w:rPr>
          <w:rStyle w:val="markedcontent"/>
          <w:rFonts w:cstheme="minorHAnsi"/>
        </w:rPr>
        <w:t>ozemljavanje</w:t>
      </w:r>
      <w:proofErr w:type="spellEnd"/>
      <w:r w:rsidRPr="006919D5">
        <w:rPr>
          <w:rStyle w:val="markedcontent"/>
          <w:rFonts w:cstheme="minorHAnsi"/>
        </w:rPr>
        <w:t>, miješanje s drugim vrstama otpada i sirovina uz dobivanje novog proizvoda i drugo). Pritom se unaprjeđenje postojećih linija obrade mulja ili izgradnja novih na pojedinim uređajima ne</w:t>
      </w:r>
      <w:r w:rsidRPr="006919D5">
        <w:rPr>
          <w:rFonts w:cstheme="minorHAnsi"/>
        </w:rPr>
        <w:t xml:space="preserve"> </w:t>
      </w:r>
      <w:r w:rsidRPr="006919D5">
        <w:rPr>
          <w:rStyle w:val="markedcontent"/>
          <w:rFonts w:cstheme="minorHAnsi"/>
        </w:rPr>
        <w:t>ograničava isključivo na vlastite potrebe tog uređaja, već je moguće planiranje i izgradnja zajedničkih</w:t>
      </w:r>
      <w:r w:rsidRPr="006919D5">
        <w:rPr>
          <w:rFonts w:cstheme="minorHAnsi"/>
        </w:rPr>
        <w:t xml:space="preserve"> </w:t>
      </w:r>
      <w:r w:rsidRPr="006919D5">
        <w:rPr>
          <w:rStyle w:val="markedcontent"/>
          <w:rFonts w:cstheme="minorHAnsi"/>
        </w:rPr>
        <w:t>kapaciteta, pri čemu se kapaciteti potrebni za obradu većih količina mulja koji će se dopremati s okolnih</w:t>
      </w:r>
      <w:r w:rsidRPr="006919D5">
        <w:rPr>
          <w:rFonts w:cstheme="minorHAnsi"/>
        </w:rPr>
        <w:t xml:space="preserve"> </w:t>
      </w:r>
      <w:r w:rsidRPr="006919D5">
        <w:rPr>
          <w:rStyle w:val="markedcontent"/>
          <w:rFonts w:cstheme="minorHAnsi"/>
        </w:rPr>
        <w:t xml:space="preserve">uređaja (unutar određenog regionalnog područja) grade na jednom uređaju. </w:t>
      </w:r>
    </w:p>
    <w:p w14:paraId="61429E32" w14:textId="77777777" w:rsidR="00470BAA" w:rsidRDefault="00470BAA" w:rsidP="00E25425"/>
    <w:p w14:paraId="52A6D0A1" w14:textId="76371C16" w:rsidR="00A919BD" w:rsidRPr="00835847" w:rsidRDefault="00BC0DD3" w:rsidP="00BC0DD3">
      <w:pPr>
        <w:pStyle w:val="IRNaslov2"/>
        <w:ind w:left="0" w:firstLine="0"/>
      </w:pPr>
      <w:bookmarkStart w:id="204" w:name="_Toc123211654"/>
      <w:r>
        <w:t>5.4. Ostale procjene razvoja tijeka otpada</w:t>
      </w:r>
      <w:bookmarkEnd w:id="204"/>
    </w:p>
    <w:p w14:paraId="1FE725A0" w14:textId="0738B82B" w:rsidR="00B67E0F" w:rsidRDefault="004C4B7E" w:rsidP="001E0A92">
      <w:r>
        <w:t>Izrada p</w:t>
      </w:r>
      <w:r w:rsidR="00B67E0F">
        <w:t xml:space="preserve">rocjene razvoja tijeka otpada za razne druge </w:t>
      </w:r>
      <w:r>
        <w:t>tokove</w:t>
      </w:r>
      <w:r w:rsidR="00B67E0F">
        <w:t xml:space="preserve"> otpada </w:t>
      </w:r>
      <w:r>
        <w:t>predviđena je u sklopu zasebnih projekata, od kojih su neki u fazi provedbe, a neki se planiraju kroz mjere definirane ovim Planom.</w:t>
      </w:r>
    </w:p>
    <w:p w14:paraId="090CAA2A" w14:textId="0FCDD771" w:rsidR="00A919BD" w:rsidRDefault="00B67E0F" w:rsidP="001E0A92">
      <w:r>
        <w:t xml:space="preserve">Procjene razvoje tijeka otpada za opasni otpad izrađuju se u sklopu </w:t>
      </w:r>
      <w:r w:rsidRPr="00B67E0F">
        <w:t xml:space="preserve">projekta </w:t>
      </w:r>
      <w:r>
        <w:t>koji je u tijeku , a koji će rezultirati izradom s</w:t>
      </w:r>
      <w:r w:rsidRPr="00B67E0F">
        <w:t>tudij</w:t>
      </w:r>
      <w:r>
        <w:t>e</w:t>
      </w:r>
      <w:r w:rsidRPr="00B67E0F">
        <w:t xml:space="preserve"> izvedivosti postojećih i potrebnih kapaciteta za obradu opasnog otpada i studija za identifikaciju novih lokacija onečišćenih opasnim otpadom („crne točke“).</w:t>
      </w:r>
      <w:r w:rsidR="004C4B7E">
        <w:t xml:space="preserve"> </w:t>
      </w:r>
    </w:p>
    <w:p w14:paraId="66CEB954" w14:textId="0DD5A44F" w:rsidR="004C4B7E" w:rsidRPr="00835847" w:rsidRDefault="004C4B7E" w:rsidP="001E0A92">
      <w:r>
        <w:t xml:space="preserve">Dodatno, Mjera 6. - </w:t>
      </w:r>
      <w:r w:rsidRPr="004C4B7E">
        <w:t xml:space="preserve">Analiza </w:t>
      </w:r>
      <w:r w:rsidR="00F32A2C">
        <w:t>uč</w:t>
      </w:r>
      <w:r w:rsidR="008D6E1F">
        <w:t>i</w:t>
      </w:r>
      <w:r w:rsidR="00F32A2C">
        <w:t xml:space="preserve">nkovitosti </w:t>
      </w:r>
      <w:r w:rsidRPr="004C4B7E">
        <w:t>sustava za gospodarenje posebnim kategorijama otpada</w:t>
      </w:r>
      <w:r w:rsidR="00F32A2C">
        <w:t xml:space="preserve"> s prijedlozima za unaprjeđenje</w:t>
      </w:r>
      <w:r>
        <w:t xml:space="preserve">, predviđa aktivnosti </w:t>
      </w:r>
      <w:r w:rsidRPr="004C4B7E">
        <w:t xml:space="preserve">izrade analiza i studija i za druge vrste posebnih </w:t>
      </w:r>
      <w:r w:rsidRPr="004C4B7E">
        <w:lastRenderedPageBreak/>
        <w:t>kategorija otpada poput medicinskog otpada, jednokratnih plastičnih proizvoda koji nisu dio EPR sustava, otpada koji sadrži azbest i građevnog otpada.</w:t>
      </w:r>
    </w:p>
    <w:p w14:paraId="1EEF4160" w14:textId="4747C5B6" w:rsidR="00E66F1D" w:rsidRPr="003E797C" w:rsidRDefault="00E66F1D" w:rsidP="0018450E">
      <w:pPr>
        <w:pStyle w:val="IRNaslov1"/>
        <w:pageBreakBefore w:val="0"/>
        <w:numPr>
          <w:ilvl w:val="0"/>
          <w:numId w:val="22"/>
        </w:numPr>
        <w:ind w:left="709" w:hanging="709"/>
      </w:pPr>
      <w:bookmarkStart w:id="205" w:name="_Toc123211655"/>
      <w:r w:rsidRPr="003E797C">
        <w:t>Procjena nužnosti zatvaranja postojeće i uspostave nove infrastrukture za zbrinjavanje i oporabu miješanog komunalnog otpada iz kućanstva</w:t>
      </w:r>
      <w:bookmarkEnd w:id="205"/>
    </w:p>
    <w:p w14:paraId="1BA1E109" w14:textId="40561929" w:rsidR="00E66F1D" w:rsidRPr="00DE77E2" w:rsidRDefault="00ED1F0D" w:rsidP="00E66F1D">
      <w:r>
        <w:t>Planiranje razvoja</w:t>
      </w:r>
      <w:r w:rsidRPr="00DE77E2">
        <w:t xml:space="preserve"> </w:t>
      </w:r>
      <w:r w:rsidR="00E66F1D" w:rsidRPr="00DE77E2">
        <w:t>sustav</w:t>
      </w:r>
      <w:r>
        <w:t>a</w:t>
      </w:r>
      <w:r w:rsidR="00E66F1D" w:rsidRPr="00DE77E2">
        <w:t xml:space="preserve"> gospodarenja otpadom prije svega ovisi o količinama i sastavu otpada. S obzirom da </w:t>
      </w:r>
      <w:proofErr w:type="spellStart"/>
      <w:r w:rsidR="00E66F1D" w:rsidRPr="00DE77E2">
        <w:t>mKO</w:t>
      </w:r>
      <w:proofErr w:type="spellEnd"/>
      <w:r w:rsidR="00E66F1D" w:rsidRPr="00DE77E2">
        <w:t xml:space="preserve"> predstavlja </w:t>
      </w:r>
      <w:proofErr w:type="spellStart"/>
      <w:r w:rsidR="00E66F1D" w:rsidRPr="00DE77E2">
        <w:t>ostatni</w:t>
      </w:r>
      <w:proofErr w:type="spellEnd"/>
      <w:r w:rsidR="00E66F1D" w:rsidRPr="00DE77E2">
        <w:t xml:space="preserve"> dio komunalnog otpada (dio koji nije odvojeno sakupljen), njegov sastav i količine su neposredno ovisni o načinu i efikasnosti sustava odvojenog prikupljanja komunalnog otpada. S obzirom da je sustav odvojenog prikupljanja već dugi niz godina u stalnom razvoju, a isto će se nastaviti i u razdoblju do 2035. godine (a možda i duže), nedvojbeno je da će se količine i sastav </w:t>
      </w:r>
      <w:proofErr w:type="spellStart"/>
      <w:r w:rsidR="00E66F1D" w:rsidRPr="00DE77E2">
        <w:t>mKO</w:t>
      </w:r>
      <w:proofErr w:type="spellEnd"/>
      <w:r w:rsidR="00E66F1D" w:rsidRPr="00DE77E2">
        <w:t xml:space="preserve">-a mijenjati tijekom promatranog razdoblja. Slijedom navedenog potrebno je predvidjeti krajnje </w:t>
      </w:r>
      <w:r>
        <w:t>elemente</w:t>
      </w:r>
      <w:r w:rsidRPr="00DE77E2">
        <w:t xml:space="preserve"> </w:t>
      </w:r>
      <w:r w:rsidR="00E66F1D" w:rsidRPr="00DE77E2">
        <w:t xml:space="preserve">sustava (oporaba i zbrinjavanja </w:t>
      </w:r>
      <w:proofErr w:type="spellStart"/>
      <w:r w:rsidR="00E66F1D" w:rsidRPr="00DE77E2">
        <w:t>mKO</w:t>
      </w:r>
      <w:proofErr w:type="spellEnd"/>
      <w:r w:rsidR="00E66F1D" w:rsidRPr="00DE77E2">
        <w:t xml:space="preserve">-a) kao robusne i fleksibilne kako bi se mogao zbrinuti raspon količina </w:t>
      </w:r>
      <w:proofErr w:type="spellStart"/>
      <w:r w:rsidR="00E66F1D" w:rsidRPr="00DE77E2">
        <w:t>mKO</w:t>
      </w:r>
      <w:proofErr w:type="spellEnd"/>
      <w:r w:rsidR="00E66F1D" w:rsidRPr="00DE77E2">
        <w:t xml:space="preserve">-a, promjenjivog sastava. </w:t>
      </w:r>
    </w:p>
    <w:p w14:paraId="23275B81" w14:textId="52E24253" w:rsidR="00E66F1D" w:rsidRPr="00DE77E2" w:rsidRDefault="00E66F1D" w:rsidP="00E66F1D">
      <w:r w:rsidRPr="00DE77E2">
        <w:t>Direktivom (EU) 2018/850 Europskog parlamenta i Vijeća od 30. svibnja 2018. o izmjeni Direktive 1999/31/EZ o odlagalištima otpada (SL L 150, 14. 6. 2018.) a u cilju podupiranja EU prelaska na kružno gospodarstvo predviđeno je postupno smanjenje odlaganja otpada, posebno otpada koji je pogodan za recikliranje ili drugi postupak oporabe.</w:t>
      </w:r>
      <w:r w:rsidR="00ED1F0D">
        <w:t xml:space="preserve"> </w:t>
      </w:r>
      <w:r w:rsidRPr="00DE77E2">
        <w:t>Kako bi se zajamčila pravilna primjena reda prvenstva gospodarenja otpadom, potrebno je poduzeti odgovarajuće mjere kako bi se od 2030. ograničenja za odlaganje primjenjivala na sav otpad koji je pogodan za recikliranje i druge postupke materijalne i energetske oporabe, uz iznimku otpada za koji odlaganje daje najbolji učinak na okoliš u skladu s člankom 4. Direktive 2008/98/EZ.</w:t>
      </w:r>
    </w:p>
    <w:p w14:paraId="4660BAFD" w14:textId="7F6CF279" w:rsidR="00E66F1D" w:rsidRPr="00DE77E2" w:rsidRDefault="00E66F1D" w:rsidP="00E66F1D">
      <w:r w:rsidRPr="00DE77E2">
        <w:t>Poduzetim mjerama potrebno je osigurati da se do 2035. količina odloženog komunalnog otpada smanji na 10 % ukupne količine mas</w:t>
      </w:r>
      <w:r w:rsidR="00ED1F0D">
        <w:t>e</w:t>
      </w:r>
      <w:r w:rsidRPr="00DE77E2">
        <w:t xml:space="preserve"> nastalog komunalnog otpada ili manje.</w:t>
      </w:r>
    </w:p>
    <w:p w14:paraId="78AAC314" w14:textId="58CC876B" w:rsidR="00E66F1D" w:rsidRPr="00DE77E2" w:rsidRDefault="00ED1F0D" w:rsidP="00747CFD">
      <w:pPr>
        <w:pStyle w:val="Tekstkomentara"/>
      </w:pPr>
      <w:r w:rsidRPr="00E25425">
        <w:rPr>
          <w:sz w:val="22"/>
          <w:szCs w:val="22"/>
        </w:rPr>
        <w:t>U narednom/budućem razdoblju prioriteti u nadogradnji ili izmjeni postojećeg sustava gospodarenja otpadom i uspostavi novih sustava gospodarenja otpadom, definirat će se obzirom na red prvenstva gospodarenja otpadom propisan Zakonom o gospodarenju otpadom i stupanj razvoja postojećih sustava gospodarenja otpadom kao i s obzirom na zadane vremenske rokove za njihovu provedbu.</w:t>
      </w:r>
    </w:p>
    <w:p w14:paraId="1E5699F5" w14:textId="00B10BB2" w:rsidR="00E66F1D" w:rsidRPr="00DE77E2" w:rsidRDefault="00ED1F0D" w:rsidP="00E66F1D">
      <w:r>
        <w:t>Potrebno je usmjeravati/poticati gospodarenje otpadom kao gospodarsku i tržišnu djelatnost prema maksimalnom iskorištavanju vrijednih frakcija otpada koja se mora obavljati uz očuvanje zdravlja ljudi, primjenu načela zaštite okoliša i ciljeva kružnog gospodarstva koje stavlja naglasak na iskorištavanje nacionalnih resursa uz primjenu najviših standarda zaštite okoliša (primjena najboljih raspoloživih tehnologija i praksi prihvaćenih i propisanih odgovarajućim dokumentima na razini EU).</w:t>
      </w:r>
    </w:p>
    <w:p w14:paraId="3EA44B19" w14:textId="77777777" w:rsidR="00E66F1D" w:rsidRPr="00DE77E2" w:rsidRDefault="00E66F1D" w:rsidP="00E66F1D">
      <w:r w:rsidRPr="00DE77E2">
        <w:t>Ispunjavanje ciljeva odvojenog sakupljanja iskoristivih vrsta otpada, te njihove pripreme za ponovnu uporabu, recikliranje i oporabu ne isključuje niti jedan element reda prvenstva gospodarenja otpadom već ga čini sastavnim dijelom cjelovitog sustava.</w:t>
      </w:r>
    </w:p>
    <w:p w14:paraId="57A67913" w14:textId="77777777" w:rsidR="00E66F1D" w:rsidRPr="00A93459" w:rsidRDefault="00E66F1D" w:rsidP="00E66F1D">
      <w:pPr>
        <w:rPr>
          <w:highlight w:val="yellow"/>
        </w:rPr>
      </w:pPr>
      <w:r w:rsidRPr="00A93459">
        <w:rPr>
          <w:highlight w:val="yellow"/>
        </w:rPr>
        <w:t>Tako se gospodarenje miješanim komunalnim otpadom nalazi dominantno na zadnja tri stupa reda prvenstva gospodarenja otpadom:</w:t>
      </w:r>
    </w:p>
    <w:p w14:paraId="287FBE85" w14:textId="231A67D5" w:rsidR="00E66F1D" w:rsidRPr="00A93459" w:rsidRDefault="00E66F1D">
      <w:pPr>
        <w:pStyle w:val="Odlomakpopisa"/>
        <w:numPr>
          <w:ilvl w:val="0"/>
          <w:numId w:val="23"/>
        </w:numPr>
        <w:rPr>
          <w:highlight w:val="yellow"/>
        </w:rPr>
      </w:pPr>
      <w:r w:rsidRPr="00A93459">
        <w:rPr>
          <w:highlight w:val="yellow"/>
        </w:rPr>
        <w:t xml:space="preserve">Recikliranje (izdvajanja i priprema za ponovnu uporabu i recikliranje iskoristivih </w:t>
      </w:r>
      <w:r w:rsidR="00ED1F0D" w:rsidRPr="00A93459">
        <w:rPr>
          <w:highlight w:val="yellow"/>
        </w:rPr>
        <w:t xml:space="preserve">frakcija </w:t>
      </w:r>
      <w:commentRangeStart w:id="206"/>
      <w:r w:rsidRPr="00A93459">
        <w:rPr>
          <w:highlight w:val="yellow"/>
        </w:rPr>
        <w:t>otpada</w:t>
      </w:r>
      <w:commentRangeEnd w:id="206"/>
      <w:r w:rsidR="00A93459">
        <w:rPr>
          <w:rStyle w:val="Referencakomentara"/>
        </w:rPr>
        <w:commentReference w:id="206"/>
      </w:r>
      <w:r w:rsidRPr="00A93459">
        <w:rPr>
          <w:highlight w:val="yellow"/>
        </w:rPr>
        <w:t>),</w:t>
      </w:r>
    </w:p>
    <w:p w14:paraId="47BCCE61" w14:textId="1270E46C" w:rsidR="00E66F1D" w:rsidRPr="00A93459" w:rsidRDefault="00E66F1D">
      <w:pPr>
        <w:pStyle w:val="Odlomakpopisa"/>
        <w:numPr>
          <w:ilvl w:val="0"/>
          <w:numId w:val="23"/>
        </w:numPr>
        <w:rPr>
          <w:highlight w:val="yellow"/>
        </w:rPr>
      </w:pPr>
      <w:r w:rsidRPr="00A93459">
        <w:rPr>
          <w:highlight w:val="yellow"/>
        </w:rPr>
        <w:t>drugi postupci oporabe npr. energetska oporaba i</w:t>
      </w:r>
    </w:p>
    <w:p w14:paraId="314645D1" w14:textId="058ADAF6" w:rsidR="00E66F1D" w:rsidRPr="00A93459" w:rsidRDefault="00E66F1D">
      <w:pPr>
        <w:pStyle w:val="Odlomakpopisa"/>
        <w:numPr>
          <w:ilvl w:val="0"/>
          <w:numId w:val="23"/>
        </w:numPr>
        <w:rPr>
          <w:highlight w:val="yellow"/>
        </w:rPr>
      </w:pPr>
      <w:r w:rsidRPr="00A93459">
        <w:rPr>
          <w:highlight w:val="yellow"/>
        </w:rPr>
        <w:t>zbrinjavanje otpada (</w:t>
      </w:r>
      <w:r w:rsidR="00ED1F0D" w:rsidRPr="00A93459">
        <w:rPr>
          <w:highlight w:val="yellow"/>
        </w:rPr>
        <w:t>spaljivanje</w:t>
      </w:r>
      <w:r w:rsidRPr="00A93459">
        <w:rPr>
          <w:highlight w:val="yellow"/>
        </w:rPr>
        <w:t xml:space="preserve">, </w:t>
      </w:r>
      <w:r w:rsidR="00ED1F0D" w:rsidRPr="00A93459">
        <w:rPr>
          <w:highlight w:val="yellow"/>
        </w:rPr>
        <w:t xml:space="preserve">odlaganje </w:t>
      </w:r>
      <w:r w:rsidRPr="00A93459">
        <w:rPr>
          <w:highlight w:val="yellow"/>
        </w:rPr>
        <w:t>i dr.).</w:t>
      </w:r>
    </w:p>
    <w:p w14:paraId="6FF12FF3" w14:textId="5BBEFC0B" w:rsidR="00E66F1D" w:rsidRPr="00DE77E2" w:rsidRDefault="00E66F1D" w:rsidP="00E66F1D">
      <w:r w:rsidRPr="00DE77E2">
        <w:lastRenderedPageBreak/>
        <w:t xml:space="preserve">Miješani komunalni otpad je otpad iz kućanstva i otpad iz drugih izvora koji je po svojstvima i sastavu sličan otpadu iz kućanstava, te </w:t>
      </w:r>
      <w:r w:rsidR="003A4EDE">
        <w:t>se</w:t>
      </w:r>
      <w:r w:rsidR="003A4EDE" w:rsidRPr="00DE77E2">
        <w:t xml:space="preserve"> </w:t>
      </w:r>
      <w:r w:rsidRPr="00DE77E2">
        <w:t xml:space="preserve">u Katalogu otpada </w:t>
      </w:r>
      <w:r w:rsidR="003A4EDE">
        <w:t>nalazi pod ključnim brojem</w:t>
      </w:r>
      <w:r w:rsidRPr="00DE77E2">
        <w:t xml:space="preserve"> 20 03 01. </w:t>
      </w:r>
    </w:p>
    <w:p w14:paraId="554D3B89" w14:textId="77777777" w:rsidR="00E66F1D" w:rsidRPr="00DE77E2" w:rsidRDefault="00E66F1D" w:rsidP="00E66F1D">
      <w:r w:rsidRPr="00DE77E2">
        <w:t>Postojeća infrastruktura za zabrinjavanje i oporabu miješanog komunalnog otpada dominantno se zasniva na:</w:t>
      </w:r>
    </w:p>
    <w:p w14:paraId="0EF1D8A1" w14:textId="2018B716" w:rsidR="00E66F1D" w:rsidRPr="00DE77E2" w:rsidRDefault="00E66F1D">
      <w:pPr>
        <w:pStyle w:val="Odlomakpopisa"/>
        <w:numPr>
          <w:ilvl w:val="0"/>
          <w:numId w:val="23"/>
        </w:numPr>
      </w:pPr>
      <w:r w:rsidRPr="00DE77E2">
        <w:t>Odlagalištima neopasnog otpada</w:t>
      </w:r>
    </w:p>
    <w:p w14:paraId="6F105481" w14:textId="1D859F69" w:rsidR="00E66F1D" w:rsidRPr="00DE77E2" w:rsidRDefault="00E66F1D">
      <w:pPr>
        <w:pStyle w:val="Odlomakpopisa"/>
        <w:numPr>
          <w:ilvl w:val="0"/>
          <w:numId w:val="23"/>
        </w:numPr>
      </w:pPr>
      <w:r w:rsidRPr="00DE77E2">
        <w:t>Postrojenjima za obradu miješanog komunalnog otpada</w:t>
      </w:r>
    </w:p>
    <w:p w14:paraId="235F65F5" w14:textId="48D8168D" w:rsidR="00E66F1D" w:rsidRPr="00DE77E2" w:rsidRDefault="00E66F1D" w:rsidP="00E66F1D">
      <w:r w:rsidRPr="00DE77E2">
        <w:t xml:space="preserve">S obzirom da je razvoj sustava još uvijek u tijeku, isti trenutno ne uvažava u potpunosti načela zaštite okoliša i održivosti te ekonomsku opravdanost i isplativost uz poštivanje reda prvenstva gospodarenja otpadom. Tako je u 2021. godini količina miješanog komunalnog otpada iznosila je 1.004.877 tona odnosno 57 % ukupne količine nastalog komunalnog otpada. S obzirom da je u istoj godini u postrojenjima za obradu </w:t>
      </w:r>
      <w:proofErr w:type="spellStart"/>
      <w:r w:rsidRPr="00DE77E2">
        <w:t>mKO</w:t>
      </w:r>
      <w:proofErr w:type="spellEnd"/>
      <w:r w:rsidRPr="00DE77E2">
        <w:t xml:space="preserve">-a obrađeno oko 145.000 t </w:t>
      </w:r>
      <w:proofErr w:type="spellStart"/>
      <w:r w:rsidRPr="00DE77E2">
        <w:t>mKO</w:t>
      </w:r>
      <w:proofErr w:type="spellEnd"/>
      <w:r w:rsidRPr="00DE77E2">
        <w:t xml:space="preserve">-a, vidljivo je da je više od 85% </w:t>
      </w:r>
      <w:proofErr w:type="spellStart"/>
      <w:r w:rsidRPr="00DE77E2">
        <w:t>mKO</w:t>
      </w:r>
      <w:proofErr w:type="spellEnd"/>
      <w:r w:rsidRPr="00DE77E2">
        <w:t xml:space="preserve"> odloženo na odlagališta bez prethodne obrade te isto ukazuje na </w:t>
      </w:r>
      <w:r w:rsidRPr="00DE77E2">
        <w:rPr>
          <w:b/>
          <w:bCs/>
        </w:rPr>
        <w:t xml:space="preserve">nužnost uspostave sustava </w:t>
      </w:r>
      <w:r w:rsidR="003A4EDE">
        <w:rPr>
          <w:b/>
          <w:bCs/>
        </w:rPr>
        <w:t xml:space="preserve">i kontrole sustava </w:t>
      </w:r>
      <w:r w:rsidRPr="00DE77E2">
        <w:rPr>
          <w:b/>
          <w:bCs/>
        </w:rPr>
        <w:t xml:space="preserve">obrade, oporabe i zbrinjavanja </w:t>
      </w:r>
      <w:proofErr w:type="spellStart"/>
      <w:r w:rsidRPr="00DE77E2">
        <w:rPr>
          <w:b/>
          <w:bCs/>
        </w:rPr>
        <w:t>mKO</w:t>
      </w:r>
      <w:proofErr w:type="spellEnd"/>
      <w:r w:rsidRPr="00DE77E2">
        <w:rPr>
          <w:b/>
          <w:bCs/>
        </w:rPr>
        <w:t>-a</w:t>
      </w:r>
      <w:r w:rsidRPr="00DE77E2">
        <w:t xml:space="preserve"> (materijalna i energetska oporaba odnosno obrada </w:t>
      </w:r>
      <w:proofErr w:type="spellStart"/>
      <w:r w:rsidRPr="00DE77E2">
        <w:t>mKO</w:t>
      </w:r>
      <w:proofErr w:type="spellEnd"/>
      <w:r w:rsidRPr="00DE77E2">
        <w:t>-a prije odlaganja) i to već tijekom ovog planskog razdoblje.</w:t>
      </w:r>
    </w:p>
    <w:p w14:paraId="09152466" w14:textId="77B2089D" w:rsidR="00E66F1D" w:rsidRPr="00DE77E2" w:rsidRDefault="00E66F1D" w:rsidP="0018450E">
      <w:pPr>
        <w:pStyle w:val="IRNaslov2"/>
        <w:numPr>
          <w:ilvl w:val="1"/>
          <w:numId w:val="22"/>
        </w:numPr>
        <w:ind w:left="709"/>
      </w:pPr>
      <w:bookmarkStart w:id="207" w:name="_Toc123211656"/>
      <w:r w:rsidRPr="00DE77E2">
        <w:t xml:space="preserve">Osnove i pretpostavke za uspostavu i razvoj sustava oporabe i zbrinjavanja </w:t>
      </w:r>
      <w:proofErr w:type="spellStart"/>
      <w:r w:rsidRPr="00DE77E2">
        <w:t>mKO</w:t>
      </w:r>
      <w:proofErr w:type="spellEnd"/>
      <w:r w:rsidRPr="00DE77E2">
        <w:t>-a</w:t>
      </w:r>
      <w:bookmarkEnd w:id="207"/>
    </w:p>
    <w:p w14:paraId="59E78775" w14:textId="2431FC44" w:rsidR="004E4ED2" w:rsidRDefault="004E4ED2" w:rsidP="00E66F1D">
      <w:r>
        <w:t xml:space="preserve">S obzirom da </w:t>
      </w:r>
      <w:proofErr w:type="spellStart"/>
      <w:r>
        <w:t>mKO</w:t>
      </w:r>
      <w:proofErr w:type="spellEnd"/>
      <w:r>
        <w:t xml:space="preserve"> predstavlja </w:t>
      </w:r>
      <w:proofErr w:type="spellStart"/>
      <w:r>
        <w:t>ostatni</w:t>
      </w:r>
      <w:proofErr w:type="spellEnd"/>
      <w:r>
        <w:t xml:space="preserve"> otpad nakon što su odvojeno </w:t>
      </w:r>
      <w:r w:rsidR="003A4EDE">
        <w:t>sakupljene frakcije otpada</w:t>
      </w:r>
      <w:r>
        <w:t xml:space="preserve"> koji će se reciklirati, sastav i količine </w:t>
      </w:r>
      <w:proofErr w:type="spellStart"/>
      <w:r>
        <w:t>mKO</w:t>
      </w:r>
      <w:proofErr w:type="spellEnd"/>
      <w:r>
        <w:t xml:space="preserve"> će se mijenjati tijekom vremena sukladno povećanju količina odvojeno sakupljenog i recikliranog otpada. </w:t>
      </w:r>
    </w:p>
    <w:p w14:paraId="32E439F8" w14:textId="2CA773C7" w:rsidR="00E66F1D" w:rsidRPr="00DE77E2" w:rsidRDefault="00E66F1D" w:rsidP="00E66F1D">
      <w:r w:rsidRPr="00DE77E2">
        <w:t xml:space="preserve">Ciljevi </w:t>
      </w:r>
      <w:r w:rsidR="003A4EDE">
        <w:t>određeni</w:t>
      </w:r>
      <w:r w:rsidR="003A4EDE" w:rsidRPr="00DE77E2">
        <w:t xml:space="preserve"> </w:t>
      </w:r>
      <w:r w:rsidRPr="00DE77E2">
        <w:t>Direktivom 2008/98/EZ Europskog parlamenta i Vijeća za pripremu za ponovnu uporabu i recikliranje otpada su postroženi Direktivom (EU) 2018/851 Europskog parlamenta i Vijeća od 30. svibnja 2018. o izmjeni Direktive 2008/98/EZ o otpadu kako bi se njima bolje odražavala nastojanja Unije da prijeđe na kružno gospodarstvo.</w:t>
      </w:r>
    </w:p>
    <w:p w14:paraId="63165A5D" w14:textId="414F663B" w:rsidR="00E66F1D" w:rsidRPr="00DE77E2" w:rsidRDefault="00E66F1D" w:rsidP="00E66F1D">
      <w:r w:rsidRPr="00DE77E2">
        <w:t xml:space="preserve">Tako je uvjet Direktive 2008/98/EZ Europskog parlamenta i Vijeća da je </w:t>
      </w:r>
      <w:r w:rsidRPr="00DE77E2">
        <w:rPr>
          <w:i/>
          <w:iCs/>
        </w:rPr>
        <w:t xml:space="preserve">do 2020. godine, potrebno osigurati pripremu za ponovnu uporabu i recikliranje </w:t>
      </w:r>
      <w:r w:rsidR="003A4EDE">
        <w:rPr>
          <w:i/>
          <w:iCs/>
        </w:rPr>
        <w:t>otpada</w:t>
      </w:r>
      <w:r w:rsidRPr="00DE77E2">
        <w:rPr>
          <w:i/>
          <w:iCs/>
        </w:rPr>
        <w:t xml:space="preserve"> kao što su papir, metal, plastika i staklo iz kućanstava, a po mogućnosti i iz drugih izvora do mjere u kojoj su ti tijekovi otpada slični otpadu iz kućanstava treba povećati na minimalno 50 % cjelokupne mase komunalnog otpada </w:t>
      </w:r>
      <w:r w:rsidRPr="00DE77E2">
        <w:t>proširen s dodatnim uvjetima kako slijedi:</w:t>
      </w:r>
    </w:p>
    <w:p w14:paraId="65C7C057" w14:textId="10C58FB2" w:rsidR="00E66F1D" w:rsidRPr="00DE77E2" w:rsidRDefault="00E66F1D">
      <w:pPr>
        <w:pStyle w:val="Odlomakpopisa"/>
        <w:numPr>
          <w:ilvl w:val="0"/>
          <w:numId w:val="23"/>
        </w:numPr>
      </w:pPr>
      <w:r w:rsidRPr="00DE77E2">
        <w:t>do 2025. potrebno je osigurati pripremu za ponovnu uporabu i recikliranje komunalnog otpada treba povećati na najmanje 55 % mase;</w:t>
      </w:r>
    </w:p>
    <w:p w14:paraId="3B2AB43B" w14:textId="1F7B5A05" w:rsidR="00E66F1D" w:rsidRPr="00DE77E2" w:rsidRDefault="00E66F1D">
      <w:pPr>
        <w:pStyle w:val="Odlomakpopisa"/>
        <w:numPr>
          <w:ilvl w:val="0"/>
          <w:numId w:val="23"/>
        </w:numPr>
      </w:pPr>
      <w:r w:rsidRPr="00DE77E2">
        <w:t>do 2030. potrebno je osigurati pripremu za ponovnu uporabu i recikliranje komunalnog otpada treba povećati na najmanje 60 % mase;</w:t>
      </w:r>
    </w:p>
    <w:p w14:paraId="7051011D" w14:textId="7D74FCF7" w:rsidR="00E66F1D" w:rsidRPr="00DE77E2" w:rsidRDefault="00E66F1D">
      <w:pPr>
        <w:pStyle w:val="Odlomakpopisa"/>
        <w:numPr>
          <w:ilvl w:val="0"/>
          <w:numId w:val="23"/>
        </w:numPr>
      </w:pPr>
      <w:r w:rsidRPr="00DE77E2">
        <w:t>do 2035. potrebno je osigurati pripremu za ponovnu uporabu i recikliranje komunalnog otpada treba povećati na najmanje 65 % mase.</w:t>
      </w:r>
    </w:p>
    <w:p w14:paraId="654DD56A" w14:textId="5C7DC6A7" w:rsidR="00E66F1D" w:rsidRPr="00DE77E2" w:rsidRDefault="00E66F1D" w:rsidP="00E66F1D">
      <w:r w:rsidRPr="00DE77E2">
        <w:t xml:space="preserve">Promatrajući ključne </w:t>
      </w:r>
      <w:r w:rsidR="003A4EDE">
        <w:t>frakcije</w:t>
      </w:r>
      <w:r w:rsidR="003A4EDE" w:rsidRPr="00DE77E2">
        <w:t xml:space="preserve"> </w:t>
      </w:r>
      <w:r w:rsidRPr="00DE77E2">
        <w:t xml:space="preserve">komunalnog otpada (papir i karton, plastika, metal, staklo, kuhinjski i vrtni otpad, glomazni otpad električni i elektronički otpad), kojih prema analizi sastava komunalnog otpada određenog Metodologijom za određivanje sastava i količina komunalnog odnosno miješanog komunalnog otpada (Hrvatska agencija za okoliš i prirodu, 2015.) ima više od 89% (oko 1.572.000 tona u 2021.), na mjestu nastanka je 2021. godine odvojeno prikupljeno 761.683 tona odnosno oko 48% promatranih ključnih </w:t>
      </w:r>
      <w:r w:rsidR="003A4EDE">
        <w:t>frakcija</w:t>
      </w:r>
      <w:r w:rsidR="003A4EDE" w:rsidRPr="00DE77E2">
        <w:t xml:space="preserve"> </w:t>
      </w:r>
      <w:r w:rsidRPr="00DE77E2">
        <w:t xml:space="preserve">nastalog komunalnog otpada. Kretanje odvojeno prikupljenih količina </w:t>
      </w:r>
      <w:r w:rsidRPr="00DE77E2">
        <w:lastRenderedPageBreak/>
        <w:t xml:space="preserve">komunalnog otpada kao i promjena između 2017. i 2021. </w:t>
      </w:r>
      <w:r w:rsidR="00DE77E2" w:rsidRPr="00DE77E2">
        <w:t>(</w:t>
      </w:r>
      <w:r w:rsidR="00DE77E2" w:rsidRPr="00DE77E2">
        <w:fldChar w:fldCharType="begin"/>
      </w:r>
      <w:r w:rsidR="00DE77E2" w:rsidRPr="00DE77E2">
        <w:instrText xml:space="preserve"> REF _Ref116296517 \h </w:instrText>
      </w:r>
      <w:r w:rsidR="00DE77E2">
        <w:instrText xml:space="preserve"> \* MERGEFORMAT </w:instrText>
      </w:r>
      <w:r w:rsidR="00DE77E2" w:rsidRPr="00DE77E2">
        <w:fldChar w:fldCharType="separate"/>
      </w:r>
      <w:r w:rsidR="00F37B62" w:rsidRPr="00DE77E2">
        <w:t xml:space="preserve">Tablica </w:t>
      </w:r>
      <w:r w:rsidR="00F37B62">
        <w:rPr>
          <w:noProof/>
        </w:rPr>
        <w:t>26</w:t>
      </w:r>
      <w:r w:rsidR="00DE77E2" w:rsidRPr="00DE77E2">
        <w:fldChar w:fldCharType="end"/>
      </w:r>
      <w:r w:rsidR="00DE77E2" w:rsidRPr="00DE77E2">
        <w:t>)</w:t>
      </w:r>
      <w:r w:rsidRPr="00DE77E2">
        <w:t xml:space="preserve"> </w:t>
      </w:r>
      <w:r w:rsidR="00DE77E2" w:rsidRPr="00DE77E2">
        <w:t xml:space="preserve">ukazuje na </w:t>
      </w:r>
      <w:r w:rsidRPr="00DE77E2">
        <w:t>pozitivn</w:t>
      </w:r>
      <w:r w:rsidR="00DE77E2" w:rsidRPr="00DE77E2">
        <w:t xml:space="preserve">e </w:t>
      </w:r>
      <w:r w:rsidRPr="00DE77E2">
        <w:t>trendov</w:t>
      </w:r>
      <w:r w:rsidR="00DE77E2" w:rsidRPr="00DE77E2">
        <w:t>e</w:t>
      </w:r>
      <w:r w:rsidRPr="00DE77E2">
        <w:t xml:space="preserve"> u odvojenom sakupljanju komunalnog otpada.</w:t>
      </w:r>
    </w:p>
    <w:p w14:paraId="28C637D8" w14:textId="07DC60E7" w:rsidR="00E66F1D" w:rsidRPr="00DE77E2" w:rsidRDefault="00E66F1D" w:rsidP="00E66F1D">
      <w:pPr>
        <w:pStyle w:val="Tablica"/>
      </w:pPr>
      <w:bookmarkStart w:id="208" w:name="_Ref116296517"/>
      <w:bookmarkStart w:id="209" w:name="_Toc125364415"/>
      <w:r w:rsidRPr="00DE77E2">
        <w:t xml:space="preserve">Tablica </w:t>
      </w:r>
      <w:fldSimple w:instr=" SEQ Tablica \* ARABIC ">
        <w:r w:rsidR="00F37B62">
          <w:rPr>
            <w:noProof/>
          </w:rPr>
          <w:t>26</w:t>
        </w:r>
      </w:fldSimple>
      <w:bookmarkEnd w:id="208"/>
      <w:r w:rsidRPr="00DE77E2">
        <w:t xml:space="preserve">. </w:t>
      </w:r>
      <w:r w:rsidRPr="00DE77E2">
        <w:rPr>
          <w:b w:val="0"/>
          <w:bCs/>
        </w:rPr>
        <w:t>Količine odvojeno sakupljenog KO i stopa promjene 2017. – 2021. godina</w:t>
      </w:r>
      <w:bookmarkEnd w:id="209"/>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821"/>
        <w:gridCol w:w="746"/>
        <w:gridCol w:w="746"/>
        <w:gridCol w:w="746"/>
        <w:gridCol w:w="746"/>
        <w:gridCol w:w="742"/>
        <w:gridCol w:w="710"/>
        <w:gridCol w:w="710"/>
        <w:gridCol w:w="710"/>
        <w:gridCol w:w="887"/>
      </w:tblGrid>
      <w:tr w:rsidR="00DE77E2" w:rsidRPr="008E5CC5" w14:paraId="15B7200C" w14:textId="77777777" w:rsidTr="008E5CC5">
        <w:trPr>
          <w:trHeight w:val="757"/>
        </w:trPr>
        <w:tc>
          <w:tcPr>
            <w:tcW w:w="5344" w:type="dxa"/>
            <w:gridSpan w:val="6"/>
            <w:tcBorders>
              <w:bottom w:val="single" w:sz="4" w:space="0" w:color="auto"/>
            </w:tcBorders>
            <w:shd w:val="clear" w:color="auto" w:fill="002060"/>
            <w:noWrap/>
            <w:vAlign w:val="center"/>
            <w:hideMark/>
          </w:tcPr>
          <w:p w14:paraId="008FE62C" w14:textId="77777777" w:rsidR="00DE77E2" w:rsidRPr="008E5CC5" w:rsidRDefault="00DE77E2">
            <w:pPr>
              <w:spacing w:after="0" w:line="240" w:lineRule="auto"/>
              <w:jc w:val="center"/>
              <w:rPr>
                <w:rFonts w:ascii="Calibri" w:eastAsia="Times New Roman" w:hAnsi="Calibri" w:cs="Calibri"/>
                <w:b/>
                <w:bCs/>
                <w:color w:val="FFFFFF" w:themeColor="background1"/>
                <w:sz w:val="16"/>
                <w:szCs w:val="16"/>
                <w:lang w:eastAsia="hr-HR"/>
              </w:rPr>
            </w:pPr>
            <w:r w:rsidRPr="008E5CC5">
              <w:rPr>
                <w:rFonts w:ascii="Calibri" w:eastAsia="Times New Roman" w:hAnsi="Calibri" w:cs="Calibri"/>
                <w:b/>
                <w:bCs/>
                <w:color w:val="FFFFFF" w:themeColor="background1"/>
                <w:sz w:val="16"/>
                <w:szCs w:val="16"/>
                <w:lang w:eastAsia="hr-HR"/>
              </w:rPr>
              <w:t xml:space="preserve">Povećanje količina odvojeno skupljenog otpada od 2017. do 2021. </w:t>
            </w:r>
          </w:p>
        </w:tc>
        <w:tc>
          <w:tcPr>
            <w:tcW w:w="742" w:type="dxa"/>
            <w:vMerge w:val="restart"/>
            <w:tcBorders>
              <w:bottom w:val="single" w:sz="4" w:space="0" w:color="auto"/>
            </w:tcBorders>
            <w:shd w:val="clear" w:color="auto" w:fill="002060"/>
            <w:vAlign w:val="center"/>
            <w:hideMark/>
          </w:tcPr>
          <w:p w14:paraId="2B7DE8F9" w14:textId="77777777" w:rsidR="00DE77E2" w:rsidRPr="008E5CC5" w:rsidRDefault="00DE77E2">
            <w:pPr>
              <w:spacing w:after="0" w:line="240" w:lineRule="auto"/>
              <w:jc w:val="center"/>
              <w:rPr>
                <w:rFonts w:ascii="Calibri" w:eastAsia="Times New Roman" w:hAnsi="Calibri" w:cs="Calibri"/>
                <w:b/>
                <w:bCs/>
                <w:color w:val="FFFFFF" w:themeColor="background1"/>
                <w:sz w:val="16"/>
                <w:szCs w:val="16"/>
                <w:lang w:eastAsia="hr-HR"/>
              </w:rPr>
            </w:pPr>
            <w:r w:rsidRPr="008E5CC5">
              <w:rPr>
                <w:rFonts w:ascii="Calibri" w:eastAsia="Times New Roman" w:hAnsi="Calibri" w:cs="Calibri"/>
                <w:b/>
                <w:bCs/>
                <w:color w:val="FFFFFF" w:themeColor="background1"/>
                <w:sz w:val="16"/>
                <w:szCs w:val="16"/>
                <w:lang w:eastAsia="hr-HR"/>
              </w:rPr>
              <w:t>2018. u odnosu na 2017.</w:t>
            </w:r>
          </w:p>
        </w:tc>
        <w:tc>
          <w:tcPr>
            <w:tcW w:w="708" w:type="dxa"/>
            <w:vMerge w:val="restart"/>
            <w:tcBorders>
              <w:bottom w:val="single" w:sz="4" w:space="0" w:color="auto"/>
            </w:tcBorders>
            <w:shd w:val="clear" w:color="auto" w:fill="002060"/>
            <w:vAlign w:val="center"/>
            <w:hideMark/>
          </w:tcPr>
          <w:p w14:paraId="185F5AC6" w14:textId="77777777" w:rsidR="00DE77E2" w:rsidRPr="008E5CC5" w:rsidRDefault="00DE77E2">
            <w:pPr>
              <w:spacing w:after="0" w:line="240" w:lineRule="auto"/>
              <w:jc w:val="center"/>
              <w:rPr>
                <w:rFonts w:ascii="Calibri" w:eastAsia="Times New Roman" w:hAnsi="Calibri" w:cs="Calibri"/>
                <w:b/>
                <w:bCs/>
                <w:color w:val="FFFFFF" w:themeColor="background1"/>
                <w:sz w:val="16"/>
                <w:szCs w:val="16"/>
                <w:lang w:eastAsia="hr-HR"/>
              </w:rPr>
            </w:pPr>
            <w:r w:rsidRPr="008E5CC5">
              <w:rPr>
                <w:rFonts w:ascii="Calibri" w:eastAsia="Times New Roman" w:hAnsi="Calibri" w:cs="Calibri"/>
                <w:b/>
                <w:bCs/>
                <w:color w:val="FFFFFF" w:themeColor="background1"/>
                <w:sz w:val="16"/>
                <w:szCs w:val="16"/>
                <w:lang w:eastAsia="hr-HR"/>
              </w:rPr>
              <w:t>2019. u odnosu na 2018.</w:t>
            </w:r>
          </w:p>
        </w:tc>
        <w:tc>
          <w:tcPr>
            <w:tcW w:w="709" w:type="dxa"/>
            <w:vMerge w:val="restart"/>
            <w:tcBorders>
              <w:bottom w:val="single" w:sz="4" w:space="0" w:color="auto"/>
            </w:tcBorders>
            <w:shd w:val="clear" w:color="auto" w:fill="002060"/>
            <w:vAlign w:val="center"/>
            <w:hideMark/>
          </w:tcPr>
          <w:p w14:paraId="1D2A1365" w14:textId="77777777" w:rsidR="00DE77E2" w:rsidRPr="008E5CC5" w:rsidRDefault="00DE77E2">
            <w:pPr>
              <w:spacing w:after="0" w:line="240" w:lineRule="auto"/>
              <w:jc w:val="center"/>
              <w:rPr>
                <w:rFonts w:ascii="Calibri" w:eastAsia="Times New Roman" w:hAnsi="Calibri" w:cs="Calibri"/>
                <w:b/>
                <w:bCs/>
                <w:color w:val="FFFFFF" w:themeColor="background1"/>
                <w:sz w:val="16"/>
                <w:szCs w:val="16"/>
                <w:lang w:eastAsia="hr-HR"/>
              </w:rPr>
            </w:pPr>
            <w:r w:rsidRPr="008E5CC5">
              <w:rPr>
                <w:rFonts w:ascii="Calibri" w:eastAsia="Times New Roman" w:hAnsi="Calibri" w:cs="Calibri"/>
                <w:b/>
                <w:bCs/>
                <w:color w:val="FFFFFF" w:themeColor="background1"/>
                <w:sz w:val="16"/>
                <w:szCs w:val="16"/>
                <w:lang w:eastAsia="hr-HR"/>
              </w:rPr>
              <w:t>2020. u odnosu na 2019.</w:t>
            </w:r>
          </w:p>
        </w:tc>
        <w:tc>
          <w:tcPr>
            <w:tcW w:w="709" w:type="dxa"/>
            <w:vMerge w:val="restart"/>
            <w:tcBorders>
              <w:bottom w:val="single" w:sz="4" w:space="0" w:color="auto"/>
            </w:tcBorders>
            <w:shd w:val="clear" w:color="auto" w:fill="002060"/>
            <w:vAlign w:val="center"/>
            <w:hideMark/>
          </w:tcPr>
          <w:p w14:paraId="7236C106" w14:textId="77777777" w:rsidR="00DE77E2" w:rsidRPr="008E5CC5" w:rsidRDefault="00DE77E2">
            <w:pPr>
              <w:spacing w:after="0" w:line="240" w:lineRule="auto"/>
              <w:jc w:val="center"/>
              <w:rPr>
                <w:rFonts w:ascii="Calibri" w:eastAsia="Times New Roman" w:hAnsi="Calibri" w:cs="Calibri"/>
                <w:b/>
                <w:bCs/>
                <w:color w:val="FFFFFF" w:themeColor="background1"/>
                <w:sz w:val="16"/>
                <w:szCs w:val="16"/>
                <w:lang w:eastAsia="hr-HR"/>
              </w:rPr>
            </w:pPr>
            <w:r w:rsidRPr="008E5CC5">
              <w:rPr>
                <w:rFonts w:ascii="Calibri" w:eastAsia="Times New Roman" w:hAnsi="Calibri" w:cs="Calibri"/>
                <w:b/>
                <w:bCs/>
                <w:color w:val="FFFFFF" w:themeColor="background1"/>
                <w:sz w:val="16"/>
                <w:szCs w:val="16"/>
                <w:lang w:eastAsia="hr-HR"/>
              </w:rPr>
              <w:t>2021. u odnosu na 2020.</w:t>
            </w:r>
          </w:p>
        </w:tc>
        <w:tc>
          <w:tcPr>
            <w:tcW w:w="868" w:type="dxa"/>
            <w:vMerge w:val="restart"/>
            <w:tcBorders>
              <w:bottom w:val="single" w:sz="4" w:space="0" w:color="auto"/>
            </w:tcBorders>
            <w:shd w:val="clear" w:color="auto" w:fill="002060"/>
            <w:vAlign w:val="center"/>
            <w:hideMark/>
          </w:tcPr>
          <w:p w14:paraId="3997F5A2" w14:textId="77777777" w:rsidR="00DE77E2" w:rsidRPr="008E5CC5" w:rsidRDefault="00DE77E2">
            <w:pPr>
              <w:spacing w:after="0" w:line="240" w:lineRule="auto"/>
              <w:jc w:val="center"/>
              <w:rPr>
                <w:rFonts w:ascii="Calibri" w:eastAsia="Times New Roman" w:hAnsi="Calibri" w:cs="Calibri"/>
                <w:b/>
                <w:bCs/>
                <w:color w:val="FFFFFF" w:themeColor="background1"/>
                <w:sz w:val="16"/>
                <w:szCs w:val="16"/>
                <w:lang w:eastAsia="hr-HR"/>
              </w:rPr>
            </w:pPr>
            <w:r w:rsidRPr="008E5CC5">
              <w:rPr>
                <w:rFonts w:ascii="Calibri" w:eastAsia="Times New Roman" w:hAnsi="Calibri" w:cs="Calibri"/>
                <w:b/>
                <w:bCs/>
                <w:color w:val="FFFFFF" w:themeColor="background1"/>
                <w:sz w:val="16"/>
                <w:szCs w:val="16"/>
                <w:lang w:eastAsia="hr-HR"/>
              </w:rPr>
              <w:t>Srednja vrijednost</w:t>
            </w:r>
          </w:p>
        </w:tc>
      </w:tr>
      <w:tr w:rsidR="00DE77E2" w:rsidRPr="008E5CC5" w14:paraId="22583256" w14:textId="77777777" w:rsidTr="008E5CC5">
        <w:trPr>
          <w:trHeight w:val="189"/>
        </w:trPr>
        <w:tc>
          <w:tcPr>
            <w:tcW w:w="1539" w:type="dxa"/>
            <w:tcBorders>
              <w:bottom w:val="single" w:sz="4" w:space="0" w:color="auto"/>
              <w:right w:val="nil"/>
            </w:tcBorders>
            <w:shd w:val="clear" w:color="auto" w:fill="002060"/>
            <w:noWrap/>
            <w:vAlign w:val="center"/>
            <w:hideMark/>
          </w:tcPr>
          <w:p w14:paraId="2D5517D2" w14:textId="77777777" w:rsidR="00DE77E2" w:rsidRPr="008E5CC5" w:rsidRDefault="00DE77E2">
            <w:pPr>
              <w:rPr>
                <w:rFonts w:ascii="Calibri" w:eastAsia="Times New Roman" w:hAnsi="Calibri" w:cs="Calibri"/>
                <w:b/>
                <w:bCs/>
                <w:color w:val="FFFFFF" w:themeColor="background1"/>
                <w:sz w:val="16"/>
                <w:szCs w:val="16"/>
                <w:lang w:eastAsia="hr-HR"/>
              </w:rPr>
            </w:pPr>
          </w:p>
        </w:tc>
        <w:tc>
          <w:tcPr>
            <w:tcW w:w="821" w:type="dxa"/>
            <w:tcBorders>
              <w:top w:val="nil"/>
              <w:left w:val="nil"/>
              <w:bottom w:val="nil"/>
              <w:right w:val="nil"/>
            </w:tcBorders>
            <w:shd w:val="clear" w:color="auto" w:fill="002060"/>
            <w:noWrap/>
            <w:vAlign w:val="center"/>
            <w:hideMark/>
          </w:tcPr>
          <w:p w14:paraId="347F9441" w14:textId="77777777" w:rsidR="00DE77E2" w:rsidRPr="008E5CC5" w:rsidRDefault="00DE77E2">
            <w:pPr>
              <w:spacing w:after="0" w:line="240" w:lineRule="auto"/>
              <w:jc w:val="center"/>
              <w:rPr>
                <w:rFonts w:ascii="Calibri" w:eastAsia="Times New Roman" w:hAnsi="Calibri" w:cs="Calibri"/>
                <w:b/>
                <w:bCs/>
                <w:color w:val="FFFFFF" w:themeColor="background1"/>
                <w:sz w:val="16"/>
                <w:szCs w:val="16"/>
                <w:lang w:eastAsia="hr-HR"/>
              </w:rPr>
            </w:pPr>
            <w:r w:rsidRPr="008E5CC5">
              <w:rPr>
                <w:rFonts w:ascii="Calibri" w:eastAsia="Times New Roman" w:hAnsi="Calibri" w:cs="Calibri"/>
                <w:b/>
                <w:bCs/>
                <w:color w:val="FFFFFF" w:themeColor="background1"/>
                <w:sz w:val="16"/>
                <w:szCs w:val="16"/>
                <w:lang w:eastAsia="hr-HR"/>
              </w:rPr>
              <w:t>2017.</w:t>
            </w:r>
          </w:p>
        </w:tc>
        <w:tc>
          <w:tcPr>
            <w:tcW w:w="746" w:type="dxa"/>
            <w:tcBorders>
              <w:top w:val="nil"/>
              <w:left w:val="nil"/>
              <w:bottom w:val="nil"/>
              <w:right w:val="nil"/>
            </w:tcBorders>
            <w:shd w:val="clear" w:color="auto" w:fill="002060"/>
            <w:noWrap/>
            <w:vAlign w:val="center"/>
            <w:hideMark/>
          </w:tcPr>
          <w:p w14:paraId="1D674799" w14:textId="77777777" w:rsidR="00DE77E2" w:rsidRPr="008E5CC5" w:rsidRDefault="00DE77E2">
            <w:pPr>
              <w:spacing w:after="0" w:line="240" w:lineRule="auto"/>
              <w:jc w:val="center"/>
              <w:rPr>
                <w:rFonts w:ascii="Calibri" w:eastAsia="Times New Roman" w:hAnsi="Calibri" w:cs="Calibri"/>
                <w:b/>
                <w:bCs/>
                <w:color w:val="FFFFFF" w:themeColor="background1"/>
                <w:sz w:val="16"/>
                <w:szCs w:val="16"/>
                <w:lang w:eastAsia="hr-HR"/>
              </w:rPr>
            </w:pPr>
            <w:r w:rsidRPr="008E5CC5">
              <w:rPr>
                <w:rFonts w:ascii="Calibri" w:eastAsia="Times New Roman" w:hAnsi="Calibri" w:cs="Calibri"/>
                <w:b/>
                <w:bCs/>
                <w:color w:val="FFFFFF" w:themeColor="background1"/>
                <w:sz w:val="16"/>
                <w:szCs w:val="16"/>
                <w:lang w:eastAsia="hr-HR"/>
              </w:rPr>
              <w:t>2018.</w:t>
            </w:r>
          </w:p>
        </w:tc>
        <w:tc>
          <w:tcPr>
            <w:tcW w:w="746" w:type="dxa"/>
            <w:tcBorders>
              <w:top w:val="nil"/>
              <w:left w:val="nil"/>
              <w:bottom w:val="nil"/>
              <w:right w:val="nil"/>
            </w:tcBorders>
            <w:shd w:val="clear" w:color="auto" w:fill="002060"/>
            <w:noWrap/>
            <w:vAlign w:val="center"/>
            <w:hideMark/>
          </w:tcPr>
          <w:p w14:paraId="1E328516" w14:textId="77777777" w:rsidR="00DE77E2" w:rsidRPr="008E5CC5" w:rsidRDefault="00DE77E2">
            <w:pPr>
              <w:spacing w:after="0" w:line="240" w:lineRule="auto"/>
              <w:jc w:val="center"/>
              <w:rPr>
                <w:rFonts w:ascii="Calibri" w:eastAsia="Times New Roman" w:hAnsi="Calibri" w:cs="Calibri"/>
                <w:b/>
                <w:bCs/>
                <w:color w:val="FFFFFF" w:themeColor="background1"/>
                <w:sz w:val="16"/>
                <w:szCs w:val="16"/>
                <w:lang w:eastAsia="hr-HR"/>
              </w:rPr>
            </w:pPr>
            <w:r w:rsidRPr="008E5CC5">
              <w:rPr>
                <w:rFonts w:ascii="Calibri" w:eastAsia="Times New Roman" w:hAnsi="Calibri" w:cs="Calibri"/>
                <w:b/>
                <w:bCs/>
                <w:color w:val="FFFFFF" w:themeColor="background1"/>
                <w:sz w:val="16"/>
                <w:szCs w:val="16"/>
                <w:lang w:eastAsia="hr-HR"/>
              </w:rPr>
              <w:t>2019.</w:t>
            </w:r>
          </w:p>
        </w:tc>
        <w:tc>
          <w:tcPr>
            <w:tcW w:w="746" w:type="dxa"/>
            <w:tcBorders>
              <w:top w:val="nil"/>
              <w:left w:val="nil"/>
              <w:bottom w:val="nil"/>
              <w:right w:val="nil"/>
            </w:tcBorders>
            <w:shd w:val="clear" w:color="auto" w:fill="002060"/>
            <w:noWrap/>
            <w:vAlign w:val="center"/>
            <w:hideMark/>
          </w:tcPr>
          <w:p w14:paraId="132861EE" w14:textId="77777777" w:rsidR="00DE77E2" w:rsidRPr="008E5CC5" w:rsidRDefault="00DE77E2">
            <w:pPr>
              <w:spacing w:after="0" w:line="240" w:lineRule="auto"/>
              <w:jc w:val="center"/>
              <w:rPr>
                <w:rFonts w:ascii="Calibri" w:eastAsia="Times New Roman" w:hAnsi="Calibri" w:cs="Calibri"/>
                <w:b/>
                <w:bCs/>
                <w:color w:val="FFFFFF" w:themeColor="background1"/>
                <w:sz w:val="16"/>
                <w:szCs w:val="16"/>
                <w:lang w:eastAsia="hr-HR"/>
              </w:rPr>
            </w:pPr>
            <w:r w:rsidRPr="008E5CC5">
              <w:rPr>
                <w:rFonts w:ascii="Calibri" w:eastAsia="Times New Roman" w:hAnsi="Calibri" w:cs="Calibri"/>
                <w:b/>
                <w:bCs/>
                <w:color w:val="FFFFFF" w:themeColor="background1"/>
                <w:sz w:val="16"/>
                <w:szCs w:val="16"/>
                <w:lang w:eastAsia="hr-HR"/>
              </w:rPr>
              <w:t>2020.</w:t>
            </w:r>
          </w:p>
        </w:tc>
        <w:tc>
          <w:tcPr>
            <w:tcW w:w="746" w:type="dxa"/>
            <w:tcBorders>
              <w:top w:val="nil"/>
              <w:left w:val="nil"/>
              <w:bottom w:val="nil"/>
              <w:right w:val="nil"/>
            </w:tcBorders>
            <w:shd w:val="clear" w:color="auto" w:fill="002060"/>
            <w:noWrap/>
            <w:vAlign w:val="center"/>
            <w:hideMark/>
          </w:tcPr>
          <w:p w14:paraId="0F419F23" w14:textId="77777777" w:rsidR="00DE77E2" w:rsidRPr="008E5CC5" w:rsidRDefault="00DE77E2">
            <w:pPr>
              <w:spacing w:after="0" w:line="240" w:lineRule="auto"/>
              <w:jc w:val="center"/>
              <w:rPr>
                <w:rFonts w:ascii="Calibri" w:eastAsia="Times New Roman" w:hAnsi="Calibri" w:cs="Calibri"/>
                <w:b/>
                <w:bCs/>
                <w:color w:val="FFFFFF" w:themeColor="background1"/>
                <w:sz w:val="16"/>
                <w:szCs w:val="16"/>
                <w:lang w:eastAsia="hr-HR"/>
              </w:rPr>
            </w:pPr>
            <w:r w:rsidRPr="008E5CC5">
              <w:rPr>
                <w:rFonts w:ascii="Calibri" w:eastAsia="Times New Roman" w:hAnsi="Calibri" w:cs="Calibri"/>
                <w:b/>
                <w:bCs/>
                <w:color w:val="FFFFFF" w:themeColor="background1"/>
                <w:sz w:val="16"/>
                <w:szCs w:val="16"/>
                <w:lang w:eastAsia="hr-HR"/>
              </w:rPr>
              <w:t>2021.</w:t>
            </w:r>
          </w:p>
        </w:tc>
        <w:tc>
          <w:tcPr>
            <w:tcW w:w="0" w:type="auto"/>
            <w:vMerge/>
            <w:tcBorders>
              <w:left w:val="nil"/>
              <w:bottom w:val="single" w:sz="4" w:space="0" w:color="auto"/>
            </w:tcBorders>
            <w:vAlign w:val="center"/>
            <w:hideMark/>
          </w:tcPr>
          <w:p w14:paraId="6382B39E" w14:textId="77777777" w:rsidR="00DE77E2" w:rsidRPr="008E5CC5" w:rsidRDefault="00DE77E2">
            <w:pPr>
              <w:spacing w:after="0"/>
              <w:rPr>
                <w:rFonts w:ascii="Calibri" w:eastAsia="Times New Roman" w:hAnsi="Calibri" w:cs="Calibri"/>
                <w:b/>
                <w:bCs/>
                <w:color w:val="000000"/>
                <w:sz w:val="16"/>
                <w:szCs w:val="16"/>
                <w:lang w:eastAsia="hr-HR"/>
              </w:rPr>
            </w:pPr>
          </w:p>
        </w:tc>
        <w:tc>
          <w:tcPr>
            <w:tcW w:w="0" w:type="auto"/>
            <w:vMerge/>
            <w:tcBorders>
              <w:bottom w:val="single" w:sz="4" w:space="0" w:color="auto"/>
            </w:tcBorders>
            <w:vAlign w:val="center"/>
            <w:hideMark/>
          </w:tcPr>
          <w:p w14:paraId="28318D31" w14:textId="77777777" w:rsidR="00DE77E2" w:rsidRPr="008E5CC5" w:rsidRDefault="00DE77E2">
            <w:pPr>
              <w:spacing w:after="0"/>
              <w:rPr>
                <w:rFonts w:ascii="Calibri" w:eastAsia="Times New Roman" w:hAnsi="Calibri" w:cs="Calibri"/>
                <w:b/>
                <w:bCs/>
                <w:color w:val="000000"/>
                <w:sz w:val="16"/>
                <w:szCs w:val="16"/>
                <w:lang w:eastAsia="hr-HR"/>
              </w:rPr>
            </w:pPr>
          </w:p>
        </w:tc>
        <w:tc>
          <w:tcPr>
            <w:tcW w:w="0" w:type="auto"/>
            <w:vMerge/>
            <w:tcBorders>
              <w:bottom w:val="single" w:sz="4" w:space="0" w:color="auto"/>
            </w:tcBorders>
            <w:vAlign w:val="center"/>
            <w:hideMark/>
          </w:tcPr>
          <w:p w14:paraId="10024DA5" w14:textId="77777777" w:rsidR="00DE77E2" w:rsidRPr="008E5CC5" w:rsidRDefault="00DE77E2">
            <w:pPr>
              <w:spacing w:after="0"/>
              <w:rPr>
                <w:rFonts w:ascii="Calibri" w:eastAsia="Times New Roman" w:hAnsi="Calibri" w:cs="Calibri"/>
                <w:b/>
                <w:bCs/>
                <w:color w:val="000000"/>
                <w:sz w:val="16"/>
                <w:szCs w:val="16"/>
                <w:lang w:eastAsia="hr-HR"/>
              </w:rPr>
            </w:pPr>
          </w:p>
        </w:tc>
        <w:tc>
          <w:tcPr>
            <w:tcW w:w="0" w:type="auto"/>
            <w:vMerge/>
            <w:tcBorders>
              <w:bottom w:val="single" w:sz="4" w:space="0" w:color="auto"/>
            </w:tcBorders>
            <w:vAlign w:val="center"/>
            <w:hideMark/>
          </w:tcPr>
          <w:p w14:paraId="4369794D" w14:textId="77777777" w:rsidR="00DE77E2" w:rsidRPr="008E5CC5" w:rsidRDefault="00DE77E2">
            <w:pPr>
              <w:spacing w:after="0"/>
              <w:rPr>
                <w:rFonts w:ascii="Calibri" w:eastAsia="Times New Roman" w:hAnsi="Calibri" w:cs="Calibri"/>
                <w:b/>
                <w:bCs/>
                <w:color w:val="000000"/>
                <w:sz w:val="16"/>
                <w:szCs w:val="16"/>
                <w:lang w:eastAsia="hr-HR"/>
              </w:rPr>
            </w:pPr>
          </w:p>
        </w:tc>
        <w:tc>
          <w:tcPr>
            <w:tcW w:w="0" w:type="auto"/>
            <w:vMerge/>
            <w:tcBorders>
              <w:bottom w:val="single" w:sz="4" w:space="0" w:color="auto"/>
            </w:tcBorders>
            <w:vAlign w:val="center"/>
            <w:hideMark/>
          </w:tcPr>
          <w:p w14:paraId="405F47F4" w14:textId="77777777" w:rsidR="00DE77E2" w:rsidRPr="008E5CC5" w:rsidRDefault="00DE77E2">
            <w:pPr>
              <w:spacing w:after="0"/>
              <w:rPr>
                <w:rFonts w:ascii="Calibri" w:eastAsia="Times New Roman" w:hAnsi="Calibri" w:cs="Calibri"/>
                <w:b/>
                <w:bCs/>
                <w:color w:val="000000"/>
                <w:sz w:val="16"/>
                <w:szCs w:val="16"/>
                <w:lang w:eastAsia="hr-HR"/>
              </w:rPr>
            </w:pPr>
          </w:p>
        </w:tc>
      </w:tr>
      <w:tr w:rsidR="00DE77E2" w14:paraId="518ED0CB" w14:textId="77777777" w:rsidTr="008E5CC5">
        <w:trPr>
          <w:trHeight w:val="176"/>
        </w:trPr>
        <w:tc>
          <w:tcPr>
            <w:tcW w:w="1539" w:type="dxa"/>
            <w:tcBorders>
              <w:top w:val="single" w:sz="4" w:space="0" w:color="auto"/>
            </w:tcBorders>
            <w:noWrap/>
            <w:vAlign w:val="center"/>
            <w:hideMark/>
          </w:tcPr>
          <w:p w14:paraId="2C8FC6CA" w14:textId="77777777" w:rsidR="00DE77E2" w:rsidRDefault="00DE77E2" w:rsidP="00637F4A">
            <w:pPr>
              <w:spacing w:after="0" w:line="240" w:lineRule="auto"/>
              <w:jc w:val="left"/>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Ukupno (t)</w:t>
            </w:r>
          </w:p>
        </w:tc>
        <w:tc>
          <w:tcPr>
            <w:tcW w:w="821" w:type="dxa"/>
            <w:tcBorders>
              <w:top w:val="single" w:sz="4" w:space="0" w:color="auto"/>
            </w:tcBorders>
            <w:noWrap/>
            <w:vAlign w:val="center"/>
            <w:hideMark/>
          </w:tcPr>
          <w:p w14:paraId="22C9FA0B" w14:textId="77777777" w:rsidR="00DE77E2" w:rsidRDefault="00DE77E2">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488.209</w:t>
            </w:r>
          </w:p>
        </w:tc>
        <w:tc>
          <w:tcPr>
            <w:tcW w:w="746" w:type="dxa"/>
            <w:tcBorders>
              <w:top w:val="single" w:sz="4" w:space="0" w:color="auto"/>
            </w:tcBorders>
            <w:noWrap/>
            <w:vAlign w:val="center"/>
            <w:hideMark/>
          </w:tcPr>
          <w:p w14:paraId="398A367D" w14:textId="77777777" w:rsidR="00DE77E2" w:rsidRDefault="00DE77E2">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553.791</w:t>
            </w:r>
          </w:p>
        </w:tc>
        <w:tc>
          <w:tcPr>
            <w:tcW w:w="746" w:type="dxa"/>
            <w:tcBorders>
              <w:top w:val="single" w:sz="4" w:space="0" w:color="auto"/>
            </w:tcBorders>
            <w:noWrap/>
            <w:vAlign w:val="center"/>
            <w:hideMark/>
          </w:tcPr>
          <w:p w14:paraId="06591F9F" w14:textId="77777777" w:rsidR="00DE77E2" w:rsidRDefault="00DE77E2">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670.769</w:t>
            </w:r>
          </w:p>
        </w:tc>
        <w:tc>
          <w:tcPr>
            <w:tcW w:w="746" w:type="dxa"/>
            <w:tcBorders>
              <w:top w:val="single" w:sz="4" w:space="0" w:color="auto"/>
            </w:tcBorders>
            <w:noWrap/>
            <w:vAlign w:val="center"/>
            <w:hideMark/>
          </w:tcPr>
          <w:p w14:paraId="241ED1CF" w14:textId="77777777" w:rsidR="00DE77E2" w:rsidRDefault="00DE77E2">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694.159</w:t>
            </w:r>
          </w:p>
        </w:tc>
        <w:tc>
          <w:tcPr>
            <w:tcW w:w="746" w:type="dxa"/>
            <w:tcBorders>
              <w:top w:val="single" w:sz="4" w:space="0" w:color="auto"/>
            </w:tcBorders>
            <w:noWrap/>
            <w:vAlign w:val="center"/>
            <w:hideMark/>
          </w:tcPr>
          <w:p w14:paraId="4D63AAC5" w14:textId="77777777" w:rsidR="00DE77E2" w:rsidRDefault="00DE77E2">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761.683</w:t>
            </w:r>
          </w:p>
        </w:tc>
        <w:tc>
          <w:tcPr>
            <w:tcW w:w="742" w:type="dxa"/>
            <w:tcBorders>
              <w:top w:val="single" w:sz="4" w:space="0" w:color="auto"/>
            </w:tcBorders>
            <w:noWrap/>
            <w:vAlign w:val="center"/>
            <w:hideMark/>
          </w:tcPr>
          <w:p w14:paraId="039B26BB"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13%</w:t>
            </w:r>
          </w:p>
        </w:tc>
        <w:tc>
          <w:tcPr>
            <w:tcW w:w="708" w:type="dxa"/>
            <w:tcBorders>
              <w:top w:val="single" w:sz="4" w:space="0" w:color="auto"/>
            </w:tcBorders>
            <w:noWrap/>
            <w:vAlign w:val="center"/>
            <w:hideMark/>
          </w:tcPr>
          <w:p w14:paraId="72297B45"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21%</w:t>
            </w:r>
          </w:p>
        </w:tc>
        <w:tc>
          <w:tcPr>
            <w:tcW w:w="709" w:type="dxa"/>
            <w:tcBorders>
              <w:top w:val="single" w:sz="4" w:space="0" w:color="auto"/>
            </w:tcBorders>
            <w:noWrap/>
            <w:vAlign w:val="center"/>
            <w:hideMark/>
          </w:tcPr>
          <w:p w14:paraId="3C6AEDC5"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w:t>
            </w:r>
          </w:p>
        </w:tc>
        <w:tc>
          <w:tcPr>
            <w:tcW w:w="709" w:type="dxa"/>
            <w:tcBorders>
              <w:top w:val="single" w:sz="4" w:space="0" w:color="auto"/>
            </w:tcBorders>
            <w:noWrap/>
            <w:vAlign w:val="center"/>
            <w:hideMark/>
          </w:tcPr>
          <w:p w14:paraId="6D306106"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10%</w:t>
            </w:r>
          </w:p>
        </w:tc>
        <w:tc>
          <w:tcPr>
            <w:tcW w:w="868" w:type="dxa"/>
            <w:tcBorders>
              <w:top w:val="single" w:sz="4" w:space="0" w:color="auto"/>
            </w:tcBorders>
            <w:noWrap/>
            <w:vAlign w:val="center"/>
            <w:hideMark/>
          </w:tcPr>
          <w:p w14:paraId="740727CD"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w:t>
            </w:r>
          </w:p>
        </w:tc>
      </w:tr>
      <w:tr w:rsidR="00DE77E2" w14:paraId="607B7F3C" w14:textId="77777777" w:rsidTr="00DE77E2">
        <w:trPr>
          <w:trHeight w:val="176"/>
        </w:trPr>
        <w:tc>
          <w:tcPr>
            <w:tcW w:w="1539" w:type="dxa"/>
            <w:noWrap/>
            <w:vAlign w:val="center"/>
            <w:hideMark/>
          </w:tcPr>
          <w:p w14:paraId="6EECD62F" w14:textId="77777777" w:rsidR="00DE77E2" w:rsidRDefault="00DE77E2" w:rsidP="00637F4A">
            <w:pPr>
              <w:spacing w:after="0" w:line="240" w:lineRule="auto"/>
              <w:jc w:val="lef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Papir i karton</w:t>
            </w:r>
          </w:p>
        </w:tc>
        <w:tc>
          <w:tcPr>
            <w:tcW w:w="821" w:type="dxa"/>
            <w:noWrap/>
            <w:vAlign w:val="center"/>
            <w:hideMark/>
          </w:tcPr>
          <w:p w14:paraId="0EE1AC22"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169.024</w:t>
            </w:r>
          </w:p>
        </w:tc>
        <w:tc>
          <w:tcPr>
            <w:tcW w:w="746" w:type="dxa"/>
            <w:noWrap/>
            <w:vAlign w:val="center"/>
            <w:hideMark/>
          </w:tcPr>
          <w:p w14:paraId="02954CED"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181.857</w:t>
            </w:r>
          </w:p>
        </w:tc>
        <w:tc>
          <w:tcPr>
            <w:tcW w:w="746" w:type="dxa"/>
            <w:noWrap/>
            <w:vAlign w:val="center"/>
            <w:hideMark/>
          </w:tcPr>
          <w:p w14:paraId="34B4D8E5"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204.078</w:t>
            </w:r>
          </w:p>
        </w:tc>
        <w:tc>
          <w:tcPr>
            <w:tcW w:w="746" w:type="dxa"/>
            <w:noWrap/>
            <w:vAlign w:val="center"/>
            <w:hideMark/>
          </w:tcPr>
          <w:p w14:paraId="18F196E6"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199.737</w:t>
            </w:r>
          </w:p>
        </w:tc>
        <w:tc>
          <w:tcPr>
            <w:tcW w:w="746" w:type="dxa"/>
            <w:noWrap/>
            <w:vAlign w:val="center"/>
            <w:hideMark/>
          </w:tcPr>
          <w:p w14:paraId="0736A789"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228.265</w:t>
            </w:r>
          </w:p>
        </w:tc>
        <w:tc>
          <w:tcPr>
            <w:tcW w:w="742" w:type="dxa"/>
            <w:noWrap/>
            <w:vAlign w:val="center"/>
            <w:hideMark/>
          </w:tcPr>
          <w:p w14:paraId="56C5EC2A"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8%</w:t>
            </w:r>
          </w:p>
        </w:tc>
        <w:tc>
          <w:tcPr>
            <w:tcW w:w="708" w:type="dxa"/>
            <w:noWrap/>
            <w:vAlign w:val="center"/>
            <w:hideMark/>
          </w:tcPr>
          <w:p w14:paraId="0201E659"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w:t>
            </w:r>
          </w:p>
        </w:tc>
        <w:tc>
          <w:tcPr>
            <w:tcW w:w="709" w:type="dxa"/>
            <w:noWrap/>
            <w:vAlign w:val="center"/>
            <w:hideMark/>
          </w:tcPr>
          <w:p w14:paraId="1DEE84B4"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w:t>
            </w:r>
          </w:p>
        </w:tc>
        <w:tc>
          <w:tcPr>
            <w:tcW w:w="709" w:type="dxa"/>
            <w:noWrap/>
            <w:vAlign w:val="center"/>
            <w:hideMark/>
          </w:tcPr>
          <w:p w14:paraId="6265B2DA"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14%</w:t>
            </w:r>
          </w:p>
        </w:tc>
        <w:tc>
          <w:tcPr>
            <w:tcW w:w="868" w:type="dxa"/>
            <w:noWrap/>
            <w:vAlign w:val="center"/>
            <w:hideMark/>
          </w:tcPr>
          <w:p w14:paraId="728B2E48"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8%</w:t>
            </w:r>
          </w:p>
        </w:tc>
      </w:tr>
      <w:tr w:rsidR="00DE77E2" w14:paraId="1163597F" w14:textId="77777777" w:rsidTr="00DE77E2">
        <w:trPr>
          <w:trHeight w:val="176"/>
        </w:trPr>
        <w:tc>
          <w:tcPr>
            <w:tcW w:w="1539" w:type="dxa"/>
            <w:noWrap/>
            <w:vAlign w:val="center"/>
            <w:hideMark/>
          </w:tcPr>
          <w:p w14:paraId="7CCCFD08" w14:textId="77777777" w:rsidR="00DE77E2" w:rsidRDefault="00DE77E2" w:rsidP="00637F4A">
            <w:pPr>
              <w:spacing w:after="0" w:line="240" w:lineRule="auto"/>
              <w:jc w:val="lef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Glomazni otpad</w:t>
            </w:r>
          </w:p>
        </w:tc>
        <w:tc>
          <w:tcPr>
            <w:tcW w:w="821" w:type="dxa"/>
            <w:noWrap/>
            <w:vAlign w:val="center"/>
            <w:hideMark/>
          </w:tcPr>
          <w:p w14:paraId="5F140CBF"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78.529</w:t>
            </w:r>
          </w:p>
        </w:tc>
        <w:tc>
          <w:tcPr>
            <w:tcW w:w="746" w:type="dxa"/>
            <w:noWrap/>
            <w:vAlign w:val="center"/>
            <w:hideMark/>
          </w:tcPr>
          <w:p w14:paraId="1F39EA82"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101.403</w:t>
            </w:r>
          </w:p>
        </w:tc>
        <w:tc>
          <w:tcPr>
            <w:tcW w:w="746" w:type="dxa"/>
            <w:noWrap/>
            <w:vAlign w:val="center"/>
            <w:hideMark/>
          </w:tcPr>
          <w:p w14:paraId="0BE63F04"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129.531</w:t>
            </w:r>
          </w:p>
        </w:tc>
        <w:tc>
          <w:tcPr>
            <w:tcW w:w="746" w:type="dxa"/>
            <w:noWrap/>
            <w:vAlign w:val="center"/>
            <w:hideMark/>
          </w:tcPr>
          <w:p w14:paraId="1B0C425D"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132.523</w:t>
            </w:r>
          </w:p>
        </w:tc>
        <w:tc>
          <w:tcPr>
            <w:tcW w:w="746" w:type="dxa"/>
            <w:noWrap/>
            <w:vAlign w:val="center"/>
            <w:hideMark/>
          </w:tcPr>
          <w:p w14:paraId="405AAF52"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129.086</w:t>
            </w:r>
          </w:p>
        </w:tc>
        <w:tc>
          <w:tcPr>
            <w:tcW w:w="742" w:type="dxa"/>
            <w:noWrap/>
            <w:vAlign w:val="center"/>
            <w:hideMark/>
          </w:tcPr>
          <w:p w14:paraId="7204A5D7"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29%</w:t>
            </w:r>
          </w:p>
        </w:tc>
        <w:tc>
          <w:tcPr>
            <w:tcW w:w="708" w:type="dxa"/>
            <w:noWrap/>
            <w:vAlign w:val="center"/>
            <w:hideMark/>
          </w:tcPr>
          <w:p w14:paraId="375B2D21"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28%</w:t>
            </w:r>
          </w:p>
        </w:tc>
        <w:tc>
          <w:tcPr>
            <w:tcW w:w="709" w:type="dxa"/>
            <w:noWrap/>
            <w:vAlign w:val="center"/>
            <w:hideMark/>
          </w:tcPr>
          <w:p w14:paraId="3FDF26ED"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w:t>
            </w:r>
          </w:p>
        </w:tc>
        <w:tc>
          <w:tcPr>
            <w:tcW w:w="709" w:type="dxa"/>
            <w:noWrap/>
            <w:vAlign w:val="center"/>
            <w:hideMark/>
          </w:tcPr>
          <w:p w14:paraId="6EE52710"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w:t>
            </w:r>
          </w:p>
        </w:tc>
        <w:tc>
          <w:tcPr>
            <w:tcW w:w="868" w:type="dxa"/>
            <w:noWrap/>
            <w:vAlign w:val="center"/>
            <w:hideMark/>
          </w:tcPr>
          <w:p w14:paraId="68189043"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14%</w:t>
            </w:r>
          </w:p>
        </w:tc>
      </w:tr>
      <w:tr w:rsidR="00DE77E2" w14:paraId="00CCE593" w14:textId="77777777" w:rsidTr="00DE77E2">
        <w:trPr>
          <w:trHeight w:val="176"/>
        </w:trPr>
        <w:tc>
          <w:tcPr>
            <w:tcW w:w="1539" w:type="dxa"/>
            <w:noWrap/>
            <w:vAlign w:val="center"/>
            <w:hideMark/>
          </w:tcPr>
          <w:p w14:paraId="2B6D19FB" w14:textId="77777777" w:rsidR="00DE77E2" w:rsidRDefault="00DE77E2" w:rsidP="00637F4A">
            <w:pPr>
              <w:spacing w:after="0" w:line="240" w:lineRule="auto"/>
              <w:jc w:val="lef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Biootpad</w:t>
            </w:r>
          </w:p>
        </w:tc>
        <w:tc>
          <w:tcPr>
            <w:tcW w:w="821" w:type="dxa"/>
            <w:noWrap/>
            <w:vAlign w:val="center"/>
            <w:hideMark/>
          </w:tcPr>
          <w:p w14:paraId="138A788B"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71.046</w:t>
            </w:r>
          </w:p>
        </w:tc>
        <w:tc>
          <w:tcPr>
            <w:tcW w:w="746" w:type="dxa"/>
            <w:noWrap/>
            <w:vAlign w:val="center"/>
            <w:hideMark/>
          </w:tcPr>
          <w:p w14:paraId="423F357A"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70.024</w:t>
            </w:r>
          </w:p>
        </w:tc>
        <w:tc>
          <w:tcPr>
            <w:tcW w:w="746" w:type="dxa"/>
            <w:noWrap/>
            <w:vAlign w:val="center"/>
            <w:hideMark/>
          </w:tcPr>
          <w:p w14:paraId="0DF36004"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97.518</w:t>
            </w:r>
          </w:p>
        </w:tc>
        <w:tc>
          <w:tcPr>
            <w:tcW w:w="746" w:type="dxa"/>
            <w:noWrap/>
            <w:vAlign w:val="center"/>
            <w:hideMark/>
          </w:tcPr>
          <w:p w14:paraId="4CB732FF"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118.692</w:t>
            </w:r>
          </w:p>
        </w:tc>
        <w:tc>
          <w:tcPr>
            <w:tcW w:w="746" w:type="dxa"/>
            <w:noWrap/>
            <w:vAlign w:val="center"/>
            <w:hideMark/>
          </w:tcPr>
          <w:p w14:paraId="2B2C4DA9"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122.175</w:t>
            </w:r>
          </w:p>
        </w:tc>
        <w:tc>
          <w:tcPr>
            <w:tcW w:w="742" w:type="dxa"/>
            <w:noWrap/>
            <w:vAlign w:val="center"/>
            <w:hideMark/>
          </w:tcPr>
          <w:p w14:paraId="5DAC0AE2"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w:t>
            </w:r>
          </w:p>
        </w:tc>
        <w:tc>
          <w:tcPr>
            <w:tcW w:w="708" w:type="dxa"/>
            <w:noWrap/>
            <w:vAlign w:val="center"/>
            <w:hideMark/>
          </w:tcPr>
          <w:p w14:paraId="2C2A6CAD"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39%</w:t>
            </w:r>
          </w:p>
        </w:tc>
        <w:tc>
          <w:tcPr>
            <w:tcW w:w="709" w:type="dxa"/>
            <w:noWrap/>
            <w:vAlign w:val="center"/>
            <w:hideMark/>
          </w:tcPr>
          <w:p w14:paraId="7297E3E3"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22%</w:t>
            </w:r>
          </w:p>
        </w:tc>
        <w:tc>
          <w:tcPr>
            <w:tcW w:w="709" w:type="dxa"/>
            <w:noWrap/>
            <w:vAlign w:val="center"/>
            <w:hideMark/>
          </w:tcPr>
          <w:p w14:paraId="480E80C3"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w:t>
            </w:r>
          </w:p>
        </w:tc>
        <w:tc>
          <w:tcPr>
            <w:tcW w:w="868" w:type="dxa"/>
            <w:noWrap/>
            <w:vAlign w:val="center"/>
            <w:hideMark/>
          </w:tcPr>
          <w:p w14:paraId="6F6E9812"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16%</w:t>
            </w:r>
          </w:p>
        </w:tc>
      </w:tr>
      <w:tr w:rsidR="00DE77E2" w14:paraId="355B5F3A" w14:textId="77777777" w:rsidTr="00DE77E2">
        <w:trPr>
          <w:trHeight w:val="176"/>
        </w:trPr>
        <w:tc>
          <w:tcPr>
            <w:tcW w:w="1539" w:type="dxa"/>
            <w:noWrap/>
            <w:vAlign w:val="center"/>
            <w:hideMark/>
          </w:tcPr>
          <w:p w14:paraId="4F8FF5C5" w14:textId="77777777" w:rsidR="00DE77E2" w:rsidRDefault="00DE77E2" w:rsidP="00637F4A">
            <w:pPr>
              <w:spacing w:after="0" w:line="240" w:lineRule="auto"/>
              <w:jc w:val="lef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Plastika</w:t>
            </w:r>
          </w:p>
        </w:tc>
        <w:tc>
          <w:tcPr>
            <w:tcW w:w="821" w:type="dxa"/>
            <w:noWrap/>
            <w:vAlign w:val="center"/>
            <w:hideMark/>
          </w:tcPr>
          <w:p w14:paraId="60D45757"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40.745</w:t>
            </w:r>
          </w:p>
        </w:tc>
        <w:tc>
          <w:tcPr>
            <w:tcW w:w="746" w:type="dxa"/>
            <w:noWrap/>
            <w:vAlign w:val="center"/>
            <w:hideMark/>
          </w:tcPr>
          <w:p w14:paraId="4D278291"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41.241</w:t>
            </w:r>
          </w:p>
        </w:tc>
        <w:tc>
          <w:tcPr>
            <w:tcW w:w="746" w:type="dxa"/>
            <w:noWrap/>
            <w:vAlign w:val="center"/>
            <w:hideMark/>
          </w:tcPr>
          <w:p w14:paraId="7FC8C5F8"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63.445</w:t>
            </w:r>
          </w:p>
        </w:tc>
        <w:tc>
          <w:tcPr>
            <w:tcW w:w="746" w:type="dxa"/>
            <w:noWrap/>
            <w:vAlign w:val="center"/>
            <w:hideMark/>
          </w:tcPr>
          <w:p w14:paraId="545FBE5E"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66.384</w:t>
            </w:r>
          </w:p>
        </w:tc>
        <w:tc>
          <w:tcPr>
            <w:tcW w:w="746" w:type="dxa"/>
            <w:noWrap/>
            <w:vAlign w:val="center"/>
            <w:hideMark/>
          </w:tcPr>
          <w:p w14:paraId="7816FEFA"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73.707</w:t>
            </w:r>
          </w:p>
        </w:tc>
        <w:tc>
          <w:tcPr>
            <w:tcW w:w="742" w:type="dxa"/>
            <w:noWrap/>
            <w:vAlign w:val="center"/>
            <w:hideMark/>
          </w:tcPr>
          <w:p w14:paraId="2540AD11"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w:t>
            </w:r>
          </w:p>
        </w:tc>
        <w:tc>
          <w:tcPr>
            <w:tcW w:w="708" w:type="dxa"/>
            <w:noWrap/>
            <w:vAlign w:val="center"/>
            <w:hideMark/>
          </w:tcPr>
          <w:p w14:paraId="3D3C1C8C"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54%</w:t>
            </w:r>
          </w:p>
        </w:tc>
        <w:tc>
          <w:tcPr>
            <w:tcW w:w="709" w:type="dxa"/>
            <w:noWrap/>
            <w:vAlign w:val="center"/>
            <w:hideMark/>
          </w:tcPr>
          <w:p w14:paraId="4620099D"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w:t>
            </w:r>
          </w:p>
        </w:tc>
        <w:tc>
          <w:tcPr>
            <w:tcW w:w="709" w:type="dxa"/>
            <w:noWrap/>
            <w:vAlign w:val="center"/>
            <w:hideMark/>
          </w:tcPr>
          <w:p w14:paraId="561DB54F"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11%</w:t>
            </w:r>
          </w:p>
        </w:tc>
        <w:tc>
          <w:tcPr>
            <w:tcW w:w="868" w:type="dxa"/>
            <w:noWrap/>
            <w:vAlign w:val="center"/>
            <w:hideMark/>
          </w:tcPr>
          <w:p w14:paraId="4CC17968"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18%</w:t>
            </w:r>
          </w:p>
        </w:tc>
      </w:tr>
      <w:tr w:rsidR="00DE77E2" w14:paraId="68F913FF" w14:textId="77777777" w:rsidTr="00DE77E2">
        <w:trPr>
          <w:trHeight w:val="176"/>
        </w:trPr>
        <w:tc>
          <w:tcPr>
            <w:tcW w:w="1539" w:type="dxa"/>
            <w:noWrap/>
            <w:vAlign w:val="center"/>
            <w:hideMark/>
          </w:tcPr>
          <w:p w14:paraId="0D6102C0" w14:textId="77777777" w:rsidR="00DE77E2" w:rsidRDefault="00DE77E2" w:rsidP="00637F4A">
            <w:pPr>
              <w:spacing w:after="0" w:line="240" w:lineRule="auto"/>
              <w:jc w:val="lef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Staklo</w:t>
            </w:r>
          </w:p>
        </w:tc>
        <w:tc>
          <w:tcPr>
            <w:tcW w:w="821" w:type="dxa"/>
            <w:noWrap/>
            <w:vAlign w:val="center"/>
            <w:hideMark/>
          </w:tcPr>
          <w:p w14:paraId="5DB32896"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42.613</w:t>
            </w:r>
          </w:p>
        </w:tc>
        <w:tc>
          <w:tcPr>
            <w:tcW w:w="746" w:type="dxa"/>
            <w:noWrap/>
            <w:vAlign w:val="center"/>
            <w:hideMark/>
          </w:tcPr>
          <w:p w14:paraId="3D28DC1B"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52.656</w:t>
            </w:r>
          </w:p>
        </w:tc>
        <w:tc>
          <w:tcPr>
            <w:tcW w:w="746" w:type="dxa"/>
            <w:noWrap/>
            <w:vAlign w:val="center"/>
            <w:hideMark/>
          </w:tcPr>
          <w:p w14:paraId="6390DAF0"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57.054</w:t>
            </w:r>
          </w:p>
        </w:tc>
        <w:tc>
          <w:tcPr>
            <w:tcW w:w="746" w:type="dxa"/>
            <w:noWrap/>
            <w:vAlign w:val="center"/>
            <w:hideMark/>
          </w:tcPr>
          <w:p w14:paraId="472C0EF1"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43.738</w:t>
            </w:r>
          </w:p>
        </w:tc>
        <w:tc>
          <w:tcPr>
            <w:tcW w:w="746" w:type="dxa"/>
            <w:noWrap/>
            <w:vAlign w:val="center"/>
            <w:hideMark/>
          </w:tcPr>
          <w:p w14:paraId="004600A8"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53.210</w:t>
            </w:r>
          </w:p>
        </w:tc>
        <w:tc>
          <w:tcPr>
            <w:tcW w:w="742" w:type="dxa"/>
            <w:noWrap/>
            <w:vAlign w:val="center"/>
            <w:hideMark/>
          </w:tcPr>
          <w:p w14:paraId="1893DCFD"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24%</w:t>
            </w:r>
          </w:p>
        </w:tc>
        <w:tc>
          <w:tcPr>
            <w:tcW w:w="708" w:type="dxa"/>
            <w:noWrap/>
            <w:vAlign w:val="center"/>
            <w:hideMark/>
          </w:tcPr>
          <w:p w14:paraId="7B9192FA"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8%</w:t>
            </w:r>
          </w:p>
        </w:tc>
        <w:tc>
          <w:tcPr>
            <w:tcW w:w="709" w:type="dxa"/>
            <w:noWrap/>
            <w:vAlign w:val="center"/>
            <w:hideMark/>
          </w:tcPr>
          <w:p w14:paraId="1AC06A74"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-23%</w:t>
            </w:r>
          </w:p>
        </w:tc>
        <w:tc>
          <w:tcPr>
            <w:tcW w:w="709" w:type="dxa"/>
            <w:noWrap/>
            <w:vAlign w:val="center"/>
            <w:hideMark/>
          </w:tcPr>
          <w:p w14:paraId="62C0A3E7"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22%</w:t>
            </w:r>
          </w:p>
        </w:tc>
        <w:tc>
          <w:tcPr>
            <w:tcW w:w="868" w:type="dxa"/>
            <w:noWrap/>
            <w:vAlign w:val="center"/>
            <w:hideMark/>
          </w:tcPr>
          <w:p w14:paraId="135CC4DD"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8%</w:t>
            </w:r>
          </w:p>
        </w:tc>
      </w:tr>
      <w:tr w:rsidR="00DE77E2" w14:paraId="1F868E44" w14:textId="77777777" w:rsidTr="00DE77E2">
        <w:trPr>
          <w:trHeight w:val="176"/>
        </w:trPr>
        <w:tc>
          <w:tcPr>
            <w:tcW w:w="1539" w:type="dxa"/>
            <w:noWrap/>
            <w:vAlign w:val="center"/>
            <w:hideMark/>
          </w:tcPr>
          <w:p w14:paraId="368102F1" w14:textId="77777777" w:rsidR="00DE77E2" w:rsidRDefault="00DE77E2" w:rsidP="00637F4A">
            <w:pPr>
              <w:spacing w:after="0" w:line="240" w:lineRule="auto"/>
              <w:jc w:val="lef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Metal</w:t>
            </w:r>
          </w:p>
        </w:tc>
        <w:tc>
          <w:tcPr>
            <w:tcW w:w="821" w:type="dxa"/>
            <w:noWrap/>
            <w:vAlign w:val="center"/>
            <w:hideMark/>
          </w:tcPr>
          <w:p w14:paraId="0E5AA135"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25.029</w:t>
            </w:r>
          </w:p>
        </w:tc>
        <w:tc>
          <w:tcPr>
            <w:tcW w:w="746" w:type="dxa"/>
            <w:noWrap/>
            <w:vAlign w:val="center"/>
            <w:hideMark/>
          </w:tcPr>
          <w:p w14:paraId="45E736EF"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33.528</w:t>
            </w:r>
          </w:p>
        </w:tc>
        <w:tc>
          <w:tcPr>
            <w:tcW w:w="746" w:type="dxa"/>
            <w:noWrap/>
            <w:vAlign w:val="center"/>
            <w:hideMark/>
          </w:tcPr>
          <w:p w14:paraId="52335001"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32.401</w:t>
            </w:r>
          </w:p>
        </w:tc>
        <w:tc>
          <w:tcPr>
            <w:tcW w:w="746" w:type="dxa"/>
            <w:noWrap/>
            <w:vAlign w:val="center"/>
            <w:hideMark/>
          </w:tcPr>
          <w:p w14:paraId="159126C2"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38.622</w:t>
            </w:r>
          </w:p>
        </w:tc>
        <w:tc>
          <w:tcPr>
            <w:tcW w:w="746" w:type="dxa"/>
            <w:noWrap/>
            <w:vAlign w:val="center"/>
            <w:hideMark/>
          </w:tcPr>
          <w:p w14:paraId="7C88A5A2"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51.225</w:t>
            </w:r>
          </w:p>
        </w:tc>
        <w:tc>
          <w:tcPr>
            <w:tcW w:w="742" w:type="dxa"/>
            <w:noWrap/>
            <w:vAlign w:val="center"/>
            <w:hideMark/>
          </w:tcPr>
          <w:p w14:paraId="21472ACB"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34%</w:t>
            </w:r>
          </w:p>
        </w:tc>
        <w:tc>
          <w:tcPr>
            <w:tcW w:w="708" w:type="dxa"/>
            <w:noWrap/>
            <w:vAlign w:val="center"/>
            <w:hideMark/>
          </w:tcPr>
          <w:p w14:paraId="424179CC"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w:t>
            </w:r>
          </w:p>
        </w:tc>
        <w:tc>
          <w:tcPr>
            <w:tcW w:w="709" w:type="dxa"/>
            <w:noWrap/>
            <w:vAlign w:val="center"/>
            <w:hideMark/>
          </w:tcPr>
          <w:p w14:paraId="64EA6EF5"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19%</w:t>
            </w:r>
          </w:p>
        </w:tc>
        <w:tc>
          <w:tcPr>
            <w:tcW w:w="709" w:type="dxa"/>
            <w:noWrap/>
            <w:vAlign w:val="center"/>
            <w:hideMark/>
          </w:tcPr>
          <w:p w14:paraId="10AFA3C5"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33%</w:t>
            </w:r>
          </w:p>
        </w:tc>
        <w:tc>
          <w:tcPr>
            <w:tcW w:w="868" w:type="dxa"/>
            <w:noWrap/>
            <w:vAlign w:val="center"/>
            <w:hideMark/>
          </w:tcPr>
          <w:p w14:paraId="3D2A6C39"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21%</w:t>
            </w:r>
          </w:p>
        </w:tc>
      </w:tr>
      <w:tr w:rsidR="00DE77E2" w14:paraId="498DB0D3" w14:textId="77777777" w:rsidTr="00DE77E2">
        <w:trPr>
          <w:trHeight w:val="189"/>
        </w:trPr>
        <w:tc>
          <w:tcPr>
            <w:tcW w:w="1539" w:type="dxa"/>
            <w:noWrap/>
            <w:vAlign w:val="center"/>
            <w:hideMark/>
          </w:tcPr>
          <w:p w14:paraId="080C8C17" w14:textId="77777777" w:rsidR="00DE77E2" w:rsidRDefault="00DE77E2" w:rsidP="00637F4A">
            <w:pPr>
              <w:spacing w:after="0" w:line="240" w:lineRule="auto"/>
              <w:jc w:val="lef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Električni i elektronički</w:t>
            </w:r>
          </w:p>
        </w:tc>
        <w:tc>
          <w:tcPr>
            <w:tcW w:w="821" w:type="dxa"/>
            <w:noWrap/>
            <w:vAlign w:val="center"/>
            <w:hideMark/>
          </w:tcPr>
          <w:p w14:paraId="64670979"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33.900</w:t>
            </w:r>
          </w:p>
        </w:tc>
        <w:tc>
          <w:tcPr>
            <w:tcW w:w="746" w:type="dxa"/>
            <w:noWrap/>
            <w:vAlign w:val="center"/>
            <w:hideMark/>
          </w:tcPr>
          <w:p w14:paraId="5FE34CDC"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38.072</w:t>
            </w:r>
          </w:p>
        </w:tc>
        <w:tc>
          <w:tcPr>
            <w:tcW w:w="746" w:type="dxa"/>
            <w:noWrap/>
            <w:vAlign w:val="center"/>
            <w:hideMark/>
          </w:tcPr>
          <w:p w14:paraId="2E086EF6"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36.812</w:t>
            </w:r>
          </w:p>
        </w:tc>
        <w:tc>
          <w:tcPr>
            <w:tcW w:w="746" w:type="dxa"/>
            <w:noWrap/>
            <w:vAlign w:val="center"/>
            <w:hideMark/>
          </w:tcPr>
          <w:p w14:paraId="1495A172"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32.455</w:t>
            </w:r>
          </w:p>
        </w:tc>
        <w:tc>
          <w:tcPr>
            <w:tcW w:w="746" w:type="dxa"/>
            <w:noWrap/>
            <w:vAlign w:val="center"/>
            <w:hideMark/>
          </w:tcPr>
          <w:p w14:paraId="4B5F503B"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32.503</w:t>
            </w:r>
          </w:p>
        </w:tc>
        <w:tc>
          <w:tcPr>
            <w:tcW w:w="742" w:type="dxa"/>
            <w:noWrap/>
            <w:vAlign w:val="center"/>
            <w:hideMark/>
          </w:tcPr>
          <w:p w14:paraId="2295BBA8"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w:t>
            </w:r>
          </w:p>
        </w:tc>
        <w:tc>
          <w:tcPr>
            <w:tcW w:w="708" w:type="dxa"/>
            <w:noWrap/>
            <w:vAlign w:val="center"/>
            <w:hideMark/>
          </w:tcPr>
          <w:p w14:paraId="654CD5CD"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w:t>
            </w:r>
          </w:p>
        </w:tc>
        <w:tc>
          <w:tcPr>
            <w:tcW w:w="709" w:type="dxa"/>
            <w:noWrap/>
            <w:vAlign w:val="center"/>
            <w:hideMark/>
          </w:tcPr>
          <w:p w14:paraId="4FB2F509"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w:t>
            </w:r>
          </w:p>
        </w:tc>
        <w:tc>
          <w:tcPr>
            <w:tcW w:w="709" w:type="dxa"/>
            <w:noWrap/>
            <w:vAlign w:val="center"/>
            <w:hideMark/>
          </w:tcPr>
          <w:p w14:paraId="1F6F32C3"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868" w:type="dxa"/>
            <w:noWrap/>
            <w:vAlign w:val="center"/>
            <w:hideMark/>
          </w:tcPr>
          <w:p w14:paraId="07FB2A2D"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w:t>
            </w:r>
          </w:p>
        </w:tc>
      </w:tr>
    </w:tbl>
    <w:p w14:paraId="3553DCB3" w14:textId="0794B0FC" w:rsidR="00E66F1D" w:rsidRPr="00DE77E2" w:rsidRDefault="00E66F1D" w:rsidP="00E66F1D"/>
    <w:p w14:paraId="08635A2C" w14:textId="171C6428" w:rsidR="00E66F1D" w:rsidRPr="00DE77E2" w:rsidRDefault="00E66F1D" w:rsidP="00E66F1D">
      <w:r w:rsidRPr="00DE77E2">
        <w:t xml:space="preserve">Za projekcije količina i sastava komunalnog otpada u razdoblju do 2035. godine potrebno je izvršiti određene korekcije udjela pojedinih ključnih </w:t>
      </w:r>
      <w:r w:rsidR="003A4EDE">
        <w:t>frakcija</w:t>
      </w:r>
      <w:r w:rsidR="003A4EDE" w:rsidRPr="00DE77E2">
        <w:t xml:space="preserve"> </w:t>
      </w:r>
      <w:r w:rsidRPr="00DE77E2">
        <w:t>otpada u odnosu na udjele određene Metodologijom za određivanje sastava i količina komunalnog odnosno miješanog komunalnog otpada (Hrvatska agencija za okoliš i prirodu, 2015.) i to za: glomazni otpad, električni i elektronički otpad i metal čiji udio, prema spomenutoj metodologiji, u ukupnom komunalnom otpadu iznosi:</w:t>
      </w:r>
    </w:p>
    <w:p w14:paraId="63350F5B" w14:textId="2F1675F2" w:rsidR="00E66F1D" w:rsidRPr="00DE77E2" w:rsidRDefault="00E66F1D">
      <w:pPr>
        <w:pStyle w:val="Odlomakpopisa"/>
        <w:numPr>
          <w:ilvl w:val="0"/>
          <w:numId w:val="23"/>
        </w:numPr>
      </w:pPr>
      <w:r w:rsidRPr="00DE77E2">
        <w:t>glomazni otpad – 4</w:t>
      </w:r>
      <w:r w:rsidR="00DE77E2" w:rsidRPr="00DE77E2">
        <w:t>,</w:t>
      </w:r>
      <w:r w:rsidRPr="00DE77E2">
        <w:t>08 %</w:t>
      </w:r>
    </w:p>
    <w:p w14:paraId="059B0F72" w14:textId="1A4FF1F5" w:rsidR="00E66F1D" w:rsidRPr="00DE77E2" w:rsidRDefault="00E66F1D">
      <w:pPr>
        <w:pStyle w:val="Odlomakpopisa"/>
        <w:numPr>
          <w:ilvl w:val="0"/>
          <w:numId w:val="23"/>
        </w:numPr>
      </w:pPr>
      <w:r w:rsidRPr="00DE77E2">
        <w:t>električni i elektronički otpad – 0</w:t>
      </w:r>
      <w:r w:rsidR="00DE77E2" w:rsidRPr="00DE77E2">
        <w:t>,</w:t>
      </w:r>
      <w:r w:rsidRPr="00DE77E2">
        <w:t>53 %</w:t>
      </w:r>
    </w:p>
    <w:p w14:paraId="28AC45C8" w14:textId="507144FB" w:rsidR="00E66F1D" w:rsidRPr="00DE77E2" w:rsidRDefault="00E66F1D">
      <w:pPr>
        <w:pStyle w:val="Odlomakpopisa"/>
        <w:numPr>
          <w:ilvl w:val="0"/>
          <w:numId w:val="23"/>
        </w:numPr>
      </w:pPr>
      <w:r w:rsidRPr="00DE77E2">
        <w:t>metal – 2</w:t>
      </w:r>
      <w:r w:rsidR="00DE77E2" w:rsidRPr="00DE77E2">
        <w:t>,</w:t>
      </w:r>
      <w:r w:rsidRPr="00DE77E2">
        <w:t>54 %</w:t>
      </w:r>
    </w:p>
    <w:p w14:paraId="6CB18074" w14:textId="77777777" w:rsidR="00E66F1D" w:rsidRPr="00DE77E2" w:rsidRDefault="00E66F1D" w:rsidP="00E66F1D">
      <w:r w:rsidRPr="00DE77E2">
        <w:t>Uzimajući u obzir ukupne količine nastalog komunalnog otpada u 2021. godini kao i količine odvojeno sakupljenog glomaznog otpada, električnog i elektroničkog otpada i metala, korigirani udio navedenih sastavnica otpada u ukupnom komunalnom otpadu iznosi:</w:t>
      </w:r>
    </w:p>
    <w:p w14:paraId="5A7BDC7D" w14:textId="7FC35A70" w:rsidR="00E66F1D" w:rsidRPr="00DE77E2" w:rsidRDefault="00E66F1D">
      <w:pPr>
        <w:pStyle w:val="Odlomakpopisa"/>
        <w:numPr>
          <w:ilvl w:val="0"/>
          <w:numId w:val="23"/>
        </w:numPr>
      </w:pPr>
      <w:r w:rsidRPr="00DE77E2">
        <w:t>glomazni otpad – 7</w:t>
      </w:r>
      <w:r w:rsidR="00DE77E2" w:rsidRPr="00DE77E2">
        <w:t>,</w:t>
      </w:r>
      <w:r w:rsidRPr="00DE77E2">
        <w:t>08 % (pretpostavlja se da je odvojeno sakupljeno 100% nastalih količina)</w:t>
      </w:r>
    </w:p>
    <w:p w14:paraId="5CC6A091" w14:textId="0FFA54C9" w:rsidR="00E66F1D" w:rsidRPr="00DE77E2" w:rsidRDefault="00E66F1D">
      <w:pPr>
        <w:pStyle w:val="Odlomakpopisa"/>
        <w:numPr>
          <w:ilvl w:val="0"/>
          <w:numId w:val="23"/>
        </w:numPr>
      </w:pPr>
      <w:r w:rsidRPr="00DE77E2">
        <w:t>električni i elektronički otpad – 2</w:t>
      </w:r>
      <w:r w:rsidR="00DE77E2" w:rsidRPr="00DE77E2">
        <w:t>,</w:t>
      </w:r>
      <w:r w:rsidRPr="00DE77E2">
        <w:t>3 % (pretpostavlja se da je odvojeno sakupljeno 80% nastalih količina)</w:t>
      </w:r>
    </w:p>
    <w:p w14:paraId="4B0ACFDD" w14:textId="5E4A2236" w:rsidR="00E66F1D" w:rsidRPr="00DE77E2" w:rsidRDefault="00E66F1D">
      <w:pPr>
        <w:pStyle w:val="Odlomakpopisa"/>
        <w:numPr>
          <w:ilvl w:val="0"/>
          <w:numId w:val="23"/>
        </w:numPr>
      </w:pPr>
      <w:r w:rsidRPr="00DE77E2">
        <w:t>metal – 3</w:t>
      </w:r>
      <w:r w:rsidR="00DE77E2" w:rsidRPr="00DE77E2">
        <w:t>,</w:t>
      </w:r>
      <w:r w:rsidRPr="00DE77E2">
        <w:t>63 % (pretpostavlja se da je odvojeno sakupljeno 80% nastalih količina)</w:t>
      </w:r>
    </w:p>
    <w:p w14:paraId="57043C56" w14:textId="77777777" w:rsidR="00E66F1D" w:rsidRPr="00DE77E2" w:rsidRDefault="00E66F1D" w:rsidP="00E66F1D">
      <w:r w:rsidRPr="00DE77E2">
        <w:t xml:space="preserve">Bitno je istaknuti da se u analizi i projekcijama sastava i količina odvojeno prikupljenog otpada (a posljedično i </w:t>
      </w:r>
      <w:proofErr w:type="spellStart"/>
      <w:r w:rsidRPr="00DE77E2">
        <w:t>mKO</w:t>
      </w:r>
      <w:proofErr w:type="spellEnd"/>
      <w:r w:rsidRPr="00DE77E2">
        <w:t>-a) promatrala pretpostavljena efikasnost odvojenog prikupljanja za ključne godine uvažavajući ispunjenje ciljeva kako su određeni Direktivom (EU) 2018/851 Europskog parlamenta i Vijeća od 30. svibnja 2018. o izmjeni Direktive 2008/98/EZ o otpadu. Tako je npr. za papir i karton efikasnost odvojenog prikupljanja u 2021. bila oko 50% (odvojeno prikupljeno 228.265 tona od ukupno papira i kartona u KO u iznosu od 453.829 tona) a u 2025. efikasnost bi trebala biti oko 61 % što znači da se u 4 godine mora sakupiti oko 71.000 tona više papira i kartona kako bi se ispunio cilj recikliranja od 55%. Isti pristup je primijenjen i za sve ostale kategorije otpada za sve ključne godine (2025., 2028.)</w:t>
      </w:r>
    </w:p>
    <w:p w14:paraId="2E4C81EC" w14:textId="1E1D67B7" w:rsidR="00E66F1D" w:rsidRDefault="008A3A57" w:rsidP="001875DB">
      <w:pPr>
        <w:pStyle w:val="Tablica"/>
        <w:rPr>
          <w:highlight w:val="yellow"/>
        </w:rPr>
      </w:pPr>
      <w:bookmarkStart w:id="210" w:name="_Toc125364416"/>
      <w:r w:rsidRPr="00DE77E2">
        <w:t xml:space="preserve">Tablica </w:t>
      </w:r>
      <w:fldSimple w:instr=" SEQ Tablica \* ARABIC ">
        <w:r w:rsidR="00F37B62">
          <w:rPr>
            <w:noProof/>
          </w:rPr>
          <w:t>27</w:t>
        </w:r>
      </w:fldSimple>
      <w:r w:rsidR="00E66F1D" w:rsidRPr="00DE77E2">
        <w:t xml:space="preserve">. </w:t>
      </w:r>
      <w:r w:rsidR="00E66F1D" w:rsidRPr="00DE77E2">
        <w:rPr>
          <w:b w:val="0"/>
          <w:bCs/>
        </w:rPr>
        <w:t xml:space="preserve">Projekcija </w:t>
      </w:r>
      <w:r w:rsidR="003A4EDE">
        <w:rPr>
          <w:b w:val="0"/>
          <w:bCs/>
        </w:rPr>
        <w:t>količina</w:t>
      </w:r>
      <w:r w:rsidR="003A4EDE" w:rsidRPr="00DE77E2">
        <w:rPr>
          <w:b w:val="0"/>
          <w:bCs/>
        </w:rPr>
        <w:t xml:space="preserve"> </w:t>
      </w:r>
      <w:r w:rsidR="00E66F1D" w:rsidRPr="00DE77E2">
        <w:rPr>
          <w:b w:val="0"/>
          <w:bCs/>
        </w:rPr>
        <w:t>KO koji se mora pripremiti za ponovnu uporabu ili reciklirati u periodu od 2022. – 2035. godine</w:t>
      </w:r>
      <w:bookmarkEnd w:id="210"/>
    </w:p>
    <w:tbl>
      <w:tblPr>
        <w:tblW w:w="8647" w:type="dxa"/>
        <w:tblInd w:w="-10" w:type="dxa"/>
        <w:tblLook w:val="04A0" w:firstRow="1" w:lastRow="0" w:firstColumn="1" w:lastColumn="0" w:noHBand="0" w:noVBand="1"/>
      </w:tblPr>
      <w:tblGrid>
        <w:gridCol w:w="1701"/>
        <w:gridCol w:w="865"/>
        <w:gridCol w:w="865"/>
        <w:gridCol w:w="822"/>
        <w:gridCol w:w="850"/>
        <w:gridCol w:w="865"/>
        <w:gridCol w:w="836"/>
        <w:gridCol w:w="865"/>
        <w:gridCol w:w="978"/>
      </w:tblGrid>
      <w:tr w:rsidR="00747CFD" w:rsidRPr="00747CFD" w14:paraId="4F3C68A0" w14:textId="77777777" w:rsidTr="00747CFD">
        <w:trPr>
          <w:trHeight w:val="170"/>
          <w:tblHeader/>
        </w:trPr>
        <w:tc>
          <w:tcPr>
            <w:tcW w:w="1701" w:type="dxa"/>
            <w:tcBorders>
              <w:top w:val="single" w:sz="8" w:space="0" w:color="auto"/>
              <w:left w:val="single" w:sz="8" w:space="0" w:color="auto"/>
              <w:bottom w:val="single" w:sz="8" w:space="0" w:color="auto"/>
              <w:right w:val="single" w:sz="8" w:space="0" w:color="auto"/>
            </w:tcBorders>
            <w:shd w:val="clear" w:color="auto" w:fill="002060"/>
            <w:noWrap/>
            <w:vAlign w:val="center"/>
            <w:hideMark/>
          </w:tcPr>
          <w:p w14:paraId="2F10015B"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w:t>
            </w:r>
          </w:p>
        </w:tc>
        <w:tc>
          <w:tcPr>
            <w:tcW w:w="865" w:type="dxa"/>
            <w:tcBorders>
              <w:top w:val="single" w:sz="8" w:space="0" w:color="auto"/>
              <w:left w:val="single" w:sz="4" w:space="0" w:color="auto"/>
              <w:bottom w:val="single" w:sz="8" w:space="0" w:color="auto"/>
              <w:right w:val="single" w:sz="4" w:space="0" w:color="auto"/>
            </w:tcBorders>
            <w:shd w:val="clear" w:color="auto" w:fill="002060"/>
            <w:noWrap/>
            <w:vAlign w:val="center"/>
            <w:hideMark/>
          </w:tcPr>
          <w:p w14:paraId="1410D388"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2021.</w:t>
            </w:r>
          </w:p>
        </w:tc>
        <w:tc>
          <w:tcPr>
            <w:tcW w:w="865" w:type="dxa"/>
            <w:tcBorders>
              <w:top w:val="single" w:sz="8" w:space="0" w:color="auto"/>
              <w:left w:val="nil"/>
              <w:bottom w:val="single" w:sz="8" w:space="0" w:color="auto"/>
              <w:right w:val="single" w:sz="4" w:space="0" w:color="auto"/>
            </w:tcBorders>
            <w:shd w:val="clear" w:color="auto" w:fill="002060"/>
            <w:noWrap/>
            <w:vAlign w:val="center"/>
            <w:hideMark/>
          </w:tcPr>
          <w:p w14:paraId="648FC938"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2022.</w:t>
            </w:r>
          </w:p>
        </w:tc>
        <w:tc>
          <w:tcPr>
            <w:tcW w:w="822" w:type="dxa"/>
            <w:tcBorders>
              <w:top w:val="single" w:sz="8" w:space="0" w:color="auto"/>
              <w:left w:val="nil"/>
              <w:bottom w:val="single" w:sz="8" w:space="0" w:color="auto"/>
              <w:right w:val="single" w:sz="4" w:space="0" w:color="auto"/>
            </w:tcBorders>
            <w:shd w:val="clear" w:color="auto" w:fill="002060"/>
            <w:noWrap/>
            <w:vAlign w:val="center"/>
            <w:hideMark/>
          </w:tcPr>
          <w:p w14:paraId="7B2747C0"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2023.</w:t>
            </w:r>
          </w:p>
        </w:tc>
        <w:tc>
          <w:tcPr>
            <w:tcW w:w="850" w:type="dxa"/>
            <w:tcBorders>
              <w:top w:val="single" w:sz="8" w:space="0" w:color="auto"/>
              <w:left w:val="nil"/>
              <w:bottom w:val="single" w:sz="8" w:space="0" w:color="auto"/>
              <w:right w:val="single" w:sz="4" w:space="0" w:color="auto"/>
            </w:tcBorders>
            <w:shd w:val="clear" w:color="auto" w:fill="002060"/>
            <w:noWrap/>
            <w:vAlign w:val="center"/>
            <w:hideMark/>
          </w:tcPr>
          <w:p w14:paraId="2CF88BDC"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2024.</w:t>
            </w:r>
          </w:p>
        </w:tc>
        <w:tc>
          <w:tcPr>
            <w:tcW w:w="865" w:type="dxa"/>
            <w:tcBorders>
              <w:top w:val="single" w:sz="8" w:space="0" w:color="auto"/>
              <w:left w:val="nil"/>
              <w:bottom w:val="single" w:sz="8" w:space="0" w:color="auto"/>
              <w:right w:val="single" w:sz="4" w:space="0" w:color="auto"/>
            </w:tcBorders>
            <w:shd w:val="clear" w:color="auto" w:fill="002060"/>
            <w:noWrap/>
            <w:vAlign w:val="center"/>
            <w:hideMark/>
          </w:tcPr>
          <w:p w14:paraId="561A3B2E"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2025.</w:t>
            </w:r>
          </w:p>
        </w:tc>
        <w:tc>
          <w:tcPr>
            <w:tcW w:w="836" w:type="dxa"/>
            <w:tcBorders>
              <w:top w:val="single" w:sz="8" w:space="0" w:color="auto"/>
              <w:left w:val="nil"/>
              <w:bottom w:val="single" w:sz="8" w:space="0" w:color="auto"/>
              <w:right w:val="nil"/>
            </w:tcBorders>
            <w:shd w:val="clear" w:color="auto" w:fill="002060"/>
            <w:noWrap/>
            <w:vAlign w:val="center"/>
            <w:hideMark/>
          </w:tcPr>
          <w:p w14:paraId="475D3FC2"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2026.</w:t>
            </w:r>
          </w:p>
        </w:tc>
        <w:tc>
          <w:tcPr>
            <w:tcW w:w="865" w:type="dxa"/>
            <w:tcBorders>
              <w:top w:val="single" w:sz="8" w:space="0" w:color="auto"/>
              <w:left w:val="single" w:sz="4" w:space="0" w:color="auto"/>
              <w:bottom w:val="single" w:sz="8" w:space="0" w:color="auto"/>
              <w:right w:val="single" w:sz="4" w:space="0" w:color="auto"/>
            </w:tcBorders>
            <w:shd w:val="clear" w:color="auto" w:fill="002060"/>
            <w:noWrap/>
            <w:vAlign w:val="center"/>
            <w:hideMark/>
          </w:tcPr>
          <w:p w14:paraId="5F63CC77"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2027.</w:t>
            </w:r>
          </w:p>
        </w:tc>
        <w:tc>
          <w:tcPr>
            <w:tcW w:w="978" w:type="dxa"/>
            <w:tcBorders>
              <w:top w:val="single" w:sz="8" w:space="0" w:color="auto"/>
              <w:left w:val="nil"/>
              <w:bottom w:val="single" w:sz="8" w:space="0" w:color="auto"/>
              <w:right w:val="single" w:sz="8" w:space="0" w:color="auto"/>
            </w:tcBorders>
            <w:shd w:val="clear" w:color="auto" w:fill="002060"/>
            <w:noWrap/>
            <w:vAlign w:val="center"/>
            <w:hideMark/>
          </w:tcPr>
          <w:p w14:paraId="12A7ED04"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2028.</w:t>
            </w:r>
          </w:p>
        </w:tc>
      </w:tr>
      <w:tr w:rsidR="00747CFD" w:rsidRPr="00747CFD" w14:paraId="5EFED7E0"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5B86A87A"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Ukupno (t)</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57FA2ECE"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1.766.560</w:t>
            </w:r>
          </w:p>
        </w:tc>
        <w:tc>
          <w:tcPr>
            <w:tcW w:w="865" w:type="dxa"/>
            <w:tcBorders>
              <w:top w:val="nil"/>
              <w:left w:val="nil"/>
              <w:bottom w:val="single" w:sz="4" w:space="0" w:color="auto"/>
              <w:right w:val="single" w:sz="4" w:space="0" w:color="auto"/>
            </w:tcBorders>
            <w:shd w:val="clear" w:color="auto" w:fill="auto"/>
            <w:noWrap/>
            <w:vAlign w:val="center"/>
            <w:hideMark/>
          </w:tcPr>
          <w:p w14:paraId="33E2708D"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822" w:type="dxa"/>
            <w:tcBorders>
              <w:top w:val="nil"/>
              <w:left w:val="nil"/>
              <w:bottom w:val="single" w:sz="4" w:space="0" w:color="auto"/>
              <w:right w:val="single" w:sz="4" w:space="0" w:color="auto"/>
            </w:tcBorders>
            <w:shd w:val="clear" w:color="auto" w:fill="auto"/>
            <w:noWrap/>
            <w:vAlign w:val="center"/>
            <w:hideMark/>
          </w:tcPr>
          <w:p w14:paraId="1104914A"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850" w:type="dxa"/>
            <w:tcBorders>
              <w:top w:val="nil"/>
              <w:left w:val="nil"/>
              <w:bottom w:val="single" w:sz="4" w:space="0" w:color="auto"/>
              <w:right w:val="single" w:sz="4" w:space="0" w:color="auto"/>
            </w:tcBorders>
            <w:shd w:val="clear" w:color="auto" w:fill="auto"/>
            <w:noWrap/>
            <w:vAlign w:val="center"/>
            <w:hideMark/>
          </w:tcPr>
          <w:p w14:paraId="774682F8"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865" w:type="dxa"/>
            <w:tcBorders>
              <w:top w:val="nil"/>
              <w:left w:val="nil"/>
              <w:bottom w:val="single" w:sz="4" w:space="0" w:color="auto"/>
              <w:right w:val="single" w:sz="4" w:space="0" w:color="auto"/>
            </w:tcBorders>
            <w:shd w:val="clear" w:color="auto" w:fill="auto"/>
            <w:noWrap/>
            <w:vAlign w:val="center"/>
            <w:hideMark/>
          </w:tcPr>
          <w:p w14:paraId="671B620C"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1.913.143</w:t>
            </w:r>
          </w:p>
        </w:tc>
        <w:tc>
          <w:tcPr>
            <w:tcW w:w="836" w:type="dxa"/>
            <w:tcBorders>
              <w:top w:val="nil"/>
              <w:left w:val="nil"/>
              <w:bottom w:val="single" w:sz="4" w:space="0" w:color="auto"/>
              <w:right w:val="nil"/>
            </w:tcBorders>
            <w:shd w:val="clear" w:color="auto" w:fill="auto"/>
            <w:noWrap/>
            <w:vAlign w:val="center"/>
            <w:hideMark/>
          </w:tcPr>
          <w:p w14:paraId="208D4D3D"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67D8DFB2"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78" w:type="dxa"/>
            <w:tcBorders>
              <w:top w:val="nil"/>
              <w:left w:val="nil"/>
              <w:bottom w:val="single" w:sz="4" w:space="0" w:color="auto"/>
              <w:right w:val="single" w:sz="8" w:space="0" w:color="auto"/>
            </w:tcBorders>
            <w:shd w:val="clear" w:color="auto" w:fill="auto"/>
            <w:noWrap/>
            <w:vAlign w:val="center"/>
            <w:hideMark/>
          </w:tcPr>
          <w:p w14:paraId="060A94E5"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747CFD" w:rsidRPr="00747CFD" w14:paraId="23DD953A"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71AC9F89"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Papir i karton</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067151F2"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228.265</w:t>
            </w:r>
          </w:p>
        </w:tc>
        <w:tc>
          <w:tcPr>
            <w:tcW w:w="865" w:type="dxa"/>
            <w:tcBorders>
              <w:top w:val="nil"/>
              <w:left w:val="nil"/>
              <w:bottom w:val="single" w:sz="4" w:space="0" w:color="auto"/>
              <w:right w:val="single" w:sz="4" w:space="0" w:color="auto"/>
            </w:tcBorders>
            <w:shd w:val="clear" w:color="auto" w:fill="auto"/>
            <w:noWrap/>
            <w:vAlign w:val="center"/>
            <w:hideMark/>
          </w:tcPr>
          <w:p w14:paraId="4461581A"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248.876</w:t>
            </w:r>
          </w:p>
        </w:tc>
        <w:tc>
          <w:tcPr>
            <w:tcW w:w="822" w:type="dxa"/>
            <w:tcBorders>
              <w:top w:val="nil"/>
              <w:left w:val="nil"/>
              <w:bottom w:val="single" w:sz="4" w:space="0" w:color="auto"/>
              <w:right w:val="single" w:sz="4" w:space="0" w:color="auto"/>
            </w:tcBorders>
            <w:shd w:val="clear" w:color="auto" w:fill="auto"/>
            <w:noWrap/>
            <w:vAlign w:val="center"/>
            <w:hideMark/>
          </w:tcPr>
          <w:p w14:paraId="657DB735"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269.487</w:t>
            </w:r>
          </w:p>
        </w:tc>
        <w:tc>
          <w:tcPr>
            <w:tcW w:w="850" w:type="dxa"/>
            <w:tcBorders>
              <w:top w:val="nil"/>
              <w:left w:val="nil"/>
              <w:bottom w:val="single" w:sz="4" w:space="0" w:color="auto"/>
              <w:right w:val="single" w:sz="4" w:space="0" w:color="auto"/>
            </w:tcBorders>
            <w:shd w:val="clear" w:color="auto" w:fill="auto"/>
            <w:noWrap/>
            <w:vAlign w:val="center"/>
            <w:hideMark/>
          </w:tcPr>
          <w:p w14:paraId="22EA5D53"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290.098</w:t>
            </w:r>
          </w:p>
        </w:tc>
        <w:tc>
          <w:tcPr>
            <w:tcW w:w="865" w:type="dxa"/>
            <w:tcBorders>
              <w:top w:val="nil"/>
              <w:left w:val="nil"/>
              <w:bottom w:val="single" w:sz="4" w:space="0" w:color="auto"/>
              <w:right w:val="single" w:sz="4" w:space="0" w:color="auto"/>
            </w:tcBorders>
            <w:shd w:val="clear" w:color="auto" w:fill="auto"/>
            <w:noWrap/>
            <w:vAlign w:val="center"/>
            <w:hideMark/>
          </w:tcPr>
          <w:p w14:paraId="140AF04D"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310.710</w:t>
            </w:r>
          </w:p>
        </w:tc>
        <w:tc>
          <w:tcPr>
            <w:tcW w:w="836" w:type="dxa"/>
            <w:tcBorders>
              <w:top w:val="nil"/>
              <w:left w:val="nil"/>
              <w:bottom w:val="single" w:sz="4" w:space="0" w:color="auto"/>
              <w:right w:val="nil"/>
            </w:tcBorders>
            <w:shd w:val="clear" w:color="auto" w:fill="auto"/>
            <w:noWrap/>
            <w:vAlign w:val="center"/>
            <w:hideMark/>
          </w:tcPr>
          <w:p w14:paraId="02B187D4"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327.473</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6FB478ED"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344.237</w:t>
            </w:r>
          </w:p>
        </w:tc>
        <w:tc>
          <w:tcPr>
            <w:tcW w:w="978" w:type="dxa"/>
            <w:tcBorders>
              <w:top w:val="nil"/>
              <w:left w:val="nil"/>
              <w:bottom w:val="single" w:sz="4" w:space="0" w:color="auto"/>
              <w:right w:val="single" w:sz="8" w:space="0" w:color="auto"/>
            </w:tcBorders>
            <w:shd w:val="clear" w:color="auto" w:fill="auto"/>
            <w:noWrap/>
            <w:vAlign w:val="center"/>
            <w:hideMark/>
          </w:tcPr>
          <w:p w14:paraId="798FFCAE"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361.001</w:t>
            </w:r>
          </w:p>
        </w:tc>
      </w:tr>
      <w:tr w:rsidR="00747CFD" w:rsidRPr="00747CFD" w14:paraId="1CA918B8"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06B288D9"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Glomazni otpad</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0A3897D8"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129.086</w:t>
            </w:r>
          </w:p>
        </w:tc>
        <w:tc>
          <w:tcPr>
            <w:tcW w:w="865" w:type="dxa"/>
            <w:tcBorders>
              <w:top w:val="nil"/>
              <w:left w:val="nil"/>
              <w:bottom w:val="single" w:sz="4" w:space="0" w:color="auto"/>
              <w:right w:val="single" w:sz="4" w:space="0" w:color="auto"/>
            </w:tcBorders>
            <w:shd w:val="clear" w:color="auto" w:fill="auto"/>
            <w:noWrap/>
            <w:vAlign w:val="center"/>
            <w:hideMark/>
          </w:tcPr>
          <w:p w14:paraId="3825F6FC"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130.677</w:t>
            </w:r>
          </w:p>
        </w:tc>
        <w:tc>
          <w:tcPr>
            <w:tcW w:w="822" w:type="dxa"/>
            <w:tcBorders>
              <w:top w:val="nil"/>
              <w:left w:val="nil"/>
              <w:bottom w:val="single" w:sz="4" w:space="0" w:color="auto"/>
              <w:right w:val="single" w:sz="4" w:space="0" w:color="auto"/>
            </w:tcBorders>
            <w:shd w:val="clear" w:color="auto" w:fill="auto"/>
            <w:noWrap/>
            <w:vAlign w:val="center"/>
            <w:hideMark/>
          </w:tcPr>
          <w:p w14:paraId="23810042"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132.269</w:t>
            </w:r>
          </w:p>
        </w:tc>
        <w:tc>
          <w:tcPr>
            <w:tcW w:w="850" w:type="dxa"/>
            <w:tcBorders>
              <w:top w:val="nil"/>
              <w:left w:val="nil"/>
              <w:bottom w:val="single" w:sz="4" w:space="0" w:color="auto"/>
              <w:right w:val="single" w:sz="4" w:space="0" w:color="auto"/>
            </w:tcBorders>
            <w:shd w:val="clear" w:color="auto" w:fill="auto"/>
            <w:noWrap/>
            <w:vAlign w:val="center"/>
            <w:hideMark/>
          </w:tcPr>
          <w:p w14:paraId="26F3AE3B"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133.860</w:t>
            </w:r>
          </w:p>
        </w:tc>
        <w:tc>
          <w:tcPr>
            <w:tcW w:w="865" w:type="dxa"/>
            <w:tcBorders>
              <w:top w:val="nil"/>
              <w:left w:val="nil"/>
              <w:bottom w:val="single" w:sz="4" w:space="0" w:color="auto"/>
              <w:right w:val="single" w:sz="4" w:space="0" w:color="auto"/>
            </w:tcBorders>
            <w:shd w:val="clear" w:color="auto" w:fill="auto"/>
            <w:noWrap/>
            <w:vAlign w:val="center"/>
            <w:hideMark/>
          </w:tcPr>
          <w:p w14:paraId="6D6FE77F"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135.451</w:t>
            </w:r>
          </w:p>
        </w:tc>
        <w:tc>
          <w:tcPr>
            <w:tcW w:w="836" w:type="dxa"/>
            <w:tcBorders>
              <w:top w:val="nil"/>
              <w:left w:val="nil"/>
              <w:bottom w:val="single" w:sz="4" w:space="0" w:color="auto"/>
              <w:right w:val="single" w:sz="4" w:space="0" w:color="auto"/>
            </w:tcBorders>
            <w:shd w:val="clear" w:color="auto" w:fill="auto"/>
            <w:noWrap/>
            <w:vAlign w:val="center"/>
            <w:hideMark/>
          </w:tcPr>
          <w:p w14:paraId="7910D9B6"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138.946</w:t>
            </w:r>
          </w:p>
        </w:tc>
        <w:tc>
          <w:tcPr>
            <w:tcW w:w="865" w:type="dxa"/>
            <w:tcBorders>
              <w:top w:val="nil"/>
              <w:left w:val="nil"/>
              <w:bottom w:val="single" w:sz="4" w:space="0" w:color="auto"/>
              <w:right w:val="single" w:sz="4" w:space="0" w:color="auto"/>
            </w:tcBorders>
            <w:shd w:val="clear" w:color="auto" w:fill="auto"/>
            <w:noWrap/>
            <w:vAlign w:val="center"/>
            <w:hideMark/>
          </w:tcPr>
          <w:p w14:paraId="167D0E96"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142.649</w:t>
            </w:r>
          </w:p>
        </w:tc>
        <w:tc>
          <w:tcPr>
            <w:tcW w:w="978" w:type="dxa"/>
            <w:tcBorders>
              <w:top w:val="nil"/>
              <w:left w:val="nil"/>
              <w:bottom w:val="single" w:sz="4" w:space="0" w:color="auto"/>
              <w:right w:val="single" w:sz="4" w:space="0" w:color="auto"/>
            </w:tcBorders>
            <w:shd w:val="clear" w:color="auto" w:fill="auto"/>
            <w:noWrap/>
            <w:vAlign w:val="center"/>
            <w:hideMark/>
          </w:tcPr>
          <w:p w14:paraId="56A54085"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146.568</w:t>
            </w:r>
          </w:p>
        </w:tc>
      </w:tr>
      <w:tr w:rsidR="00747CFD" w:rsidRPr="00747CFD" w14:paraId="57C97199"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1E25FBA0"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Biootpad</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3232E61E"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122.175</w:t>
            </w:r>
          </w:p>
        </w:tc>
        <w:tc>
          <w:tcPr>
            <w:tcW w:w="865" w:type="dxa"/>
            <w:tcBorders>
              <w:top w:val="nil"/>
              <w:left w:val="nil"/>
              <w:bottom w:val="single" w:sz="4" w:space="0" w:color="auto"/>
              <w:right w:val="single" w:sz="4" w:space="0" w:color="auto"/>
            </w:tcBorders>
            <w:shd w:val="clear" w:color="auto" w:fill="auto"/>
            <w:noWrap/>
            <w:vAlign w:val="center"/>
            <w:hideMark/>
          </w:tcPr>
          <w:p w14:paraId="65B2E131"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188.025</w:t>
            </w:r>
          </w:p>
        </w:tc>
        <w:tc>
          <w:tcPr>
            <w:tcW w:w="822" w:type="dxa"/>
            <w:tcBorders>
              <w:top w:val="nil"/>
              <w:left w:val="nil"/>
              <w:bottom w:val="single" w:sz="4" w:space="0" w:color="auto"/>
              <w:right w:val="single" w:sz="4" w:space="0" w:color="auto"/>
            </w:tcBorders>
            <w:shd w:val="clear" w:color="auto" w:fill="auto"/>
            <w:noWrap/>
            <w:vAlign w:val="center"/>
            <w:hideMark/>
          </w:tcPr>
          <w:p w14:paraId="1A75FBE8"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253.875</w:t>
            </w:r>
          </w:p>
        </w:tc>
        <w:tc>
          <w:tcPr>
            <w:tcW w:w="850" w:type="dxa"/>
            <w:tcBorders>
              <w:top w:val="nil"/>
              <w:left w:val="nil"/>
              <w:bottom w:val="single" w:sz="4" w:space="0" w:color="auto"/>
              <w:right w:val="single" w:sz="4" w:space="0" w:color="auto"/>
            </w:tcBorders>
            <w:shd w:val="clear" w:color="auto" w:fill="auto"/>
            <w:noWrap/>
            <w:vAlign w:val="center"/>
            <w:hideMark/>
          </w:tcPr>
          <w:p w14:paraId="3B4DA45C"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319.725</w:t>
            </w:r>
          </w:p>
        </w:tc>
        <w:tc>
          <w:tcPr>
            <w:tcW w:w="865" w:type="dxa"/>
            <w:tcBorders>
              <w:top w:val="nil"/>
              <w:left w:val="nil"/>
              <w:bottom w:val="single" w:sz="4" w:space="0" w:color="auto"/>
              <w:right w:val="single" w:sz="4" w:space="0" w:color="auto"/>
            </w:tcBorders>
            <w:shd w:val="clear" w:color="auto" w:fill="auto"/>
            <w:noWrap/>
            <w:vAlign w:val="center"/>
            <w:hideMark/>
          </w:tcPr>
          <w:p w14:paraId="2CA7364A"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385.575</w:t>
            </w:r>
          </w:p>
        </w:tc>
        <w:tc>
          <w:tcPr>
            <w:tcW w:w="836" w:type="dxa"/>
            <w:tcBorders>
              <w:top w:val="nil"/>
              <w:left w:val="nil"/>
              <w:bottom w:val="single" w:sz="4" w:space="0" w:color="auto"/>
              <w:right w:val="nil"/>
            </w:tcBorders>
            <w:shd w:val="clear" w:color="auto" w:fill="auto"/>
            <w:noWrap/>
            <w:vAlign w:val="center"/>
            <w:hideMark/>
          </w:tcPr>
          <w:p w14:paraId="25DA78B2"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406.378</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495506E7"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427.181</w:t>
            </w:r>
          </w:p>
        </w:tc>
        <w:tc>
          <w:tcPr>
            <w:tcW w:w="978" w:type="dxa"/>
            <w:tcBorders>
              <w:top w:val="nil"/>
              <w:left w:val="nil"/>
              <w:bottom w:val="single" w:sz="4" w:space="0" w:color="auto"/>
              <w:right w:val="single" w:sz="8" w:space="0" w:color="auto"/>
            </w:tcBorders>
            <w:shd w:val="clear" w:color="auto" w:fill="auto"/>
            <w:noWrap/>
            <w:vAlign w:val="center"/>
            <w:hideMark/>
          </w:tcPr>
          <w:p w14:paraId="5DF69545"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447.984</w:t>
            </w:r>
          </w:p>
        </w:tc>
      </w:tr>
      <w:tr w:rsidR="00747CFD" w:rsidRPr="00747CFD" w14:paraId="368D2C97"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6617EC3F"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lastRenderedPageBreak/>
              <w:t>Plastika</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3ECF1BC8"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73.707</w:t>
            </w:r>
          </w:p>
        </w:tc>
        <w:tc>
          <w:tcPr>
            <w:tcW w:w="865" w:type="dxa"/>
            <w:tcBorders>
              <w:top w:val="nil"/>
              <w:left w:val="nil"/>
              <w:bottom w:val="single" w:sz="4" w:space="0" w:color="auto"/>
              <w:right w:val="single" w:sz="4" w:space="0" w:color="auto"/>
            </w:tcBorders>
            <w:shd w:val="clear" w:color="auto" w:fill="auto"/>
            <w:noWrap/>
            <w:vAlign w:val="center"/>
            <w:hideMark/>
          </w:tcPr>
          <w:p w14:paraId="2A699AE7"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114.090</w:t>
            </w:r>
          </w:p>
        </w:tc>
        <w:tc>
          <w:tcPr>
            <w:tcW w:w="822" w:type="dxa"/>
            <w:tcBorders>
              <w:top w:val="nil"/>
              <w:left w:val="nil"/>
              <w:bottom w:val="single" w:sz="4" w:space="0" w:color="auto"/>
              <w:right w:val="single" w:sz="4" w:space="0" w:color="auto"/>
            </w:tcBorders>
            <w:shd w:val="clear" w:color="auto" w:fill="auto"/>
            <w:noWrap/>
            <w:vAlign w:val="center"/>
            <w:hideMark/>
          </w:tcPr>
          <w:p w14:paraId="30686231"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154.473</w:t>
            </w:r>
          </w:p>
        </w:tc>
        <w:tc>
          <w:tcPr>
            <w:tcW w:w="850" w:type="dxa"/>
            <w:tcBorders>
              <w:top w:val="nil"/>
              <w:left w:val="nil"/>
              <w:bottom w:val="single" w:sz="4" w:space="0" w:color="auto"/>
              <w:right w:val="single" w:sz="4" w:space="0" w:color="auto"/>
            </w:tcBorders>
            <w:shd w:val="clear" w:color="auto" w:fill="auto"/>
            <w:noWrap/>
            <w:vAlign w:val="center"/>
            <w:hideMark/>
          </w:tcPr>
          <w:p w14:paraId="2F8BB636"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181.011</w:t>
            </w:r>
          </w:p>
        </w:tc>
        <w:tc>
          <w:tcPr>
            <w:tcW w:w="865" w:type="dxa"/>
            <w:tcBorders>
              <w:top w:val="nil"/>
              <w:left w:val="nil"/>
              <w:bottom w:val="single" w:sz="4" w:space="0" w:color="auto"/>
              <w:right w:val="single" w:sz="4" w:space="0" w:color="auto"/>
            </w:tcBorders>
            <w:shd w:val="clear" w:color="auto" w:fill="auto"/>
            <w:noWrap/>
            <w:vAlign w:val="center"/>
            <w:hideMark/>
          </w:tcPr>
          <w:p w14:paraId="1DDA093D"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235.239</w:t>
            </w:r>
          </w:p>
        </w:tc>
        <w:tc>
          <w:tcPr>
            <w:tcW w:w="836" w:type="dxa"/>
            <w:tcBorders>
              <w:top w:val="nil"/>
              <w:left w:val="nil"/>
              <w:bottom w:val="single" w:sz="4" w:space="0" w:color="auto"/>
              <w:right w:val="nil"/>
            </w:tcBorders>
            <w:shd w:val="clear" w:color="auto" w:fill="auto"/>
            <w:noWrap/>
            <w:vAlign w:val="center"/>
            <w:hideMark/>
          </w:tcPr>
          <w:p w14:paraId="50A137E9"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247.931</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53EABBD0"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260.623</w:t>
            </w:r>
          </w:p>
        </w:tc>
        <w:tc>
          <w:tcPr>
            <w:tcW w:w="978" w:type="dxa"/>
            <w:tcBorders>
              <w:top w:val="nil"/>
              <w:left w:val="nil"/>
              <w:bottom w:val="single" w:sz="4" w:space="0" w:color="auto"/>
              <w:right w:val="single" w:sz="8" w:space="0" w:color="auto"/>
            </w:tcBorders>
            <w:shd w:val="clear" w:color="auto" w:fill="auto"/>
            <w:noWrap/>
            <w:vAlign w:val="center"/>
            <w:hideMark/>
          </w:tcPr>
          <w:p w14:paraId="6F33F00E"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273.315</w:t>
            </w:r>
          </w:p>
        </w:tc>
      </w:tr>
      <w:tr w:rsidR="00747CFD" w:rsidRPr="00747CFD" w14:paraId="1D456EEA"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60F47F16"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Staklo</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1EBC4DDB"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53.210</w:t>
            </w:r>
          </w:p>
        </w:tc>
        <w:tc>
          <w:tcPr>
            <w:tcW w:w="865" w:type="dxa"/>
            <w:tcBorders>
              <w:top w:val="nil"/>
              <w:left w:val="nil"/>
              <w:bottom w:val="single" w:sz="4" w:space="0" w:color="auto"/>
              <w:right w:val="single" w:sz="4" w:space="0" w:color="auto"/>
            </w:tcBorders>
            <w:shd w:val="clear" w:color="auto" w:fill="auto"/>
            <w:noWrap/>
            <w:vAlign w:val="center"/>
            <w:hideMark/>
          </w:tcPr>
          <w:p w14:paraId="39037C63"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54.693</w:t>
            </w:r>
          </w:p>
        </w:tc>
        <w:tc>
          <w:tcPr>
            <w:tcW w:w="822" w:type="dxa"/>
            <w:tcBorders>
              <w:top w:val="nil"/>
              <w:left w:val="nil"/>
              <w:bottom w:val="single" w:sz="4" w:space="0" w:color="auto"/>
              <w:right w:val="single" w:sz="4" w:space="0" w:color="auto"/>
            </w:tcBorders>
            <w:shd w:val="clear" w:color="auto" w:fill="auto"/>
            <w:noWrap/>
            <w:vAlign w:val="center"/>
            <w:hideMark/>
          </w:tcPr>
          <w:p w14:paraId="55C7B3C9"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56.176</w:t>
            </w:r>
          </w:p>
        </w:tc>
        <w:tc>
          <w:tcPr>
            <w:tcW w:w="850" w:type="dxa"/>
            <w:tcBorders>
              <w:top w:val="nil"/>
              <w:left w:val="nil"/>
              <w:bottom w:val="single" w:sz="4" w:space="0" w:color="auto"/>
              <w:right w:val="single" w:sz="4" w:space="0" w:color="auto"/>
            </w:tcBorders>
            <w:shd w:val="clear" w:color="auto" w:fill="auto"/>
            <w:noWrap/>
            <w:vAlign w:val="center"/>
            <w:hideMark/>
          </w:tcPr>
          <w:p w14:paraId="69490D58"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57.660</w:t>
            </w:r>
          </w:p>
        </w:tc>
        <w:tc>
          <w:tcPr>
            <w:tcW w:w="865" w:type="dxa"/>
            <w:tcBorders>
              <w:top w:val="nil"/>
              <w:left w:val="nil"/>
              <w:bottom w:val="single" w:sz="4" w:space="0" w:color="auto"/>
              <w:right w:val="single" w:sz="4" w:space="0" w:color="auto"/>
            </w:tcBorders>
            <w:shd w:val="clear" w:color="auto" w:fill="auto"/>
            <w:noWrap/>
            <w:vAlign w:val="center"/>
            <w:hideMark/>
          </w:tcPr>
          <w:p w14:paraId="3291D551"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59.143</w:t>
            </w:r>
          </w:p>
        </w:tc>
        <w:tc>
          <w:tcPr>
            <w:tcW w:w="836" w:type="dxa"/>
            <w:tcBorders>
              <w:top w:val="nil"/>
              <w:left w:val="nil"/>
              <w:bottom w:val="single" w:sz="4" w:space="0" w:color="auto"/>
              <w:right w:val="nil"/>
            </w:tcBorders>
            <w:shd w:val="clear" w:color="auto" w:fill="auto"/>
            <w:noWrap/>
            <w:vAlign w:val="center"/>
            <w:hideMark/>
          </w:tcPr>
          <w:p w14:paraId="1FB150EE"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62.334</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707A7F64"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65.525</w:t>
            </w:r>
          </w:p>
        </w:tc>
        <w:tc>
          <w:tcPr>
            <w:tcW w:w="978" w:type="dxa"/>
            <w:tcBorders>
              <w:top w:val="nil"/>
              <w:left w:val="nil"/>
              <w:bottom w:val="single" w:sz="4" w:space="0" w:color="auto"/>
              <w:right w:val="single" w:sz="8" w:space="0" w:color="auto"/>
            </w:tcBorders>
            <w:shd w:val="clear" w:color="auto" w:fill="auto"/>
            <w:noWrap/>
            <w:vAlign w:val="center"/>
            <w:hideMark/>
          </w:tcPr>
          <w:p w14:paraId="267623BA"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68.715</w:t>
            </w:r>
          </w:p>
        </w:tc>
      </w:tr>
      <w:tr w:rsidR="00747CFD" w:rsidRPr="00747CFD" w14:paraId="4D8D5FB0"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0BBCC068"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Metal</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632E0E80"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51.225</w:t>
            </w:r>
          </w:p>
        </w:tc>
        <w:tc>
          <w:tcPr>
            <w:tcW w:w="865" w:type="dxa"/>
            <w:tcBorders>
              <w:top w:val="nil"/>
              <w:left w:val="nil"/>
              <w:bottom w:val="single" w:sz="4" w:space="0" w:color="auto"/>
              <w:right w:val="single" w:sz="4" w:space="0" w:color="auto"/>
            </w:tcBorders>
            <w:shd w:val="clear" w:color="auto" w:fill="auto"/>
            <w:noWrap/>
            <w:vAlign w:val="center"/>
            <w:hideMark/>
          </w:tcPr>
          <w:p w14:paraId="78EF3198"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52.308</w:t>
            </w:r>
          </w:p>
        </w:tc>
        <w:tc>
          <w:tcPr>
            <w:tcW w:w="822" w:type="dxa"/>
            <w:tcBorders>
              <w:top w:val="nil"/>
              <w:left w:val="nil"/>
              <w:bottom w:val="single" w:sz="4" w:space="0" w:color="auto"/>
              <w:right w:val="single" w:sz="4" w:space="0" w:color="auto"/>
            </w:tcBorders>
            <w:shd w:val="clear" w:color="auto" w:fill="auto"/>
            <w:noWrap/>
            <w:vAlign w:val="center"/>
            <w:hideMark/>
          </w:tcPr>
          <w:p w14:paraId="0B4E800B"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53.392</w:t>
            </w:r>
          </w:p>
        </w:tc>
        <w:tc>
          <w:tcPr>
            <w:tcW w:w="850" w:type="dxa"/>
            <w:tcBorders>
              <w:top w:val="nil"/>
              <w:left w:val="nil"/>
              <w:bottom w:val="single" w:sz="4" w:space="0" w:color="auto"/>
              <w:right w:val="single" w:sz="4" w:space="0" w:color="auto"/>
            </w:tcBorders>
            <w:shd w:val="clear" w:color="auto" w:fill="auto"/>
            <w:noWrap/>
            <w:vAlign w:val="center"/>
            <w:hideMark/>
          </w:tcPr>
          <w:p w14:paraId="5D92E828"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54.475</w:t>
            </w:r>
          </w:p>
        </w:tc>
        <w:tc>
          <w:tcPr>
            <w:tcW w:w="865" w:type="dxa"/>
            <w:tcBorders>
              <w:top w:val="nil"/>
              <w:left w:val="nil"/>
              <w:bottom w:val="single" w:sz="4" w:space="0" w:color="auto"/>
              <w:right w:val="single" w:sz="4" w:space="0" w:color="auto"/>
            </w:tcBorders>
            <w:shd w:val="clear" w:color="auto" w:fill="auto"/>
            <w:noWrap/>
            <w:vAlign w:val="center"/>
            <w:hideMark/>
          </w:tcPr>
          <w:p w14:paraId="67E12F47"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55.558</w:t>
            </w:r>
          </w:p>
        </w:tc>
        <w:tc>
          <w:tcPr>
            <w:tcW w:w="836" w:type="dxa"/>
            <w:tcBorders>
              <w:top w:val="nil"/>
              <w:left w:val="nil"/>
              <w:bottom w:val="single" w:sz="4" w:space="0" w:color="auto"/>
              <w:right w:val="single" w:sz="4" w:space="0" w:color="auto"/>
            </w:tcBorders>
            <w:shd w:val="clear" w:color="auto" w:fill="auto"/>
            <w:noWrap/>
            <w:vAlign w:val="center"/>
            <w:hideMark/>
          </w:tcPr>
          <w:p w14:paraId="44DFB473"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56.991</w:t>
            </w:r>
          </w:p>
        </w:tc>
        <w:tc>
          <w:tcPr>
            <w:tcW w:w="865" w:type="dxa"/>
            <w:tcBorders>
              <w:top w:val="nil"/>
              <w:left w:val="nil"/>
              <w:bottom w:val="single" w:sz="4" w:space="0" w:color="auto"/>
              <w:right w:val="single" w:sz="4" w:space="0" w:color="auto"/>
            </w:tcBorders>
            <w:shd w:val="clear" w:color="auto" w:fill="auto"/>
            <w:noWrap/>
            <w:vAlign w:val="center"/>
            <w:hideMark/>
          </w:tcPr>
          <w:p w14:paraId="551A6AB4"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58.510</w:t>
            </w:r>
          </w:p>
        </w:tc>
        <w:tc>
          <w:tcPr>
            <w:tcW w:w="978" w:type="dxa"/>
            <w:tcBorders>
              <w:top w:val="nil"/>
              <w:left w:val="nil"/>
              <w:bottom w:val="single" w:sz="4" w:space="0" w:color="auto"/>
              <w:right w:val="single" w:sz="4" w:space="0" w:color="auto"/>
            </w:tcBorders>
            <w:shd w:val="clear" w:color="auto" w:fill="auto"/>
            <w:noWrap/>
            <w:vAlign w:val="center"/>
            <w:hideMark/>
          </w:tcPr>
          <w:p w14:paraId="717C6DCE"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60.118</w:t>
            </w:r>
          </w:p>
        </w:tc>
      </w:tr>
      <w:tr w:rsidR="00747CFD" w:rsidRPr="00747CFD" w14:paraId="2E2E7953" w14:textId="77777777" w:rsidTr="00747CFD">
        <w:trPr>
          <w:trHeight w:val="170"/>
        </w:trPr>
        <w:tc>
          <w:tcPr>
            <w:tcW w:w="1701" w:type="dxa"/>
            <w:tcBorders>
              <w:top w:val="nil"/>
              <w:left w:val="single" w:sz="8" w:space="0" w:color="auto"/>
              <w:bottom w:val="single" w:sz="8" w:space="0" w:color="auto"/>
              <w:right w:val="single" w:sz="8" w:space="0" w:color="auto"/>
            </w:tcBorders>
            <w:shd w:val="clear" w:color="auto" w:fill="auto"/>
            <w:noWrap/>
            <w:vAlign w:val="center"/>
            <w:hideMark/>
          </w:tcPr>
          <w:p w14:paraId="439CB37C"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Električni i elektronički</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6D9E8000"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32.503</w:t>
            </w:r>
          </w:p>
        </w:tc>
        <w:tc>
          <w:tcPr>
            <w:tcW w:w="865" w:type="dxa"/>
            <w:tcBorders>
              <w:top w:val="nil"/>
              <w:left w:val="nil"/>
              <w:bottom w:val="single" w:sz="4" w:space="0" w:color="auto"/>
              <w:right w:val="single" w:sz="4" w:space="0" w:color="auto"/>
            </w:tcBorders>
            <w:shd w:val="clear" w:color="auto" w:fill="auto"/>
            <w:noWrap/>
            <w:vAlign w:val="center"/>
            <w:hideMark/>
          </w:tcPr>
          <w:p w14:paraId="74A165AD"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33.178</w:t>
            </w:r>
          </w:p>
        </w:tc>
        <w:tc>
          <w:tcPr>
            <w:tcW w:w="822" w:type="dxa"/>
            <w:tcBorders>
              <w:top w:val="nil"/>
              <w:left w:val="nil"/>
              <w:bottom w:val="single" w:sz="4" w:space="0" w:color="auto"/>
              <w:right w:val="single" w:sz="4" w:space="0" w:color="auto"/>
            </w:tcBorders>
            <w:shd w:val="clear" w:color="auto" w:fill="auto"/>
            <w:noWrap/>
            <w:vAlign w:val="center"/>
            <w:hideMark/>
          </w:tcPr>
          <w:p w14:paraId="6EC68A6B"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33.852</w:t>
            </w:r>
          </w:p>
        </w:tc>
        <w:tc>
          <w:tcPr>
            <w:tcW w:w="850" w:type="dxa"/>
            <w:tcBorders>
              <w:top w:val="nil"/>
              <w:left w:val="nil"/>
              <w:bottom w:val="single" w:sz="4" w:space="0" w:color="auto"/>
              <w:right w:val="single" w:sz="4" w:space="0" w:color="auto"/>
            </w:tcBorders>
            <w:shd w:val="clear" w:color="auto" w:fill="auto"/>
            <w:noWrap/>
            <w:vAlign w:val="center"/>
            <w:hideMark/>
          </w:tcPr>
          <w:p w14:paraId="51B90C5A"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34.527</w:t>
            </w:r>
          </w:p>
        </w:tc>
        <w:tc>
          <w:tcPr>
            <w:tcW w:w="865" w:type="dxa"/>
            <w:tcBorders>
              <w:top w:val="nil"/>
              <w:left w:val="nil"/>
              <w:bottom w:val="single" w:sz="4" w:space="0" w:color="auto"/>
              <w:right w:val="single" w:sz="4" w:space="0" w:color="auto"/>
            </w:tcBorders>
            <w:shd w:val="clear" w:color="auto" w:fill="auto"/>
            <w:noWrap/>
            <w:vAlign w:val="center"/>
            <w:hideMark/>
          </w:tcPr>
          <w:p w14:paraId="431BBEAC"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35.202</w:t>
            </w:r>
          </w:p>
        </w:tc>
        <w:tc>
          <w:tcPr>
            <w:tcW w:w="836" w:type="dxa"/>
            <w:tcBorders>
              <w:top w:val="nil"/>
              <w:left w:val="nil"/>
              <w:bottom w:val="single" w:sz="4" w:space="0" w:color="auto"/>
              <w:right w:val="single" w:sz="4" w:space="0" w:color="auto"/>
            </w:tcBorders>
            <w:shd w:val="clear" w:color="auto" w:fill="auto"/>
            <w:noWrap/>
            <w:vAlign w:val="center"/>
            <w:hideMark/>
          </w:tcPr>
          <w:p w14:paraId="1A6EAE7E"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36.110</w:t>
            </w:r>
          </w:p>
        </w:tc>
        <w:tc>
          <w:tcPr>
            <w:tcW w:w="865" w:type="dxa"/>
            <w:tcBorders>
              <w:top w:val="nil"/>
              <w:left w:val="nil"/>
              <w:bottom w:val="single" w:sz="4" w:space="0" w:color="auto"/>
              <w:right w:val="single" w:sz="4" w:space="0" w:color="auto"/>
            </w:tcBorders>
            <w:shd w:val="clear" w:color="auto" w:fill="auto"/>
            <w:noWrap/>
            <w:vAlign w:val="center"/>
            <w:hideMark/>
          </w:tcPr>
          <w:p w14:paraId="2328E1BB"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37.073</w:t>
            </w:r>
          </w:p>
        </w:tc>
        <w:tc>
          <w:tcPr>
            <w:tcW w:w="978" w:type="dxa"/>
            <w:tcBorders>
              <w:top w:val="nil"/>
              <w:left w:val="nil"/>
              <w:bottom w:val="single" w:sz="4" w:space="0" w:color="auto"/>
              <w:right w:val="single" w:sz="4" w:space="0" w:color="auto"/>
            </w:tcBorders>
            <w:shd w:val="clear" w:color="auto" w:fill="auto"/>
            <w:noWrap/>
            <w:vAlign w:val="center"/>
            <w:hideMark/>
          </w:tcPr>
          <w:p w14:paraId="7268811F"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38.091</w:t>
            </w:r>
          </w:p>
        </w:tc>
      </w:tr>
      <w:tr w:rsidR="00747CFD" w:rsidRPr="00747CFD" w14:paraId="709EE41C" w14:textId="77777777" w:rsidTr="00747CFD">
        <w:trPr>
          <w:trHeight w:val="170"/>
        </w:trPr>
        <w:tc>
          <w:tcPr>
            <w:tcW w:w="1701" w:type="dxa"/>
            <w:tcBorders>
              <w:top w:val="nil"/>
              <w:left w:val="single" w:sz="8" w:space="0" w:color="auto"/>
              <w:bottom w:val="single" w:sz="8" w:space="0" w:color="auto"/>
              <w:right w:val="single" w:sz="8" w:space="0" w:color="auto"/>
            </w:tcBorders>
            <w:shd w:val="clear" w:color="auto" w:fill="002060"/>
            <w:noWrap/>
            <w:vAlign w:val="center"/>
            <w:hideMark/>
          </w:tcPr>
          <w:p w14:paraId="47F130C1" w14:textId="77777777" w:rsidR="00CC41BC" w:rsidRPr="00747CFD" w:rsidRDefault="00CC41BC" w:rsidP="00CC41BC">
            <w:pPr>
              <w:spacing w:after="0" w:line="240" w:lineRule="auto"/>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w:t>
            </w:r>
          </w:p>
        </w:tc>
        <w:tc>
          <w:tcPr>
            <w:tcW w:w="865" w:type="dxa"/>
            <w:tcBorders>
              <w:top w:val="single" w:sz="8" w:space="0" w:color="auto"/>
              <w:left w:val="single" w:sz="4" w:space="0" w:color="auto"/>
              <w:bottom w:val="single" w:sz="8" w:space="0" w:color="auto"/>
              <w:right w:val="single" w:sz="4" w:space="0" w:color="auto"/>
            </w:tcBorders>
            <w:shd w:val="clear" w:color="auto" w:fill="002060"/>
            <w:noWrap/>
            <w:vAlign w:val="center"/>
            <w:hideMark/>
          </w:tcPr>
          <w:p w14:paraId="0AE84085"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2029.</w:t>
            </w:r>
          </w:p>
        </w:tc>
        <w:tc>
          <w:tcPr>
            <w:tcW w:w="865" w:type="dxa"/>
            <w:tcBorders>
              <w:top w:val="single" w:sz="8" w:space="0" w:color="auto"/>
              <w:left w:val="nil"/>
              <w:bottom w:val="single" w:sz="8" w:space="0" w:color="auto"/>
              <w:right w:val="single" w:sz="4" w:space="0" w:color="auto"/>
            </w:tcBorders>
            <w:shd w:val="clear" w:color="auto" w:fill="002060"/>
            <w:noWrap/>
            <w:vAlign w:val="center"/>
            <w:hideMark/>
          </w:tcPr>
          <w:p w14:paraId="0AFFF115"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2030.</w:t>
            </w:r>
          </w:p>
        </w:tc>
        <w:tc>
          <w:tcPr>
            <w:tcW w:w="822" w:type="dxa"/>
            <w:tcBorders>
              <w:top w:val="single" w:sz="8" w:space="0" w:color="auto"/>
              <w:left w:val="nil"/>
              <w:bottom w:val="single" w:sz="8" w:space="0" w:color="auto"/>
              <w:right w:val="single" w:sz="4" w:space="0" w:color="auto"/>
            </w:tcBorders>
            <w:shd w:val="clear" w:color="auto" w:fill="002060"/>
            <w:noWrap/>
            <w:vAlign w:val="center"/>
            <w:hideMark/>
          </w:tcPr>
          <w:p w14:paraId="17D0600A"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2031.</w:t>
            </w:r>
          </w:p>
        </w:tc>
        <w:tc>
          <w:tcPr>
            <w:tcW w:w="850" w:type="dxa"/>
            <w:tcBorders>
              <w:top w:val="single" w:sz="8" w:space="0" w:color="auto"/>
              <w:left w:val="nil"/>
              <w:bottom w:val="single" w:sz="8" w:space="0" w:color="auto"/>
              <w:right w:val="single" w:sz="4" w:space="0" w:color="auto"/>
            </w:tcBorders>
            <w:shd w:val="clear" w:color="auto" w:fill="002060"/>
            <w:noWrap/>
            <w:vAlign w:val="center"/>
            <w:hideMark/>
          </w:tcPr>
          <w:p w14:paraId="300115F5"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2032.</w:t>
            </w:r>
          </w:p>
        </w:tc>
        <w:tc>
          <w:tcPr>
            <w:tcW w:w="865" w:type="dxa"/>
            <w:tcBorders>
              <w:top w:val="single" w:sz="8" w:space="0" w:color="auto"/>
              <w:left w:val="nil"/>
              <w:bottom w:val="single" w:sz="8" w:space="0" w:color="auto"/>
              <w:right w:val="single" w:sz="4" w:space="0" w:color="auto"/>
            </w:tcBorders>
            <w:shd w:val="clear" w:color="auto" w:fill="002060"/>
            <w:noWrap/>
            <w:vAlign w:val="center"/>
            <w:hideMark/>
          </w:tcPr>
          <w:p w14:paraId="34B425EE"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2033.</w:t>
            </w:r>
          </w:p>
        </w:tc>
        <w:tc>
          <w:tcPr>
            <w:tcW w:w="836" w:type="dxa"/>
            <w:tcBorders>
              <w:top w:val="single" w:sz="8" w:space="0" w:color="auto"/>
              <w:left w:val="nil"/>
              <w:bottom w:val="single" w:sz="8" w:space="0" w:color="auto"/>
              <w:right w:val="single" w:sz="4" w:space="0" w:color="auto"/>
            </w:tcBorders>
            <w:shd w:val="clear" w:color="auto" w:fill="002060"/>
            <w:noWrap/>
            <w:vAlign w:val="center"/>
            <w:hideMark/>
          </w:tcPr>
          <w:p w14:paraId="7E1FF1B3"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2034.</w:t>
            </w:r>
          </w:p>
        </w:tc>
        <w:tc>
          <w:tcPr>
            <w:tcW w:w="865" w:type="dxa"/>
            <w:tcBorders>
              <w:top w:val="single" w:sz="8" w:space="0" w:color="auto"/>
              <w:left w:val="nil"/>
              <w:bottom w:val="single" w:sz="8" w:space="0" w:color="auto"/>
              <w:right w:val="nil"/>
            </w:tcBorders>
            <w:shd w:val="clear" w:color="auto" w:fill="002060"/>
            <w:noWrap/>
            <w:vAlign w:val="center"/>
            <w:hideMark/>
          </w:tcPr>
          <w:p w14:paraId="2A8862DB"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2035.</w:t>
            </w:r>
          </w:p>
        </w:tc>
        <w:tc>
          <w:tcPr>
            <w:tcW w:w="978" w:type="dxa"/>
            <w:tcBorders>
              <w:top w:val="single" w:sz="8" w:space="0" w:color="auto"/>
              <w:left w:val="single" w:sz="8" w:space="0" w:color="auto"/>
              <w:bottom w:val="nil"/>
              <w:right w:val="nil"/>
            </w:tcBorders>
            <w:shd w:val="clear" w:color="auto" w:fill="auto"/>
            <w:noWrap/>
            <w:vAlign w:val="center"/>
            <w:hideMark/>
          </w:tcPr>
          <w:p w14:paraId="4D4524BA"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747CFD" w:rsidRPr="00747CFD" w14:paraId="5B7D234C"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1AA1FFA2"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Ukupno (t)</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53D8AE43"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865" w:type="dxa"/>
            <w:tcBorders>
              <w:top w:val="nil"/>
              <w:left w:val="nil"/>
              <w:bottom w:val="single" w:sz="4" w:space="0" w:color="auto"/>
              <w:right w:val="single" w:sz="4" w:space="0" w:color="auto"/>
            </w:tcBorders>
            <w:shd w:val="clear" w:color="auto" w:fill="auto"/>
            <w:noWrap/>
            <w:vAlign w:val="center"/>
            <w:hideMark/>
          </w:tcPr>
          <w:p w14:paraId="3AA213F6"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2.190.300</w:t>
            </w:r>
          </w:p>
        </w:tc>
        <w:tc>
          <w:tcPr>
            <w:tcW w:w="822" w:type="dxa"/>
            <w:tcBorders>
              <w:top w:val="nil"/>
              <w:left w:val="nil"/>
              <w:bottom w:val="single" w:sz="4" w:space="0" w:color="auto"/>
              <w:right w:val="single" w:sz="4" w:space="0" w:color="auto"/>
            </w:tcBorders>
            <w:shd w:val="clear" w:color="auto" w:fill="auto"/>
            <w:noWrap/>
            <w:vAlign w:val="center"/>
            <w:hideMark/>
          </w:tcPr>
          <w:p w14:paraId="76E4931D"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850" w:type="dxa"/>
            <w:tcBorders>
              <w:top w:val="nil"/>
              <w:left w:val="nil"/>
              <w:bottom w:val="single" w:sz="4" w:space="0" w:color="auto"/>
              <w:right w:val="single" w:sz="4" w:space="0" w:color="auto"/>
            </w:tcBorders>
            <w:shd w:val="clear" w:color="auto" w:fill="auto"/>
            <w:noWrap/>
            <w:vAlign w:val="center"/>
            <w:hideMark/>
          </w:tcPr>
          <w:p w14:paraId="39ECBC11"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865" w:type="dxa"/>
            <w:tcBorders>
              <w:top w:val="nil"/>
              <w:left w:val="nil"/>
              <w:bottom w:val="single" w:sz="4" w:space="0" w:color="auto"/>
              <w:right w:val="single" w:sz="4" w:space="0" w:color="auto"/>
            </w:tcBorders>
            <w:shd w:val="clear" w:color="auto" w:fill="auto"/>
            <w:noWrap/>
            <w:vAlign w:val="center"/>
            <w:hideMark/>
          </w:tcPr>
          <w:p w14:paraId="49F7ADD2"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836" w:type="dxa"/>
            <w:tcBorders>
              <w:top w:val="nil"/>
              <w:left w:val="nil"/>
              <w:bottom w:val="single" w:sz="4" w:space="0" w:color="auto"/>
              <w:right w:val="single" w:sz="4" w:space="0" w:color="auto"/>
            </w:tcBorders>
            <w:shd w:val="clear" w:color="auto" w:fill="auto"/>
            <w:noWrap/>
            <w:vAlign w:val="center"/>
            <w:hideMark/>
          </w:tcPr>
          <w:p w14:paraId="3DD41C5E"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865" w:type="dxa"/>
            <w:tcBorders>
              <w:top w:val="nil"/>
              <w:left w:val="nil"/>
              <w:bottom w:val="single" w:sz="4" w:space="0" w:color="auto"/>
              <w:right w:val="nil"/>
            </w:tcBorders>
            <w:shd w:val="clear" w:color="auto" w:fill="auto"/>
            <w:noWrap/>
            <w:vAlign w:val="center"/>
            <w:hideMark/>
          </w:tcPr>
          <w:p w14:paraId="0D511C24"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2.550.158</w:t>
            </w:r>
          </w:p>
        </w:tc>
        <w:tc>
          <w:tcPr>
            <w:tcW w:w="978" w:type="dxa"/>
            <w:tcBorders>
              <w:top w:val="nil"/>
              <w:left w:val="single" w:sz="8" w:space="0" w:color="auto"/>
              <w:bottom w:val="nil"/>
              <w:right w:val="nil"/>
            </w:tcBorders>
            <w:shd w:val="clear" w:color="auto" w:fill="auto"/>
            <w:noWrap/>
            <w:vAlign w:val="center"/>
            <w:hideMark/>
          </w:tcPr>
          <w:p w14:paraId="7BB14A52"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747CFD" w:rsidRPr="00747CFD" w14:paraId="4BC4BF26"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6AC01005"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Papir i karton</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653381DB"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377.765</w:t>
            </w:r>
          </w:p>
        </w:tc>
        <w:tc>
          <w:tcPr>
            <w:tcW w:w="865" w:type="dxa"/>
            <w:tcBorders>
              <w:top w:val="nil"/>
              <w:left w:val="nil"/>
              <w:bottom w:val="single" w:sz="4" w:space="0" w:color="auto"/>
              <w:right w:val="single" w:sz="4" w:space="0" w:color="auto"/>
            </w:tcBorders>
            <w:shd w:val="clear" w:color="auto" w:fill="auto"/>
            <w:noWrap/>
            <w:vAlign w:val="center"/>
            <w:hideMark/>
          </w:tcPr>
          <w:p w14:paraId="040999EF"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394.528</w:t>
            </w:r>
          </w:p>
        </w:tc>
        <w:tc>
          <w:tcPr>
            <w:tcW w:w="822" w:type="dxa"/>
            <w:tcBorders>
              <w:top w:val="nil"/>
              <w:left w:val="nil"/>
              <w:bottom w:val="single" w:sz="4" w:space="0" w:color="auto"/>
              <w:right w:val="single" w:sz="4" w:space="0" w:color="auto"/>
            </w:tcBorders>
            <w:shd w:val="clear" w:color="auto" w:fill="auto"/>
            <w:noWrap/>
            <w:vAlign w:val="center"/>
            <w:hideMark/>
          </w:tcPr>
          <w:p w14:paraId="7F632476"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416.529</w:t>
            </w:r>
          </w:p>
        </w:tc>
        <w:tc>
          <w:tcPr>
            <w:tcW w:w="850" w:type="dxa"/>
            <w:tcBorders>
              <w:top w:val="nil"/>
              <w:left w:val="nil"/>
              <w:bottom w:val="single" w:sz="4" w:space="0" w:color="auto"/>
              <w:right w:val="single" w:sz="4" w:space="0" w:color="auto"/>
            </w:tcBorders>
            <w:shd w:val="clear" w:color="auto" w:fill="auto"/>
            <w:noWrap/>
            <w:vAlign w:val="center"/>
            <w:hideMark/>
          </w:tcPr>
          <w:p w14:paraId="197ABD61"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438.529</w:t>
            </w:r>
          </w:p>
        </w:tc>
        <w:tc>
          <w:tcPr>
            <w:tcW w:w="865" w:type="dxa"/>
            <w:tcBorders>
              <w:top w:val="nil"/>
              <w:left w:val="nil"/>
              <w:bottom w:val="single" w:sz="4" w:space="0" w:color="auto"/>
              <w:right w:val="single" w:sz="4" w:space="0" w:color="auto"/>
            </w:tcBorders>
            <w:shd w:val="clear" w:color="auto" w:fill="auto"/>
            <w:noWrap/>
            <w:vAlign w:val="center"/>
            <w:hideMark/>
          </w:tcPr>
          <w:p w14:paraId="14BFE51E"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460.529</w:t>
            </w:r>
          </w:p>
        </w:tc>
        <w:tc>
          <w:tcPr>
            <w:tcW w:w="836" w:type="dxa"/>
            <w:tcBorders>
              <w:top w:val="nil"/>
              <w:left w:val="nil"/>
              <w:bottom w:val="single" w:sz="4" w:space="0" w:color="auto"/>
              <w:right w:val="single" w:sz="4" w:space="0" w:color="auto"/>
            </w:tcBorders>
            <w:shd w:val="clear" w:color="auto" w:fill="auto"/>
            <w:noWrap/>
            <w:vAlign w:val="center"/>
            <w:hideMark/>
          </w:tcPr>
          <w:p w14:paraId="20C57030"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482.530</w:t>
            </w:r>
          </w:p>
        </w:tc>
        <w:tc>
          <w:tcPr>
            <w:tcW w:w="865" w:type="dxa"/>
            <w:tcBorders>
              <w:top w:val="nil"/>
              <w:left w:val="nil"/>
              <w:bottom w:val="single" w:sz="4" w:space="0" w:color="auto"/>
              <w:right w:val="nil"/>
            </w:tcBorders>
            <w:shd w:val="clear" w:color="auto" w:fill="auto"/>
            <w:noWrap/>
            <w:vAlign w:val="center"/>
            <w:hideMark/>
          </w:tcPr>
          <w:p w14:paraId="516DB56E"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504.530</w:t>
            </w:r>
          </w:p>
        </w:tc>
        <w:tc>
          <w:tcPr>
            <w:tcW w:w="978" w:type="dxa"/>
            <w:tcBorders>
              <w:top w:val="nil"/>
              <w:left w:val="single" w:sz="8" w:space="0" w:color="auto"/>
              <w:bottom w:val="nil"/>
              <w:right w:val="nil"/>
            </w:tcBorders>
            <w:shd w:val="clear" w:color="auto" w:fill="auto"/>
            <w:noWrap/>
            <w:vAlign w:val="center"/>
            <w:hideMark/>
          </w:tcPr>
          <w:p w14:paraId="78D62E8D"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747CFD" w:rsidRPr="00747CFD" w14:paraId="1E8AE40E"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55E5EC3F"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Glomazni otpad</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70A505C0"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150.707</w:t>
            </w:r>
          </w:p>
        </w:tc>
        <w:tc>
          <w:tcPr>
            <w:tcW w:w="865" w:type="dxa"/>
            <w:tcBorders>
              <w:top w:val="nil"/>
              <w:left w:val="nil"/>
              <w:bottom w:val="single" w:sz="4" w:space="0" w:color="auto"/>
              <w:right w:val="single" w:sz="4" w:space="0" w:color="auto"/>
            </w:tcBorders>
            <w:shd w:val="clear" w:color="auto" w:fill="auto"/>
            <w:noWrap/>
            <w:vAlign w:val="center"/>
            <w:hideMark/>
          </w:tcPr>
          <w:p w14:paraId="05DA80ED"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155.073</w:t>
            </w:r>
          </w:p>
        </w:tc>
        <w:tc>
          <w:tcPr>
            <w:tcW w:w="822" w:type="dxa"/>
            <w:tcBorders>
              <w:top w:val="nil"/>
              <w:left w:val="nil"/>
              <w:bottom w:val="single" w:sz="4" w:space="0" w:color="auto"/>
              <w:right w:val="single" w:sz="4" w:space="0" w:color="auto"/>
            </w:tcBorders>
            <w:shd w:val="clear" w:color="auto" w:fill="auto"/>
            <w:noWrap/>
            <w:vAlign w:val="center"/>
            <w:hideMark/>
          </w:tcPr>
          <w:p w14:paraId="2A90C669"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159.673</w:t>
            </w:r>
          </w:p>
        </w:tc>
        <w:tc>
          <w:tcPr>
            <w:tcW w:w="850" w:type="dxa"/>
            <w:tcBorders>
              <w:top w:val="nil"/>
              <w:left w:val="nil"/>
              <w:bottom w:val="single" w:sz="4" w:space="0" w:color="auto"/>
              <w:right w:val="single" w:sz="4" w:space="0" w:color="auto"/>
            </w:tcBorders>
            <w:shd w:val="clear" w:color="auto" w:fill="auto"/>
            <w:noWrap/>
            <w:vAlign w:val="center"/>
            <w:hideMark/>
          </w:tcPr>
          <w:p w14:paraId="0F187A79"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164.514</w:t>
            </w:r>
          </w:p>
        </w:tc>
        <w:tc>
          <w:tcPr>
            <w:tcW w:w="865" w:type="dxa"/>
            <w:tcBorders>
              <w:top w:val="nil"/>
              <w:left w:val="nil"/>
              <w:bottom w:val="single" w:sz="4" w:space="0" w:color="auto"/>
              <w:right w:val="single" w:sz="4" w:space="0" w:color="auto"/>
            </w:tcBorders>
            <w:shd w:val="clear" w:color="auto" w:fill="auto"/>
            <w:noWrap/>
            <w:vAlign w:val="center"/>
            <w:hideMark/>
          </w:tcPr>
          <w:p w14:paraId="391F1CA5"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169.603</w:t>
            </w:r>
          </w:p>
        </w:tc>
        <w:tc>
          <w:tcPr>
            <w:tcW w:w="836" w:type="dxa"/>
            <w:tcBorders>
              <w:top w:val="nil"/>
              <w:left w:val="nil"/>
              <w:bottom w:val="single" w:sz="4" w:space="0" w:color="auto"/>
              <w:right w:val="single" w:sz="4" w:space="0" w:color="auto"/>
            </w:tcBorders>
            <w:shd w:val="clear" w:color="auto" w:fill="auto"/>
            <w:noWrap/>
            <w:vAlign w:val="center"/>
            <w:hideMark/>
          </w:tcPr>
          <w:p w14:paraId="799AB19E"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174.946</w:t>
            </w:r>
          </w:p>
        </w:tc>
        <w:tc>
          <w:tcPr>
            <w:tcW w:w="865" w:type="dxa"/>
            <w:tcBorders>
              <w:top w:val="nil"/>
              <w:left w:val="nil"/>
              <w:bottom w:val="single" w:sz="4" w:space="0" w:color="auto"/>
              <w:right w:val="single" w:sz="4" w:space="0" w:color="auto"/>
            </w:tcBorders>
            <w:shd w:val="clear" w:color="auto" w:fill="auto"/>
            <w:noWrap/>
            <w:vAlign w:val="center"/>
            <w:hideMark/>
          </w:tcPr>
          <w:p w14:paraId="3E9CE5C5"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180.551</w:t>
            </w:r>
          </w:p>
        </w:tc>
        <w:tc>
          <w:tcPr>
            <w:tcW w:w="978" w:type="dxa"/>
            <w:tcBorders>
              <w:top w:val="nil"/>
              <w:left w:val="single" w:sz="8" w:space="0" w:color="auto"/>
              <w:bottom w:val="nil"/>
              <w:right w:val="nil"/>
            </w:tcBorders>
            <w:shd w:val="clear" w:color="auto" w:fill="auto"/>
            <w:noWrap/>
            <w:vAlign w:val="center"/>
            <w:hideMark/>
          </w:tcPr>
          <w:p w14:paraId="24279BA6"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747CFD" w:rsidRPr="00747CFD" w14:paraId="72070FF8"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515BC221"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Biootpad</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48334C0C"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468.787</w:t>
            </w:r>
          </w:p>
        </w:tc>
        <w:tc>
          <w:tcPr>
            <w:tcW w:w="865" w:type="dxa"/>
            <w:tcBorders>
              <w:top w:val="nil"/>
              <w:left w:val="nil"/>
              <w:bottom w:val="single" w:sz="4" w:space="0" w:color="auto"/>
              <w:right w:val="single" w:sz="4" w:space="0" w:color="auto"/>
            </w:tcBorders>
            <w:shd w:val="clear" w:color="auto" w:fill="auto"/>
            <w:noWrap/>
            <w:vAlign w:val="center"/>
            <w:hideMark/>
          </w:tcPr>
          <w:p w14:paraId="72F93CF3"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489.590</w:t>
            </w:r>
          </w:p>
        </w:tc>
        <w:tc>
          <w:tcPr>
            <w:tcW w:w="822" w:type="dxa"/>
            <w:tcBorders>
              <w:top w:val="nil"/>
              <w:left w:val="nil"/>
              <w:bottom w:val="single" w:sz="4" w:space="0" w:color="auto"/>
              <w:right w:val="single" w:sz="4" w:space="0" w:color="auto"/>
            </w:tcBorders>
            <w:shd w:val="clear" w:color="auto" w:fill="auto"/>
            <w:noWrap/>
            <w:vAlign w:val="center"/>
            <w:hideMark/>
          </w:tcPr>
          <w:p w14:paraId="5EA43940"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516.891</w:t>
            </w:r>
          </w:p>
        </w:tc>
        <w:tc>
          <w:tcPr>
            <w:tcW w:w="850" w:type="dxa"/>
            <w:tcBorders>
              <w:top w:val="nil"/>
              <w:left w:val="nil"/>
              <w:bottom w:val="single" w:sz="4" w:space="0" w:color="auto"/>
              <w:right w:val="single" w:sz="4" w:space="0" w:color="auto"/>
            </w:tcBorders>
            <w:shd w:val="clear" w:color="auto" w:fill="auto"/>
            <w:noWrap/>
            <w:vAlign w:val="center"/>
            <w:hideMark/>
          </w:tcPr>
          <w:p w14:paraId="5D353992"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544.192</w:t>
            </w:r>
          </w:p>
        </w:tc>
        <w:tc>
          <w:tcPr>
            <w:tcW w:w="865" w:type="dxa"/>
            <w:tcBorders>
              <w:top w:val="nil"/>
              <w:left w:val="nil"/>
              <w:bottom w:val="single" w:sz="4" w:space="0" w:color="auto"/>
              <w:right w:val="single" w:sz="4" w:space="0" w:color="auto"/>
            </w:tcBorders>
            <w:shd w:val="clear" w:color="auto" w:fill="auto"/>
            <w:noWrap/>
            <w:vAlign w:val="center"/>
            <w:hideMark/>
          </w:tcPr>
          <w:p w14:paraId="5DEE7067"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571.494</w:t>
            </w:r>
          </w:p>
        </w:tc>
        <w:tc>
          <w:tcPr>
            <w:tcW w:w="836" w:type="dxa"/>
            <w:tcBorders>
              <w:top w:val="nil"/>
              <w:left w:val="nil"/>
              <w:bottom w:val="single" w:sz="4" w:space="0" w:color="auto"/>
              <w:right w:val="single" w:sz="4" w:space="0" w:color="auto"/>
            </w:tcBorders>
            <w:shd w:val="clear" w:color="auto" w:fill="auto"/>
            <w:noWrap/>
            <w:vAlign w:val="center"/>
            <w:hideMark/>
          </w:tcPr>
          <w:p w14:paraId="1F5AFB82"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598.795</w:t>
            </w:r>
          </w:p>
        </w:tc>
        <w:tc>
          <w:tcPr>
            <w:tcW w:w="865" w:type="dxa"/>
            <w:tcBorders>
              <w:top w:val="nil"/>
              <w:left w:val="nil"/>
              <w:bottom w:val="single" w:sz="4" w:space="0" w:color="auto"/>
              <w:right w:val="nil"/>
            </w:tcBorders>
            <w:shd w:val="clear" w:color="auto" w:fill="auto"/>
            <w:noWrap/>
            <w:vAlign w:val="center"/>
            <w:hideMark/>
          </w:tcPr>
          <w:p w14:paraId="006F66C6"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626.097</w:t>
            </w:r>
          </w:p>
        </w:tc>
        <w:tc>
          <w:tcPr>
            <w:tcW w:w="978" w:type="dxa"/>
            <w:tcBorders>
              <w:top w:val="nil"/>
              <w:left w:val="single" w:sz="8" w:space="0" w:color="auto"/>
              <w:bottom w:val="nil"/>
              <w:right w:val="nil"/>
            </w:tcBorders>
            <w:shd w:val="clear" w:color="auto" w:fill="auto"/>
            <w:noWrap/>
            <w:vAlign w:val="center"/>
            <w:hideMark/>
          </w:tcPr>
          <w:p w14:paraId="4CC6646A"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747CFD" w:rsidRPr="00747CFD" w14:paraId="04FE9D85"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13FCA41E"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Plastika</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5E30D2A9"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286.007</w:t>
            </w:r>
          </w:p>
        </w:tc>
        <w:tc>
          <w:tcPr>
            <w:tcW w:w="865" w:type="dxa"/>
            <w:tcBorders>
              <w:top w:val="nil"/>
              <w:left w:val="nil"/>
              <w:bottom w:val="single" w:sz="4" w:space="0" w:color="auto"/>
              <w:right w:val="single" w:sz="4" w:space="0" w:color="auto"/>
            </w:tcBorders>
            <w:shd w:val="clear" w:color="auto" w:fill="auto"/>
            <w:noWrap/>
            <w:vAlign w:val="center"/>
            <w:hideMark/>
          </w:tcPr>
          <w:p w14:paraId="120E8D57"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298.699</w:t>
            </w:r>
          </w:p>
        </w:tc>
        <w:tc>
          <w:tcPr>
            <w:tcW w:w="822" w:type="dxa"/>
            <w:tcBorders>
              <w:top w:val="nil"/>
              <w:left w:val="nil"/>
              <w:bottom w:val="single" w:sz="4" w:space="0" w:color="auto"/>
              <w:right w:val="single" w:sz="4" w:space="0" w:color="auto"/>
            </w:tcBorders>
            <w:shd w:val="clear" w:color="auto" w:fill="auto"/>
            <w:noWrap/>
            <w:vAlign w:val="center"/>
            <w:hideMark/>
          </w:tcPr>
          <w:p w14:paraId="53510451"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315.355</w:t>
            </w:r>
          </w:p>
        </w:tc>
        <w:tc>
          <w:tcPr>
            <w:tcW w:w="850" w:type="dxa"/>
            <w:tcBorders>
              <w:top w:val="nil"/>
              <w:left w:val="nil"/>
              <w:bottom w:val="single" w:sz="4" w:space="0" w:color="auto"/>
              <w:right w:val="single" w:sz="4" w:space="0" w:color="auto"/>
            </w:tcBorders>
            <w:shd w:val="clear" w:color="auto" w:fill="auto"/>
            <w:noWrap/>
            <w:vAlign w:val="center"/>
            <w:hideMark/>
          </w:tcPr>
          <w:p w14:paraId="661F7CBA"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332.012</w:t>
            </w:r>
          </w:p>
        </w:tc>
        <w:tc>
          <w:tcPr>
            <w:tcW w:w="865" w:type="dxa"/>
            <w:tcBorders>
              <w:top w:val="nil"/>
              <w:left w:val="nil"/>
              <w:bottom w:val="single" w:sz="4" w:space="0" w:color="auto"/>
              <w:right w:val="single" w:sz="4" w:space="0" w:color="auto"/>
            </w:tcBorders>
            <w:shd w:val="clear" w:color="auto" w:fill="auto"/>
            <w:noWrap/>
            <w:vAlign w:val="center"/>
            <w:hideMark/>
          </w:tcPr>
          <w:p w14:paraId="6100DB96"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348.668</w:t>
            </w:r>
          </w:p>
        </w:tc>
        <w:tc>
          <w:tcPr>
            <w:tcW w:w="836" w:type="dxa"/>
            <w:tcBorders>
              <w:top w:val="nil"/>
              <w:left w:val="nil"/>
              <w:bottom w:val="single" w:sz="4" w:space="0" w:color="auto"/>
              <w:right w:val="single" w:sz="4" w:space="0" w:color="auto"/>
            </w:tcBorders>
            <w:shd w:val="clear" w:color="auto" w:fill="auto"/>
            <w:noWrap/>
            <w:vAlign w:val="center"/>
            <w:hideMark/>
          </w:tcPr>
          <w:p w14:paraId="78F4F888"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365.325</w:t>
            </w:r>
          </w:p>
        </w:tc>
        <w:tc>
          <w:tcPr>
            <w:tcW w:w="865" w:type="dxa"/>
            <w:tcBorders>
              <w:top w:val="nil"/>
              <w:left w:val="nil"/>
              <w:bottom w:val="single" w:sz="4" w:space="0" w:color="auto"/>
              <w:right w:val="nil"/>
            </w:tcBorders>
            <w:shd w:val="clear" w:color="auto" w:fill="auto"/>
            <w:noWrap/>
            <w:vAlign w:val="center"/>
            <w:hideMark/>
          </w:tcPr>
          <w:p w14:paraId="68EF80F3"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381.982</w:t>
            </w:r>
          </w:p>
        </w:tc>
        <w:tc>
          <w:tcPr>
            <w:tcW w:w="978" w:type="dxa"/>
            <w:tcBorders>
              <w:top w:val="nil"/>
              <w:left w:val="single" w:sz="8" w:space="0" w:color="auto"/>
              <w:bottom w:val="nil"/>
              <w:right w:val="nil"/>
            </w:tcBorders>
            <w:shd w:val="clear" w:color="auto" w:fill="auto"/>
            <w:noWrap/>
            <w:vAlign w:val="center"/>
            <w:hideMark/>
          </w:tcPr>
          <w:p w14:paraId="4732DABF"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747CFD" w:rsidRPr="00747CFD" w14:paraId="405AF381"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36ED9969"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Staklo</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54231D6C"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71.906</w:t>
            </w:r>
          </w:p>
        </w:tc>
        <w:tc>
          <w:tcPr>
            <w:tcW w:w="865" w:type="dxa"/>
            <w:tcBorders>
              <w:top w:val="nil"/>
              <w:left w:val="nil"/>
              <w:bottom w:val="single" w:sz="4" w:space="0" w:color="auto"/>
              <w:right w:val="single" w:sz="4" w:space="0" w:color="auto"/>
            </w:tcBorders>
            <w:shd w:val="clear" w:color="auto" w:fill="auto"/>
            <w:noWrap/>
            <w:vAlign w:val="center"/>
            <w:hideMark/>
          </w:tcPr>
          <w:p w14:paraId="622C8EA0"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75.097</w:t>
            </w:r>
          </w:p>
        </w:tc>
        <w:tc>
          <w:tcPr>
            <w:tcW w:w="822" w:type="dxa"/>
            <w:tcBorders>
              <w:top w:val="nil"/>
              <w:left w:val="nil"/>
              <w:bottom w:val="single" w:sz="4" w:space="0" w:color="auto"/>
              <w:right w:val="single" w:sz="4" w:space="0" w:color="auto"/>
            </w:tcBorders>
            <w:shd w:val="clear" w:color="auto" w:fill="auto"/>
            <w:noWrap/>
            <w:vAlign w:val="center"/>
            <w:hideMark/>
          </w:tcPr>
          <w:p w14:paraId="62687A85"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79.285</w:t>
            </w:r>
          </w:p>
        </w:tc>
        <w:tc>
          <w:tcPr>
            <w:tcW w:w="850" w:type="dxa"/>
            <w:tcBorders>
              <w:top w:val="nil"/>
              <w:left w:val="nil"/>
              <w:bottom w:val="single" w:sz="4" w:space="0" w:color="auto"/>
              <w:right w:val="single" w:sz="4" w:space="0" w:color="auto"/>
            </w:tcBorders>
            <w:shd w:val="clear" w:color="auto" w:fill="auto"/>
            <w:noWrap/>
            <w:vAlign w:val="center"/>
            <w:hideMark/>
          </w:tcPr>
          <w:p w14:paraId="5D313DD2"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83.473</w:t>
            </w:r>
          </w:p>
        </w:tc>
        <w:tc>
          <w:tcPr>
            <w:tcW w:w="865" w:type="dxa"/>
            <w:tcBorders>
              <w:top w:val="nil"/>
              <w:left w:val="nil"/>
              <w:bottom w:val="single" w:sz="4" w:space="0" w:color="auto"/>
              <w:right w:val="single" w:sz="4" w:space="0" w:color="auto"/>
            </w:tcBorders>
            <w:shd w:val="clear" w:color="auto" w:fill="auto"/>
            <w:noWrap/>
            <w:vAlign w:val="center"/>
            <w:hideMark/>
          </w:tcPr>
          <w:p w14:paraId="451D84A5"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87.660</w:t>
            </w:r>
          </w:p>
        </w:tc>
        <w:tc>
          <w:tcPr>
            <w:tcW w:w="836" w:type="dxa"/>
            <w:tcBorders>
              <w:top w:val="nil"/>
              <w:left w:val="nil"/>
              <w:bottom w:val="single" w:sz="4" w:space="0" w:color="auto"/>
              <w:right w:val="single" w:sz="4" w:space="0" w:color="auto"/>
            </w:tcBorders>
            <w:shd w:val="clear" w:color="auto" w:fill="auto"/>
            <w:noWrap/>
            <w:vAlign w:val="center"/>
            <w:hideMark/>
          </w:tcPr>
          <w:p w14:paraId="1876823D"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91.848</w:t>
            </w:r>
          </w:p>
        </w:tc>
        <w:tc>
          <w:tcPr>
            <w:tcW w:w="865" w:type="dxa"/>
            <w:tcBorders>
              <w:top w:val="nil"/>
              <w:left w:val="nil"/>
              <w:bottom w:val="single" w:sz="4" w:space="0" w:color="auto"/>
              <w:right w:val="nil"/>
            </w:tcBorders>
            <w:shd w:val="clear" w:color="auto" w:fill="auto"/>
            <w:noWrap/>
            <w:vAlign w:val="center"/>
            <w:hideMark/>
          </w:tcPr>
          <w:p w14:paraId="156F1EE7"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96.036</w:t>
            </w:r>
          </w:p>
        </w:tc>
        <w:tc>
          <w:tcPr>
            <w:tcW w:w="978" w:type="dxa"/>
            <w:tcBorders>
              <w:top w:val="nil"/>
              <w:left w:val="single" w:sz="8" w:space="0" w:color="auto"/>
              <w:bottom w:val="nil"/>
              <w:right w:val="nil"/>
            </w:tcBorders>
            <w:shd w:val="clear" w:color="auto" w:fill="auto"/>
            <w:noWrap/>
            <w:vAlign w:val="center"/>
            <w:hideMark/>
          </w:tcPr>
          <w:p w14:paraId="630134FF"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747CFD" w:rsidRPr="00747CFD" w14:paraId="78D5D9CB"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7C3C5FAC"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Metal</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332F3216"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61.815</w:t>
            </w:r>
          </w:p>
        </w:tc>
        <w:tc>
          <w:tcPr>
            <w:tcW w:w="865" w:type="dxa"/>
            <w:tcBorders>
              <w:top w:val="nil"/>
              <w:left w:val="nil"/>
              <w:bottom w:val="single" w:sz="4" w:space="0" w:color="auto"/>
              <w:right w:val="single" w:sz="4" w:space="0" w:color="auto"/>
            </w:tcBorders>
            <w:shd w:val="clear" w:color="auto" w:fill="auto"/>
            <w:noWrap/>
            <w:vAlign w:val="center"/>
            <w:hideMark/>
          </w:tcPr>
          <w:p w14:paraId="34A13F59"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63.606</w:t>
            </w:r>
          </w:p>
        </w:tc>
        <w:tc>
          <w:tcPr>
            <w:tcW w:w="822" w:type="dxa"/>
            <w:tcBorders>
              <w:top w:val="nil"/>
              <w:left w:val="nil"/>
              <w:bottom w:val="single" w:sz="4" w:space="0" w:color="auto"/>
              <w:right w:val="single" w:sz="4" w:space="0" w:color="auto"/>
            </w:tcBorders>
            <w:shd w:val="clear" w:color="auto" w:fill="auto"/>
            <w:noWrap/>
            <w:vAlign w:val="center"/>
            <w:hideMark/>
          </w:tcPr>
          <w:p w14:paraId="29080C81"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65.493</w:t>
            </w:r>
          </w:p>
        </w:tc>
        <w:tc>
          <w:tcPr>
            <w:tcW w:w="850" w:type="dxa"/>
            <w:tcBorders>
              <w:top w:val="nil"/>
              <w:left w:val="nil"/>
              <w:bottom w:val="single" w:sz="4" w:space="0" w:color="auto"/>
              <w:right w:val="single" w:sz="4" w:space="0" w:color="auto"/>
            </w:tcBorders>
            <w:shd w:val="clear" w:color="auto" w:fill="auto"/>
            <w:noWrap/>
            <w:vAlign w:val="center"/>
            <w:hideMark/>
          </w:tcPr>
          <w:p w14:paraId="34D47C2B"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67.478</w:t>
            </w:r>
          </w:p>
        </w:tc>
        <w:tc>
          <w:tcPr>
            <w:tcW w:w="865" w:type="dxa"/>
            <w:tcBorders>
              <w:top w:val="nil"/>
              <w:left w:val="nil"/>
              <w:bottom w:val="single" w:sz="4" w:space="0" w:color="auto"/>
              <w:right w:val="single" w:sz="4" w:space="0" w:color="auto"/>
            </w:tcBorders>
            <w:shd w:val="clear" w:color="auto" w:fill="auto"/>
            <w:noWrap/>
            <w:vAlign w:val="center"/>
            <w:hideMark/>
          </w:tcPr>
          <w:p w14:paraId="56AC4627"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69.566</w:t>
            </w:r>
          </w:p>
        </w:tc>
        <w:tc>
          <w:tcPr>
            <w:tcW w:w="836" w:type="dxa"/>
            <w:tcBorders>
              <w:top w:val="nil"/>
              <w:left w:val="nil"/>
              <w:bottom w:val="single" w:sz="4" w:space="0" w:color="auto"/>
              <w:right w:val="single" w:sz="4" w:space="0" w:color="auto"/>
            </w:tcBorders>
            <w:shd w:val="clear" w:color="auto" w:fill="auto"/>
            <w:noWrap/>
            <w:vAlign w:val="center"/>
            <w:hideMark/>
          </w:tcPr>
          <w:p w14:paraId="2A0C196A"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71.758</w:t>
            </w:r>
          </w:p>
        </w:tc>
        <w:tc>
          <w:tcPr>
            <w:tcW w:w="865" w:type="dxa"/>
            <w:tcBorders>
              <w:top w:val="nil"/>
              <w:left w:val="nil"/>
              <w:bottom w:val="single" w:sz="4" w:space="0" w:color="auto"/>
              <w:right w:val="nil"/>
            </w:tcBorders>
            <w:shd w:val="clear" w:color="auto" w:fill="auto"/>
            <w:noWrap/>
            <w:vAlign w:val="center"/>
            <w:hideMark/>
          </w:tcPr>
          <w:p w14:paraId="2D37C9C8"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74.057</w:t>
            </w:r>
          </w:p>
        </w:tc>
        <w:tc>
          <w:tcPr>
            <w:tcW w:w="978" w:type="dxa"/>
            <w:tcBorders>
              <w:top w:val="nil"/>
              <w:left w:val="single" w:sz="8" w:space="0" w:color="auto"/>
              <w:bottom w:val="nil"/>
              <w:right w:val="nil"/>
            </w:tcBorders>
            <w:shd w:val="clear" w:color="auto" w:fill="auto"/>
            <w:noWrap/>
            <w:vAlign w:val="center"/>
            <w:hideMark/>
          </w:tcPr>
          <w:p w14:paraId="5044C211"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747CFD" w:rsidRPr="00747CFD" w14:paraId="0DA3D68D" w14:textId="77777777" w:rsidTr="00747CFD">
        <w:trPr>
          <w:trHeight w:val="170"/>
        </w:trPr>
        <w:tc>
          <w:tcPr>
            <w:tcW w:w="1701" w:type="dxa"/>
            <w:tcBorders>
              <w:top w:val="nil"/>
              <w:left w:val="single" w:sz="8" w:space="0" w:color="auto"/>
              <w:bottom w:val="single" w:sz="8" w:space="0" w:color="auto"/>
              <w:right w:val="single" w:sz="8" w:space="0" w:color="auto"/>
            </w:tcBorders>
            <w:shd w:val="clear" w:color="auto" w:fill="auto"/>
            <w:noWrap/>
            <w:vAlign w:val="center"/>
            <w:hideMark/>
          </w:tcPr>
          <w:p w14:paraId="3F1135DC"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Električni i elektronički</w:t>
            </w:r>
          </w:p>
        </w:tc>
        <w:tc>
          <w:tcPr>
            <w:tcW w:w="865" w:type="dxa"/>
            <w:tcBorders>
              <w:top w:val="nil"/>
              <w:left w:val="single" w:sz="4" w:space="0" w:color="auto"/>
              <w:bottom w:val="single" w:sz="8" w:space="0" w:color="auto"/>
              <w:right w:val="single" w:sz="4" w:space="0" w:color="auto"/>
            </w:tcBorders>
            <w:shd w:val="clear" w:color="auto" w:fill="auto"/>
            <w:noWrap/>
            <w:vAlign w:val="center"/>
            <w:hideMark/>
          </w:tcPr>
          <w:p w14:paraId="124C0F2B"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39.166</w:t>
            </w:r>
          </w:p>
        </w:tc>
        <w:tc>
          <w:tcPr>
            <w:tcW w:w="865" w:type="dxa"/>
            <w:tcBorders>
              <w:top w:val="nil"/>
              <w:left w:val="nil"/>
              <w:bottom w:val="single" w:sz="4" w:space="0" w:color="auto"/>
              <w:right w:val="single" w:sz="4" w:space="0" w:color="auto"/>
            </w:tcBorders>
            <w:shd w:val="clear" w:color="auto" w:fill="auto"/>
            <w:noWrap/>
            <w:vAlign w:val="center"/>
            <w:hideMark/>
          </w:tcPr>
          <w:p w14:paraId="0AEE9AB9"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40.302</w:t>
            </w:r>
          </w:p>
        </w:tc>
        <w:tc>
          <w:tcPr>
            <w:tcW w:w="822" w:type="dxa"/>
            <w:tcBorders>
              <w:top w:val="nil"/>
              <w:left w:val="nil"/>
              <w:bottom w:val="single" w:sz="8" w:space="0" w:color="auto"/>
              <w:right w:val="single" w:sz="4" w:space="0" w:color="auto"/>
            </w:tcBorders>
            <w:shd w:val="clear" w:color="auto" w:fill="auto"/>
            <w:noWrap/>
            <w:vAlign w:val="center"/>
            <w:hideMark/>
          </w:tcPr>
          <w:p w14:paraId="7EB26439"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41.497</w:t>
            </w:r>
          </w:p>
        </w:tc>
        <w:tc>
          <w:tcPr>
            <w:tcW w:w="850" w:type="dxa"/>
            <w:tcBorders>
              <w:top w:val="nil"/>
              <w:left w:val="nil"/>
              <w:bottom w:val="single" w:sz="8" w:space="0" w:color="auto"/>
              <w:right w:val="single" w:sz="4" w:space="0" w:color="auto"/>
            </w:tcBorders>
            <w:shd w:val="clear" w:color="auto" w:fill="auto"/>
            <w:noWrap/>
            <w:vAlign w:val="center"/>
            <w:hideMark/>
          </w:tcPr>
          <w:p w14:paraId="1CBBE7AE"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42.755</w:t>
            </w:r>
          </w:p>
        </w:tc>
        <w:tc>
          <w:tcPr>
            <w:tcW w:w="865" w:type="dxa"/>
            <w:tcBorders>
              <w:top w:val="nil"/>
              <w:left w:val="nil"/>
              <w:bottom w:val="single" w:sz="8" w:space="0" w:color="auto"/>
              <w:right w:val="single" w:sz="4" w:space="0" w:color="auto"/>
            </w:tcBorders>
            <w:shd w:val="clear" w:color="auto" w:fill="auto"/>
            <w:noWrap/>
            <w:vAlign w:val="center"/>
            <w:hideMark/>
          </w:tcPr>
          <w:p w14:paraId="6FB3B32F"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44.078</w:t>
            </w:r>
          </w:p>
        </w:tc>
        <w:tc>
          <w:tcPr>
            <w:tcW w:w="836" w:type="dxa"/>
            <w:tcBorders>
              <w:top w:val="nil"/>
              <w:left w:val="nil"/>
              <w:bottom w:val="single" w:sz="8" w:space="0" w:color="auto"/>
              <w:right w:val="single" w:sz="4" w:space="0" w:color="auto"/>
            </w:tcBorders>
            <w:shd w:val="clear" w:color="auto" w:fill="auto"/>
            <w:noWrap/>
            <w:vAlign w:val="center"/>
            <w:hideMark/>
          </w:tcPr>
          <w:p w14:paraId="5BEDFC05"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45.466</w:t>
            </w:r>
          </w:p>
        </w:tc>
        <w:tc>
          <w:tcPr>
            <w:tcW w:w="865" w:type="dxa"/>
            <w:tcBorders>
              <w:top w:val="nil"/>
              <w:left w:val="nil"/>
              <w:bottom w:val="single" w:sz="4" w:space="0" w:color="auto"/>
              <w:right w:val="nil"/>
            </w:tcBorders>
            <w:shd w:val="clear" w:color="auto" w:fill="auto"/>
            <w:noWrap/>
            <w:vAlign w:val="center"/>
            <w:hideMark/>
          </w:tcPr>
          <w:p w14:paraId="53EA4606"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46.923</w:t>
            </w:r>
          </w:p>
        </w:tc>
        <w:tc>
          <w:tcPr>
            <w:tcW w:w="978" w:type="dxa"/>
            <w:tcBorders>
              <w:top w:val="nil"/>
              <w:left w:val="single" w:sz="8" w:space="0" w:color="auto"/>
              <w:bottom w:val="nil"/>
              <w:right w:val="nil"/>
            </w:tcBorders>
            <w:shd w:val="clear" w:color="auto" w:fill="auto"/>
            <w:noWrap/>
            <w:vAlign w:val="center"/>
            <w:hideMark/>
          </w:tcPr>
          <w:p w14:paraId="5D8D37D5"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bl>
    <w:p w14:paraId="0A1B886E" w14:textId="77777777" w:rsidR="00CC41BC" w:rsidRPr="00D73675" w:rsidRDefault="00CC41BC" w:rsidP="00E66F1D">
      <w:pPr>
        <w:rPr>
          <w:highlight w:val="yellow"/>
        </w:rPr>
      </w:pPr>
    </w:p>
    <w:p w14:paraId="487A4D49" w14:textId="790ACBDB" w:rsidR="00E66F1D" w:rsidRDefault="008A3A57" w:rsidP="001875DB">
      <w:pPr>
        <w:pStyle w:val="Tablica"/>
        <w:rPr>
          <w:highlight w:val="yellow"/>
        </w:rPr>
      </w:pPr>
      <w:bookmarkStart w:id="211" w:name="_Toc125364417"/>
      <w:r w:rsidRPr="00DE77E2">
        <w:t xml:space="preserve">Tablica </w:t>
      </w:r>
      <w:fldSimple w:instr=" SEQ Tablica \* ARABIC ">
        <w:r w:rsidR="00F37B62">
          <w:rPr>
            <w:noProof/>
          </w:rPr>
          <w:t>28</w:t>
        </w:r>
      </w:fldSimple>
      <w:r w:rsidRPr="00DE77E2">
        <w:t xml:space="preserve">. </w:t>
      </w:r>
      <w:r w:rsidRPr="00DE77E2">
        <w:rPr>
          <w:b w:val="0"/>
          <w:bCs/>
        </w:rPr>
        <w:t xml:space="preserve">Projekcija </w:t>
      </w:r>
      <w:r w:rsidR="003A4EDE">
        <w:rPr>
          <w:b w:val="0"/>
          <w:bCs/>
        </w:rPr>
        <w:t>količina</w:t>
      </w:r>
      <w:r w:rsidR="003A4EDE" w:rsidRPr="00DE77E2">
        <w:rPr>
          <w:b w:val="0"/>
          <w:bCs/>
        </w:rPr>
        <w:t xml:space="preserve"> </w:t>
      </w:r>
      <w:r w:rsidRPr="00DE77E2">
        <w:rPr>
          <w:b w:val="0"/>
          <w:bCs/>
        </w:rPr>
        <w:t>KO koji se mora odvojeno prikupiti u periodu od 2022. – 2028. godine i potrebna stopa promjene (uz pretpostavku 13% nečistoća)</w:t>
      </w:r>
      <w:bookmarkEnd w:id="211"/>
    </w:p>
    <w:tbl>
      <w:tblPr>
        <w:tblW w:w="8637" w:type="dxa"/>
        <w:tblLayout w:type="fixed"/>
        <w:tblLook w:val="04A0" w:firstRow="1" w:lastRow="0" w:firstColumn="1" w:lastColumn="0" w:noHBand="0" w:noVBand="1"/>
      </w:tblPr>
      <w:tblGrid>
        <w:gridCol w:w="1691"/>
        <w:gridCol w:w="897"/>
        <w:gridCol w:w="804"/>
        <w:gridCol w:w="851"/>
        <w:gridCol w:w="850"/>
        <w:gridCol w:w="993"/>
        <w:gridCol w:w="850"/>
        <w:gridCol w:w="851"/>
        <w:gridCol w:w="850"/>
      </w:tblGrid>
      <w:tr w:rsidR="003107D5" w:rsidRPr="00747CFD" w14:paraId="6A89F66D" w14:textId="77777777" w:rsidTr="00747CFD">
        <w:trPr>
          <w:trHeight w:val="300"/>
        </w:trPr>
        <w:tc>
          <w:tcPr>
            <w:tcW w:w="8637"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18B5D5F" w14:textId="77777777" w:rsidR="003107D5" w:rsidRPr="00747CFD" w:rsidRDefault="003107D5" w:rsidP="00A41D37">
            <w:pPr>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Povećanje količina odvojeno skupljenog otpada od 2021. do 2028. </w:t>
            </w:r>
          </w:p>
        </w:tc>
      </w:tr>
      <w:tr w:rsidR="00747CFD" w:rsidRPr="00747CFD" w14:paraId="3820D0F8" w14:textId="77777777" w:rsidTr="00747CFD">
        <w:trPr>
          <w:trHeight w:val="240"/>
        </w:trPr>
        <w:tc>
          <w:tcPr>
            <w:tcW w:w="1691" w:type="dxa"/>
            <w:tcBorders>
              <w:top w:val="nil"/>
              <w:left w:val="single" w:sz="8" w:space="0" w:color="auto"/>
              <w:bottom w:val="single" w:sz="8" w:space="0" w:color="auto"/>
              <w:right w:val="nil"/>
            </w:tcBorders>
            <w:shd w:val="clear" w:color="auto" w:fill="002060"/>
            <w:noWrap/>
            <w:vAlign w:val="center"/>
            <w:hideMark/>
          </w:tcPr>
          <w:p w14:paraId="49BFA989"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w:t>
            </w:r>
          </w:p>
        </w:tc>
        <w:tc>
          <w:tcPr>
            <w:tcW w:w="897" w:type="dxa"/>
            <w:tcBorders>
              <w:top w:val="nil"/>
              <w:left w:val="nil"/>
              <w:bottom w:val="single" w:sz="8" w:space="0" w:color="auto"/>
              <w:right w:val="nil"/>
            </w:tcBorders>
            <w:shd w:val="clear" w:color="auto" w:fill="002060"/>
            <w:noWrap/>
            <w:vAlign w:val="center"/>
            <w:hideMark/>
          </w:tcPr>
          <w:p w14:paraId="58D7C2DC"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2021.</w:t>
            </w:r>
          </w:p>
        </w:tc>
        <w:tc>
          <w:tcPr>
            <w:tcW w:w="804" w:type="dxa"/>
            <w:tcBorders>
              <w:top w:val="nil"/>
              <w:left w:val="nil"/>
              <w:bottom w:val="single" w:sz="8" w:space="0" w:color="auto"/>
              <w:right w:val="nil"/>
            </w:tcBorders>
            <w:shd w:val="clear" w:color="auto" w:fill="002060"/>
            <w:noWrap/>
            <w:vAlign w:val="center"/>
            <w:hideMark/>
          </w:tcPr>
          <w:p w14:paraId="685B66CF"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2022.</w:t>
            </w:r>
          </w:p>
        </w:tc>
        <w:tc>
          <w:tcPr>
            <w:tcW w:w="851" w:type="dxa"/>
            <w:tcBorders>
              <w:top w:val="nil"/>
              <w:left w:val="nil"/>
              <w:bottom w:val="single" w:sz="8" w:space="0" w:color="auto"/>
              <w:right w:val="nil"/>
            </w:tcBorders>
            <w:shd w:val="clear" w:color="auto" w:fill="002060"/>
            <w:noWrap/>
            <w:vAlign w:val="center"/>
            <w:hideMark/>
          </w:tcPr>
          <w:p w14:paraId="1583FAD4"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2023.</w:t>
            </w:r>
          </w:p>
        </w:tc>
        <w:tc>
          <w:tcPr>
            <w:tcW w:w="850" w:type="dxa"/>
            <w:tcBorders>
              <w:top w:val="nil"/>
              <w:left w:val="nil"/>
              <w:bottom w:val="single" w:sz="8" w:space="0" w:color="auto"/>
              <w:right w:val="nil"/>
            </w:tcBorders>
            <w:shd w:val="clear" w:color="auto" w:fill="002060"/>
            <w:noWrap/>
            <w:vAlign w:val="center"/>
            <w:hideMark/>
          </w:tcPr>
          <w:p w14:paraId="033A5283"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2024.</w:t>
            </w:r>
          </w:p>
        </w:tc>
        <w:tc>
          <w:tcPr>
            <w:tcW w:w="993" w:type="dxa"/>
            <w:tcBorders>
              <w:top w:val="nil"/>
              <w:left w:val="nil"/>
              <w:bottom w:val="single" w:sz="8" w:space="0" w:color="auto"/>
              <w:right w:val="nil"/>
            </w:tcBorders>
            <w:shd w:val="clear" w:color="auto" w:fill="002060"/>
            <w:noWrap/>
            <w:vAlign w:val="center"/>
            <w:hideMark/>
          </w:tcPr>
          <w:p w14:paraId="6F7C279B"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2025.</w:t>
            </w:r>
          </w:p>
        </w:tc>
        <w:tc>
          <w:tcPr>
            <w:tcW w:w="850" w:type="dxa"/>
            <w:tcBorders>
              <w:top w:val="nil"/>
              <w:left w:val="nil"/>
              <w:bottom w:val="single" w:sz="8" w:space="0" w:color="auto"/>
              <w:right w:val="nil"/>
            </w:tcBorders>
            <w:shd w:val="clear" w:color="auto" w:fill="002060"/>
            <w:noWrap/>
            <w:vAlign w:val="center"/>
            <w:hideMark/>
          </w:tcPr>
          <w:p w14:paraId="0908521C"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2026.</w:t>
            </w:r>
          </w:p>
        </w:tc>
        <w:tc>
          <w:tcPr>
            <w:tcW w:w="851" w:type="dxa"/>
            <w:tcBorders>
              <w:top w:val="nil"/>
              <w:left w:val="nil"/>
              <w:bottom w:val="single" w:sz="8" w:space="0" w:color="auto"/>
              <w:right w:val="nil"/>
            </w:tcBorders>
            <w:shd w:val="clear" w:color="auto" w:fill="002060"/>
            <w:noWrap/>
            <w:vAlign w:val="center"/>
            <w:hideMark/>
          </w:tcPr>
          <w:p w14:paraId="1F42BCD6"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2027.</w:t>
            </w:r>
          </w:p>
        </w:tc>
        <w:tc>
          <w:tcPr>
            <w:tcW w:w="850" w:type="dxa"/>
            <w:tcBorders>
              <w:top w:val="nil"/>
              <w:left w:val="nil"/>
              <w:bottom w:val="single" w:sz="8" w:space="0" w:color="auto"/>
              <w:right w:val="single" w:sz="8" w:space="0" w:color="auto"/>
            </w:tcBorders>
            <w:shd w:val="clear" w:color="auto" w:fill="002060"/>
            <w:noWrap/>
            <w:vAlign w:val="center"/>
            <w:hideMark/>
          </w:tcPr>
          <w:p w14:paraId="5E532E37"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2028.</w:t>
            </w:r>
          </w:p>
        </w:tc>
      </w:tr>
      <w:tr w:rsidR="003107D5" w:rsidRPr="00747CFD" w14:paraId="0503A2AA" w14:textId="77777777" w:rsidTr="00747CFD">
        <w:trPr>
          <w:trHeight w:val="225"/>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5DFD7D87" w14:textId="77777777" w:rsidR="003107D5" w:rsidRPr="00747CFD" w:rsidRDefault="003107D5" w:rsidP="00A41D37">
            <w:pPr>
              <w:spacing w:after="0" w:line="240" w:lineRule="auto"/>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Ukupno (t)</w:t>
            </w:r>
          </w:p>
        </w:tc>
        <w:tc>
          <w:tcPr>
            <w:tcW w:w="897" w:type="dxa"/>
            <w:tcBorders>
              <w:top w:val="nil"/>
              <w:left w:val="nil"/>
              <w:bottom w:val="single" w:sz="4" w:space="0" w:color="auto"/>
              <w:right w:val="single" w:sz="4" w:space="0" w:color="auto"/>
            </w:tcBorders>
            <w:shd w:val="clear" w:color="auto" w:fill="auto"/>
            <w:noWrap/>
            <w:vAlign w:val="center"/>
            <w:hideMark/>
          </w:tcPr>
          <w:p w14:paraId="60C5902A"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1.766.560</w:t>
            </w:r>
          </w:p>
        </w:tc>
        <w:tc>
          <w:tcPr>
            <w:tcW w:w="804" w:type="dxa"/>
            <w:tcBorders>
              <w:top w:val="nil"/>
              <w:left w:val="nil"/>
              <w:bottom w:val="single" w:sz="4" w:space="0" w:color="auto"/>
              <w:right w:val="single" w:sz="4" w:space="0" w:color="auto"/>
            </w:tcBorders>
            <w:shd w:val="clear" w:color="auto" w:fill="auto"/>
            <w:noWrap/>
            <w:vAlign w:val="center"/>
            <w:hideMark/>
          </w:tcPr>
          <w:p w14:paraId="16387939"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0F8F2AA5"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w:t>
            </w:r>
          </w:p>
        </w:tc>
        <w:tc>
          <w:tcPr>
            <w:tcW w:w="850" w:type="dxa"/>
            <w:tcBorders>
              <w:top w:val="nil"/>
              <w:left w:val="nil"/>
              <w:bottom w:val="single" w:sz="4" w:space="0" w:color="auto"/>
              <w:right w:val="single" w:sz="4" w:space="0" w:color="auto"/>
            </w:tcBorders>
            <w:shd w:val="clear" w:color="auto" w:fill="auto"/>
            <w:noWrap/>
            <w:vAlign w:val="center"/>
            <w:hideMark/>
          </w:tcPr>
          <w:p w14:paraId="0263B27E"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w:t>
            </w:r>
          </w:p>
        </w:tc>
        <w:tc>
          <w:tcPr>
            <w:tcW w:w="993" w:type="dxa"/>
            <w:tcBorders>
              <w:top w:val="nil"/>
              <w:left w:val="nil"/>
              <w:bottom w:val="single" w:sz="4" w:space="0" w:color="auto"/>
              <w:right w:val="single" w:sz="4" w:space="0" w:color="auto"/>
            </w:tcBorders>
            <w:shd w:val="clear" w:color="auto" w:fill="auto"/>
            <w:noWrap/>
            <w:vAlign w:val="center"/>
            <w:hideMark/>
          </w:tcPr>
          <w:p w14:paraId="45C3483E"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1.913.143</w:t>
            </w:r>
          </w:p>
        </w:tc>
        <w:tc>
          <w:tcPr>
            <w:tcW w:w="850" w:type="dxa"/>
            <w:tcBorders>
              <w:top w:val="nil"/>
              <w:left w:val="nil"/>
              <w:bottom w:val="single" w:sz="4" w:space="0" w:color="auto"/>
              <w:right w:val="nil"/>
            </w:tcBorders>
            <w:shd w:val="clear" w:color="auto" w:fill="auto"/>
            <w:noWrap/>
            <w:vAlign w:val="center"/>
            <w:hideMark/>
          </w:tcPr>
          <w:p w14:paraId="6FB73C67"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w:t>
            </w:r>
          </w:p>
        </w:tc>
        <w:tc>
          <w:tcPr>
            <w:tcW w:w="851" w:type="dxa"/>
            <w:tcBorders>
              <w:top w:val="nil"/>
              <w:left w:val="single" w:sz="4" w:space="0" w:color="auto"/>
              <w:bottom w:val="single" w:sz="4" w:space="0" w:color="auto"/>
              <w:right w:val="nil"/>
            </w:tcBorders>
            <w:shd w:val="clear" w:color="auto" w:fill="auto"/>
            <w:noWrap/>
            <w:vAlign w:val="center"/>
            <w:hideMark/>
          </w:tcPr>
          <w:p w14:paraId="63953001"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14:paraId="6D5F887A"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w:t>
            </w:r>
          </w:p>
        </w:tc>
      </w:tr>
      <w:tr w:rsidR="003107D5" w:rsidRPr="00747CFD" w14:paraId="0F018476" w14:textId="77777777" w:rsidTr="00747CFD">
        <w:trPr>
          <w:trHeight w:val="225"/>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77840E6C"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Papir i karton</w:t>
            </w:r>
          </w:p>
        </w:tc>
        <w:tc>
          <w:tcPr>
            <w:tcW w:w="897" w:type="dxa"/>
            <w:tcBorders>
              <w:top w:val="nil"/>
              <w:left w:val="nil"/>
              <w:bottom w:val="single" w:sz="4" w:space="0" w:color="auto"/>
              <w:right w:val="single" w:sz="4" w:space="0" w:color="auto"/>
            </w:tcBorders>
            <w:shd w:val="clear" w:color="auto" w:fill="auto"/>
            <w:noWrap/>
            <w:vAlign w:val="center"/>
            <w:hideMark/>
          </w:tcPr>
          <w:p w14:paraId="202A4E0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228.265</w:t>
            </w:r>
          </w:p>
        </w:tc>
        <w:tc>
          <w:tcPr>
            <w:tcW w:w="804" w:type="dxa"/>
            <w:tcBorders>
              <w:top w:val="nil"/>
              <w:left w:val="nil"/>
              <w:bottom w:val="single" w:sz="4" w:space="0" w:color="auto"/>
              <w:right w:val="single" w:sz="4" w:space="0" w:color="auto"/>
            </w:tcBorders>
            <w:shd w:val="clear" w:color="auto" w:fill="auto"/>
            <w:noWrap/>
            <w:vAlign w:val="center"/>
            <w:hideMark/>
          </w:tcPr>
          <w:p w14:paraId="12013CA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248.876</w:t>
            </w:r>
          </w:p>
        </w:tc>
        <w:tc>
          <w:tcPr>
            <w:tcW w:w="851" w:type="dxa"/>
            <w:tcBorders>
              <w:top w:val="nil"/>
              <w:left w:val="nil"/>
              <w:bottom w:val="single" w:sz="4" w:space="0" w:color="auto"/>
              <w:right w:val="single" w:sz="4" w:space="0" w:color="auto"/>
            </w:tcBorders>
            <w:shd w:val="clear" w:color="auto" w:fill="auto"/>
            <w:noWrap/>
            <w:vAlign w:val="center"/>
            <w:hideMark/>
          </w:tcPr>
          <w:p w14:paraId="548012F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269.487</w:t>
            </w:r>
          </w:p>
        </w:tc>
        <w:tc>
          <w:tcPr>
            <w:tcW w:w="850" w:type="dxa"/>
            <w:tcBorders>
              <w:top w:val="nil"/>
              <w:left w:val="nil"/>
              <w:bottom w:val="single" w:sz="4" w:space="0" w:color="auto"/>
              <w:right w:val="single" w:sz="4" w:space="0" w:color="auto"/>
            </w:tcBorders>
            <w:shd w:val="clear" w:color="auto" w:fill="auto"/>
            <w:noWrap/>
            <w:vAlign w:val="center"/>
            <w:hideMark/>
          </w:tcPr>
          <w:p w14:paraId="5064F1E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290.098</w:t>
            </w:r>
          </w:p>
        </w:tc>
        <w:tc>
          <w:tcPr>
            <w:tcW w:w="993" w:type="dxa"/>
            <w:tcBorders>
              <w:top w:val="nil"/>
              <w:left w:val="nil"/>
              <w:bottom w:val="single" w:sz="4" w:space="0" w:color="auto"/>
              <w:right w:val="single" w:sz="4" w:space="0" w:color="auto"/>
            </w:tcBorders>
            <w:shd w:val="clear" w:color="auto" w:fill="auto"/>
            <w:noWrap/>
            <w:vAlign w:val="center"/>
            <w:hideMark/>
          </w:tcPr>
          <w:p w14:paraId="4BA06EF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310.710</w:t>
            </w:r>
          </w:p>
        </w:tc>
        <w:tc>
          <w:tcPr>
            <w:tcW w:w="850" w:type="dxa"/>
            <w:tcBorders>
              <w:top w:val="nil"/>
              <w:left w:val="nil"/>
              <w:bottom w:val="single" w:sz="4" w:space="0" w:color="auto"/>
              <w:right w:val="single" w:sz="4" w:space="0" w:color="auto"/>
            </w:tcBorders>
            <w:shd w:val="clear" w:color="auto" w:fill="auto"/>
            <w:noWrap/>
            <w:vAlign w:val="center"/>
            <w:hideMark/>
          </w:tcPr>
          <w:p w14:paraId="64CE3AA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327.473</w:t>
            </w:r>
          </w:p>
        </w:tc>
        <w:tc>
          <w:tcPr>
            <w:tcW w:w="851" w:type="dxa"/>
            <w:tcBorders>
              <w:top w:val="nil"/>
              <w:left w:val="nil"/>
              <w:bottom w:val="single" w:sz="4" w:space="0" w:color="auto"/>
              <w:right w:val="single" w:sz="4" w:space="0" w:color="auto"/>
            </w:tcBorders>
            <w:shd w:val="clear" w:color="auto" w:fill="auto"/>
            <w:noWrap/>
            <w:vAlign w:val="center"/>
            <w:hideMark/>
          </w:tcPr>
          <w:p w14:paraId="56ADA7C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344.237</w:t>
            </w:r>
          </w:p>
        </w:tc>
        <w:tc>
          <w:tcPr>
            <w:tcW w:w="850" w:type="dxa"/>
            <w:tcBorders>
              <w:top w:val="nil"/>
              <w:left w:val="nil"/>
              <w:bottom w:val="single" w:sz="4" w:space="0" w:color="auto"/>
              <w:right w:val="single" w:sz="4" w:space="0" w:color="auto"/>
            </w:tcBorders>
            <w:shd w:val="clear" w:color="auto" w:fill="auto"/>
            <w:noWrap/>
            <w:vAlign w:val="center"/>
            <w:hideMark/>
          </w:tcPr>
          <w:p w14:paraId="5F099E0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361.001</w:t>
            </w:r>
          </w:p>
        </w:tc>
      </w:tr>
      <w:tr w:rsidR="003107D5" w:rsidRPr="00747CFD" w14:paraId="7ADABB9C" w14:textId="77777777" w:rsidTr="00747CFD">
        <w:trPr>
          <w:trHeight w:val="225"/>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484362A2"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Glomazni otpad</w:t>
            </w:r>
          </w:p>
        </w:tc>
        <w:tc>
          <w:tcPr>
            <w:tcW w:w="897" w:type="dxa"/>
            <w:tcBorders>
              <w:top w:val="nil"/>
              <w:left w:val="nil"/>
              <w:bottom w:val="single" w:sz="4" w:space="0" w:color="auto"/>
              <w:right w:val="single" w:sz="4" w:space="0" w:color="auto"/>
            </w:tcBorders>
            <w:shd w:val="clear" w:color="auto" w:fill="auto"/>
            <w:noWrap/>
            <w:vAlign w:val="center"/>
            <w:hideMark/>
          </w:tcPr>
          <w:p w14:paraId="5C2BAA6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129.086</w:t>
            </w:r>
          </w:p>
        </w:tc>
        <w:tc>
          <w:tcPr>
            <w:tcW w:w="804" w:type="dxa"/>
            <w:tcBorders>
              <w:top w:val="nil"/>
              <w:left w:val="nil"/>
              <w:bottom w:val="single" w:sz="4" w:space="0" w:color="auto"/>
              <w:right w:val="single" w:sz="4" w:space="0" w:color="auto"/>
            </w:tcBorders>
            <w:shd w:val="clear" w:color="auto" w:fill="auto"/>
            <w:noWrap/>
            <w:vAlign w:val="center"/>
            <w:hideMark/>
          </w:tcPr>
          <w:p w14:paraId="1236260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130.677</w:t>
            </w:r>
          </w:p>
        </w:tc>
        <w:tc>
          <w:tcPr>
            <w:tcW w:w="851" w:type="dxa"/>
            <w:tcBorders>
              <w:top w:val="nil"/>
              <w:left w:val="nil"/>
              <w:bottom w:val="single" w:sz="4" w:space="0" w:color="auto"/>
              <w:right w:val="single" w:sz="4" w:space="0" w:color="auto"/>
            </w:tcBorders>
            <w:shd w:val="clear" w:color="auto" w:fill="auto"/>
            <w:noWrap/>
            <w:vAlign w:val="center"/>
            <w:hideMark/>
          </w:tcPr>
          <w:p w14:paraId="425E0C9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132.269</w:t>
            </w:r>
          </w:p>
        </w:tc>
        <w:tc>
          <w:tcPr>
            <w:tcW w:w="850" w:type="dxa"/>
            <w:tcBorders>
              <w:top w:val="nil"/>
              <w:left w:val="nil"/>
              <w:bottom w:val="single" w:sz="4" w:space="0" w:color="auto"/>
              <w:right w:val="single" w:sz="4" w:space="0" w:color="auto"/>
            </w:tcBorders>
            <w:shd w:val="clear" w:color="auto" w:fill="auto"/>
            <w:noWrap/>
            <w:vAlign w:val="center"/>
            <w:hideMark/>
          </w:tcPr>
          <w:p w14:paraId="2D152D0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133.860</w:t>
            </w:r>
          </w:p>
        </w:tc>
        <w:tc>
          <w:tcPr>
            <w:tcW w:w="993" w:type="dxa"/>
            <w:tcBorders>
              <w:top w:val="nil"/>
              <w:left w:val="nil"/>
              <w:bottom w:val="single" w:sz="4" w:space="0" w:color="auto"/>
              <w:right w:val="single" w:sz="4" w:space="0" w:color="auto"/>
            </w:tcBorders>
            <w:shd w:val="clear" w:color="auto" w:fill="auto"/>
            <w:noWrap/>
            <w:vAlign w:val="center"/>
            <w:hideMark/>
          </w:tcPr>
          <w:p w14:paraId="206E612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135.451</w:t>
            </w:r>
          </w:p>
        </w:tc>
        <w:tc>
          <w:tcPr>
            <w:tcW w:w="850" w:type="dxa"/>
            <w:tcBorders>
              <w:top w:val="nil"/>
              <w:left w:val="nil"/>
              <w:bottom w:val="single" w:sz="4" w:space="0" w:color="auto"/>
              <w:right w:val="single" w:sz="4" w:space="0" w:color="auto"/>
            </w:tcBorders>
            <w:shd w:val="clear" w:color="auto" w:fill="auto"/>
            <w:noWrap/>
            <w:vAlign w:val="center"/>
            <w:hideMark/>
          </w:tcPr>
          <w:p w14:paraId="4591102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138.946</w:t>
            </w:r>
          </w:p>
        </w:tc>
        <w:tc>
          <w:tcPr>
            <w:tcW w:w="851" w:type="dxa"/>
            <w:tcBorders>
              <w:top w:val="nil"/>
              <w:left w:val="nil"/>
              <w:bottom w:val="single" w:sz="4" w:space="0" w:color="auto"/>
              <w:right w:val="single" w:sz="4" w:space="0" w:color="auto"/>
            </w:tcBorders>
            <w:shd w:val="clear" w:color="auto" w:fill="auto"/>
            <w:noWrap/>
            <w:vAlign w:val="center"/>
            <w:hideMark/>
          </w:tcPr>
          <w:p w14:paraId="6926320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142.649</w:t>
            </w:r>
          </w:p>
        </w:tc>
        <w:tc>
          <w:tcPr>
            <w:tcW w:w="850" w:type="dxa"/>
            <w:tcBorders>
              <w:top w:val="nil"/>
              <w:left w:val="nil"/>
              <w:bottom w:val="single" w:sz="4" w:space="0" w:color="auto"/>
              <w:right w:val="single" w:sz="4" w:space="0" w:color="auto"/>
            </w:tcBorders>
            <w:shd w:val="clear" w:color="auto" w:fill="auto"/>
            <w:noWrap/>
            <w:vAlign w:val="center"/>
            <w:hideMark/>
          </w:tcPr>
          <w:p w14:paraId="7959889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146.568</w:t>
            </w:r>
          </w:p>
        </w:tc>
      </w:tr>
      <w:tr w:rsidR="003107D5" w:rsidRPr="00747CFD" w14:paraId="17A04360" w14:textId="77777777" w:rsidTr="00747CFD">
        <w:trPr>
          <w:trHeight w:val="225"/>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345C4217"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Biootpad</w:t>
            </w:r>
          </w:p>
        </w:tc>
        <w:tc>
          <w:tcPr>
            <w:tcW w:w="897" w:type="dxa"/>
            <w:tcBorders>
              <w:top w:val="nil"/>
              <w:left w:val="nil"/>
              <w:bottom w:val="single" w:sz="4" w:space="0" w:color="auto"/>
              <w:right w:val="single" w:sz="4" w:space="0" w:color="auto"/>
            </w:tcBorders>
            <w:shd w:val="clear" w:color="auto" w:fill="auto"/>
            <w:noWrap/>
            <w:vAlign w:val="center"/>
            <w:hideMark/>
          </w:tcPr>
          <w:p w14:paraId="52602DE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122.175</w:t>
            </w:r>
          </w:p>
        </w:tc>
        <w:tc>
          <w:tcPr>
            <w:tcW w:w="804" w:type="dxa"/>
            <w:tcBorders>
              <w:top w:val="nil"/>
              <w:left w:val="nil"/>
              <w:bottom w:val="single" w:sz="4" w:space="0" w:color="auto"/>
              <w:right w:val="single" w:sz="4" w:space="0" w:color="auto"/>
            </w:tcBorders>
            <w:shd w:val="clear" w:color="auto" w:fill="auto"/>
            <w:noWrap/>
            <w:vAlign w:val="center"/>
            <w:hideMark/>
          </w:tcPr>
          <w:p w14:paraId="4ECE67B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188.025</w:t>
            </w:r>
          </w:p>
        </w:tc>
        <w:tc>
          <w:tcPr>
            <w:tcW w:w="851" w:type="dxa"/>
            <w:tcBorders>
              <w:top w:val="nil"/>
              <w:left w:val="nil"/>
              <w:bottom w:val="single" w:sz="4" w:space="0" w:color="auto"/>
              <w:right w:val="single" w:sz="4" w:space="0" w:color="auto"/>
            </w:tcBorders>
            <w:shd w:val="clear" w:color="auto" w:fill="auto"/>
            <w:noWrap/>
            <w:vAlign w:val="center"/>
            <w:hideMark/>
          </w:tcPr>
          <w:p w14:paraId="5F6E8F8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253.875</w:t>
            </w:r>
          </w:p>
        </w:tc>
        <w:tc>
          <w:tcPr>
            <w:tcW w:w="850" w:type="dxa"/>
            <w:tcBorders>
              <w:top w:val="nil"/>
              <w:left w:val="nil"/>
              <w:bottom w:val="single" w:sz="4" w:space="0" w:color="auto"/>
              <w:right w:val="single" w:sz="4" w:space="0" w:color="auto"/>
            </w:tcBorders>
            <w:shd w:val="clear" w:color="auto" w:fill="auto"/>
            <w:noWrap/>
            <w:vAlign w:val="center"/>
            <w:hideMark/>
          </w:tcPr>
          <w:p w14:paraId="2F8628E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319.725</w:t>
            </w:r>
          </w:p>
        </w:tc>
        <w:tc>
          <w:tcPr>
            <w:tcW w:w="993" w:type="dxa"/>
            <w:tcBorders>
              <w:top w:val="nil"/>
              <w:left w:val="nil"/>
              <w:bottom w:val="single" w:sz="4" w:space="0" w:color="auto"/>
              <w:right w:val="single" w:sz="4" w:space="0" w:color="auto"/>
            </w:tcBorders>
            <w:shd w:val="clear" w:color="auto" w:fill="auto"/>
            <w:noWrap/>
            <w:vAlign w:val="center"/>
            <w:hideMark/>
          </w:tcPr>
          <w:p w14:paraId="48DB27F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385.575</w:t>
            </w:r>
          </w:p>
        </w:tc>
        <w:tc>
          <w:tcPr>
            <w:tcW w:w="850" w:type="dxa"/>
            <w:tcBorders>
              <w:top w:val="nil"/>
              <w:left w:val="nil"/>
              <w:bottom w:val="single" w:sz="4" w:space="0" w:color="auto"/>
              <w:right w:val="single" w:sz="4" w:space="0" w:color="auto"/>
            </w:tcBorders>
            <w:shd w:val="clear" w:color="auto" w:fill="auto"/>
            <w:noWrap/>
            <w:vAlign w:val="center"/>
            <w:hideMark/>
          </w:tcPr>
          <w:p w14:paraId="1A98FB9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406.378</w:t>
            </w:r>
          </w:p>
        </w:tc>
        <w:tc>
          <w:tcPr>
            <w:tcW w:w="851" w:type="dxa"/>
            <w:tcBorders>
              <w:top w:val="nil"/>
              <w:left w:val="nil"/>
              <w:bottom w:val="single" w:sz="4" w:space="0" w:color="auto"/>
              <w:right w:val="single" w:sz="4" w:space="0" w:color="auto"/>
            </w:tcBorders>
            <w:shd w:val="clear" w:color="auto" w:fill="auto"/>
            <w:noWrap/>
            <w:vAlign w:val="center"/>
            <w:hideMark/>
          </w:tcPr>
          <w:p w14:paraId="79F9511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427.181</w:t>
            </w:r>
          </w:p>
        </w:tc>
        <w:tc>
          <w:tcPr>
            <w:tcW w:w="850" w:type="dxa"/>
            <w:tcBorders>
              <w:top w:val="nil"/>
              <w:left w:val="nil"/>
              <w:bottom w:val="single" w:sz="4" w:space="0" w:color="auto"/>
              <w:right w:val="single" w:sz="4" w:space="0" w:color="auto"/>
            </w:tcBorders>
            <w:shd w:val="clear" w:color="auto" w:fill="auto"/>
            <w:noWrap/>
            <w:vAlign w:val="center"/>
            <w:hideMark/>
          </w:tcPr>
          <w:p w14:paraId="6CA8826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447.984</w:t>
            </w:r>
          </w:p>
        </w:tc>
      </w:tr>
      <w:tr w:rsidR="003107D5" w:rsidRPr="00747CFD" w14:paraId="6C1A60F9" w14:textId="77777777" w:rsidTr="00747CFD">
        <w:trPr>
          <w:trHeight w:val="225"/>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7A458121"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Plastika</w:t>
            </w:r>
          </w:p>
        </w:tc>
        <w:tc>
          <w:tcPr>
            <w:tcW w:w="897" w:type="dxa"/>
            <w:tcBorders>
              <w:top w:val="nil"/>
              <w:left w:val="nil"/>
              <w:bottom w:val="single" w:sz="4" w:space="0" w:color="auto"/>
              <w:right w:val="single" w:sz="4" w:space="0" w:color="auto"/>
            </w:tcBorders>
            <w:shd w:val="clear" w:color="auto" w:fill="auto"/>
            <w:noWrap/>
            <w:vAlign w:val="center"/>
            <w:hideMark/>
          </w:tcPr>
          <w:p w14:paraId="5777C53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73.707</w:t>
            </w:r>
          </w:p>
        </w:tc>
        <w:tc>
          <w:tcPr>
            <w:tcW w:w="804" w:type="dxa"/>
            <w:tcBorders>
              <w:top w:val="nil"/>
              <w:left w:val="nil"/>
              <w:bottom w:val="single" w:sz="4" w:space="0" w:color="auto"/>
              <w:right w:val="single" w:sz="4" w:space="0" w:color="auto"/>
            </w:tcBorders>
            <w:shd w:val="clear" w:color="auto" w:fill="auto"/>
            <w:noWrap/>
            <w:vAlign w:val="center"/>
            <w:hideMark/>
          </w:tcPr>
          <w:p w14:paraId="28D60DD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114.090</w:t>
            </w:r>
          </w:p>
        </w:tc>
        <w:tc>
          <w:tcPr>
            <w:tcW w:w="851" w:type="dxa"/>
            <w:tcBorders>
              <w:top w:val="nil"/>
              <w:left w:val="nil"/>
              <w:bottom w:val="single" w:sz="4" w:space="0" w:color="auto"/>
              <w:right w:val="single" w:sz="4" w:space="0" w:color="auto"/>
            </w:tcBorders>
            <w:shd w:val="clear" w:color="auto" w:fill="auto"/>
            <w:noWrap/>
            <w:vAlign w:val="center"/>
            <w:hideMark/>
          </w:tcPr>
          <w:p w14:paraId="36DD23A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154.473</w:t>
            </w:r>
          </w:p>
        </w:tc>
        <w:tc>
          <w:tcPr>
            <w:tcW w:w="850" w:type="dxa"/>
            <w:tcBorders>
              <w:top w:val="nil"/>
              <w:left w:val="nil"/>
              <w:bottom w:val="single" w:sz="4" w:space="0" w:color="auto"/>
              <w:right w:val="single" w:sz="4" w:space="0" w:color="auto"/>
            </w:tcBorders>
            <w:shd w:val="clear" w:color="auto" w:fill="auto"/>
            <w:noWrap/>
            <w:vAlign w:val="center"/>
            <w:hideMark/>
          </w:tcPr>
          <w:p w14:paraId="5CACB85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181.011</w:t>
            </w:r>
          </w:p>
        </w:tc>
        <w:tc>
          <w:tcPr>
            <w:tcW w:w="993" w:type="dxa"/>
            <w:tcBorders>
              <w:top w:val="nil"/>
              <w:left w:val="nil"/>
              <w:bottom w:val="single" w:sz="4" w:space="0" w:color="auto"/>
              <w:right w:val="single" w:sz="4" w:space="0" w:color="auto"/>
            </w:tcBorders>
            <w:shd w:val="clear" w:color="auto" w:fill="auto"/>
            <w:noWrap/>
            <w:vAlign w:val="center"/>
            <w:hideMark/>
          </w:tcPr>
          <w:p w14:paraId="6929E90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235.239</w:t>
            </w:r>
          </w:p>
        </w:tc>
        <w:tc>
          <w:tcPr>
            <w:tcW w:w="850" w:type="dxa"/>
            <w:tcBorders>
              <w:top w:val="nil"/>
              <w:left w:val="nil"/>
              <w:bottom w:val="single" w:sz="4" w:space="0" w:color="auto"/>
              <w:right w:val="single" w:sz="4" w:space="0" w:color="auto"/>
            </w:tcBorders>
            <w:shd w:val="clear" w:color="auto" w:fill="auto"/>
            <w:noWrap/>
            <w:vAlign w:val="center"/>
            <w:hideMark/>
          </w:tcPr>
          <w:p w14:paraId="07DDAD8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247.931</w:t>
            </w:r>
          </w:p>
        </w:tc>
        <w:tc>
          <w:tcPr>
            <w:tcW w:w="851" w:type="dxa"/>
            <w:tcBorders>
              <w:top w:val="nil"/>
              <w:left w:val="nil"/>
              <w:bottom w:val="single" w:sz="4" w:space="0" w:color="auto"/>
              <w:right w:val="single" w:sz="4" w:space="0" w:color="auto"/>
            </w:tcBorders>
            <w:shd w:val="clear" w:color="auto" w:fill="auto"/>
            <w:noWrap/>
            <w:vAlign w:val="center"/>
            <w:hideMark/>
          </w:tcPr>
          <w:p w14:paraId="5E57C54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260.623</w:t>
            </w:r>
          </w:p>
        </w:tc>
        <w:tc>
          <w:tcPr>
            <w:tcW w:w="850" w:type="dxa"/>
            <w:tcBorders>
              <w:top w:val="nil"/>
              <w:left w:val="nil"/>
              <w:bottom w:val="single" w:sz="4" w:space="0" w:color="auto"/>
              <w:right w:val="single" w:sz="4" w:space="0" w:color="auto"/>
            </w:tcBorders>
            <w:shd w:val="clear" w:color="auto" w:fill="auto"/>
            <w:noWrap/>
            <w:vAlign w:val="center"/>
            <w:hideMark/>
          </w:tcPr>
          <w:p w14:paraId="6838F4F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273.315</w:t>
            </w:r>
          </w:p>
        </w:tc>
      </w:tr>
      <w:tr w:rsidR="003107D5" w:rsidRPr="00747CFD" w14:paraId="1B762E28" w14:textId="77777777" w:rsidTr="00747CFD">
        <w:trPr>
          <w:trHeight w:val="225"/>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4B0727F8"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Staklo</w:t>
            </w:r>
          </w:p>
        </w:tc>
        <w:tc>
          <w:tcPr>
            <w:tcW w:w="897" w:type="dxa"/>
            <w:tcBorders>
              <w:top w:val="nil"/>
              <w:left w:val="nil"/>
              <w:bottom w:val="single" w:sz="4" w:space="0" w:color="auto"/>
              <w:right w:val="single" w:sz="4" w:space="0" w:color="auto"/>
            </w:tcBorders>
            <w:shd w:val="clear" w:color="auto" w:fill="auto"/>
            <w:noWrap/>
            <w:vAlign w:val="center"/>
            <w:hideMark/>
          </w:tcPr>
          <w:p w14:paraId="6C95242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53.210</w:t>
            </w:r>
          </w:p>
        </w:tc>
        <w:tc>
          <w:tcPr>
            <w:tcW w:w="804" w:type="dxa"/>
            <w:tcBorders>
              <w:top w:val="nil"/>
              <w:left w:val="nil"/>
              <w:bottom w:val="single" w:sz="4" w:space="0" w:color="auto"/>
              <w:right w:val="single" w:sz="4" w:space="0" w:color="auto"/>
            </w:tcBorders>
            <w:shd w:val="clear" w:color="auto" w:fill="auto"/>
            <w:noWrap/>
            <w:vAlign w:val="center"/>
            <w:hideMark/>
          </w:tcPr>
          <w:p w14:paraId="30986B1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54.693</w:t>
            </w:r>
          </w:p>
        </w:tc>
        <w:tc>
          <w:tcPr>
            <w:tcW w:w="851" w:type="dxa"/>
            <w:tcBorders>
              <w:top w:val="nil"/>
              <w:left w:val="nil"/>
              <w:bottom w:val="single" w:sz="4" w:space="0" w:color="auto"/>
              <w:right w:val="single" w:sz="4" w:space="0" w:color="auto"/>
            </w:tcBorders>
            <w:shd w:val="clear" w:color="auto" w:fill="auto"/>
            <w:noWrap/>
            <w:vAlign w:val="center"/>
            <w:hideMark/>
          </w:tcPr>
          <w:p w14:paraId="6252496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56.176</w:t>
            </w:r>
          </w:p>
        </w:tc>
        <w:tc>
          <w:tcPr>
            <w:tcW w:w="850" w:type="dxa"/>
            <w:tcBorders>
              <w:top w:val="nil"/>
              <w:left w:val="nil"/>
              <w:bottom w:val="single" w:sz="4" w:space="0" w:color="auto"/>
              <w:right w:val="single" w:sz="4" w:space="0" w:color="auto"/>
            </w:tcBorders>
            <w:shd w:val="clear" w:color="auto" w:fill="auto"/>
            <w:noWrap/>
            <w:vAlign w:val="center"/>
            <w:hideMark/>
          </w:tcPr>
          <w:p w14:paraId="09D780D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57.660</w:t>
            </w:r>
          </w:p>
        </w:tc>
        <w:tc>
          <w:tcPr>
            <w:tcW w:w="993" w:type="dxa"/>
            <w:tcBorders>
              <w:top w:val="nil"/>
              <w:left w:val="nil"/>
              <w:bottom w:val="single" w:sz="4" w:space="0" w:color="auto"/>
              <w:right w:val="single" w:sz="4" w:space="0" w:color="auto"/>
            </w:tcBorders>
            <w:shd w:val="clear" w:color="auto" w:fill="auto"/>
            <w:noWrap/>
            <w:vAlign w:val="center"/>
            <w:hideMark/>
          </w:tcPr>
          <w:p w14:paraId="2B75777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59.143</w:t>
            </w:r>
          </w:p>
        </w:tc>
        <w:tc>
          <w:tcPr>
            <w:tcW w:w="850" w:type="dxa"/>
            <w:tcBorders>
              <w:top w:val="nil"/>
              <w:left w:val="nil"/>
              <w:bottom w:val="single" w:sz="4" w:space="0" w:color="auto"/>
              <w:right w:val="single" w:sz="4" w:space="0" w:color="auto"/>
            </w:tcBorders>
            <w:shd w:val="clear" w:color="auto" w:fill="auto"/>
            <w:noWrap/>
            <w:vAlign w:val="center"/>
            <w:hideMark/>
          </w:tcPr>
          <w:p w14:paraId="5474EA2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62.334</w:t>
            </w:r>
          </w:p>
        </w:tc>
        <w:tc>
          <w:tcPr>
            <w:tcW w:w="851" w:type="dxa"/>
            <w:tcBorders>
              <w:top w:val="nil"/>
              <w:left w:val="nil"/>
              <w:bottom w:val="single" w:sz="4" w:space="0" w:color="auto"/>
              <w:right w:val="single" w:sz="4" w:space="0" w:color="auto"/>
            </w:tcBorders>
            <w:shd w:val="clear" w:color="auto" w:fill="auto"/>
            <w:noWrap/>
            <w:vAlign w:val="center"/>
            <w:hideMark/>
          </w:tcPr>
          <w:p w14:paraId="2447661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65.525</w:t>
            </w:r>
          </w:p>
        </w:tc>
        <w:tc>
          <w:tcPr>
            <w:tcW w:w="850" w:type="dxa"/>
            <w:tcBorders>
              <w:top w:val="nil"/>
              <w:left w:val="nil"/>
              <w:bottom w:val="single" w:sz="4" w:space="0" w:color="auto"/>
              <w:right w:val="single" w:sz="4" w:space="0" w:color="auto"/>
            </w:tcBorders>
            <w:shd w:val="clear" w:color="auto" w:fill="auto"/>
            <w:noWrap/>
            <w:vAlign w:val="center"/>
            <w:hideMark/>
          </w:tcPr>
          <w:p w14:paraId="622408E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68.715</w:t>
            </w:r>
          </w:p>
        </w:tc>
      </w:tr>
      <w:tr w:rsidR="003107D5" w:rsidRPr="00747CFD" w14:paraId="27806D37" w14:textId="77777777" w:rsidTr="00747CFD">
        <w:trPr>
          <w:trHeight w:val="225"/>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1FD57CC4"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Metal</w:t>
            </w:r>
          </w:p>
        </w:tc>
        <w:tc>
          <w:tcPr>
            <w:tcW w:w="897" w:type="dxa"/>
            <w:tcBorders>
              <w:top w:val="nil"/>
              <w:left w:val="nil"/>
              <w:bottom w:val="single" w:sz="4" w:space="0" w:color="auto"/>
              <w:right w:val="single" w:sz="4" w:space="0" w:color="auto"/>
            </w:tcBorders>
            <w:shd w:val="clear" w:color="auto" w:fill="auto"/>
            <w:noWrap/>
            <w:vAlign w:val="center"/>
            <w:hideMark/>
          </w:tcPr>
          <w:p w14:paraId="5C20229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51.225</w:t>
            </w:r>
          </w:p>
        </w:tc>
        <w:tc>
          <w:tcPr>
            <w:tcW w:w="804" w:type="dxa"/>
            <w:tcBorders>
              <w:top w:val="nil"/>
              <w:left w:val="nil"/>
              <w:bottom w:val="single" w:sz="4" w:space="0" w:color="auto"/>
              <w:right w:val="single" w:sz="4" w:space="0" w:color="auto"/>
            </w:tcBorders>
            <w:shd w:val="clear" w:color="auto" w:fill="auto"/>
            <w:noWrap/>
            <w:vAlign w:val="center"/>
            <w:hideMark/>
          </w:tcPr>
          <w:p w14:paraId="57DB4428"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52.308</w:t>
            </w:r>
          </w:p>
        </w:tc>
        <w:tc>
          <w:tcPr>
            <w:tcW w:w="851" w:type="dxa"/>
            <w:tcBorders>
              <w:top w:val="nil"/>
              <w:left w:val="nil"/>
              <w:bottom w:val="single" w:sz="4" w:space="0" w:color="auto"/>
              <w:right w:val="single" w:sz="4" w:space="0" w:color="auto"/>
            </w:tcBorders>
            <w:shd w:val="clear" w:color="auto" w:fill="auto"/>
            <w:noWrap/>
            <w:vAlign w:val="center"/>
            <w:hideMark/>
          </w:tcPr>
          <w:p w14:paraId="11D29BC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53.392</w:t>
            </w:r>
          </w:p>
        </w:tc>
        <w:tc>
          <w:tcPr>
            <w:tcW w:w="850" w:type="dxa"/>
            <w:tcBorders>
              <w:top w:val="nil"/>
              <w:left w:val="nil"/>
              <w:bottom w:val="single" w:sz="4" w:space="0" w:color="auto"/>
              <w:right w:val="single" w:sz="4" w:space="0" w:color="auto"/>
            </w:tcBorders>
            <w:shd w:val="clear" w:color="auto" w:fill="auto"/>
            <w:noWrap/>
            <w:vAlign w:val="center"/>
            <w:hideMark/>
          </w:tcPr>
          <w:p w14:paraId="57B00F8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54.475</w:t>
            </w:r>
          </w:p>
        </w:tc>
        <w:tc>
          <w:tcPr>
            <w:tcW w:w="993" w:type="dxa"/>
            <w:tcBorders>
              <w:top w:val="nil"/>
              <w:left w:val="nil"/>
              <w:bottom w:val="single" w:sz="4" w:space="0" w:color="auto"/>
              <w:right w:val="single" w:sz="4" w:space="0" w:color="auto"/>
            </w:tcBorders>
            <w:shd w:val="clear" w:color="auto" w:fill="auto"/>
            <w:noWrap/>
            <w:vAlign w:val="center"/>
            <w:hideMark/>
          </w:tcPr>
          <w:p w14:paraId="18511BF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55.558</w:t>
            </w:r>
          </w:p>
        </w:tc>
        <w:tc>
          <w:tcPr>
            <w:tcW w:w="850" w:type="dxa"/>
            <w:tcBorders>
              <w:top w:val="nil"/>
              <w:left w:val="nil"/>
              <w:bottom w:val="single" w:sz="4" w:space="0" w:color="auto"/>
              <w:right w:val="single" w:sz="4" w:space="0" w:color="auto"/>
            </w:tcBorders>
            <w:shd w:val="clear" w:color="auto" w:fill="auto"/>
            <w:noWrap/>
            <w:vAlign w:val="center"/>
            <w:hideMark/>
          </w:tcPr>
          <w:p w14:paraId="7AA9BB3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56.991</w:t>
            </w:r>
          </w:p>
        </w:tc>
        <w:tc>
          <w:tcPr>
            <w:tcW w:w="851" w:type="dxa"/>
            <w:tcBorders>
              <w:top w:val="nil"/>
              <w:left w:val="nil"/>
              <w:bottom w:val="single" w:sz="4" w:space="0" w:color="auto"/>
              <w:right w:val="single" w:sz="4" w:space="0" w:color="auto"/>
            </w:tcBorders>
            <w:shd w:val="clear" w:color="auto" w:fill="auto"/>
            <w:noWrap/>
            <w:vAlign w:val="center"/>
            <w:hideMark/>
          </w:tcPr>
          <w:p w14:paraId="5C806F4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58.510</w:t>
            </w:r>
          </w:p>
        </w:tc>
        <w:tc>
          <w:tcPr>
            <w:tcW w:w="850" w:type="dxa"/>
            <w:tcBorders>
              <w:top w:val="nil"/>
              <w:left w:val="nil"/>
              <w:bottom w:val="single" w:sz="4" w:space="0" w:color="auto"/>
              <w:right w:val="single" w:sz="4" w:space="0" w:color="auto"/>
            </w:tcBorders>
            <w:shd w:val="clear" w:color="auto" w:fill="auto"/>
            <w:noWrap/>
            <w:vAlign w:val="center"/>
            <w:hideMark/>
          </w:tcPr>
          <w:p w14:paraId="463983C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60.118</w:t>
            </w:r>
          </w:p>
        </w:tc>
      </w:tr>
      <w:tr w:rsidR="003107D5" w:rsidRPr="00747CFD" w14:paraId="3FEB793F" w14:textId="77777777" w:rsidTr="00747CFD">
        <w:trPr>
          <w:trHeight w:val="240"/>
        </w:trPr>
        <w:tc>
          <w:tcPr>
            <w:tcW w:w="1691" w:type="dxa"/>
            <w:tcBorders>
              <w:top w:val="nil"/>
              <w:left w:val="single" w:sz="8" w:space="0" w:color="auto"/>
              <w:bottom w:val="single" w:sz="8" w:space="0" w:color="auto"/>
              <w:right w:val="single" w:sz="4" w:space="0" w:color="auto"/>
            </w:tcBorders>
            <w:shd w:val="clear" w:color="auto" w:fill="auto"/>
            <w:noWrap/>
            <w:vAlign w:val="center"/>
            <w:hideMark/>
          </w:tcPr>
          <w:p w14:paraId="04EA9241" w14:textId="65ABA1EE"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Električni</w:t>
            </w:r>
            <w:r w:rsidR="00747CFD" w:rsidRPr="00747CFD">
              <w:rPr>
                <w:rFonts w:ascii="Calibri" w:eastAsia="Times New Roman" w:hAnsi="Calibri" w:cs="Calibri"/>
                <w:color w:val="000000"/>
                <w:sz w:val="16"/>
                <w:szCs w:val="16"/>
                <w:lang w:eastAsia="hr-HR"/>
              </w:rPr>
              <w:t xml:space="preserve"> </w:t>
            </w:r>
            <w:r w:rsidRPr="00747CFD">
              <w:rPr>
                <w:rFonts w:ascii="Calibri" w:eastAsia="Times New Roman" w:hAnsi="Calibri" w:cs="Calibri"/>
                <w:color w:val="000000"/>
                <w:sz w:val="16"/>
                <w:szCs w:val="16"/>
                <w:lang w:eastAsia="hr-HR"/>
              </w:rPr>
              <w:t>i elektronički</w:t>
            </w:r>
          </w:p>
        </w:tc>
        <w:tc>
          <w:tcPr>
            <w:tcW w:w="897" w:type="dxa"/>
            <w:tcBorders>
              <w:top w:val="nil"/>
              <w:left w:val="nil"/>
              <w:bottom w:val="single" w:sz="4" w:space="0" w:color="auto"/>
              <w:right w:val="single" w:sz="4" w:space="0" w:color="auto"/>
            </w:tcBorders>
            <w:shd w:val="clear" w:color="auto" w:fill="auto"/>
            <w:noWrap/>
            <w:vAlign w:val="center"/>
            <w:hideMark/>
          </w:tcPr>
          <w:p w14:paraId="35F96EB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32.503</w:t>
            </w:r>
          </w:p>
        </w:tc>
        <w:tc>
          <w:tcPr>
            <w:tcW w:w="804" w:type="dxa"/>
            <w:tcBorders>
              <w:top w:val="nil"/>
              <w:left w:val="nil"/>
              <w:bottom w:val="single" w:sz="4" w:space="0" w:color="auto"/>
              <w:right w:val="single" w:sz="4" w:space="0" w:color="auto"/>
            </w:tcBorders>
            <w:shd w:val="clear" w:color="auto" w:fill="auto"/>
            <w:noWrap/>
            <w:vAlign w:val="center"/>
            <w:hideMark/>
          </w:tcPr>
          <w:p w14:paraId="3D19A85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33.178</w:t>
            </w:r>
          </w:p>
        </w:tc>
        <w:tc>
          <w:tcPr>
            <w:tcW w:w="851" w:type="dxa"/>
            <w:tcBorders>
              <w:top w:val="nil"/>
              <w:left w:val="nil"/>
              <w:bottom w:val="single" w:sz="4" w:space="0" w:color="auto"/>
              <w:right w:val="single" w:sz="4" w:space="0" w:color="auto"/>
            </w:tcBorders>
            <w:shd w:val="clear" w:color="auto" w:fill="auto"/>
            <w:noWrap/>
            <w:vAlign w:val="center"/>
            <w:hideMark/>
          </w:tcPr>
          <w:p w14:paraId="1C5CECF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33.852</w:t>
            </w:r>
          </w:p>
        </w:tc>
        <w:tc>
          <w:tcPr>
            <w:tcW w:w="850" w:type="dxa"/>
            <w:tcBorders>
              <w:top w:val="nil"/>
              <w:left w:val="nil"/>
              <w:bottom w:val="single" w:sz="4" w:space="0" w:color="auto"/>
              <w:right w:val="single" w:sz="4" w:space="0" w:color="auto"/>
            </w:tcBorders>
            <w:shd w:val="clear" w:color="auto" w:fill="auto"/>
            <w:noWrap/>
            <w:vAlign w:val="center"/>
            <w:hideMark/>
          </w:tcPr>
          <w:p w14:paraId="33FBE998"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34.527</w:t>
            </w:r>
          </w:p>
        </w:tc>
        <w:tc>
          <w:tcPr>
            <w:tcW w:w="993" w:type="dxa"/>
            <w:tcBorders>
              <w:top w:val="nil"/>
              <w:left w:val="nil"/>
              <w:bottom w:val="single" w:sz="4" w:space="0" w:color="auto"/>
              <w:right w:val="single" w:sz="4" w:space="0" w:color="auto"/>
            </w:tcBorders>
            <w:shd w:val="clear" w:color="auto" w:fill="auto"/>
            <w:noWrap/>
            <w:vAlign w:val="center"/>
            <w:hideMark/>
          </w:tcPr>
          <w:p w14:paraId="623D3D9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35.202</w:t>
            </w:r>
          </w:p>
        </w:tc>
        <w:tc>
          <w:tcPr>
            <w:tcW w:w="850" w:type="dxa"/>
            <w:tcBorders>
              <w:top w:val="nil"/>
              <w:left w:val="nil"/>
              <w:bottom w:val="single" w:sz="4" w:space="0" w:color="auto"/>
              <w:right w:val="single" w:sz="4" w:space="0" w:color="auto"/>
            </w:tcBorders>
            <w:shd w:val="clear" w:color="auto" w:fill="auto"/>
            <w:noWrap/>
            <w:vAlign w:val="center"/>
            <w:hideMark/>
          </w:tcPr>
          <w:p w14:paraId="6270ADB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36.110</w:t>
            </w:r>
          </w:p>
        </w:tc>
        <w:tc>
          <w:tcPr>
            <w:tcW w:w="851" w:type="dxa"/>
            <w:tcBorders>
              <w:top w:val="nil"/>
              <w:left w:val="nil"/>
              <w:bottom w:val="single" w:sz="4" w:space="0" w:color="auto"/>
              <w:right w:val="single" w:sz="4" w:space="0" w:color="auto"/>
            </w:tcBorders>
            <w:shd w:val="clear" w:color="auto" w:fill="auto"/>
            <w:noWrap/>
            <w:vAlign w:val="center"/>
            <w:hideMark/>
          </w:tcPr>
          <w:p w14:paraId="17C5E40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37.073</w:t>
            </w:r>
          </w:p>
        </w:tc>
        <w:tc>
          <w:tcPr>
            <w:tcW w:w="850" w:type="dxa"/>
            <w:tcBorders>
              <w:top w:val="nil"/>
              <w:left w:val="nil"/>
              <w:bottom w:val="single" w:sz="4" w:space="0" w:color="auto"/>
              <w:right w:val="single" w:sz="4" w:space="0" w:color="auto"/>
            </w:tcBorders>
            <w:shd w:val="clear" w:color="auto" w:fill="auto"/>
            <w:noWrap/>
            <w:vAlign w:val="center"/>
            <w:hideMark/>
          </w:tcPr>
          <w:p w14:paraId="1DC8EAF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38.091</w:t>
            </w:r>
          </w:p>
        </w:tc>
      </w:tr>
      <w:tr w:rsidR="003107D5" w:rsidRPr="00747CFD" w14:paraId="3342AB51" w14:textId="77777777" w:rsidTr="00747CFD">
        <w:trPr>
          <w:trHeight w:val="915"/>
        </w:trPr>
        <w:tc>
          <w:tcPr>
            <w:tcW w:w="1691" w:type="dxa"/>
            <w:tcBorders>
              <w:top w:val="nil"/>
              <w:left w:val="single" w:sz="8" w:space="0" w:color="auto"/>
              <w:bottom w:val="single" w:sz="8" w:space="0" w:color="auto"/>
              <w:right w:val="nil"/>
            </w:tcBorders>
            <w:shd w:val="clear" w:color="auto" w:fill="002060"/>
            <w:noWrap/>
            <w:vAlign w:val="center"/>
            <w:hideMark/>
          </w:tcPr>
          <w:p w14:paraId="47974C77" w14:textId="77777777" w:rsidR="003107D5" w:rsidRPr="00747CFD" w:rsidRDefault="003107D5" w:rsidP="00A41D37">
            <w:pPr>
              <w:spacing w:after="0" w:line="240" w:lineRule="auto"/>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w:t>
            </w:r>
          </w:p>
        </w:tc>
        <w:tc>
          <w:tcPr>
            <w:tcW w:w="897" w:type="dxa"/>
            <w:tcBorders>
              <w:top w:val="single" w:sz="8" w:space="0" w:color="auto"/>
              <w:left w:val="single" w:sz="4" w:space="0" w:color="auto"/>
              <w:bottom w:val="single" w:sz="8" w:space="0" w:color="auto"/>
              <w:right w:val="single" w:sz="4" w:space="0" w:color="auto"/>
            </w:tcBorders>
            <w:shd w:val="clear" w:color="auto" w:fill="002060"/>
            <w:vAlign w:val="center"/>
            <w:hideMark/>
          </w:tcPr>
          <w:p w14:paraId="125D3E43"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2022. u odnosu na 2021.</w:t>
            </w:r>
          </w:p>
        </w:tc>
        <w:tc>
          <w:tcPr>
            <w:tcW w:w="804" w:type="dxa"/>
            <w:tcBorders>
              <w:top w:val="single" w:sz="8" w:space="0" w:color="auto"/>
              <w:left w:val="nil"/>
              <w:bottom w:val="single" w:sz="8" w:space="0" w:color="auto"/>
              <w:right w:val="single" w:sz="4" w:space="0" w:color="auto"/>
            </w:tcBorders>
            <w:shd w:val="clear" w:color="auto" w:fill="002060"/>
            <w:vAlign w:val="center"/>
            <w:hideMark/>
          </w:tcPr>
          <w:p w14:paraId="1E2A3954"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2023. u odnosu na 2022.</w:t>
            </w:r>
          </w:p>
        </w:tc>
        <w:tc>
          <w:tcPr>
            <w:tcW w:w="851" w:type="dxa"/>
            <w:tcBorders>
              <w:top w:val="single" w:sz="8" w:space="0" w:color="auto"/>
              <w:left w:val="nil"/>
              <w:bottom w:val="single" w:sz="8" w:space="0" w:color="auto"/>
              <w:right w:val="single" w:sz="4" w:space="0" w:color="auto"/>
            </w:tcBorders>
            <w:shd w:val="clear" w:color="auto" w:fill="002060"/>
            <w:vAlign w:val="center"/>
            <w:hideMark/>
          </w:tcPr>
          <w:p w14:paraId="54E60CB4"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2024. u odnosu na 2023.</w:t>
            </w:r>
          </w:p>
        </w:tc>
        <w:tc>
          <w:tcPr>
            <w:tcW w:w="850" w:type="dxa"/>
            <w:tcBorders>
              <w:top w:val="single" w:sz="8" w:space="0" w:color="auto"/>
              <w:left w:val="nil"/>
              <w:bottom w:val="single" w:sz="8" w:space="0" w:color="auto"/>
              <w:right w:val="single" w:sz="4" w:space="0" w:color="auto"/>
            </w:tcBorders>
            <w:shd w:val="clear" w:color="auto" w:fill="002060"/>
            <w:vAlign w:val="center"/>
            <w:hideMark/>
          </w:tcPr>
          <w:p w14:paraId="18823048"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2025. u odnosu na 2024.</w:t>
            </w:r>
          </w:p>
        </w:tc>
        <w:tc>
          <w:tcPr>
            <w:tcW w:w="993" w:type="dxa"/>
            <w:tcBorders>
              <w:top w:val="single" w:sz="8" w:space="0" w:color="auto"/>
              <w:left w:val="nil"/>
              <w:bottom w:val="single" w:sz="8" w:space="0" w:color="auto"/>
              <w:right w:val="single" w:sz="4" w:space="0" w:color="auto"/>
            </w:tcBorders>
            <w:shd w:val="clear" w:color="auto" w:fill="002060"/>
            <w:vAlign w:val="center"/>
            <w:hideMark/>
          </w:tcPr>
          <w:p w14:paraId="5582FA4B"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2026. u odnosu na 2025.</w:t>
            </w:r>
          </w:p>
        </w:tc>
        <w:tc>
          <w:tcPr>
            <w:tcW w:w="850" w:type="dxa"/>
            <w:tcBorders>
              <w:top w:val="single" w:sz="8" w:space="0" w:color="auto"/>
              <w:left w:val="nil"/>
              <w:bottom w:val="single" w:sz="8" w:space="0" w:color="auto"/>
              <w:right w:val="single" w:sz="4" w:space="0" w:color="auto"/>
            </w:tcBorders>
            <w:shd w:val="clear" w:color="auto" w:fill="002060"/>
            <w:vAlign w:val="center"/>
            <w:hideMark/>
          </w:tcPr>
          <w:p w14:paraId="1CC8FBAB"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2027. u odnosu na 2026.</w:t>
            </w:r>
          </w:p>
        </w:tc>
        <w:tc>
          <w:tcPr>
            <w:tcW w:w="851" w:type="dxa"/>
            <w:tcBorders>
              <w:top w:val="single" w:sz="8" w:space="0" w:color="auto"/>
              <w:left w:val="nil"/>
              <w:bottom w:val="single" w:sz="8" w:space="0" w:color="auto"/>
              <w:right w:val="single" w:sz="4" w:space="0" w:color="auto"/>
            </w:tcBorders>
            <w:shd w:val="clear" w:color="auto" w:fill="002060"/>
            <w:vAlign w:val="center"/>
            <w:hideMark/>
          </w:tcPr>
          <w:p w14:paraId="656BA297"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2028. u odnosu na 2027.</w:t>
            </w:r>
          </w:p>
        </w:tc>
        <w:tc>
          <w:tcPr>
            <w:tcW w:w="850" w:type="dxa"/>
            <w:tcBorders>
              <w:top w:val="single" w:sz="8" w:space="0" w:color="auto"/>
              <w:left w:val="nil"/>
              <w:bottom w:val="single" w:sz="8" w:space="0" w:color="auto"/>
              <w:right w:val="single" w:sz="8" w:space="0" w:color="auto"/>
            </w:tcBorders>
            <w:shd w:val="clear" w:color="auto" w:fill="002060"/>
            <w:vAlign w:val="center"/>
            <w:hideMark/>
          </w:tcPr>
          <w:p w14:paraId="6D496207"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Srednja vrijednost</w:t>
            </w:r>
          </w:p>
        </w:tc>
      </w:tr>
      <w:tr w:rsidR="003107D5" w:rsidRPr="00747CFD" w14:paraId="6C15BC92" w14:textId="77777777" w:rsidTr="00747CFD">
        <w:trPr>
          <w:trHeight w:val="225"/>
        </w:trPr>
        <w:tc>
          <w:tcPr>
            <w:tcW w:w="1691" w:type="dxa"/>
            <w:tcBorders>
              <w:top w:val="single" w:sz="4" w:space="0" w:color="auto"/>
              <w:left w:val="single" w:sz="8" w:space="0" w:color="auto"/>
              <w:bottom w:val="single" w:sz="4" w:space="0" w:color="auto"/>
              <w:right w:val="nil"/>
            </w:tcBorders>
            <w:shd w:val="clear" w:color="auto" w:fill="auto"/>
            <w:noWrap/>
            <w:vAlign w:val="center"/>
            <w:hideMark/>
          </w:tcPr>
          <w:p w14:paraId="1FB3172C"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Papir i karton</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348CB72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155BD1B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E889B2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9B4891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DFD4A6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91BE04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D76F64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850" w:type="dxa"/>
            <w:tcBorders>
              <w:top w:val="single" w:sz="4" w:space="0" w:color="auto"/>
              <w:left w:val="nil"/>
              <w:bottom w:val="single" w:sz="4" w:space="0" w:color="auto"/>
              <w:right w:val="single" w:sz="8" w:space="0" w:color="auto"/>
            </w:tcBorders>
            <w:shd w:val="clear" w:color="auto" w:fill="auto"/>
            <w:noWrap/>
            <w:vAlign w:val="center"/>
            <w:hideMark/>
          </w:tcPr>
          <w:p w14:paraId="17D1F0F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w:t>
            </w:r>
          </w:p>
        </w:tc>
      </w:tr>
      <w:tr w:rsidR="003107D5" w:rsidRPr="00747CFD" w14:paraId="1DCA7FE1" w14:textId="77777777" w:rsidTr="00747CFD">
        <w:trPr>
          <w:trHeight w:val="225"/>
        </w:trPr>
        <w:tc>
          <w:tcPr>
            <w:tcW w:w="1691" w:type="dxa"/>
            <w:tcBorders>
              <w:top w:val="nil"/>
              <w:left w:val="single" w:sz="8" w:space="0" w:color="auto"/>
              <w:bottom w:val="single" w:sz="4" w:space="0" w:color="auto"/>
              <w:right w:val="nil"/>
            </w:tcBorders>
            <w:shd w:val="clear" w:color="auto" w:fill="auto"/>
            <w:noWrap/>
            <w:vAlign w:val="center"/>
            <w:hideMark/>
          </w:tcPr>
          <w:p w14:paraId="18F01784"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Glomazni otpad</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4DC2DAC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w:t>
            </w:r>
          </w:p>
        </w:tc>
        <w:tc>
          <w:tcPr>
            <w:tcW w:w="804" w:type="dxa"/>
            <w:tcBorders>
              <w:top w:val="nil"/>
              <w:left w:val="nil"/>
              <w:bottom w:val="single" w:sz="4" w:space="0" w:color="auto"/>
              <w:right w:val="single" w:sz="4" w:space="0" w:color="auto"/>
            </w:tcBorders>
            <w:shd w:val="clear" w:color="auto" w:fill="auto"/>
            <w:noWrap/>
            <w:vAlign w:val="center"/>
            <w:hideMark/>
          </w:tcPr>
          <w:p w14:paraId="474FC42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w:t>
            </w:r>
          </w:p>
        </w:tc>
        <w:tc>
          <w:tcPr>
            <w:tcW w:w="851" w:type="dxa"/>
            <w:tcBorders>
              <w:top w:val="nil"/>
              <w:left w:val="nil"/>
              <w:bottom w:val="single" w:sz="4" w:space="0" w:color="auto"/>
              <w:right w:val="single" w:sz="4" w:space="0" w:color="auto"/>
            </w:tcBorders>
            <w:shd w:val="clear" w:color="auto" w:fill="auto"/>
            <w:noWrap/>
            <w:vAlign w:val="center"/>
            <w:hideMark/>
          </w:tcPr>
          <w:p w14:paraId="5A241CE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w:t>
            </w:r>
          </w:p>
        </w:tc>
        <w:tc>
          <w:tcPr>
            <w:tcW w:w="850" w:type="dxa"/>
            <w:tcBorders>
              <w:top w:val="nil"/>
              <w:left w:val="nil"/>
              <w:bottom w:val="single" w:sz="4" w:space="0" w:color="auto"/>
              <w:right w:val="single" w:sz="4" w:space="0" w:color="auto"/>
            </w:tcBorders>
            <w:shd w:val="clear" w:color="auto" w:fill="auto"/>
            <w:noWrap/>
            <w:vAlign w:val="center"/>
            <w:hideMark/>
          </w:tcPr>
          <w:p w14:paraId="3675878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w:t>
            </w:r>
          </w:p>
        </w:tc>
        <w:tc>
          <w:tcPr>
            <w:tcW w:w="993" w:type="dxa"/>
            <w:tcBorders>
              <w:top w:val="nil"/>
              <w:left w:val="nil"/>
              <w:bottom w:val="single" w:sz="4" w:space="0" w:color="auto"/>
              <w:right w:val="single" w:sz="4" w:space="0" w:color="auto"/>
            </w:tcBorders>
            <w:shd w:val="clear" w:color="auto" w:fill="auto"/>
            <w:noWrap/>
            <w:vAlign w:val="center"/>
            <w:hideMark/>
          </w:tcPr>
          <w:p w14:paraId="55DC6BE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50" w:type="dxa"/>
            <w:tcBorders>
              <w:top w:val="nil"/>
              <w:left w:val="nil"/>
              <w:bottom w:val="single" w:sz="4" w:space="0" w:color="auto"/>
              <w:right w:val="single" w:sz="4" w:space="0" w:color="auto"/>
            </w:tcBorders>
            <w:shd w:val="clear" w:color="auto" w:fill="auto"/>
            <w:noWrap/>
            <w:vAlign w:val="center"/>
            <w:hideMark/>
          </w:tcPr>
          <w:p w14:paraId="0424696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51" w:type="dxa"/>
            <w:tcBorders>
              <w:top w:val="nil"/>
              <w:left w:val="nil"/>
              <w:bottom w:val="single" w:sz="4" w:space="0" w:color="auto"/>
              <w:right w:val="single" w:sz="4" w:space="0" w:color="auto"/>
            </w:tcBorders>
            <w:shd w:val="clear" w:color="auto" w:fill="auto"/>
            <w:noWrap/>
            <w:vAlign w:val="center"/>
            <w:hideMark/>
          </w:tcPr>
          <w:p w14:paraId="03ECE1F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50" w:type="dxa"/>
            <w:tcBorders>
              <w:top w:val="nil"/>
              <w:left w:val="nil"/>
              <w:bottom w:val="single" w:sz="4" w:space="0" w:color="auto"/>
              <w:right w:val="single" w:sz="8" w:space="0" w:color="auto"/>
            </w:tcBorders>
            <w:shd w:val="clear" w:color="auto" w:fill="auto"/>
            <w:noWrap/>
            <w:vAlign w:val="center"/>
            <w:hideMark/>
          </w:tcPr>
          <w:p w14:paraId="31A4E3F8"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r>
      <w:tr w:rsidR="003107D5" w:rsidRPr="00747CFD" w14:paraId="1BFA596A" w14:textId="77777777" w:rsidTr="00747CFD">
        <w:trPr>
          <w:trHeight w:val="225"/>
        </w:trPr>
        <w:tc>
          <w:tcPr>
            <w:tcW w:w="1691" w:type="dxa"/>
            <w:tcBorders>
              <w:top w:val="nil"/>
              <w:left w:val="single" w:sz="8" w:space="0" w:color="auto"/>
              <w:bottom w:val="single" w:sz="4" w:space="0" w:color="auto"/>
              <w:right w:val="nil"/>
            </w:tcBorders>
            <w:shd w:val="clear" w:color="auto" w:fill="auto"/>
            <w:noWrap/>
            <w:vAlign w:val="center"/>
            <w:hideMark/>
          </w:tcPr>
          <w:p w14:paraId="7C98ABF5"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Biootpad</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0809D25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54%</w:t>
            </w:r>
          </w:p>
        </w:tc>
        <w:tc>
          <w:tcPr>
            <w:tcW w:w="804" w:type="dxa"/>
            <w:tcBorders>
              <w:top w:val="nil"/>
              <w:left w:val="nil"/>
              <w:bottom w:val="single" w:sz="4" w:space="0" w:color="auto"/>
              <w:right w:val="single" w:sz="4" w:space="0" w:color="auto"/>
            </w:tcBorders>
            <w:shd w:val="clear" w:color="auto" w:fill="auto"/>
            <w:noWrap/>
            <w:vAlign w:val="center"/>
            <w:hideMark/>
          </w:tcPr>
          <w:p w14:paraId="7BD607B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35%</w:t>
            </w:r>
          </w:p>
        </w:tc>
        <w:tc>
          <w:tcPr>
            <w:tcW w:w="851" w:type="dxa"/>
            <w:tcBorders>
              <w:top w:val="nil"/>
              <w:left w:val="nil"/>
              <w:bottom w:val="single" w:sz="4" w:space="0" w:color="auto"/>
              <w:right w:val="single" w:sz="4" w:space="0" w:color="auto"/>
            </w:tcBorders>
            <w:shd w:val="clear" w:color="auto" w:fill="auto"/>
            <w:noWrap/>
            <w:vAlign w:val="center"/>
            <w:hideMark/>
          </w:tcPr>
          <w:p w14:paraId="5CF33B0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w:t>
            </w:r>
          </w:p>
        </w:tc>
        <w:tc>
          <w:tcPr>
            <w:tcW w:w="850" w:type="dxa"/>
            <w:tcBorders>
              <w:top w:val="nil"/>
              <w:left w:val="nil"/>
              <w:bottom w:val="single" w:sz="4" w:space="0" w:color="auto"/>
              <w:right w:val="single" w:sz="4" w:space="0" w:color="auto"/>
            </w:tcBorders>
            <w:shd w:val="clear" w:color="auto" w:fill="auto"/>
            <w:noWrap/>
            <w:vAlign w:val="center"/>
            <w:hideMark/>
          </w:tcPr>
          <w:p w14:paraId="7A2CF22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w:t>
            </w:r>
          </w:p>
        </w:tc>
        <w:tc>
          <w:tcPr>
            <w:tcW w:w="993" w:type="dxa"/>
            <w:tcBorders>
              <w:top w:val="nil"/>
              <w:left w:val="nil"/>
              <w:bottom w:val="single" w:sz="4" w:space="0" w:color="auto"/>
              <w:right w:val="single" w:sz="4" w:space="0" w:color="auto"/>
            </w:tcBorders>
            <w:shd w:val="clear" w:color="auto" w:fill="auto"/>
            <w:noWrap/>
            <w:vAlign w:val="center"/>
            <w:hideMark/>
          </w:tcPr>
          <w:p w14:paraId="2951D3B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850" w:type="dxa"/>
            <w:tcBorders>
              <w:top w:val="nil"/>
              <w:left w:val="nil"/>
              <w:bottom w:val="single" w:sz="4" w:space="0" w:color="auto"/>
              <w:right w:val="single" w:sz="4" w:space="0" w:color="auto"/>
            </w:tcBorders>
            <w:shd w:val="clear" w:color="auto" w:fill="auto"/>
            <w:noWrap/>
            <w:vAlign w:val="center"/>
            <w:hideMark/>
          </w:tcPr>
          <w:p w14:paraId="4334443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851" w:type="dxa"/>
            <w:tcBorders>
              <w:top w:val="nil"/>
              <w:left w:val="nil"/>
              <w:bottom w:val="single" w:sz="4" w:space="0" w:color="auto"/>
              <w:right w:val="single" w:sz="4" w:space="0" w:color="auto"/>
            </w:tcBorders>
            <w:shd w:val="clear" w:color="auto" w:fill="auto"/>
            <w:noWrap/>
            <w:vAlign w:val="center"/>
            <w:hideMark/>
          </w:tcPr>
          <w:p w14:paraId="472A9E7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850" w:type="dxa"/>
            <w:tcBorders>
              <w:top w:val="nil"/>
              <w:left w:val="nil"/>
              <w:bottom w:val="single" w:sz="4" w:space="0" w:color="auto"/>
              <w:right w:val="single" w:sz="8" w:space="0" w:color="auto"/>
            </w:tcBorders>
            <w:shd w:val="clear" w:color="auto" w:fill="auto"/>
            <w:noWrap/>
            <w:vAlign w:val="center"/>
            <w:hideMark/>
          </w:tcPr>
          <w:p w14:paraId="490D3D6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w:t>
            </w:r>
          </w:p>
        </w:tc>
      </w:tr>
      <w:tr w:rsidR="003107D5" w:rsidRPr="00747CFD" w14:paraId="1E847F72" w14:textId="77777777" w:rsidTr="00747CFD">
        <w:trPr>
          <w:trHeight w:val="225"/>
        </w:trPr>
        <w:tc>
          <w:tcPr>
            <w:tcW w:w="1691" w:type="dxa"/>
            <w:tcBorders>
              <w:top w:val="nil"/>
              <w:left w:val="single" w:sz="8" w:space="0" w:color="auto"/>
              <w:bottom w:val="single" w:sz="4" w:space="0" w:color="auto"/>
              <w:right w:val="nil"/>
            </w:tcBorders>
            <w:shd w:val="clear" w:color="auto" w:fill="auto"/>
            <w:noWrap/>
            <w:vAlign w:val="center"/>
            <w:hideMark/>
          </w:tcPr>
          <w:p w14:paraId="6E44F0AD"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Plastika</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65D20D6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55%</w:t>
            </w:r>
          </w:p>
        </w:tc>
        <w:tc>
          <w:tcPr>
            <w:tcW w:w="804" w:type="dxa"/>
            <w:tcBorders>
              <w:top w:val="nil"/>
              <w:left w:val="nil"/>
              <w:bottom w:val="single" w:sz="4" w:space="0" w:color="auto"/>
              <w:right w:val="single" w:sz="4" w:space="0" w:color="auto"/>
            </w:tcBorders>
            <w:shd w:val="clear" w:color="auto" w:fill="auto"/>
            <w:noWrap/>
            <w:vAlign w:val="center"/>
            <w:hideMark/>
          </w:tcPr>
          <w:p w14:paraId="4658889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35%</w:t>
            </w:r>
          </w:p>
        </w:tc>
        <w:tc>
          <w:tcPr>
            <w:tcW w:w="851" w:type="dxa"/>
            <w:tcBorders>
              <w:top w:val="nil"/>
              <w:left w:val="nil"/>
              <w:bottom w:val="single" w:sz="4" w:space="0" w:color="auto"/>
              <w:right w:val="single" w:sz="4" w:space="0" w:color="auto"/>
            </w:tcBorders>
            <w:shd w:val="clear" w:color="auto" w:fill="auto"/>
            <w:noWrap/>
            <w:vAlign w:val="center"/>
            <w:hideMark/>
          </w:tcPr>
          <w:p w14:paraId="4D7C41A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w:t>
            </w:r>
          </w:p>
        </w:tc>
        <w:tc>
          <w:tcPr>
            <w:tcW w:w="850" w:type="dxa"/>
            <w:tcBorders>
              <w:top w:val="nil"/>
              <w:left w:val="nil"/>
              <w:bottom w:val="single" w:sz="4" w:space="0" w:color="auto"/>
              <w:right w:val="single" w:sz="4" w:space="0" w:color="auto"/>
            </w:tcBorders>
            <w:shd w:val="clear" w:color="auto" w:fill="auto"/>
            <w:noWrap/>
            <w:vAlign w:val="center"/>
            <w:hideMark/>
          </w:tcPr>
          <w:p w14:paraId="32F04E4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30%</w:t>
            </w:r>
          </w:p>
        </w:tc>
        <w:tc>
          <w:tcPr>
            <w:tcW w:w="993" w:type="dxa"/>
            <w:tcBorders>
              <w:top w:val="nil"/>
              <w:left w:val="nil"/>
              <w:bottom w:val="single" w:sz="4" w:space="0" w:color="auto"/>
              <w:right w:val="single" w:sz="4" w:space="0" w:color="auto"/>
            </w:tcBorders>
            <w:shd w:val="clear" w:color="auto" w:fill="auto"/>
            <w:noWrap/>
            <w:vAlign w:val="center"/>
            <w:hideMark/>
          </w:tcPr>
          <w:p w14:paraId="47F70D9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850" w:type="dxa"/>
            <w:tcBorders>
              <w:top w:val="nil"/>
              <w:left w:val="nil"/>
              <w:bottom w:val="single" w:sz="4" w:space="0" w:color="auto"/>
              <w:right w:val="single" w:sz="4" w:space="0" w:color="auto"/>
            </w:tcBorders>
            <w:shd w:val="clear" w:color="auto" w:fill="auto"/>
            <w:noWrap/>
            <w:vAlign w:val="center"/>
            <w:hideMark/>
          </w:tcPr>
          <w:p w14:paraId="6BD1755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851" w:type="dxa"/>
            <w:tcBorders>
              <w:top w:val="nil"/>
              <w:left w:val="nil"/>
              <w:bottom w:val="single" w:sz="4" w:space="0" w:color="auto"/>
              <w:right w:val="single" w:sz="4" w:space="0" w:color="auto"/>
            </w:tcBorders>
            <w:shd w:val="clear" w:color="auto" w:fill="auto"/>
            <w:noWrap/>
            <w:vAlign w:val="center"/>
            <w:hideMark/>
          </w:tcPr>
          <w:p w14:paraId="5D8F140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850" w:type="dxa"/>
            <w:tcBorders>
              <w:top w:val="nil"/>
              <w:left w:val="nil"/>
              <w:bottom w:val="single" w:sz="4" w:space="0" w:color="auto"/>
              <w:right w:val="single" w:sz="8" w:space="0" w:color="auto"/>
            </w:tcBorders>
            <w:shd w:val="clear" w:color="auto" w:fill="auto"/>
            <w:noWrap/>
            <w:vAlign w:val="center"/>
            <w:hideMark/>
          </w:tcPr>
          <w:p w14:paraId="5500E60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w:t>
            </w:r>
          </w:p>
        </w:tc>
      </w:tr>
      <w:tr w:rsidR="003107D5" w:rsidRPr="00747CFD" w14:paraId="12A2C5CB" w14:textId="77777777" w:rsidTr="00747CFD">
        <w:trPr>
          <w:trHeight w:val="225"/>
        </w:trPr>
        <w:tc>
          <w:tcPr>
            <w:tcW w:w="1691" w:type="dxa"/>
            <w:tcBorders>
              <w:top w:val="nil"/>
              <w:left w:val="single" w:sz="8" w:space="0" w:color="auto"/>
              <w:bottom w:val="single" w:sz="4" w:space="0" w:color="auto"/>
              <w:right w:val="nil"/>
            </w:tcBorders>
            <w:shd w:val="clear" w:color="auto" w:fill="auto"/>
            <w:noWrap/>
            <w:vAlign w:val="center"/>
            <w:hideMark/>
          </w:tcPr>
          <w:p w14:paraId="5C19EC0A"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Staklo</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69811B3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04" w:type="dxa"/>
            <w:tcBorders>
              <w:top w:val="nil"/>
              <w:left w:val="nil"/>
              <w:bottom w:val="single" w:sz="4" w:space="0" w:color="auto"/>
              <w:right w:val="single" w:sz="4" w:space="0" w:color="auto"/>
            </w:tcBorders>
            <w:shd w:val="clear" w:color="auto" w:fill="auto"/>
            <w:noWrap/>
            <w:vAlign w:val="center"/>
            <w:hideMark/>
          </w:tcPr>
          <w:p w14:paraId="18FEEAA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51" w:type="dxa"/>
            <w:tcBorders>
              <w:top w:val="nil"/>
              <w:left w:val="nil"/>
              <w:bottom w:val="single" w:sz="4" w:space="0" w:color="auto"/>
              <w:right w:val="single" w:sz="4" w:space="0" w:color="auto"/>
            </w:tcBorders>
            <w:shd w:val="clear" w:color="auto" w:fill="auto"/>
            <w:noWrap/>
            <w:vAlign w:val="center"/>
            <w:hideMark/>
          </w:tcPr>
          <w:p w14:paraId="067D977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50" w:type="dxa"/>
            <w:tcBorders>
              <w:top w:val="nil"/>
              <w:left w:val="nil"/>
              <w:bottom w:val="single" w:sz="4" w:space="0" w:color="auto"/>
              <w:right w:val="single" w:sz="4" w:space="0" w:color="auto"/>
            </w:tcBorders>
            <w:shd w:val="clear" w:color="auto" w:fill="auto"/>
            <w:noWrap/>
            <w:vAlign w:val="center"/>
            <w:hideMark/>
          </w:tcPr>
          <w:p w14:paraId="1B284E9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93" w:type="dxa"/>
            <w:tcBorders>
              <w:top w:val="nil"/>
              <w:left w:val="nil"/>
              <w:bottom w:val="single" w:sz="4" w:space="0" w:color="auto"/>
              <w:right w:val="single" w:sz="4" w:space="0" w:color="auto"/>
            </w:tcBorders>
            <w:shd w:val="clear" w:color="auto" w:fill="auto"/>
            <w:noWrap/>
            <w:vAlign w:val="center"/>
            <w:hideMark/>
          </w:tcPr>
          <w:p w14:paraId="745B4CE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850" w:type="dxa"/>
            <w:tcBorders>
              <w:top w:val="nil"/>
              <w:left w:val="nil"/>
              <w:bottom w:val="single" w:sz="4" w:space="0" w:color="auto"/>
              <w:right w:val="single" w:sz="4" w:space="0" w:color="auto"/>
            </w:tcBorders>
            <w:shd w:val="clear" w:color="auto" w:fill="auto"/>
            <w:noWrap/>
            <w:vAlign w:val="center"/>
            <w:hideMark/>
          </w:tcPr>
          <w:p w14:paraId="6DA1D1D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851" w:type="dxa"/>
            <w:tcBorders>
              <w:top w:val="nil"/>
              <w:left w:val="nil"/>
              <w:bottom w:val="single" w:sz="4" w:space="0" w:color="auto"/>
              <w:right w:val="single" w:sz="4" w:space="0" w:color="auto"/>
            </w:tcBorders>
            <w:shd w:val="clear" w:color="auto" w:fill="auto"/>
            <w:noWrap/>
            <w:vAlign w:val="center"/>
            <w:hideMark/>
          </w:tcPr>
          <w:p w14:paraId="73FB3D0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850" w:type="dxa"/>
            <w:tcBorders>
              <w:top w:val="nil"/>
              <w:left w:val="nil"/>
              <w:bottom w:val="single" w:sz="4" w:space="0" w:color="auto"/>
              <w:right w:val="single" w:sz="8" w:space="0" w:color="auto"/>
            </w:tcBorders>
            <w:shd w:val="clear" w:color="auto" w:fill="auto"/>
            <w:noWrap/>
            <w:vAlign w:val="center"/>
            <w:hideMark/>
          </w:tcPr>
          <w:p w14:paraId="08612A5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w:t>
            </w:r>
          </w:p>
        </w:tc>
      </w:tr>
      <w:tr w:rsidR="003107D5" w:rsidRPr="00747CFD" w14:paraId="559BE5E3" w14:textId="77777777" w:rsidTr="00747CFD">
        <w:trPr>
          <w:trHeight w:val="225"/>
        </w:trPr>
        <w:tc>
          <w:tcPr>
            <w:tcW w:w="1691" w:type="dxa"/>
            <w:tcBorders>
              <w:top w:val="nil"/>
              <w:left w:val="single" w:sz="8" w:space="0" w:color="auto"/>
              <w:bottom w:val="single" w:sz="4" w:space="0" w:color="auto"/>
              <w:right w:val="nil"/>
            </w:tcBorders>
            <w:shd w:val="clear" w:color="auto" w:fill="auto"/>
            <w:noWrap/>
            <w:vAlign w:val="center"/>
            <w:hideMark/>
          </w:tcPr>
          <w:p w14:paraId="098AC355"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Metal</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2B744B6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804" w:type="dxa"/>
            <w:tcBorders>
              <w:top w:val="nil"/>
              <w:left w:val="nil"/>
              <w:bottom w:val="single" w:sz="4" w:space="0" w:color="auto"/>
              <w:right w:val="single" w:sz="4" w:space="0" w:color="auto"/>
            </w:tcBorders>
            <w:shd w:val="clear" w:color="auto" w:fill="auto"/>
            <w:noWrap/>
            <w:vAlign w:val="center"/>
            <w:hideMark/>
          </w:tcPr>
          <w:p w14:paraId="277D78C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851" w:type="dxa"/>
            <w:tcBorders>
              <w:top w:val="nil"/>
              <w:left w:val="nil"/>
              <w:bottom w:val="single" w:sz="4" w:space="0" w:color="auto"/>
              <w:right w:val="single" w:sz="4" w:space="0" w:color="auto"/>
            </w:tcBorders>
            <w:shd w:val="clear" w:color="auto" w:fill="auto"/>
            <w:noWrap/>
            <w:vAlign w:val="center"/>
            <w:hideMark/>
          </w:tcPr>
          <w:p w14:paraId="138E186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850" w:type="dxa"/>
            <w:tcBorders>
              <w:top w:val="nil"/>
              <w:left w:val="nil"/>
              <w:bottom w:val="single" w:sz="4" w:space="0" w:color="auto"/>
              <w:right w:val="single" w:sz="4" w:space="0" w:color="auto"/>
            </w:tcBorders>
            <w:shd w:val="clear" w:color="auto" w:fill="auto"/>
            <w:noWrap/>
            <w:vAlign w:val="center"/>
            <w:hideMark/>
          </w:tcPr>
          <w:p w14:paraId="4D4BA35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93" w:type="dxa"/>
            <w:tcBorders>
              <w:top w:val="nil"/>
              <w:left w:val="nil"/>
              <w:bottom w:val="single" w:sz="4" w:space="0" w:color="auto"/>
              <w:right w:val="single" w:sz="4" w:space="0" w:color="auto"/>
            </w:tcBorders>
            <w:shd w:val="clear" w:color="auto" w:fill="auto"/>
            <w:noWrap/>
            <w:vAlign w:val="center"/>
            <w:hideMark/>
          </w:tcPr>
          <w:p w14:paraId="69C59AE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50" w:type="dxa"/>
            <w:tcBorders>
              <w:top w:val="nil"/>
              <w:left w:val="nil"/>
              <w:bottom w:val="single" w:sz="4" w:space="0" w:color="auto"/>
              <w:right w:val="single" w:sz="4" w:space="0" w:color="auto"/>
            </w:tcBorders>
            <w:shd w:val="clear" w:color="auto" w:fill="auto"/>
            <w:noWrap/>
            <w:vAlign w:val="center"/>
            <w:hideMark/>
          </w:tcPr>
          <w:p w14:paraId="5CD4F53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51" w:type="dxa"/>
            <w:tcBorders>
              <w:top w:val="nil"/>
              <w:left w:val="nil"/>
              <w:bottom w:val="single" w:sz="4" w:space="0" w:color="auto"/>
              <w:right w:val="single" w:sz="4" w:space="0" w:color="auto"/>
            </w:tcBorders>
            <w:shd w:val="clear" w:color="auto" w:fill="auto"/>
            <w:noWrap/>
            <w:vAlign w:val="center"/>
            <w:hideMark/>
          </w:tcPr>
          <w:p w14:paraId="70CF7878"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50" w:type="dxa"/>
            <w:tcBorders>
              <w:top w:val="nil"/>
              <w:left w:val="nil"/>
              <w:bottom w:val="single" w:sz="4" w:space="0" w:color="auto"/>
              <w:right w:val="single" w:sz="8" w:space="0" w:color="auto"/>
            </w:tcBorders>
            <w:shd w:val="clear" w:color="auto" w:fill="auto"/>
            <w:noWrap/>
            <w:vAlign w:val="center"/>
            <w:hideMark/>
          </w:tcPr>
          <w:p w14:paraId="624D96B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w:t>
            </w:r>
          </w:p>
        </w:tc>
      </w:tr>
      <w:tr w:rsidR="003107D5" w:rsidRPr="00747CFD" w14:paraId="20B8B96D" w14:textId="77777777" w:rsidTr="00747CFD">
        <w:trPr>
          <w:trHeight w:val="240"/>
        </w:trPr>
        <w:tc>
          <w:tcPr>
            <w:tcW w:w="1691" w:type="dxa"/>
            <w:tcBorders>
              <w:top w:val="nil"/>
              <w:left w:val="single" w:sz="8" w:space="0" w:color="auto"/>
              <w:bottom w:val="single" w:sz="8" w:space="0" w:color="auto"/>
              <w:right w:val="nil"/>
            </w:tcBorders>
            <w:shd w:val="clear" w:color="auto" w:fill="auto"/>
            <w:noWrap/>
            <w:vAlign w:val="center"/>
            <w:hideMark/>
          </w:tcPr>
          <w:p w14:paraId="58CF1586"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Električni i elektronički</w:t>
            </w:r>
          </w:p>
        </w:tc>
        <w:tc>
          <w:tcPr>
            <w:tcW w:w="897" w:type="dxa"/>
            <w:tcBorders>
              <w:top w:val="nil"/>
              <w:left w:val="single" w:sz="4" w:space="0" w:color="auto"/>
              <w:bottom w:val="single" w:sz="8" w:space="0" w:color="auto"/>
              <w:right w:val="single" w:sz="4" w:space="0" w:color="auto"/>
            </w:tcBorders>
            <w:shd w:val="clear" w:color="auto" w:fill="auto"/>
            <w:noWrap/>
            <w:vAlign w:val="center"/>
            <w:hideMark/>
          </w:tcPr>
          <w:p w14:paraId="1B798A4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804" w:type="dxa"/>
            <w:tcBorders>
              <w:top w:val="nil"/>
              <w:left w:val="nil"/>
              <w:bottom w:val="single" w:sz="8" w:space="0" w:color="auto"/>
              <w:right w:val="single" w:sz="4" w:space="0" w:color="auto"/>
            </w:tcBorders>
            <w:shd w:val="clear" w:color="auto" w:fill="auto"/>
            <w:noWrap/>
            <w:vAlign w:val="center"/>
            <w:hideMark/>
          </w:tcPr>
          <w:p w14:paraId="20BA7C0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851" w:type="dxa"/>
            <w:tcBorders>
              <w:top w:val="nil"/>
              <w:left w:val="nil"/>
              <w:bottom w:val="single" w:sz="8" w:space="0" w:color="auto"/>
              <w:right w:val="single" w:sz="4" w:space="0" w:color="auto"/>
            </w:tcBorders>
            <w:shd w:val="clear" w:color="auto" w:fill="auto"/>
            <w:noWrap/>
            <w:vAlign w:val="center"/>
            <w:hideMark/>
          </w:tcPr>
          <w:p w14:paraId="2D3578F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850" w:type="dxa"/>
            <w:tcBorders>
              <w:top w:val="nil"/>
              <w:left w:val="nil"/>
              <w:bottom w:val="single" w:sz="8" w:space="0" w:color="auto"/>
              <w:right w:val="single" w:sz="4" w:space="0" w:color="auto"/>
            </w:tcBorders>
            <w:shd w:val="clear" w:color="auto" w:fill="auto"/>
            <w:noWrap/>
            <w:vAlign w:val="center"/>
            <w:hideMark/>
          </w:tcPr>
          <w:p w14:paraId="776E030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93" w:type="dxa"/>
            <w:tcBorders>
              <w:top w:val="nil"/>
              <w:left w:val="nil"/>
              <w:bottom w:val="single" w:sz="8" w:space="0" w:color="auto"/>
              <w:right w:val="single" w:sz="4" w:space="0" w:color="auto"/>
            </w:tcBorders>
            <w:shd w:val="clear" w:color="auto" w:fill="auto"/>
            <w:noWrap/>
            <w:vAlign w:val="center"/>
            <w:hideMark/>
          </w:tcPr>
          <w:p w14:paraId="5276197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50" w:type="dxa"/>
            <w:tcBorders>
              <w:top w:val="nil"/>
              <w:left w:val="nil"/>
              <w:bottom w:val="single" w:sz="8" w:space="0" w:color="auto"/>
              <w:right w:val="single" w:sz="4" w:space="0" w:color="auto"/>
            </w:tcBorders>
            <w:shd w:val="clear" w:color="auto" w:fill="auto"/>
            <w:noWrap/>
            <w:vAlign w:val="center"/>
            <w:hideMark/>
          </w:tcPr>
          <w:p w14:paraId="17BB33C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51" w:type="dxa"/>
            <w:tcBorders>
              <w:top w:val="nil"/>
              <w:left w:val="nil"/>
              <w:bottom w:val="single" w:sz="8" w:space="0" w:color="auto"/>
              <w:right w:val="single" w:sz="4" w:space="0" w:color="auto"/>
            </w:tcBorders>
            <w:shd w:val="clear" w:color="auto" w:fill="auto"/>
            <w:noWrap/>
            <w:vAlign w:val="center"/>
            <w:hideMark/>
          </w:tcPr>
          <w:p w14:paraId="03BD714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50" w:type="dxa"/>
            <w:tcBorders>
              <w:top w:val="nil"/>
              <w:left w:val="nil"/>
              <w:bottom w:val="single" w:sz="8" w:space="0" w:color="auto"/>
              <w:right w:val="single" w:sz="8" w:space="0" w:color="auto"/>
            </w:tcBorders>
            <w:shd w:val="clear" w:color="auto" w:fill="auto"/>
            <w:noWrap/>
            <w:vAlign w:val="center"/>
            <w:hideMark/>
          </w:tcPr>
          <w:p w14:paraId="15B01F98"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r>
    </w:tbl>
    <w:p w14:paraId="5879BE6E" w14:textId="77777777" w:rsidR="003107D5" w:rsidRDefault="003107D5" w:rsidP="00E66F1D">
      <w:pPr>
        <w:rPr>
          <w:highlight w:val="yellow"/>
        </w:rPr>
      </w:pPr>
    </w:p>
    <w:p w14:paraId="7E18A605" w14:textId="4BD1BA3C" w:rsidR="00DE77E2" w:rsidRDefault="00DE77E2" w:rsidP="00E66F1D">
      <w:pPr>
        <w:rPr>
          <w:highlight w:val="yellow"/>
        </w:rPr>
      </w:pPr>
      <w:r w:rsidRPr="00DE77E2">
        <w:t xml:space="preserve">Promatrajući stope promjene odvojenog prikupljanja u periodu od 2017.-2021. te u periodu od 2022. do 2028. jasno je da se najveća ulaganja moraju dogoditi u sustavu odvojenog prikupljanja i obrade biootpada i plastike a čija stopa odvajanja bi u promatranom periodu trebala rasti za prosječno 21% odnosno 22%. S obzirom da je potrebna stopa porasta odvojenog prikupljanja (za ispunjenje cilja od 55% do 2025. pripreme za ponovnu uporabu ili recikliranje) teško ostvariva, </w:t>
      </w:r>
      <w:r w:rsidRPr="00DE77E2">
        <w:fldChar w:fldCharType="begin"/>
      </w:r>
      <w:r w:rsidRPr="00DE77E2">
        <w:instrText xml:space="preserve"> REF _Ref115463974 \h </w:instrText>
      </w:r>
      <w:r>
        <w:instrText xml:space="preserve"> \* MERGEFORMAT </w:instrText>
      </w:r>
      <w:r w:rsidRPr="00DE77E2">
        <w:fldChar w:fldCharType="separate"/>
      </w:r>
      <w:r w:rsidR="00F37B62" w:rsidRPr="00DE77E2">
        <w:t xml:space="preserve">Tablica </w:t>
      </w:r>
      <w:r w:rsidR="00F37B62">
        <w:rPr>
          <w:noProof/>
        </w:rPr>
        <w:t>29</w:t>
      </w:r>
      <w:r w:rsidRPr="00DE77E2">
        <w:fldChar w:fldCharType="end"/>
      </w:r>
      <w:r w:rsidRPr="00DE77E2">
        <w:t xml:space="preserve"> prikazuje</w:t>
      </w:r>
      <w:r>
        <w:t xml:space="preserve"> </w:t>
      </w:r>
      <w:r w:rsidRPr="00DE77E2">
        <w:t>projekcija kretanja KO koji se mora odvojeno prikupiti u periodu od 2022. – 2035. godine (za ispunjenje cilja od 65% do 2035. pripreme za ponovnu uporabu ili recikliranje</w:t>
      </w:r>
      <w:r w:rsidR="00681EC2">
        <w:t xml:space="preserve"> ali za slučaj neispunjavanja </w:t>
      </w:r>
      <w:proofErr w:type="spellStart"/>
      <w:r w:rsidR="00681EC2">
        <w:t>međuciljeva</w:t>
      </w:r>
      <w:proofErr w:type="spellEnd"/>
      <w:r w:rsidR="00681EC2">
        <w:t xml:space="preserve"> 2025. i 2030. godine</w:t>
      </w:r>
      <w:r w:rsidRPr="00DE77E2">
        <w:t>) i potrebna stopa promjene (uz pretpostavku 13% nečistoća).</w:t>
      </w:r>
    </w:p>
    <w:p w14:paraId="5681C794" w14:textId="353469A2" w:rsidR="008A3A57" w:rsidRDefault="008A3A57" w:rsidP="008E74F7">
      <w:pPr>
        <w:pStyle w:val="Tablica"/>
        <w:pageBreakBefore/>
        <w:rPr>
          <w:highlight w:val="yellow"/>
        </w:rPr>
      </w:pPr>
      <w:bookmarkStart w:id="212" w:name="_Ref115463974"/>
      <w:bookmarkStart w:id="213" w:name="_Ref115463959"/>
      <w:bookmarkStart w:id="214" w:name="_Toc125364418"/>
      <w:r w:rsidRPr="00DE77E2">
        <w:lastRenderedPageBreak/>
        <w:t xml:space="preserve">Tablica </w:t>
      </w:r>
      <w:fldSimple w:instr=" SEQ Tablica \* ARABIC ">
        <w:r w:rsidR="00F37B62">
          <w:rPr>
            <w:noProof/>
          </w:rPr>
          <w:t>29</w:t>
        </w:r>
      </w:fldSimple>
      <w:bookmarkEnd w:id="212"/>
      <w:r w:rsidRPr="00DE77E2">
        <w:rPr>
          <w:b w:val="0"/>
          <w:bCs/>
        </w:rPr>
        <w:t xml:space="preserve">. </w:t>
      </w:r>
      <w:bookmarkEnd w:id="213"/>
      <w:r w:rsidR="004E4ED2" w:rsidRPr="00DE77E2">
        <w:rPr>
          <w:b w:val="0"/>
          <w:bCs/>
        </w:rPr>
        <w:t xml:space="preserve">Projekcija </w:t>
      </w:r>
      <w:r w:rsidR="003A4EDE">
        <w:rPr>
          <w:b w:val="0"/>
          <w:bCs/>
        </w:rPr>
        <w:t>količina</w:t>
      </w:r>
      <w:r w:rsidR="003A4EDE" w:rsidRPr="00DE77E2">
        <w:rPr>
          <w:b w:val="0"/>
          <w:bCs/>
        </w:rPr>
        <w:t xml:space="preserve"> </w:t>
      </w:r>
      <w:r w:rsidR="004E4ED2" w:rsidRPr="00DE77E2">
        <w:rPr>
          <w:b w:val="0"/>
          <w:bCs/>
        </w:rPr>
        <w:t>KO koji se mora odvojeno prikupiti u periodu od 2022. – 20</w:t>
      </w:r>
      <w:r w:rsidR="004E4ED2">
        <w:rPr>
          <w:b w:val="0"/>
          <w:bCs/>
        </w:rPr>
        <w:t>35</w:t>
      </w:r>
      <w:r w:rsidR="004E4ED2" w:rsidRPr="00DE77E2">
        <w:rPr>
          <w:b w:val="0"/>
          <w:bCs/>
        </w:rPr>
        <w:t>. godine i potrebna stopa promjene (uz pretpostavku 13% nečistoća)</w:t>
      </w:r>
      <w:r w:rsidR="004E4ED2">
        <w:rPr>
          <w:b w:val="0"/>
          <w:bCs/>
        </w:rPr>
        <w:t xml:space="preserve"> i pretpostavku ispunjenja krajnjeg cilja 2035. godine od 65%</w:t>
      </w:r>
      <w:bookmarkEnd w:id="214"/>
      <w:r w:rsidR="004E4ED2">
        <w:rPr>
          <w:b w:val="0"/>
          <w:bCs/>
        </w:rPr>
        <w:t xml:space="preserve"> </w:t>
      </w:r>
    </w:p>
    <w:tbl>
      <w:tblPr>
        <w:tblW w:w="8779" w:type="dxa"/>
        <w:tblLook w:val="04A0" w:firstRow="1" w:lastRow="0" w:firstColumn="1" w:lastColumn="0" w:noHBand="0" w:noVBand="1"/>
      </w:tblPr>
      <w:tblGrid>
        <w:gridCol w:w="1266"/>
        <w:gridCol w:w="897"/>
        <w:gridCol w:w="946"/>
        <w:gridCol w:w="897"/>
        <w:gridCol w:w="946"/>
        <w:gridCol w:w="897"/>
        <w:gridCol w:w="945"/>
        <w:gridCol w:w="993"/>
        <w:gridCol w:w="992"/>
      </w:tblGrid>
      <w:tr w:rsidR="003107D5" w:rsidRPr="00747CFD" w14:paraId="4600F1E3" w14:textId="77777777" w:rsidTr="00747CFD">
        <w:trPr>
          <w:trHeight w:val="300"/>
        </w:trPr>
        <w:tc>
          <w:tcPr>
            <w:tcW w:w="8779" w:type="dxa"/>
            <w:gridSpan w:val="9"/>
            <w:tcBorders>
              <w:top w:val="single" w:sz="8" w:space="0" w:color="auto"/>
              <w:left w:val="single" w:sz="8" w:space="0" w:color="auto"/>
              <w:bottom w:val="single" w:sz="4" w:space="0" w:color="auto"/>
              <w:right w:val="single" w:sz="8" w:space="0" w:color="000000"/>
            </w:tcBorders>
            <w:shd w:val="clear" w:color="auto" w:fill="auto"/>
            <w:vAlign w:val="center"/>
            <w:hideMark/>
          </w:tcPr>
          <w:p w14:paraId="4E58F6C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Povećanje količina odvojeno skupljenog otpada od 2021. do 2035. </w:t>
            </w:r>
          </w:p>
        </w:tc>
      </w:tr>
      <w:tr w:rsidR="003107D5" w:rsidRPr="00747CFD" w14:paraId="02B73A28" w14:textId="77777777" w:rsidTr="00747CFD">
        <w:trPr>
          <w:trHeight w:val="240"/>
        </w:trPr>
        <w:tc>
          <w:tcPr>
            <w:tcW w:w="1266" w:type="dxa"/>
            <w:tcBorders>
              <w:top w:val="nil"/>
              <w:left w:val="single" w:sz="8" w:space="0" w:color="auto"/>
              <w:bottom w:val="single" w:sz="8" w:space="0" w:color="auto"/>
              <w:right w:val="nil"/>
            </w:tcBorders>
            <w:shd w:val="clear" w:color="auto" w:fill="002060"/>
            <w:noWrap/>
            <w:vAlign w:val="center"/>
            <w:hideMark/>
          </w:tcPr>
          <w:p w14:paraId="2D4C5C05"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w:t>
            </w:r>
          </w:p>
        </w:tc>
        <w:tc>
          <w:tcPr>
            <w:tcW w:w="897" w:type="dxa"/>
            <w:tcBorders>
              <w:top w:val="nil"/>
              <w:left w:val="nil"/>
              <w:bottom w:val="single" w:sz="8" w:space="0" w:color="auto"/>
              <w:right w:val="nil"/>
            </w:tcBorders>
            <w:shd w:val="clear" w:color="auto" w:fill="002060"/>
            <w:noWrap/>
            <w:vAlign w:val="center"/>
            <w:hideMark/>
          </w:tcPr>
          <w:p w14:paraId="6572FB63"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2021.</w:t>
            </w:r>
          </w:p>
        </w:tc>
        <w:tc>
          <w:tcPr>
            <w:tcW w:w="946" w:type="dxa"/>
            <w:tcBorders>
              <w:top w:val="nil"/>
              <w:left w:val="nil"/>
              <w:bottom w:val="single" w:sz="8" w:space="0" w:color="auto"/>
              <w:right w:val="nil"/>
            </w:tcBorders>
            <w:shd w:val="clear" w:color="auto" w:fill="002060"/>
            <w:noWrap/>
            <w:vAlign w:val="center"/>
            <w:hideMark/>
          </w:tcPr>
          <w:p w14:paraId="0723016D"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2022.</w:t>
            </w:r>
          </w:p>
        </w:tc>
        <w:tc>
          <w:tcPr>
            <w:tcW w:w="897" w:type="dxa"/>
            <w:tcBorders>
              <w:top w:val="nil"/>
              <w:left w:val="nil"/>
              <w:bottom w:val="single" w:sz="8" w:space="0" w:color="auto"/>
              <w:right w:val="nil"/>
            </w:tcBorders>
            <w:shd w:val="clear" w:color="auto" w:fill="002060"/>
            <w:noWrap/>
            <w:vAlign w:val="center"/>
            <w:hideMark/>
          </w:tcPr>
          <w:p w14:paraId="64FA5AC2"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2023.</w:t>
            </w:r>
          </w:p>
        </w:tc>
        <w:tc>
          <w:tcPr>
            <w:tcW w:w="946" w:type="dxa"/>
            <w:tcBorders>
              <w:top w:val="nil"/>
              <w:left w:val="nil"/>
              <w:bottom w:val="single" w:sz="8" w:space="0" w:color="auto"/>
              <w:right w:val="nil"/>
            </w:tcBorders>
            <w:shd w:val="clear" w:color="auto" w:fill="002060"/>
            <w:noWrap/>
            <w:vAlign w:val="center"/>
            <w:hideMark/>
          </w:tcPr>
          <w:p w14:paraId="7378AC19"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2024.</w:t>
            </w:r>
          </w:p>
        </w:tc>
        <w:tc>
          <w:tcPr>
            <w:tcW w:w="897" w:type="dxa"/>
            <w:tcBorders>
              <w:top w:val="nil"/>
              <w:left w:val="nil"/>
              <w:bottom w:val="single" w:sz="8" w:space="0" w:color="auto"/>
              <w:right w:val="nil"/>
            </w:tcBorders>
            <w:shd w:val="clear" w:color="auto" w:fill="002060"/>
            <w:noWrap/>
            <w:vAlign w:val="center"/>
            <w:hideMark/>
          </w:tcPr>
          <w:p w14:paraId="776F434C"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2025.</w:t>
            </w:r>
          </w:p>
        </w:tc>
        <w:tc>
          <w:tcPr>
            <w:tcW w:w="945" w:type="dxa"/>
            <w:tcBorders>
              <w:top w:val="nil"/>
              <w:left w:val="nil"/>
              <w:bottom w:val="single" w:sz="8" w:space="0" w:color="auto"/>
              <w:right w:val="nil"/>
            </w:tcBorders>
            <w:shd w:val="clear" w:color="auto" w:fill="002060"/>
            <w:noWrap/>
            <w:vAlign w:val="center"/>
            <w:hideMark/>
          </w:tcPr>
          <w:p w14:paraId="0275C382"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2026.</w:t>
            </w:r>
          </w:p>
        </w:tc>
        <w:tc>
          <w:tcPr>
            <w:tcW w:w="993" w:type="dxa"/>
            <w:tcBorders>
              <w:top w:val="nil"/>
              <w:left w:val="nil"/>
              <w:bottom w:val="single" w:sz="8" w:space="0" w:color="auto"/>
              <w:right w:val="nil"/>
            </w:tcBorders>
            <w:shd w:val="clear" w:color="auto" w:fill="002060"/>
            <w:noWrap/>
            <w:vAlign w:val="center"/>
            <w:hideMark/>
          </w:tcPr>
          <w:p w14:paraId="7ADA004E"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2027.</w:t>
            </w:r>
          </w:p>
        </w:tc>
        <w:tc>
          <w:tcPr>
            <w:tcW w:w="992" w:type="dxa"/>
            <w:tcBorders>
              <w:top w:val="nil"/>
              <w:left w:val="nil"/>
              <w:bottom w:val="single" w:sz="8" w:space="0" w:color="auto"/>
              <w:right w:val="single" w:sz="8" w:space="0" w:color="auto"/>
            </w:tcBorders>
            <w:shd w:val="clear" w:color="auto" w:fill="002060"/>
            <w:noWrap/>
            <w:vAlign w:val="center"/>
            <w:hideMark/>
          </w:tcPr>
          <w:p w14:paraId="184AA561"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2028.</w:t>
            </w:r>
          </w:p>
        </w:tc>
      </w:tr>
      <w:tr w:rsidR="003107D5" w:rsidRPr="00747CFD" w14:paraId="3EE9D64F"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4A3EC1AF" w14:textId="77777777" w:rsidR="003107D5" w:rsidRPr="00747CFD" w:rsidRDefault="003107D5" w:rsidP="00A41D37">
            <w:pPr>
              <w:spacing w:after="0" w:line="240" w:lineRule="auto"/>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Ukupno (t)</w:t>
            </w:r>
          </w:p>
        </w:tc>
        <w:tc>
          <w:tcPr>
            <w:tcW w:w="897" w:type="dxa"/>
            <w:tcBorders>
              <w:top w:val="nil"/>
              <w:left w:val="nil"/>
              <w:bottom w:val="single" w:sz="4" w:space="0" w:color="auto"/>
              <w:right w:val="single" w:sz="4" w:space="0" w:color="auto"/>
            </w:tcBorders>
            <w:shd w:val="clear" w:color="auto" w:fill="auto"/>
            <w:noWrap/>
            <w:vAlign w:val="center"/>
            <w:hideMark/>
          </w:tcPr>
          <w:p w14:paraId="64993668"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1.766.560</w:t>
            </w:r>
          </w:p>
        </w:tc>
        <w:tc>
          <w:tcPr>
            <w:tcW w:w="946" w:type="dxa"/>
            <w:tcBorders>
              <w:top w:val="nil"/>
              <w:left w:val="nil"/>
              <w:bottom w:val="single" w:sz="4" w:space="0" w:color="auto"/>
              <w:right w:val="single" w:sz="4" w:space="0" w:color="auto"/>
            </w:tcBorders>
            <w:shd w:val="clear" w:color="auto" w:fill="auto"/>
            <w:noWrap/>
            <w:vAlign w:val="center"/>
            <w:hideMark/>
          </w:tcPr>
          <w:p w14:paraId="64C930D6"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w:t>
            </w:r>
          </w:p>
        </w:tc>
        <w:tc>
          <w:tcPr>
            <w:tcW w:w="897" w:type="dxa"/>
            <w:tcBorders>
              <w:top w:val="nil"/>
              <w:left w:val="nil"/>
              <w:bottom w:val="single" w:sz="4" w:space="0" w:color="auto"/>
              <w:right w:val="single" w:sz="4" w:space="0" w:color="auto"/>
            </w:tcBorders>
            <w:shd w:val="clear" w:color="auto" w:fill="auto"/>
            <w:noWrap/>
            <w:vAlign w:val="center"/>
            <w:hideMark/>
          </w:tcPr>
          <w:p w14:paraId="156361A7"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w:t>
            </w:r>
          </w:p>
        </w:tc>
        <w:tc>
          <w:tcPr>
            <w:tcW w:w="946" w:type="dxa"/>
            <w:tcBorders>
              <w:top w:val="nil"/>
              <w:left w:val="nil"/>
              <w:bottom w:val="single" w:sz="4" w:space="0" w:color="auto"/>
              <w:right w:val="single" w:sz="4" w:space="0" w:color="auto"/>
            </w:tcBorders>
            <w:shd w:val="clear" w:color="auto" w:fill="auto"/>
            <w:noWrap/>
            <w:vAlign w:val="center"/>
            <w:hideMark/>
          </w:tcPr>
          <w:p w14:paraId="20A60A54"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w:t>
            </w:r>
          </w:p>
        </w:tc>
        <w:tc>
          <w:tcPr>
            <w:tcW w:w="897" w:type="dxa"/>
            <w:tcBorders>
              <w:top w:val="nil"/>
              <w:left w:val="nil"/>
              <w:bottom w:val="single" w:sz="4" w:space="0" w:color="auto"/>
              <w:right w:val="single" w:sz="4" w:space="0" w:color="auto"/>
            </w:tcBorders>
            <w:shd w:val="clear" w:color="auto" w:fill="auto"/>
            <w:noWrap/>
            <w:vAlign w:val="center"/>
            <w:hideMark/>
          </w:tcPr>
          <w:p w14:paraId="1CE6F702"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w:t>
            </w:r>
          </w:p>
        </w:tc>
        <w:tc>
          <w:tcPr>
            <w:tcW w:w="945" w:type="dxa"/>
            <w:tcBorders>
              <w:top w:val="nil"/>
              <w:left w:val="nil"/>
              <w:bottom w:val="single" w:sz="4" w:space="0" w:color="auto"/>
              <w:right w:val="nil"/>
            </w:tcBorders>
            <w:shd w:val="clear" w:color="auto" w:fill="auto"/>
            <w:noWrap/>
            <w:vAlign w:val="center"/>
            <w:hideMark/>
          </w:tcPr>
          <w:p w14:paraId="639ECDEF"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w:t>
            </w:r>
          </w:p>
        </w:tc>
        <w:tc>
          <w:tcPr>
            <w:tcW w:w="993" w:type="dxa"/>
            <w:tcBorders>
              <w:top w:val="nil"/>
              <w:left w:val="single" w:sz="4" w:space="0" w:color="auto"/>
              <w:bottom w:val="single" w:sz="4" w:space="0" w:color="auto"/>
              <w:right w:val="nil"/>
            </w:tcBorders>
            <w:shd w:val="clear" w:color="auto" w:fill="auto"/>
            <w:noWrap/>
            <w:vAlign w:val="center"/>
            <w:hideMark/>
          </w:tcPr>
          <w:p w14:paraId="5E4F2B3B"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14:paraId="1E3A555F"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w:t>
            </w:r>
          </w:p>
        </w:tc>
      </w:tr>
      <w:tr w:rsidR="003107D5" w:rsidRPr="00747CFD" w14:paraId="6C6598C8"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2BCF6267"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Papir i karton</w:t>
            </w:r>
          </w:p>
        </w:tc>
        <w:tc>
          <w:tcPr>
            <w:tcW w:w="897" w:type="dxa"/>
            <w:tcBorders>
              <w:top w:val="nil"/>
              <w:left w:val="nil"/>
              <w:bottom w:val="single" w:sz="4" w:space="0" w:color="auto"/>
              <w:right w:val="single" w:sz="4" w:space="0" w:color="auto"/>
            </w:tcBorders>
            <w:shd w:val="clear" w:color="auto" w:fill="auto"/>
            <w:noWrap/>
            <w:vAlign w:val="center"/>
            <w:hideMark/>
          </w:tcPr>
          <w:p w14:paraId="4DFECAC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228.265</w:t>
            </w:r>
          </w:p>
        </w:tc>
        <w:tc>
          <w:tcPr>
            <w:tcW w:w="946" w:type="dxa"/>
            <w:tcBorders>
              <w:top w:val="nil"/>
              <w:left w:val="nil"/>
              <w:bottom w:val="single" w:sz="4" w:space="0" w:color="auto"/>
              <w:right w:val="single" w:sz="4" w:space="0" w:color="auto"/>
            </w:tcBorders>
            <w:shd w:val="clear" w:color="auto" w:fill="auto"/>
            <w:noWrap/>
            <w:vAlign w:val="center"/>
            <w:hideMark/>
          </w:tcPr>
          <w:p w14:paraId="42B536F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247.998</w:t>
            </w:r>
          </w:p>
        </w:tc>
        <w:tc>
          <w:tcPr>
            <w:tcW w:w="897" w:type="dxa"/>
            <w:tcBorders>
              <w:top w:val="nil"/>
              <w:left w:val="nil"/>
              <w:bottom w:val="single" w:sz="4" w:space="0" w:color="auto"/>
              <w:right w:val="single" w:sz="4" w:space="0" w:color="auto"/>
            </w:tcBorders>
            <w:shd w:val="clear" w:color="auto" w:fill="auto"/>
            <w:noWrap/>
            <w:vAlign w:val="center"/>
            <w:hideMark/>
          </w:tcPr>
          <w:p w14:paraId="3D09737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267.731</w:t>
            </w:r>
          </w:p>
        </w:tc>
        <w:tc>
          <w:tcPr>
            <w:tcW w:w="946" w:type="dxa"/>
            <w:tcBorders>
              <w:top w:val="nil"/>
              <w:left w:val="nil"/>
              <w:bottom w:val="single" w:sz="4" w:space="0" w:color="auto"/>
              <w:right w:val="single" w:sz="4" w:space="0" w:color="auto"/>
            </w:tcBorders>
            <w:shd w:val="clear" w:color="auto" w:fill="auto"/>
            <w:noWrap/>
            <w:vAlign w:val="center"/>
            <w:hideMark/>
          </w:tcPr>
          <w:p w14:paraId="2E9EC99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287.465</w:t>
            </w:r>
          </w:p>
        </w:tc>
        <w:tc>
          <w:tcPr>
            <w:tcW w:w="897" w:type="dxa"/>
            <w:tcBorders>
              <w:top w:val="nil"/>
              <w:left w:val="nil"/>
              <w:bottom w:val="single" w:sz="4" w:space="0" w:color="auto"/>
              <w:right w:val="single" w:sz="4" w:space="0" w:color="auto"/>
            </w:tcBorders>
            <w:shd w:val="clear" w:color="auto" w:fill="auto"/>
            <w:noWrap/>
            <w:vAlign w:val="center"/>
            <w:hideMark/>
          </w:tcPr>
          <w:p w14:paraId="1CA84BE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307.198</w:t>
            </w:r>
          </w:p>
        </w:tc>
        <w:tc>
          <w:tcPr>
            <w:tcW w:w="945" w:type="dxa"/>
            <w:tcBorders>
              <w:top w:val="nil"/>
              <w:left w:val="nil"/>
              <w:bottom w:val="single" w:sz="4" w:space="0" w:color="auto"/>
              <w:right w:val="single" w:sz="4" w:space="0" w:color="auto"/>
            </w:tcBorders>
            <w:shd w:val="clear" w:color="auto" w:fill="auto"/>
            <w:noWrap/>
            <w:vAlign w:val="center"/>
            <w:hideMark/>
          </w:tcPr>
          <w:p w14:paraId="7F755AB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326.931</w:t>
            </w:r>
          </w:p>
        </w:tc>
        <w:tc>
          <w:tcPr>
            <w:tcW w:w="993" w:type="dxa"/>
            <w:tcBorders>
              <w:top w:val="nil"/>
              <w:left w:val="nil"/>
              <w:bottom w:val="single" w:sz="4" w:space="0" w:color="auto"/>
              <w:right w:val="single" w:sz="4" w:space="0" w:color="auto"/>
            </w:tcBorders>
            <w:shd w:val="clear" w:color="auto" w:fill="auto"/>
            <w:noWrap/>
            <w:vAlign w:val="center"/>
            <w:hideMark/>
          </w:tcPr>
          <w:p w14:paraId="5425672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346.664</w:t>
            </w:r>
          </w:p>
        </w:tc>
        <w:tc>
          <w:tcPr>
            <w:tcW w:w="992" w:type="dxa"/>
            <w:tcBorders>
              <w:top w:val="nil"/>
              <w:left w:val="nil"/>
              <w:bottom w:val="single" w:sz="4" w:space="0" w:color="auto"/>
              <w:right w:val="single" w:sz="8" w:space="0" w:color="auto"/>
            </w:tcBorders>
            <w:shd w:val="clear" w:color="auto" w:fill="auto"/>
            <w:noWrap/>
            <w:vAlign w:val="center"/>
            <w:hideMark/>
          </w:tcPr>
          <w:p w14:paraId="39F44E1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366.398</w:t>
            </w:r>
          </w:p>
        </w:tc>
      </w:tr>
      <w:tr w:rsidR="003107D5" w:rsidRPr="00747CFD" w14:paraId="65A6EB33"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10A3203A"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Glomazni otpad</w:t>
            </w:r>
          </w:p>
        </w:tc>
        <w:tc>
          <w:tcPr>
            <w:tcW w:w="897" w:type="dxa"/>
            <w:tcBorders>
              <w:top w:val="nil"/>
              <w:left w:val="nil"/>
              <w:bottom w:val="single" w:sz="4" w:space="0" w:color="auto"/>
              <w:right w:val="single" w:sz="4" w:space="0" w:color="auto"/>
            </w:tcBorders>
            <w:shd w:val="clear" w:color="auto" w:fill="auto"/>
            <w:noWrap/>
            <w:vAlign w:val="center"/>
            <w:hideMark/>
          </w:tcPr>
          <w:p w14:paraId="5D18166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129.086</w:t>
            </w:r>
          </w:p>
        </w:tc>
        <w:tc>
          <w:tcPr>
            <w:tcW w:w="946" w:type="dxa"/>
            <w:tcBorders>
              <w:top w:val="nil"/>
              <w:left w:val="nil"/>
              <w:bottom w:val="single" w:sz="4" w:space="0" w:color="auto"/>
              <w:right w:val="single" w:sz="4" w:space="0" w:color="auto"/>
            </w:tcBorders>
            <w:shd w:val="clear" w:color="auto" w:fill="auto"/>
            <w:noWrap/>
            <w:vAlign w:val="center"/>
            <w:hideMark/>
          </w:tcPr>
          <w:p w14:paraId="001F61C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132.762</w:t>
            </w:r>
          </w:p>
        </w:tc>
        <w:tc>
          <w:tcPr>
            <w:tcW w:w="897" w:type="dxa"/>
            <w:tcBorders>
              <w:top w:val="nil"/>
              <w:left w:val="nil"/>
              <w:bottom w:val="single" w:sz="4" w:space="0" w:color="auto"/>
              <w:right w:val="single" w:sz="4" w:space="0" w:color="auto"/>
            </w:tcBorders>
            <w:shd w:val="clear" w:color="auto" w:fill="auto"/>
            <w:noWrap/>
            <w:vAlign w:val="center"/>
            <w:hideMark/>
          </w:tcPr>
          <w:p w14:paraId="4EF5ECC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136.438</w:t>
            </w:r>
          </w:p>
        </w:tc>
        <w:tc>
          <w:tcPr>
            <w:tcW w:w="946" w:type="dxa"/>
            <w:tcBorders>
              <w:top w:val="nil"/>
              <w:left w:val="nil"/>
              <w:bottom w:val="single" w:sz="4" w:space="0" w:color="auto"/>
              <w:right w:val="single" w:sz="4" w:space="0" w:color="auto"/>
            </w:tcBorders>
            <w:shd w:val="clear" w:color="auto" w:fill="auto"/>
            <w:noWrap/>
            <w:vAlign w:val="center"/>
            <w:hideMark/>
          </w:tcPr>
          <w:p w14:paraId="4B894298"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140.114</w:t>
            </w:r>
          </w:p>
        </w:tc>
        <w:tc>
          <w:tcPr>
            <w:tcW w:w="897" w:type="dxa"/>
            <w:tcBorders>
              <w:top w:val="nil"/>
              <w:left w:val="nil"/>
              <w:bottom w:val="single" w:sz="4" w:space="0" w:color="auto"/>
              <w:right w:val="single" w:sz="4" w:space="0" w:color="auto"/>
            </w:tcBorders>
            <w:shd w:val="clear" w:color="auto" w:fill="auto"/>
            <w:noWrap/>
            <w:vAlign w:val="center"/>
            <w:hideMark/>
          </w:tcPr>
          <w:p w14:paraId="6BCCA13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143.790</w:t>
            </w:r>
          </w:p>
        </w:tc>
        <w:tc>
          <w:tcPr>
            <w:tcW w:w="945" w:type="dxa"/>
            <w:tcBorders>
              <w:top w:val="nil"/>
              <w:left w:val="nil"/>
              <w:bottom w:val="single" w:sz="4" w:space="0" w:color="auto"/>
              <w:right w:val="single" w:sz="4" w:space="0" w:color="auto"/>
            </w:tcBorders>
            <w:shd w:val="clear" w:color="auto" w:fill="auto"/>
            <w:noWrap/>
            <w:vAlign w:val="center"/>
            <w:hideMark/>
          </w:tcPr>
          <w:p w14:paraId="2451158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147.466</w:t>
            </w:r>
          </w:p>
        </w:tc>
        <w:tc>
          <w:tcPr>
            <w:tcW w:w="993" w:type="dxa"/>
            <w:tcBorders>
              <w:top w:val="nil"/>
              <w:left w:val="nil"/>
              <w:bottom w:val="single" w:sz="4" w:space="0" w:color="auto"/>
              <w:right w:val="single" w:sz="4" w:space="0" w:color="auto"/>
            </w:tcBorders>
            <w:shd w:val="clear" w:color="auto" w:fill="auto"/>
            <w:noWrap/>
            <w:vAlign w:val="center"/>
            <w:hideMark/>
          </w:tcPr>
          <w:p w14:paraId="55B349A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151.143</w:t>
            </w:r>
          </w:p>
        </w:tc>
        <w:tc>
          <w:tcPr>
            <w:tcW w:w="992" w:type="dxa"/>
            <w:tcBorders>
              <w:top w:val="nil"/>
              <w:left w:val="nil"/>
              <w:bottom w:val="single" w:sz="4" w:space="0" w:color="auto"/>
              <w:right w:val="single" w:sz="8" w:space="0" w:color="auto"/>
            </w:tcBorders>
            <w:shd w:val="clear" w:color="auto" w:fill="auto"/>
            <w:noWrap/>
            <w:vAlign w:val="center"/>
            <w:hideMark/>
          </w:tcPr>
          <w:p w14:paraId="5A1EAB8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154.819</w:t>
            </w:r>
          </w:p>
        </w:tc>
      </w:tr>
      <w:tr w:rsidR="003107D5" w:rsidRPr="00747CFD" w14:paraId="1817EF92"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4F99F438"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Biootpad</w:t>
            </w:r>
          </w:p>
        </w:tc>
        <w:tc>
          <w:tcPr>
            <w:tcW w:w="897" w:type="dxa"/>
            <w:tcBorders>
              <w:top w:val="nil"/>
              <w:left w:val="nil"/>
              <w:bottom w:val="single" w:sz="4" w:space="0" w:color="auto"/>
              <w:right w:val="single" w:sz="4" w:space="0" w:color="auto"/>
            </w:tcBorders>
            <w:shd w:val="clear" w:color="auto" w:fill="auto"/>
            <w:noWrap/>
            <w:vAlign w:val="center"/>
            <w:hideMark/>
          </w:tcPr>
          <w:p w14:paraId="603AE96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122.175</w:t>
            </w:r>
          </w:p>
        </w:tc>
        <w:tc>
          <w:tcPr>
            <w:tcW w:w="946" w:type="dxa"/>
            <w:tcBorders>
              <w:top w:val="nil"/>
              <w:left w:val="nil"/>
              <w:bottom w:val="single" w:sz="4" w:space="0" w:color="auto"/>
              <w:right w:val="single" w:sz="4" w:space="0" w:color="auto"/>
            </w:tcBorders>
            <w:shd w:val="clear" w:color="auto" w:fill="auto"/>
            <w:noWrap/>
            <w:vAlign w:val="center"/>
            <w:hideMark/>
          </w:tcPr>
          <w:p w14:paraId="4F17EA5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151.195</w:t>
            </w:r>
          </w:p>
        </w:tc>
        <w:tc>
          <w:tcPr>
            <w:tcW w:w="897" w:type="dxa"/>
            <w:tcBorders>
              <w:top w:val="nil"/>
              <w:left w:val="nil"/>
              <w:bottom w:val="single" w:sz="4" w:space="0" w:color="auto"/>
              <w:right w:val="single" w:sz="4" w:space="0" w:color="auto"/>
            </w:tcBorders>
            <w:shd w:val="clear" w:color="auto" w:fill="auto"/>
            <w:noWrap/>
            <w:vAlign w:val="center"/>
            <w:hideMark/>
          </w:tcPr>
          <w:p w14:paraId="63858C4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180.214</w:t>
            </w:r>
          </w:p>
        </w:tc>
        <w:tc>
          <w:tcPr>
            <w:tcW w:w="946" w:type="dxa"/>
            <w:tcBorders>
              <w:top w:val="nil"/>
              <w:left w:val="nil"/>
              <w:bottom w:val="single" w:sz="4" w:space="0" w:color="auto"/>
              <w:right w:val="single" w:sz="4" w:space="0" w:color="auto"/>
            </w:tcBorders>
            <w:shd w:val="clear" w:color="auto" w:fill="auto"/>
            <w:noWrap/>
            <w:vAlign w:val="center"/>
            <w:hideMark/>
          </w:tcPr>
          <w:p w14:paraId="156371F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209.233</w:t>
            </w:r>
          </w:p>
        </w:tc>
        <w:tc>
          <w:tcPr>
            <w:tcW w:w="897" w:type="dxa"/>
            <w:tcBorders>
              <w:top w:val="nil"/>
              <w:left w:val="nil"/>
              <w:bottom w:val="single" w:sz="4" w:space="0" w:color="auto"/>
              <w:right w:val="single" w:sz="4" w:space="0" w:color="auto"/>
            </w:tcBorders>
            <w:shd w:val="clear" w:color="auto" w:fill="auto"/>
            <w:noWrap/>
            <w:vAlign w:val="center"/>
            <w:hideMark/>
          </w:tcPr>
          <w:p w14:paraId="2318A37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238.252</w:t>
            </w:r>
          </w:p>
        </w:tc>
        <w:tc>
          <w:tcPr>
            <w:tcW w:w="945" w:type="dxa"/>
            <w:tcBorders>
              <w:top w:val="nil"/>
              <w:left w:val="nil"/>
              <w:bottom w:val="single" w:sz="4" w:space="0" w:color="auto"/>
              <w:right w:val="single" w:sz="4" w:space="0" w:color="auto"/>
            </w:tcBorders>
            <w:shd w:val="clear" w:color="auto" w:fill="auto"/>
            <w:noWrap/>
            <w:vAlign w:val="center"/>
            <w:hideMark/>
          </w:tcPr>
          <w:p w14:paraId="0344F58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267.271</w:t>
            </w:r>
          </w:p>
        </w:tc>
        <w:tc>
          <w:tcPr>
            <w:tcW w:w="993" w:type="dxa"/>
            <w:tcBorders>
              <w:top w:val="nil"/>
              <w:left w:val="nil"/>
              <w:bottom w:val="single" w:sz="4" w:space="0" w:color="auto"/>
              <w:right w:val="single" w:sz="4" w:space="0" w:color="auto"/>
            </w:tcBorders>
            <w:shd w:val="clear" w:color="auto" w:fill="auto"/>
            <w:noWrap/>
            <w:vAlign w:val="center"/>
            <w:hideMark/>
          </w:tcPr>
          <w:p w14:paraId="078C5DA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296.291</w:t>
            </w:r>
          </w:p>
        </w:tc>
        <w:tc>
          <w:tcPr>
            <w:tcW w:w="992" w:type="dxa"/>
            <w:tcBorders>
              <w:top w:val="nil"/>
              <w:left w:val="nil"/>
              <w:bottom w:val="single" w:sz="4" w:space="0" w:color="auto"/>
              <w:right w:val="single" w:sz="8" w:space="0" w:color="auto"/>
            </w:tcBorders>
            <w:shd w:val="clear" w:color="auto" w:fill="auto"/>
            <w:noWrap/>
            <w:vAlign w:val="center"/>
            <w:hideMark/>
          </w:tcPr>
          <w:p w14:paraId="2EF214E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325.310</w:t>
            </w:r>
          </w:p>
        </w:tc>
      </w:tr>
      <w:tr w:rsidR="003107D5" w:rsidRPr="00747CFD" w14:paraId="245E3DD9"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694E7796"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Plastika</w:t>
            </w:r>
          </w:p>
        </w:tc>
        <w:tc>
          <w:tcPr>
            <w:tcW w:w="897" w:type="dxa"/>
            <w:tcBorders>
              <w:top w:val="nil"/>
              <w:left w:val="nil"/>
              <w:bottom w:val="single" w:sz="4" w:space="0" w:color="auto"/>
              <w:right w:val="single" w:sz="4" w:space="0" w:color="auto"/>
            </w:tcBorders>
            <w:shd w:val="clear" w:color="auto" w:fill="auto"/>
            <w:noWrap/>
            <w:vAlign w:val="center"/>
            <w:hideMark/>
          </w:tcPr>
          <w:p w14:paraId="024E98E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73.707</w:t>
            </w:r>
          </w:p>
        </w:tc>
        <w:tc>
          <w:tcPr>
            <w:tcW w:w="946" w:type="dxa"/>
            <w:tcBorders>
              <w:top w:val="nil"/>
              <w:left w:val="nil"/>
              <w:bottom w:val="single" w:sz="4" w:space="0" w:color="auto"/>
              <w:right w:val="single" w:sz="4" w:space="0" w:color="auto"/>
            </w:tcBorders>
            <w:shd w:val="clear" w:color="auto" w:fill="auto"/>
            <w:noWrap/>
            <w:vAlign w:val="center"/>
            <w:hideMark/>
          </w:tcPr>
          <w:p w14:paraId="1C4C011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91.471</w:t>
            </w:r>
          </w:p>
        </w:tc>
        <w:tc>
          <w:tcPr>
            <w:tcW w:w="897" w:type="dxa"/>
            <w:tcBorders>
              <w:top w:val="nil"/>
              <w:left w:val="nil"/>
              <w:bottom w:val="single" w:sz="4" w:space="0" w:color="auto"/>
              <w:right w:val="single" w:sz="4" w:space="0" w:color="auto"/>
            </w:tcBorders>
            <w:shd w:val="clear" w:color="auto" w:fill="auto"/>
            <w:noWrap/>
            <w:vAlign w:val="center"/>
            <w:hideMark/>
          </w:tcPr>
          <w:p w14:paraId="2AD3049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109.235</w:t>
            </w:r>
          </w:p>
        </w:tc>
        <w:tc>
          <w:tcPr>
            <w:tcW w:w="946" w:type="dxa"/>
            <w:tcBorders>
              <w:top w:val="nil"/>
              <w:left w:val="nil"/>
              <w:bottom w:val="single" w:sz="4" w:space="0" w:color="auto"/>
              <w:right w:val="single" w:sz="4" w:space="0" w:color="auto"/>
            </w:tcBorders>
            <w:shd w:val="clear" w:color="auto" w:fill="auto"/>
            <w:noWrap/>
            <w:vAlign w:val="center"/>
            <w:hideMark/>
          </w:tcPr>
          <w:p w14:paraId="7C64AE0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126.999</w:t>
            </w:r>
          </w:p>
        </w:tc>
        <w:tc>
          <w:tcPr>
            <w:tcW w:w="897" w:type="dxa"/>
            <w:tcBorders>
              <w:top w:val="nil"/>
              <w:left w:val="nil"/>
              <w:bottom w:val="single" w:sz="4" w:space="0" w:color="auto"/>
              <w:right w:val="single" w:sz="4" w:space="0" w:color="auto"/>
            </w:tcBorders>
            <w:shd w:val="clear" w:color="auto" w:fill="auto"/>
            <w:noWrap/>
            <w:vAlign w:val="center"/>
            <w:hideMark/>
          </w:tcPr>
          <w:p w14:paraId="3D766A0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144.763</w:t>
            </w:r>
          </w:p>
        </w:tc>
        <w:tc>
          <w:tcPr>
            <w:tcW w:w="945" w:type="dxa"/>
            <w:tcBorders>
              <w:top w:val="nil"/>
              <w:left w:val="nil"/>
              <w:bottom w:val="single" w:sz="4" w:space="0" w:color="auto"/>
              <w:right w:val="single" w:sz="4" w:space="0" w:color="auto"/>
            </w:tcBorders>
            <w:shd w:val="clear" w:color="auto" w:fill="auto"/>
            <w:noWrap/>
            <w:vAlign w:val="center"/>
            <w:hideMark/>
          </w:tcPr>
          <w:p w14:paraId="02CECD6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162.527</w:t>
            </w:r>
          </w:p>
        </w:tc>
        <w:tc>
          <w:tcPr>
            <w:tcW w:w="993" w:type="dxa"/>
            <w:tcBorders>
              <w:top w:val="nil"/>
              <w:left w:val="nil"/>
              <w:bottom w:val="single" w:sz="4" w:space="0" w:color="auto"/>
              <w:right w:val="single" w:sz="4" w:space="0" w:color="auto"/>
            </w:tcBorders>
            <w:shd w:val="clear" w:color="auto" w:fill="auto"/>
            <w:noWrap/>
            <w:vAlign w:val="center"/>
            <w:hideMark/>
          </w:tcPr>
          <w:p w14:paraId="52AA1AF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180.291</w:t>
            </w:r>
          </w:p>
        </w:tc>
        <w:tc>
          <w:tcPr>
            <w:tcW w:w="992" w:type="dxa"/>
            <w:tcBorders>
              <w:top w:val="nil"/>
              <w:left w:val="nil"/>
              <w:bottom w:val="single" w:sz="4" w:space="0" w:color="auto"/>
              <w:right w:val="single" w:sz="8" w:space="0" w:color="auto"/>
            </w:tcBorders>
            <w:shd w:val="clear" w:color="auto" w:fill="auto"/>
            <w:noWrap/>
            <w:vAlign w:val="center"/>
            <w:hideMark/>
          </w:tcPr>
          <w:p w14:paraId="62D8706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198.055</w:t>
            </w:r>
          </w:p>
        </w:tc>
      </w:tr>
      <w:tr w:rsidR="003107D5" w:rsidRPr="00747CFD" w14:paraId="0D755384"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4E777A68"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Staklo</w:t>
            </w:r>
          </w:p>
        </w:tc>
        <w:tc>
          <w:tcPr>
            <w:tcW w:w="897" w:type="dxa"/>
            <w:tcBorders>
              <w:top w:val="nil"/>
              <w:left w:val="nil"/>
              <w:bottom w:val="single" w:sz="4" w:space="0" w:color="auto"/>
              <w:right w:val="single" w:sz="4" w:space="0" w:color="auto"/>
            </w:tcBorders>
            <w:shd w:val="clear" w:color="auto" w:fill="auto"/>
            <w:noWrap/>
            <w:vAlign w:val="center"/>
            <w:hideMark/>
          </w:tcPr>
          <w:p w14:paraId="589FDA0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53.210</w:t>
            </w:r>
          </w:p>
        </w:tc>
        <w:tc>
          <w:tcPr>
            <w:tcW w:w="946" w:type="dxa"/>
            <w:tcBorders>
              <w:top w:val="nil"/>
              <w:left w:val="nil"/>
              <w:bottom w:val="single" w:sz="4" w:space="0" w:color="auto"/>
              <w:right w:val="single" w:sz="4" w:space="0" w:color="auto"/>
            </w:tcBorders>
            <w:shd w:val="clear" w:color="auto" w:fill="auto"/>
            <w:noWrap/>
            <w:vAlign w:val="center"/>
            <w:hideMark/>
          </w:tcPr>
          <w:p w14:paraId="077CD84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55.199</w:t>
            </w:r>
          </w:p>
        </w:tc>
        <w:tc>
          <w:tcPr>
            <w:tcW w:w="897" w:type="dxa"/>
            <w:tcBorders>
              <w:top w:val="nil"/>
              <w:left w:val="nil"/>
              <w:bottom w:val="single" w:sz="4" w:space="0" w:color="auto"/>
              <w:right w:val="single" w:sz="4" w:space="0" w:color="auto"/>
            </w:tcBorders>
            <w:shd w:val="clear" w:color="auto" w:fill="auto"/>
            <w:noWrap/>
            <w:vAlign w:val="center"/>
            <w:hideMark/>
          </w:tcPr>
          <w:p w14:paraId="5B81CE1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57.188</w:t>
            </w:r>
          </w:p>
        </w:tc>
        <w:tc>
          <w:tcPr>
            <w:tcW w:w="946" w:type="dxa"/>
            <w:tcBorders>
              <w:top w:val="nil"/>
              <w:left w:val="nil"/>
              <w:bottom w:val="single" w:sz="4" w:space="0" w:color="auto"/>
              <w:right w:val="single" w:sz="4" w:space="0" w:color="auto"/>
            </w:tcBorders>
            <w:shd w:val="clear" w:color="auto" w:fill="auto"/>
            <w:noWrap/>
            <w:vAlign w:val="center"/>
            <w:hideMark/>
          </w:tcPr>
          <w:p w14:paraId="1DCB5DC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59.177</w:t>
            </w:r>
          </w:p>
        </w:tc>
        <w:tc>
          <w:tcPr>
            <w:tcW w:w="897" w:type="dxa"/>
            <w:tcBorders>
              <w:top w:val="nil"/>
              <w:left w:val="nil"/>
              <w:bottom w:val="single" w:sz="4" w:space="0" w:color="auto"/>
              <w:right w:val="single" w:sz="4" w:space="0" w:color="auto"/>
            </w:tcBorders>
            <w:shd w:val="clear" w:color="auto" w:fill="auto"/>
            <w:noWrap/>
            <w:vAlign w:val="center"/>
            <w:hideMark/>
          </w:tcPr>
          <w:p w14:paraId="1DDA9CC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61.166</w:t>
            </w:r>
          </w:p>
        </w:tc>
        <w:tc>
          <w:tcPr>
            <w:tcW w:w="945" w:type="dxa"/>
            <w:tcBorders>
              <w:top w:val="nil"/>
              <w:left w:val="nil"/>
              <w:bottom w:val="single" w:sz="4" w:space="0" w:color="auto"/>
              <w:right w:val="single" w:sz="4" w:space="0" w:color="auto"/>
            </w:tcBorders>
            <w:shd w:val="clear" w:color="auto" w:fill="auto"/>
            <w:noWrap/>
            <w:vAlign w:val="center"/>
            <w:hideMark/>
          </w:tcPr>
          <w:p w14:paraId="66BE2CB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63.155</w:t>
            </w:r>
          </w:p>
        </w:tc>
        <w:tc>
          <w:tcPr>
            <w:tcW w:w="993" w:type="dxa"/>
            <w:tcBorders>
              <w:top w:val="nil"/>
              <w:left w:val="nil"/>
              <w:bottom w:val="single" w:sz="4" w:space="0" w:color="auto"/>
              <w:right w:val="single" w:sz="4" w:space="0" w:color="auto"/>
            </w:tcBorders>
            <w:shd w:val="clear" w:color="auto" w:fill="auto"/>
            <w:noWrap/>
            <w:vAlign w:val="center"/>
            <w:hideMark/>
          </w:tcPr>
          <w:p w14:paraId="28C5D32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65.144</w:t>
            </w:r>
          </w:p>
        </w:tc>
        <w:tc>
          <w:tcPr>
            <w:tcW w:w="992" w:type="dxa"/>
            <w:tcBorders>
              <w:top w:val="nil"/>
              <w:left w:val="nil"/>
              <w:bottom w:val="single" w:sz="4" w:space="0" w:color="auto"/>
              <w:right w:val="single" w:sz="8" w:space="0" w:color="auto"/>
            </w:tcBorders>
            <w:shd w:val="clear" w:color="auto" w:fill="auto"/>
            <w:noWrap/>
            <w:vAlign w:val="center"/>
            <w:hideMark/>
          </w:tcPr>
          <w:p w14:paraId="4841556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67.134</w:t>
            </w:r>
          </w:p>
        </w:tc>
      </w:tr>
      <w:tr w:rsidR="003107D5" w:rsidRPr="00747CFD" w14:paraId="748CD24D"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6911AA4B"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Metal</w:t>
            </w:r>
          </w:p>
        </w:tc>
        <w:tc>
          <w:tcPr>
            <w:tcW w:w="897" w:type="dxa"/>
            <w:tcBorders>
              <w:top w:val="nil"/>
              <w:left w:val="nil"/>
              <w:bottom w:val="single" w:sz="4" w:space="0" w:color="auto"/>
              <w:right w:val="single" w:sz="4" w:space="0" w:color="auto"/>
            </w:tcBorders>
            <w:shd w:val="clear" w:color="auto" w:fill="auto"/>
            <w:noWrap/>
            <w:vAlign w:val="center"/>
            <w:hideMark/>
          </w:tcPr>
          <w:p w14:paraId="65BEFA0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51.225</w:t>
            </w:r>
          </w:p>
        </w:tc>
        <w:tc>
          <w:tcPr>
            <w:tcW w:w="946" w:type="dxa"/>
            <w:tcBorders>
              <w:top w:val="nil"/>
              <w:left w:val="nil"/>
              <w:bottom w:val="single" w:sz="4" w:space="0" w:color="auto"/>
              <w:right w:val="single" w:sz="4" w:space="0" w:color="auto"/>
            </w:tcBorders>
            <w:shd w:val="clear" w:color="auto" w:fill="auto"/>
            <w:noWrap/>
            <w:vAlign w:val="center"/>
            <w:hideMark/>
          </w:tcPr>
          <w:p w14:paraId="6A8BB9C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52.856</w:t>
            </w:r>
          </w:p>
        </w:tc>
        <w:tc>
          <w:tcPr>
            <w:tcW w:w="897" w:type="dxa"/>
            <w:tcBorders>
              <w:top w:val="nil"/>
              <w:left w:val="nil"/>
              <w:bottom w:val="single" w:sz="4" w:space="0" w:color="auto"/>
              <w:right w:val="single" w:sz="4" w:space="0" w:color="auto"/>
            </w:tcBorders>
            <w:shd w:val="clear" w:color="auto" w:fill="auto"/>
            <w:noWrap/>
            <w:vAlign w:val="center"/>
            <w:hideMark/>
          </w:tcPr>
          <w:p w14:paraId="0D623D0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54.487</w:t>
            </w:r>
          </w:p>
        </w:tc>
        <w:tc>
          <w:tcPr>
            <w:tcW w:w="946" w:type="dxa"/>
            <w:tcBorders>
              <w:top w:val="nil"/>
              <w:left w:val="nil"/>
              <w:bottom w:val="single" w:sz="4" w:space="0" w:color="auto"/>
              <w:right w:val="single" w:sz="4" w:space="0" w:color="auto"/>
            </w:tcBorders>
            <w:shd w:val="clear" w:color="auto" w:fill="auto"/>
            <w:noWrap/>
            <w:vAlign w:val="center"/>
            <w:hideMark/>
          </w:tcPr>
          <w:p w14:paraId="0CCC824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56.118</w:t>
            </w:r>
          </w:p>
        </w:tc>
        <w:tc>
          <w:tcPr>
            <w:tcW w:w="897" w:type="dxa"/>
            <w:tcBorders>
              <w:top w:val="nil"/>
              <w:left w:val="nil"/>
              <w:bottom w:val="single" w:sz="4" w:space="0" w:color="auto"/>
              <w:right w:val="single" w:sz="4" w:space="0" w:color="auto"/>
            </w:tcBorders>
            <w:shd w:val="clear" w:color="auto" w:fill="auto"/>
            <w:noWrap/>
            <w:vAlign w:val="center"/>
            <w:hideMark/>
          </w:tcPr>
          <w:p w14:paraId="1CAD8E0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57.749</w:t>
            </w:r>
          </w:p>
        </w:tc>
        <w:tc>
          <w:tcPr>
            <w:tcW w:w="945" w:type="dxa"/>
            <w:tcBorders>
              <w:top w:val="nil"/>
              <w:left w:val="nil"/>
              <w:bottom w:val="single" w:sz="4" w:space="0" w:color="auto"/>
              <w:right w:val="single" w:sz="4" w:space="0" w:color="auto"/>
            </w:tcBorders>
            <w:shd w:val="clear" w:color="auto" w:fill="auto"/>
            <w:noWrap/>
            <w:vAlign w:val="center"/>
            <w:hideMark/>
          </w:tcPr>
          <w:p w14:paraId="492E153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59.379</w:t>
            </w:r>
          </w:p>
        </w:tc>
        <w:tc>
          <w:tcPr>
            <w:tcW w:w="993" w:type="dxa"/>
            <w:tcBorders>
              <w:top w:val="nil"/>
              <w:left w:val="nil"/>
              <w:bottom w:val="single" w:sz="4" w:space="0" w:color="auto"/>
              <w:right w:val="single" w:sz="4" w:space="0" w:color="auto"/>
            </w:tcBorders>
            <w:shd w:val="clear" w:color="auto" w:fill="auto"/>
            <w:noWrap/>
            <w:vAlign w:val="center"/>
            <w:hideMark/>
          </w:tcPr>
          <w:p w14:paraId="07F05F5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61.010</w:t>
            </w:r>
          </w:p>
        </w:tc>
        <w:tc>
          <w:tcPr>
            <w:tcW w:w="992" w:type="dxa"/>
            <w:tcBorders>
              <w:top w:val="nil"/>
              <w:left w:val="nil"/>
              <w:bottom w:val="single" w:sz="4" w:space="0" w:color="auto"/>
              <w:right w:val="single" w:sz="8" w:space="0" w:color="auto"/>
            </w:tcBorders>
            <w:shd w:val="clear" w:color="auto" w:fill="auto"/>
            <w:noWrap/>
            <w:vAlign w:val="center"/>
            <w:hideMark/>
          </w:tcPr>
          <w:p w14:paraId="2B86FC6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62.641</w:t>
            </w:r>
          </w:p>
        </w:tc>
      </w:tr>
      <w:tr w:rsidR="003107D5" w:rsidRPr="00747CFD" w14:paraId="14F59F48" w14:textId="77777777" w:rsidTr="00747CFD">
        <w:trPr>
          <w:trHeight w:val="240"/>
        </w:trPr>
        <w:tc>
          <w:tcPr>
            <w:tcW w:w="1266" w:type="dxa"/>
            <w:tcBorders>
              <w:top w:val="nil"/>
              <w:left w:val="single" w:sz="8" w:space="0" w:color="auto"/>
              <w:bottom w:val="single" w:sz="8" w:space="0" w:color="auto"/>
              <w:right w:val="single" w:sz="4" w:space="0" w:color="auto"/>
            </w:tcBorders>
            <w:shd w:val="clear" w:color="auto" w:fill="auto"/>
            <w:noWrap/>
            <w:vAlign w:val="center"/>
            <w:hideMark/>
          </w:tcPr>
          <w:p w14:paraId="596CD599"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Električni i elektronički</w:t>
            </w:r>
          </w:p>
        </w:tc>
        <w:tc>
          <w:tcPr>
            <w:tcW w:w="897" w:type="dxa"/>
            <w:tcBorders>
              <w:top w:val="nil"/>
              <w:left w:val="nil"/>
              <w:bottom w:val="single" w:sz="4" w:space="0" w:color="auto"/>
              <w:right w:val="single" w:sz="4" w:space="0" w:color="auto"/>
            </w:tcBorders>
            <w:shd w:val="clear" w:color="auto" w:fill="auto"/>
            <w:noWrap/>
            <w:vAlign w:val="center"/>
            <w:hideMark/>
          </w:tcPr>
          <w:p w14:paraId="3F4B31B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32.503</w:t>
            </w:r>
          </w:p>
        </w:tc>
        <w:tc>
          <w:tcPr>
            <w:tcW w:w="946" w:type="dxa"/>
            <w:tcBorders>
              <w:top w:val="nil"/>
              <w:left w:val="nil"/>
              <w:bottom w:val="single" w:sz="4" w:space="0" w:color="auto"/>
              <w:right w:val="single" w:sz="4" w:space="0" w:color="auto"/>
            </w:tcBorders>
            <w:shd w:val="clear" w:color="auto" w:fill="auto"/>
            <w:noWrap/>
            <w:vAlign w:val="center"/>
            <w:hideMark/>
          </w:tcPr>
          <w:p w14:paraId="42BEF8D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33.533</w:t>
            </w:r>
          </w:p>
        </w:tc>
        <w:tc>
          <w:tcPr>
            <w:tcW w:w="897" w:type="dxa"/>
            <w:tcBorders>
              <w:top w:val="nil"/>
              <w:left w:val="nil"/>
              <w:bottom w:val="single" w:sz="4" w:space="0" w:color="auto"/>
              <w:right w:val="single" w:sz="4" w:space="0" w:color="auto"/>
            </w:tcBorders>
            <w:shd w:val="clear" w:color="auto" w:fill="auto"/>
            <w:noWrap/>
            <w:vAlign w:val="center"/>
            <w:hideMark/>
          </w:tcPr>
          <w:p w14:paraId="335E501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34.563</w:t>
            </w:r>
          </w:p>
        </w:tc>
        <w:tc>
          <w:tcPr>
            <w:tcW w:w="946" w:type="dxa"/>
            <w:tcBorders>
              <w:top w:val="nil"/>
              <w:left w:val="nil"/>
              <w:bottom w:val="single" w:sz="4" w:space="0" w:color="auto"/>
              <w:right w:val="single" w:sz="4" w:space="0" w:color="auto"/>
            </w:tcBorders>
            <w:shd w:val="clear" w:color="auto" w:fill="auto"/>
            <w:noWrap/>
            <w:vAlign w:val="center"/>
            <w:hideMark/>
          </w:tcPr>
          <w:p w14:paraId="44343ED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35.593</w:t>
            </w:r>
          </w:p>
        </w:tc>
        <w:tc>
          <w:tcPr>
            <w:tcW w:w="897" w:type="dxa"/>
            <w:tcBorders>
              <w:top w:val="nil"/>
              <w:left w:val="nil"/>
              <w:bottom w:val="single" w:sz="4" w:space="0" w:color="auto"/>
              <w:right w:val="single" w:sz="4" w:space="0" w:color="auto"/>
            </w:tcBorders>
            <w:shd w:val="clear" w:color="auto" w:fill="auto"/>
            <w:noWrap/>
            <w:vAlign w:val="center"/>
            <w:hideMark/>
          </w:tcPr>
          <w:p w14:paraId="235C14A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36.623</w:t>
            </w:r>
          </w:p>
        </w:tc>
        <w:tc>
          <w:tcPr>
            <w:tcW w:w="945" w:type="dxa"/>
            <w:tcBorders>
              <w:top w:val="nil"/>
              <w:left w:val="nil"/>
              <w:bottom w:val="single" w:sz="4" w:space="0" w:color="auto"/>
              <w:right w:val="single" w:sz="4" w:space="0" w:color="auto"/>
            </w:tcBorders>
            <w:shd w:val="clear" w:color="auto" w:fill="auto"/>
            <w:noWrap/>
            <w:vAlign w:val="center"/>
            <w:hideMark/>
          </w:tcPr>
          <w:p w14:paraId="1E90196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37.653</w:t>
            </w:r>
          </w:p>
        </w:tc>
        <w:tc>
          <w:tcPr>
            <w:tcW w:w="993" w:type="dxa"/>
            <w:tcBorders>
              <w:top w:val="nil"/>
              <w:left w:val="nil"/>
              <w:bottom w:val="single" w:sz="4" w:space="0" w:color="auto"/>
              <w:right w:val="single" w:sz="4" w:space="0" w:color="auto"/>
            </w:tcBorders>
            <w:shd w:val="clear" w:color="auto" w:fill="auto"/>
            <w:noWrap/>
            <w:vAlign w:val="center"/>
            <w:hideMark/>
          </w:tcPr>
          <w:p w14:paraId="192ACDF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38.683</w:t>
            </w:r>
          </w:p>
        </w:tc>
        <w:tc>
          <w:tcPr>
            <w:tcW w:w="992" w:type="dxa"/>
            <w:tcBorders>
              <w:top w:val="nil"/>
              <w:left w:val="nil"/>
              <w:bottom w:val="single" w:sz="4" w:space="0" w:color="auto"/>
              <w:right w:val="single" w:sz="8" w:space="0" w:color="auto"/>
            </w:tcBorders>
            <w:shd w:val="clear" w:color="auto" w:fill="auto"/>
            <w:noWrap/>
            <w:vAlign w:val="center"/>
            <w:hideMark/>
          </w:tcPr>
          <w:p w14:paraId="1A2B94B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39.713</w:t>
            </w:r>
          </w:p>
        </w:tc>
      </w:tr>
      <w:tr w:rsidR="003107D5" w:rsidRPr="00747CFD" w14:paraId="44A13B6B" w14:textId="77777777" w:rsidTr="00747CFD">
        <w:trPr>
          <w:trHeight w:val="915"/>
        </w:trPr>
        <w:tc>
          <w:tcPr>
            <w:tcW w:w="1266" w:type="dxa"/>
            <w:tcBorders>
              <w:top w:val="nil"/>
              <w:left w:val="single" w:sz="8" w:space="0" w:color="auto"/>
              <w:bottom w:val="single" w:sz="8" w:space="0" w:color="auto"/>
              <w:right w:val="nil"/>
            </w:tcBorders>
            <w:shd w:val="clear" w:color="auto" w:fill="002060"/>
            <w:noWrap/>
            <w:vAlign w:val="center"/>
            <w:hideMark/>
          </w:tcPr>
          <w:p w14:paraId="2DEC3C5D" w14:textId="77777777" w:rsidR="003107D5" w:rsidRPr="00747CFD" w:rsidRDefault="003107D5" w:rsidP="00A41D37">
            <w:pPr>
              <w:spacing w:after="0" w:line="240" w:lineRule="auto"/>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w:t>
            </w:r>
          </w:p>
        </w:tc>
        <w:tc>
          <w:tcPr>
            <w:tcW w:w="897" w:type="dxa"/>
            <w:tcBorders>
              <w:top w:val="single" w:sz="8" w:space="0" w:color="auto"/>
              <w:left w:val="single" w:sz="4" w:space="0" w:color="auto"/>
              <w:bottom w:val="single" w:sz="8" w:space="0" w:color="auto"/>
              <w:right w:val="single" w:sz="4" w:space="0" w:color="auto"/>
            </w:tcBorders>
            <w:shd w:val="clear" w:color="auto" w:fill="002060"/>
            <w:vAlign w:val="center"/>
            <w:hideMark/>
          </w:tcPr>
          <w:p w14:paraId="5AD47FE5"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2022. u odnosu na 2021.</w:t>
            </w:r>
          </w:p>
        </w:tc>
        <w:tc>
          <w:tcPr>
            <w:tcW w:w="946" w:type="dxa"/>
            <w:tcBorders>
              <w:top w:val="single" w:sz="8" w:space="0" w:color="auto"/>
              <w:left w:val="nil"/>
              <w:bottom w:val="single" w:sz="8" w:space="0" w:color="auto"/>
              <w:right w:val="single" w:sz="4" w:space="0" w:color="auto"/>
            </w:tcBorders>
            <w:shd w:val="clear" w:color="auto" w:fill="002060"/>
            <w:vAlign w:val="center"/>
            <w:hideMark/>
          </w:tcPr>
          <w:p w14:paraId="253B524E"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2023. u odnosu na 2022.</w:t>
            </w:r>
          </w:p>
        </w:tc>
        <w:tc>
          <w:tcPr>
            <w:tcW w:w="897" w:type="dxa"/>
            <w:tcBorders>
              <w:top w:val="single" w:sz="8" w:space="0" w:color="auto"/>
              <w:left w:val="nil"/>
              <w:bottom w:val="single" w:sz="8" w:space="0" w:color="auto"/>
              <w:right w:val="single" w:sz="4" w:space="0" w:color="auto"/>
            </w:tcBorders>
            <w:shd w:val="clear" w:color="auto" w:fill="002060"/>
            <w:vAlign w:val="center"/>
            <w:hideMark/>
          </w:tcPr>
          <w:p w14:paraId="6FD13334"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2024. u odnosu na 2023.</w:t>
            </w:r>
          </w:p>
        </w:tc>
        <w:tc>
          <w:tcPr>
            <w:tcW w:w="946" w:type="dxa"/>
            <w:tcBorders>
              <w:top w:val="single" w:sz="8" w:space="0" w:color="auto"/>
              <w:left w:val="nil"/>
              <w:bottom w:val="single" w:sz="8" w:space="0" w:color="auto"/>
              <w:right w:val="single" w:sz="4" w:space="0" w:color="auto"/>
            </w:tcBorders>
            <w:shd w:val="clear" w:color="auto" w:fill="002060"/>
            <w:vAlign w:val="center"/>
            <w:hideMark/>
          </w:tcPr>
          <w:p w14:paraId="47A64CEC"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2025. u odnosu na 2024.</w:t>
            </w:r>
          </w:p>
        </w:tc>
        <w:tc>
          <w:tcPr>
            <w:tcW w:w="897" w:type="dxa"/>
            <w:tcBorders>
              <w:top w:val="single" w:sz="8" w:space="0" w:color="auto"/>
              <w:left w:val="nil"/>
              <w:bottom w:val="single" w:sz="8" w:space="0" w:color="auto"/>
              <w:right w:val="single" w:sz="4" w:space="0" w:color="auto"/>
            </w:tcBorders>
            <w:shd w:val="clear" w:color="auto" w:fill="002060"/>
            <w:vAlign w:val="center"/>
            <w:hideMark/>
          </w:tcPr>
          <w:p w14:paraId="51E1DD77"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2026. u odnosu na 2025.</w:t>
            </w:r>
          </w:p>
        </w:tc>
        <w:tc>
          <w:tcPr>
            <w:tcW w:w="945" w:type="dxa"/>
            <w:tcBorders>
              <w:top w:val="single" w:sz="8" w:space="0" w:color="auto"/>
              <w:left w:val="nil"/>
              <w:bottom w:val="single" w:sz="8" w:space="0" w:color="auto"/>
              <w:right w:val="single" w:sz="4" w:space="0" w:color="auto"/>
            </w:tcBorders>
            <w:shd w:val="clear" w:color="auto" w:fill="002060"/>
            <w:vAlign w:val="center"/>
            <w:hideMark/>
          </w:tcPr>
          <w:p w14:paraId="60F9EF00"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2027. u odnosu na 2026.</w:t>
            </w:r>
          </w:p>
        </w:tc>
        <w:tc>
          <w:tcPr>
            <w:tcW w:w="993" w:type="dxa"/>
            <w:tcBorders>
              <w:top w:val="single" w:sz="8" w:space="0" w:color="auto"/>
              <w:left w:val="nil"/>
              <w:bottom w:val="single" w:sz="8" w:space="0" w:color="auto"/>
              <w:right w:val="single" w:sz="4" w:space="0" w:color="auto"/>
            </w:tcBorders>
            <w:shd w:val="clear" w:color="auto" w:fill="002060"/>
            <w:vAlign w:val="center"/>
            <w:hideMark/>
          </w:tcPr>
          <w:p w14:paraId="6F52CBDB"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2028. u odnosu na 2027.</w:t>
            </w:r>
          </w:p>
        </w:tc>
        <w:tc>
          <w:tcPr>
            <w:tcW w:w="992" w:type="dxa"/>
            <w:tcBorders>
              <w:top w:val="single" w:sz="8" w:space="0" w:color="auto"/>
              <w:left w:val="nil"/>
              <w:bottom w:val="single" w:sz="8" w:space="0" w:color="auto"/>
              <w:right w:val="single" w:sz="8" w:space="0" w:color="auto"/>
            </w:tcBorders>
            <w:shd w:val="clear" w:color="auto" w:fill="002060"/>
            <w:vAlign w:val="center"/>
            <w:hideMark/>
          </w:tcPr>
          <w:p w14:paraId="5663903C"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2029. u odnosu na 2028.</w:t>
            </w:r>
          </w:p>
        </w:tc>
      </w:tr>
      <w:tr w:rsidR="003107D5" w:rsidRPr="00747CFD" w14:paraId="4127BC50" w14:textId="77777777" w:rsidTr="00747CFD">
        <w:trPr>
          <w:trHeight w:val="225"/>
        </w:trPr>
        <w:tc>
          <w:tcPr>
            <w:tcW w:w="1266" w:type="dxa"/>
            <w:tcBorders>
              <w:top w:val="single" w:sz="4" w:space="0" w:color="auto"/>
              <w:left w:val="single" w:sz="8" w:space="0" w:color="auto"/>
              <w:bottom w:val="single" w:sz="4" w:space="0" w:color="auto"/>
              <w:right w:val="nil"/>
            </w:tcBorders>
            <w:shd w:val="clear" w:color="auto" w:fill="auto"/>
            <w:noWrap/>
            <w:vAlign w:val="center"/>
            <w:hideMark/>
          </w:tcPr>
          <w:p w14:paraId="787147BE"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Papir i karton</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2CDA35F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4A560F6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14:paraId="6299390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2B2EC41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14:paraId="3C25D02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14:paraId="11AEE5D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DB4777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0F5814E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r>
      <w:tr w:rsidR="003107D5" w:rsidRPr="00747CFD" w14:paraId="51B5E86F" w14:textId="77777777" w:rsidTr="00747CFD">
        <w:trPr>
          <w:trHeight w:val="225"/>
        </w:trPr>
        <w:tc>
          <w:tcPr>
            <w:tcW w:w="1266" w:type="dxa"/>
            <w:tcBorders>
              <w:top w:val="nil"/>
              <w:left w:val="single" w:sz="8" w:space="0" w:color="auto"/>
              <w:bottom w:val="single" w:sz="4" w:space="0" w:color="auto"/>
              <w:right w:val="nil"/>
            </w:tcBorders>
            <w:shd w:val="clear" w:color="auto" w:fill="auto"/>
            <w:noWrap/>
            <w:vAlign w:val="center"/>
            <w:hideMark/>
          </w:tcPr>
          <w:p w14:paraId="2C701857"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Glomazni otpad</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63627BD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6" w:type="dxa"/>
            <w:tcBorders>
              <w:top w:val="nil"/>
              <w:left w:val="nil"/>
              <w:bottom w:val="single" w:sz="4" w:space="0" w:color="auto"/>
              <w:right w:val="single" w:sz="4" w:space="0" w:color="auto"/>
            </w:tcBorders>
            <w:shd w:val="clear" w:color="auto" w:fill="auto"/>
            <w:noWrap/>
            <w:vAlign w:val="center"/>
            <w:hideMark/>
          </w:tcPr>
          <w:p w14:paraId="54352CA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97" w:type="dxa"/>
            <w:tcBorders>
              <w:top w:val="nil"/>
              <w:left w:val="nil"/>
              <w:bottom w:val="single" w:sz="4" w:space="0" w:color="auto"/>
              <w:right w:val="single" w:sz="4" w:space="0" w:color="auto"/>
            </w:tcBorders>
            <w:shd w:val="clear" w:color="auto" w:fill="auto"/>
            <w:noWrap/>
            <w:vAlign w:val="center"/>
            <w:hideMark/>
          </w:tcPr>
          <w:p w14:paraId="16FF358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6" w:type="dxa"/>
            <w:tcBorders>
              <w:top w:val="nil"/>
              <w:left w:val="nil"/>
              <w:bottom w:val="single" w:sz="4" w:space="0" w:color="auto"/>
              <w:right w:val="single" w:sz="4" w:space="0" w:color="auto"/>
            </w:tcBorders>
            <w:shd w:val="clear" w:color="auto" w:fill="auto"/>
            <w:noWrap/>
            <w:vAlign w:val="center"/>
            <w:hideMark/>
          </w:tcPr>
          <w:p w14:paraId="57B51F4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97" w:type="dxa"/>
            <w:tcBorders>
              <w:top w:val="nil"/>
              <w:left w:val="nil"/>
              <w:bottom w:val="single" w:sz="4" w:space="0" w:color="auto"/>
              <w:right w:val="single" w:sz="4" w:space="0" w:color="auto"/>
            </w:tcBorders>
            <w:shd w:val="clear" w:color="auto" w:fill="auto"/>
            <w:noWrap/>
            <w:vAlign w:val="center"/>
            <w:hideMark/>
          </w:tcPr>
          <w:p w14:paraId="5A7D0F0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5" w:type="dxa"/>
            <w:tcBorders>
              <w:top w:val="nil"/>
              <w:left w:val="nil"/>
              <w:bottom w:val="single" w:sz="4" w:space="0" w:color="auto"/>
              <w:right w:val="single" w:sz="4" w:space="0" w:color="auto"/>
            </w:tcBorders>
            <w:shd w:val="clear" w:color="auto" w:fill="auto"/>
            <w:noWrap/>
            <w:vAlign w:val="center"/>
            <w:hideMark/>
          </w:tcPr>
          <w:p w14:paraId="0AB74B0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93" w:type="dxa"/>
            <w:tcBorders>
              <w:top w:val="nil"/>
              <w:left w:val="nil"/>
              <w:bottom w:val="single" w:sz="4" w:space="0" w:color="auto"/>
              <w:right w:val="single" w:sz="4" w:space="0" w:color="auto"/>
            </w:tcBorders>
            <w:shd w:val="clear" w:color="auto" w:fill="auto"/>
            <w:noWrap/>
            <w:vAlign w:val="center"/>
            <w:hideMark/>
          </w:tcPr>
          <w:p w14:paraId="34C6153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92" w:type="dxa"/>
            <w:tcBorders>
              <w:top w:val="nil"/>
              <w:left w:val="nil"/>
              <w:bottom w:val="single" w:sz="4" w:space="0" w:color="auto"/>
              <w:right w:val="single" w:sz="8" w:space="0" w:color="auto"/>
            </w:tcBorders>
            <w:shd w:val="clear" w:color="auto" w:fill="auto"/>
            <w:noWrap/>
            <w:vAlign w:val="center"/>
            <w:hideMark/>
          </w:tcPr>
          <w:p w14:paraId="2E280E3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r>
      <w:tr w:rsidR="003107D5" w:rsidRPr="00747CFD" w14:paraId="23D5928F" w14:textId="77777777" w:rsidTr="00747CFD">
        <w:trPr>
          <w:trHeight w:val="225"/>
        </w:trPr>
        <w:tc>
          <w:tcPr>
            <w:tcW w:w="1266" w:type="dxa"/>
            <w:tcBorders>
              <w:top w:val="nil"/>
              <w:left w:val="single" w:sz="8" w:space="0" w:color="auto"/>
              <w:bottom w:val="single" w:sz="4" w:space="0" w:color="auto"/>
              <w:right w:val="nil"/>
            </w:tcBorders>
            <w:shd w:val="clear" w:color="auto" w:fill="auto"/>
            <w:noWrap/>
            <w:vAlign w:val="center"/>
            <w:hideMark/>
          </w:tcPr>
          <w:p w14:paraId="4AA2DAB7"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Biootpad</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64AD8A0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w:t>
            </w:r>
          </w:p>
        </w:tc>
        <w:tc>
          <w:tcPr>
            <w:tcW w:w="946" w:type="dxa"/>
            <w:tcBorders>
              <w:top w:val="nil"/>
              <w:left w:val="nil"/>
              <w:bottom w:val="single" w:sz="4" w:space="0" w:color="auto"/>
              <w:right w:val="single" w:sz="4" w:space="0" w:color="auto"/>
            </w:tcBorders>
            <w:shd w:val="clear" w:color="auto" w:fill="auto"/>
            <w:noWrap/>
            <w:vAlign w:val="center"/>
            <w:hideMark/>
          </w:tcPr>
          <w:p w14:paraId="709414F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w:t>
            </w:r>
          </w:p>
        </w:tc>
        <w:tc>
          <w:tcPr>
            <w:tcW w:w="897" w:type="dxa"/>
            <w:tcBorders>
              <w:top w:val="nil"/>
              <w:left w:val="nil"/>
              <w:bottom w:val="single" w:sz="4" w:space="0" w:color="auto"/>
              <w:right w:val="single" w:sz="4" w:space="0" w:color="auto"/>
            </w:tcBorders>
            <w:shd w:val="clear" w:color="auto" w:fill="auto"/>
            <w:noWrap/>
            <w:vAlign w:val="center"/>
            <w:hideMark/>
          </w:tcPr>
          <w:p w14:paraId="7BF42D7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w:t>
            </w:r>
          </w:p>
        </w:tc>
        <w:tc>
          <w:tcPr>
            <w:tcW w:w="946" w:type="dxa"/>
            <w:tcBorders>
              <w:top w:val="nil"/>
              <w:left w:val="nil"/>
              <w:bottom w:val="single" w:sz="4" w:space="0" w:color="auto"/>
              <w:right w:val="single" w:sz="4" w:space="0" w:color="auto"/>
            </w:tcBorders>
            <w:shd w:val="clear" w:color="auto" w:fill="auto"/>
            <w:noWrap/>
            <w:vAlign w:val="center"/>
            <w:hideMark/>
          </w:tcPr>
          <w:p w14:paraId="6180952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w:t>
            </w:r>
          </w:p>
        </w:tc>
        <w:tc>
          <w:tcPr>
            <w:tcW w:w="897" w:type="dxa"/>
            <w:tcBorders>
              <w:top w:val="nil"/>
              <w:left w:val="nil"/>
              <w:bottom w:val="single" w:sz="4" w:space="0" w:color="auto"/>
              <w:right w:val="single" w:sz="4" w:space="0" w:color="auto"/>
            </w:tcBorders>
            <w:shd w:val="clear" w:color="auto" w:fill="auto"/>
            <w:noWrap/>
            <w:vAlign w:val="center"/>
            <w:hideMark/>
          </w:tcPr>
          <w:p w14:paraId="1CE5F2A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w:t>
            </w:r>
          </w:p>
        </w:tc>
        <w:tc>
          <w:tcPr>
            <w:tcW w:w="945" w:type="dxa"/>
            <w:tcBorders>
              <w:top w:val="nil"/>
              <w:left w:val="nil"/>
              <w:bottom w:val="single" w:sz="4" w:space="0" w:color="auto"/>
              <w:right w:val="single" w:sz="4" w:space="0" w:color="auto"/>
            </w:tcBorders>
            <w:shd w:val="clear" w:color="auto" w:fill="auto"/>
            <w:noWrap/>
            <w:vAlign w:val="center"/>
            <w:hideMark/>
          </w:tcPr>
          <w:p w14:paraId="3C9B889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w:t>
            </w:r>
          </w:p>
        </w:tc>
        <w:tc>
          <w:tcPr>
            <w:tcW w:w="993" w:type="dxa"/>
            <w:tcBorders>
              <w:top w:val="nil"/>
              <w:left w:val="nil"/>
              <w:bottom w:val="single" w:sz="4" w:space="0" w:color="auto"/>
              <w:right w:val="single" w:sz="4" w:space="0" w:color="auto"/>
            </w:tcBorders>
            <w:shd w:val="clear" w:color="auto" w:fill="auto"/>
            <w:noWrap/>
            <w:vAlign w:val="center"/>
            <w:hideMark/>
          </w:tcPr>
          <w:p w14:paraId="35D446C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w:t>
            </w:r>
          </w:p>
        </w:tc>
        <w:tc>
          <w:tcPr>
            <w:tcW w:w="992" w:type="dxa"/>
            <w:tcBorders>
              <w:top w:val="nil"/>
              <w:left w:val="nil"/>
              <w:bottom w:val="single" w:sz="4" w:space="0" w:color="auto"/>
              <w:right w:val="single" w:sz="8" w:space="0" w:color="auto"/>
            </w:tcBorders>
            <w:shd w:val="clear" w:color="auto" w:fill="auto"/>
            <w:noWrap/>
            <w:vAlign w:val="center"/>
            <w:hideMark/>
          </w:tcPr>
          <w:p w14:paraId="2BACEB8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w:t>
            </w:r>
          </w:p>
        </w:tc>
      </w:tr>
      <w:tr w:rsidR="003107D5" w:rsidRPr="00747CFD" w14:paraId="725E9207" w14:textId="77777777" w:rsidTr="00747CFD">
        <w:trPr>
          <w:trHeight w:val="225"/>
        </w:trPr>
        <w:tc>
          <w:tcPr>
            <w:tcW w:w="1266" w:type="dxa"/>
            <w:tcBorders>
              <w:top w:val="nil"/>
              <w:left w:val="single" w:sz="8" w:space="0" w:color="auto"/>
              <w:bottom w:val="single" w:sz="4" w:space="0" w:color="auto"/>
              <w:right w:val="nil"/>
            </w:tcBorders>
            <w:shd w:val="clear" w:color="auto" w:fill="auto"/>
            <w:noWrap/>
            <w:vAlign w:val="center"/>
            <w:hideMark/>
          </w:tcPr>
          <w:p w14:paraId="536447F9"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Plastika</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4929F4F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w:t>
            </w:r>
          </w:p>
        </w:tc>
        <w:tc>
          <w:tcPr>
            <w:tcW w:w="946" w:type="dxa"/>
            <w:tcBorders>
              <w:top w:val="nil"/>
              <w:left w:val="nil"/>
              <w:bottom w:val="single" w:sz="4" w:space="0" w:color="auto"/>
              <w:right w:val="single" w:sz="4" w:space="0" w:color="auto"/>
            </w:tcBorders>
            <w:shd w:val="clear" w:color="auto" w:fill="auto"/>
            <w:noWrap/>
            <w:vAlign w:val="center"/>
            <w:hideMark/>
          </w:tcPr>
          <w:p w14:paraId="69A8B6C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w:t>
            </w:r>
          </w:p>
        </w:tc>
        <w:tc>
          <w:tcPr>
            <w:tcW w:w="897" w:type="dxa"/>
            <w:tcBorders>
              <w:top w:val="nil"/>
              <w:left w:val="nil"/>
              <w:bottom w:val="single" w:sz="4" w:space="0" w:color="auto"/>
              <w:right w:val="single" w:sz="4" w:space="0" w:color="auto"/>
            </w:tcBorders>
            <w:shd w:val="clear" w:color="auto" w:fill="auto"/>
            <w:noWrap/>
            <w:vAlign w:val="center"/>
            <w:hideMark/>
          </w:tcPr>
          <w:p w14:paraId="087999F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w:t>
            </w:r>
          </w:p>
        </w:tc>
        <w:tc>
          <w:tcPr>
            <w:tcW w:w="946" w:type="dxa"/>
            <w:tcBorders>
              <w:top w:val="nil"/>
              <w:left w:val="nil"/>
              <w:bottom w:val="single" w:sz="4" w:space="0" w:color="auto"/>
              <w:right w:val="single" w:sz="4" w:space="0" w:color="auto"/>
            </w:tcBorders>
            <w:shd w:val="clear" w:color="auto" w:fill="auto"/>
            <w:noWrap/>
            <w:vAlign w:val="center"/>
            <w:hideMark/>
          </w:tcPr>
          <w:p w14:paraId="3C15254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w:t>
            </w:r>
          </w:p>
        </w:tc>
        <w:tc>
          <w:tcPr>
            <w:tcW w:w="897" w:type="dxa"/>
            <w:tcBorders>
              <w:top w:val="nil"/>
              <w:left w:val="nil"/>
              <w:bottom w:val="single" w:sz="4" w:space="0" w:color="auto"/>
              <w:right w:val="single" w:sz="4" w:space="0" w:color="auto"/>
            </w:tcBorders>
            <w:shd w:val="clear" w:color="auto" w:fill="auto"/>
            <w:noWrap/>
            <w:vAlign w:val="center"/>
            <w:hideMark/>
          </w:tcPr>
          <w:p w14:paraId="1243C84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w:t>
            </w:r>
          </w:p>
        </w:tc>
        <w:tc>
          <w:tcPr>
            <w:tcW w:w="945" w:type="dxa"/>
            <w:tcBorders>
              <w:top w:val="nil"/>
              <w:left w:val="nil"/>
              <w:bottom w:val="single" w:sz="4" w:space="0" w:color="auto"/>
              <w:right w:val="single" w:sz="4" w:space="0" w:color="auto"/>
            </w:tcBorders>
            <w:shd w:val="clear" w:color="auto" w:fill="auto"/>
            <w:noWrap/>
            <w:vAlign w:val="center"/>
            <w:hideMark/>
          </w:tcPr>
          <w:p w14:paraId="4D66D0B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w:t>
            </w:r>
          </w:p>
        </w:tc>
        <w:tc>
          <w:tcPr>
            <w:tcW w:w="993" w:type="dxa"/>
            <w:tcBorders>
              <w:top w:val="nil"/>
              <w:left w:val="nil"/>
              <w:bottom w:val="single" w:sz="4" w:space="0" w:color="auto"/>
              <w:right w:val="single" w:sz="4" w:space="0" w:color="auto"/>
            </w:tcBorders>
            <w:shd w:val="clear" w:color="auto" w:fill="auto"/>
            <w:noWrap/>
            <w:vAlign w:val="center"/>
            <w:hideMark/>
          </w:tcPr>
          <w:p w14:paraId="7C62BC0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w:t>
            </w:r>
          </w:p>
        </w:tc>
        <w:tc>
          <w:tcPr>
            <w:tcW w:w="992" w:type="dxa"/>
            <w:tcBorders>
              <w:top w:val="nil"/>
              <w:left w:val="nil"/>
              <w:bottom w:val="single" w:sz="4" w:space="0" w:color="auto"/>
              <w:right w:val="single" w:sz="8" w:space="0" w:color="auto"/>
            </w:tcBorders>
            <w:shd w:val="clear" w:color="auto" w:fill="auto"/>
            <w:noWrap/>
            <w:vAlign w:val="center"/>
            <w:hideMark/>
          </w:tcPr>
          <w:p w14:paraId="72D50CF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w:t>
            </w:r>
          </w:p>
        </w:tc>
      </w:tr>
      <w:tr w:rsidR="003107D5" w:rsidRPr="00747CFD" w14:paraId="0DC5A622" w14:textId="77777777" w:rsidTr="00747CFD">
        <w:trPr>
          <w:trHeight w:val="225"/>
        </w:trPr>
        <w:tc>
          <w:tcPr>
            <w:tcW w:w="1266" w:type="dxa"/>
            <w:tcBorders>
              <w:top w:val="nil"/>
              <w:left w:val="single" w:sz="8" w:space="0" w:color="auto"/>
              <w:bottom w:val="single" w:sz="4" w:space="0" w:color="auto"/>
              <w:right w:val="nil"/>
            </w:tcBorders>
            <w:shd w:val="clear" w:color="auto" w:fill="auto"/>
            <w:noWrap/>
            <w:vAlign w:val="center"/>
            <w:hideMark/>
          </w:tcPr>
          <w:p w14:paraId="311508F6"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Staklo</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0F0586E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w:t>
            </w:r>
          </w:p>
        </w:tc>
        <w:tc>
          <w:tcPr>
            <w:tcW w:w="946" w:type="dxa"/>
            <w:tcBorders>
              <w:top w:val="nil"/>
              <w:left w:val="nil"/>
              <w:bottom w:val="single" w:sz="4" w:space="0" w:color="auto"/>
              <w:right w:val="single" w:sz="4" w:space="0" w:color="auto"/>
            </w:tcBorders>
            <w:shd w:val="clear" w:color="auto" w:fill="auto"/>
            <w:noWrap/>
            <w:vAlign w:val="center"/>
            <w:hideMark/>
          </w:tcPr>
          <w:p w14:paraId="62162FD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w:t>
            </w:r>
          </w:p>
        </w:tc>
        <w:tc>
          <w:tcPr>
            <w:tcW w:w="897" w:type="dxa"/>
            <w:tcBorders>
              <w:top w:val="nil"/>
              <w:left w:val="nil"/>
              <w:bottom w:val="single" w:sz="4" w:space="0" w:color="auto"/>
              <w:right w:val="single" w:sz="4" w:space="0" w:color="auto"/>
            </w:tcBorders>
            <w:shd w:val="clear" w:color="auto" w:fill="auto"/>
            <w:noWrap/>
            <w:vAlign w:val="center"/>
            <w:hideMark/>
          </w:tcPr>
          <w:p w14:paraId="0835A9E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6" w:type="dxa"/>
            <w:tcBorders>
              <w:top w:val="nil"/>
              <w:left w:val="nil"/>
              <w:bottom w:val="single" w:sz="4" w:space="0" w:color="auto"/>
              <w:right w:val="single" w:sz="4" w:space="0" w:color="auto"/>
            </w:tcBorders>
            <w:shd w:val="clear" w:color="auto" w:fill="auto"/>
            <w:noWrap/>
            <w:vAlign w:val="center"/>
            <w:hideMark/>
          </w:tcPr>
          <w:p w14:paraId="0DC43DF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97" w:type="dxa"/>
            <w:tcBorders>
              <w:top w:val="nil"/>
              <w:left w:val="nil"/>
              <w:bottom w:val="single" w:sz="4" w:space="0" w:color="auto"/>
              <w:right w:val="single" w:sz="4" w:space="0" w:color="auto"/>
            </w:tcBorders>
            <w:shd w:val="clear" w:color="auto" w:fill="auto"/>
            <w:noWrap/>
            <w:vAlign w:val="center"/>
            <w:hideMark/>
          </w:tcPr>
          <w:p w14:paraId="3C89086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5" w:type="dxa"/>
            <w:tcBorders>
              <w:top w:val="nil"/>
              <w:left w:val="nil"/>
              <w:bottom w:val="single" w:sz="4" w:space="0" w:color="auto"/>
              <w:right w:val="single" w:sz="4" w:space="0" w:color="auto"/>
            </w:tcBorders>
            <w:shd w:val="clear" w:color="auto" w:fill="auto"/>
            <w:noWrap/>
            <w:vAlign w:val="center"/>
            <w:hideMark/>
          </w:tcPr>
          <w:p w14:paraId="7014976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93" w:type="dxa"/>
            <w:tcBorders>
              <w:top w:val="nil"/>
              <w:left w:val="nil"/>
              <w:bottom w:val="single" w:sz="4" w:space="0" w:color="auto"/>
              <w:right w:val="single" w:sz="4" w:space="0" w:color="auto"/>
            </w:tcBorders>
            <w:shd w:val="clear" w:color="auto" w:fill="auto"/>
            <w:noWrap/>
            <w:vAlign w:val="center"/>
            <w:hideMark/>
          </w:tcPr>
          <w:p w14:paraId="6100726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92" w:type="dxa"/>
            <w:tcBorders>
              <w:top w:val="nil"/>
              <w:left w:val="nil"/>
              <w:bottom w:val="single" w:sz="4" w:space="0" w:color="auto"/>
              <w:right w:val="single" w:sz="8" w:space="0" w:color="auto"/>
            </w:tcBorders>
            <w:shd w:val="clear" w:color="auto" w:fill="auto"/>
            <w:noWrap/>
            <w:vAlign w:val="center"/>
            <w:hideMark/>
          </w:tcPr>
          <w:p w14:paraId="6930BCB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r>
      <w:tr w:rsidR="003107D5" w:rsidRPr="00747CFD" w14:paraId="57494DEC" w14:textId="77777777" w:rsidTr="00747CFD">
        <w:trPr>
          <w:trHeight w:val="225"/>
        </w:trPr>
        <w:tc>
          <w:tcPr>
            <w:tcW w:w="1266" w:type="dxa"/>
            <w:tcBorders>
              <w:top w:val="nil"/>
              <w:left w:val="single" w:sz="8" w:space="0" w:color="auto"/>
              <w:bottom w:val="single" w:sz="4" w:space="0" w:color="auto"/>
              <w:right w:val="nil"/>
            </w:tcBorders>
            <w:shd w:val="clear" w:color="auto" w:fill="auto"/>
            <w:noWrap/>
            <w:vAlign w:val="center"/>
            <w:hideMark/>
          </w:tcPr>
          <w:p w14:paraId="72832969"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Metal</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2CD890C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6" w:type="dxa"/>
            <w:tcBorders>
              <w:top w:val="nil"/>
              <w:left w:val="nil"/>
              <w:bottom w:val="single" w:sz="4" w:space="0" w:color="auto"/>
              <w:right w:val="single" w:sz="4" w:space="0" w:color="auto"/>
            </w:tcBorders>
            <w:shd w:val="clear" w:color="auto" w:fill="auto"/>
            <w:noWrap/>
            <w:vAlign w:val="center"/>
            <w:hideMark/>
          </w:tcPr>
          <w:p w14:paraId="0B3761B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97" w:type="dxa"/>
            <w:tcBorders>
              <w:top w:val="nil"/>
              <w:left w:val="nil"/>
              <w:bottom w:val="single" w:sz="4" w:space="0" w:color="auto"/>
              <w:right w:val="single" w:sz="4" w:space="0" w:color="auto"/>
            </w:tcBorders>
            <w:shd w:val="clear" w:color="auto" w:fill="auto"/>
            <w:noWrap/>
            <w:vAlign w:val="center"/>
            <w:hideMark/>
          </w:tcPr>
          <w:p w14:paraId="66AD46A8"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6" w:type="dxa"/>
            <w:tcBorders>
              <w:top w:val="nil"/>
              <w:left w:val="nil"/>
              <w:bottom w:val="single" w:sz="4" w:space="0" w:color="auto"/>
              <w:right w:val="single" w:sz="4" w:space="0" w:color="auto"/>
            </w:tcBorders>
            <w:shd w:val="clear" w:color="auto" w:fill="auto"/>
            <w:noWrap/>
            <w:vAlign w:val="center"/>
            <w:hideMark/>
          </w:tcPr>
          <w:p w14:paraId="207C815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97" w:type="dxa"/>
            <w:tcBorders>
              <w:top w:val="nil"/>
              <w:left w:val="nil"/>
              <w:bottom w:val="single" w:sz="4" w:space="0" w:color="auto"/>
              <w:right w:val="single" w:sz="4" w:space="0" w:color="auto"/>
            </w:tcBorders>
            <w:shd w:val="clear" w:color="auto" w:fill="auto"/>
            <w:noWrap/>
            <w:vAlign w:val="center"/>
            <w:hideMark/>
          </w:tcPr>
          <w:p w14:paraId="63798B3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5" w:type="dxa"/>
            <w:tcBorders>
              <w:top w:val="nil"/>
              <w:left w:val="nil"/>
              <w:bottom w:val="single" w:sz="4" w:space="0" w:color="auto"/>
              <w:right w:val="single" w:sz="4" w:space="0" w:color="auto"/>
            </w:tcBorders>
            <w:shd w:val="clear" w:color="auto" w:fill="auto"/>
            <w:noWrap/>
            <w:vAlign w:val="center"/>
            <w:hideMark/>
          </w:tcPr>
          <w:p w14:paraId="48DE9CD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93" w:type="dxa"/>
            <w:tcBorders>
              <w:top w:val="nil"/>
              <w:left w:val="nil"/>
              <w:bottom w:val="single" w:sz="4" w:space="0" w:color="auto"/>
              <w:right w:val="single" w:sz="4" w:space="0" w:color="auto"/>
            </w:tcBorders>
            <w:shd w:val="clear" w:color="auto" w:fill="auto"/>
            <w:noWrap/>
            <w:vAlign w:val="center"/>
            <w:hideMark/>
          </w:tcPr>
          <w:p w14:paraId="1F32BD9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92" w:type="dxa"/>
            <w:tcBorders>
              <w:top w:val="nil"/>
              <w:left w:val="nil"/>
              <w:bottom w:val="single" w:sz="4" w:space="0" w:color="auto"/>
              <w:right w:val="single" w:sz="8" w:space="0" w:color="auto"/>
            </w:tcBorders>
            <w:shd w:val="clear" w:color="auto" w:fill="auto"/>
            <w:noWrap/>
            <w:vAlign w:val="center"/>
            <w:hideMark/>
          </w:tcPr>
          <w:p w14:paraId="78A1190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r>
      <w:tr w:rsidR="003107D5" w:rsidRPr="00747CFD" w14:paraId="24BCD494" w14:textId="77777777" w:rsidTr="00747CFD">
        <w:trPr>
          <w:trHeight w:val="240"/>
        </w:trPr>
        <w:tc>
          <w:tcPr>
            <w:tcW w:w="1266" w:type="dxa"/>
            <w:tcBorders>
              <w:top w:val="nil"/>
              <w:left w:val="single" w:sz="8" w:space="0" w:color="auto"/>
              <w:bottom w:val="single" w:sz="8" w:space="0" w:color="auto"/>
              <w:right w:val="nil"/>
            </w:tcBorders>
            <w:shd w:val="clear" w:color="auto" w:fill="auto"/>
            <w:noWrap/>
            <w:vAlign w:val="center"/>
            <w:hideMark/>
          </w:tcPr>
          <w:p w14:paraId="323F3BAA"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Električni i elektronički</w:t>
            </w:r>
          </w:p>
        </w:tc>
        <w:tc>
          <w:tcPr>
            <w:tcW w:w="897" w:type="dxa"/>
            <w:tcBorders>
              <w:top w:val="nil"/>
              <w:left w:val="single" w:sz="4" w:space="0" w:color="auto"/>
              <w:bottom w:val="single" w:sz="8" w:space="0" w:color="auto"/>
              <w:right w:val="single" w:sz="4" w:space="0" w:color="auto"/>
            </w:tcBorders>
            <w:shd w:val="clear" w:color="auto" w:fill="auto"/>
            <w:noWrap/>
            <w:vAlign w:val="center"/>
            <w:hideMark/>
          </w:tcPr>
          <w:p w14:paraId="3EE0B5E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6" w:type="dxa"/>
            <w:tcBorders>
              <w:top w:val="nil"/>
              <w:left w:val="nil"/>
              <w:bottom w:val="single" w:sz="8" w:space="0" w:color="auto"/>
              <w:right w:val="single" w:sz="4" w:space="0" w:color="auto"/>
            </w:tcBorders>
            <w:shd w:val="clear" w:color="auto" w:fill="auto"/>
            <w:noWrap/>
            <w:vAlign w:val="center"/>
            <w:hideMark/>
          </w:tcPr>
          <w:p w14:paraId="4DB06F1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97" w:type="dxa"/>
            <w:tcBorders>
              <w:top w:val="nil"/>
              <w:left w:val="nil"/>
              <w:bottom w:val="single" w:sz="8" w:space="0" w:color="auto"/>
              <w:right w:val="single" w:sz="4" w:space="0" w:color="auto"/>
            </w:tcBorders>
            <w:shd w:val="clear" w:color="auto" w:fill="auto"/>
            <w:noWrap/>
            <w:vAlign w:val="center"/>
            <w:hideMark/>
          </w:tcPr>
          <w:p w14:paraId="04A3647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6" w:type="dxa"/>
            <w:tcBorders>
              <w:top w:val="nil"/>
              <w:left w:val="nil"/>
              <w:bottom w:val="single" w:sz="8" w:space="0" w:color="auto"/>
              <w:right w:val="single" w:sz="4" w:space="0" w:color="auto"/>
            </w:tcBorders>
            <w:shd w:val="clear" w:color="auto" w:fill="auto"/>
            <w:noWrap/>
            <w:vAlign w:val="center"/>
            <w:hideMark/>
          </w:tcPr>
          <w:p w14:paraId="0B529E5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97" w:type="dxa"/>
            <w:tcBorders>
              <w:top w:val="nil"/>
              <w:left w:val="nil"/>
              <w:bottom w:val="single" w:sz="8" w:space="0" w:color="auto"/>
              <w:right w:val="single" w:sz="4" w:space="0" w:color="auto"/>
            </w:tcBorders>
            <w:shd w:val="clear" w:color="auto" w:fill="auto"/>
            <w:noWrap/>
            <w:vAlign w:val="center"/>
            <w:hideMark/>
          </w:tcPr>
          <w:p w14:paraId="7B908F3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5" w:type="dxa"/>
            <w:tcBorders>
              <w:top w:val="nil"/>
              <w:left w:val="nil"/>
              <w:bottom w:val="single" w:sz="8" w:space="0" w:color="auto"/>
              <w:right w:val="single" w:sz="4" w:space="0" w:color="auto"/>
            </w:tcBorders>
            <w:shd w:val="clear" w:color="auto" w:fill="auto"/>
            <w:noWrap/>
            <w:vAlign w:val="center"/>
            <w:hideMark/>
          </w:tcPr>
          <w:p w14:paraId="73D44D7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93" w:type="dxa"/>
            <w:tcBorders>
              <w:top w:val="nil"/>
              <w:left w:val="nil"/>
              <w:bottom w:val="single" w:sz="8" w:space="0" w:color="auto"/>
              <w:right w:val="single" w:sz="4" w:space="0" w:color="auto"/>
            </w:tcBorders>
            <w:shd w:val="clear" w:color="auto" w:fill="auto"/>
            <w:noWrap/>
            <w:vAlign w:val="center"/>
            <w:hideMark/>
          </w:tcPr>
          <w:p w14:paraId="32AC7F2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92" w:type="dxa"/>
            <w:tcBorders>
              <w:top w:val="nil"/>
              <w:left w:val="nil"/>
              <w:bottom w:val="single" w:sz="8" w:space="0" w:color="auto"/>
              <w:right w:val="single" w:sz="8" w:space="0" w:color="auto"/>
            </w:tcBorders>
            <w:shd w:val="clear" w:color="auto" w:fill="auto"/>
            <w:noWrap/>
            <w:vAlign w:val="center"/>
            <w:hideMark/>
          </w:tcPr>
          <w:p w14:paraId="1E9712E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r>
      <w:tr w:rsidR="003107D5" w:rsidRPr="00747CFD" w14:paraId="55DC6CA8" w14:textId="77777777" w:rsidTr="00747CFD">
        <w:trPr>
          <w:trHeight w:val="240"/>
        </w:trPr>
        <w:tc>
          <w:tcPr>
            <w:tcW w:w="1266" w:type="dxa"/>
            <w:tcBorders>
              <w:top w:val="nil"/>
              <w:left w:val="single" w:sz="8" w:space="0" w:color="auto"/>
              <w:bottom w:val="single" w:sz="8" w:space="0" w:color="auto"/>
              <w:right w:val="nil"/>
            </w:tcBorders>
            <w:shd w:val="clear" w:color="auto" w:fill="002060"/>
            <w:noWrap/>
            <w:vAlign w:val="bottom"/>
            <w:hideMark/>
          </w:tcPr>
          <w:p w14:paraId="7B33EF21" w14:textId="77777777" w:rsidR="003107D5" w:rsidRPr="00747CFD" w:rsidRDefault="003107D5" w:rsidP="00A41D37">
            <w:pPr>
              <w:spacing w:after="0" w:line="240" w:lineRule="auto"/>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w:t>
            </w:r>
          </w:p>
        </w:tc>
        <w:tc>
          <w:tcPr>
            <w:tcW w:w="897" w:type="dxa"/>
            <w:tcBorders>
              <w:top w:val="nil"/>
              <w:left w:val="nil"/>
              <w:bottom w:val="single" w:sz="8" w:space="0" w:color="auto"/>
              <w:right w:val="nil"/>
            </w:tcBorders>
            <w:shd w:val="clear" w:color="auto" w:fill="002060"/>
            <w:noWrap/>
            <w:vAlign w:val="center"/>
            <w:hideMark/>
          </w:tcPr>
          <w:p w14:paraId="1269BC21"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2029.</w:t>
            </w:r>
          </w:p>
        </w:tc>
        <w:tc>
          <w:tcPr>
            <w:tcW w:w="946" w:type="dxa"/>
            <w:tcBorders>
              <w:top w:val="nil"/>
              <w:left w:val="nil"/>
              <w:bottom w:val="single" w:sz="8" w:space="0" w:color="auto"/>
              <w:right w:val="nil"/>
            </w:tcBorders>
            <w:shd w:val="clear" w:color="auto" w:fill="002060"/>
            <w:noWrap/>
            <w:vAlign w:val="center"/>
            <w:hideMark/>
          </w:tcPr>
          <w:p w14:paraId="7D62EA44"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2030.</w:t>
            </w:r>
          </w:p>
        </w:tc>
        <w:tc>
          <w:tcPr>
            <w:tcW w:w="897" w:type="dxa"/>
            <w:tcBorders>
              <w:top w:val="nil"/>
              <w:left w:val="nil"/>
              <w:bottom w:val="single" w:sz="8" w:space="0" w:color="auto"/>
              <w:right w:val="nil"/>
            </w:tcBorders>
            <w:shd w:val="clear" w:color="auto" w:fill="002060"/>
            <w:noWrap/>
            <w:vAlign w:val="center"/>
            <w:hideMark/>
          </w:tcPr>
          <w:p w14:paraId="56C24051"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2031.</w:t>
            </w:r>
          </w:p>
        </w:tc>
        <w:tc>
          <w:tcPr>
            <w:tcW w:w="946" w:type="dxa"/>
            <w:tcBorders>
              <w:top w:val="nil"/>
              <w:left w:val="nil"/>
              <w:bottom w:val="single" w:sz="8" w:space="0" w:color="auto"/>
              <w:right w:val="nil"/>
            </w:tcBorders>
            <w:shd w:val="clear" w:color="auto" w:fill="002060"/>
            <w:noWrap/>
            <w:vAlign w:val="center"/>
            <w:hideMark/>
          </w:tcPr>
          <w:p w14:paraId="752A48F3"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2032.</w:t>
            </w:r>
          </w:p>
        </w:tc>
        <w:tc>
          <w:tcPr>
            <w:tcW w:w="897" w:type="dxa"/>
            <w:tcBorders>
              <w:top w:val="nil"/>
              <w:left w:val="nil"/>
              <w:bottom w:val="single" w:sz="8" w:space="0" w:color="auto"/>
              <w:right w:val="nil"/>
            </w:tcBorders>
            <w:shd w:val="clear" w:color="auto" w:fill="002060"/>
            <w:noWrap/>
            <w:vAlign w:val="center"/>
            <w:hideMark/>
          </w:tcPr>
          <w:p w14:paraId="723D9733"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2033.</w:t>
            </w:r>
          </w:p>
        </w:tc>
        <w:tc>
          <w:tcPr>
            <w:tcW w:w="945" w:type="dxa"/>
            <w:tcBorders>
              <w:top w:val="nil"/>
              <w:left w:val="nil"/>
              <w:bottom w:val="single" w:sz="8" w:space="0" w:color="auto"/>
              <w:right w:val="nil"/>
            </w:tcBorders>
            <w:shd w:val="clear" w:color="auto" w:fill="002060"/>
            <w:noWrap/>
            <w:vAlign w:val="center"/>
            <w:hideMark/>
          </w:tcPr>
          <w:p w14:paraId="3FDE625C"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2034.</w:t>
            </w:r>
          </w:p>
        </w:tc>
        <w:tc>
          <w:tcPr>
            <w:tcW w:w="993" w:type="dxa"/>
            <w:tcBorders>
              <w:top w:val="nil"/>
              <w:left w:val="nil"/>
              <w:bottom w:val="single" w:sz="8" w:space="0" w:color="auto"/>
              <w:right w:val="single" w:sz="8" w:space="0" w:color="auto"/>
            </w:tcBorders>
            <w:shd w:val="clear" w:color="auto" w:fill="002060"/>
            <w:noWrap/>
            <w:vAlign w:val="center"/>
            <w:hideMark/>
          </w:tcPr>
          <w:p w14:paraId="51702D60"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2035</w:t>
            </w:r>
          </w:p>
        </w:tc>
        <w:tc>
          <w:tcPr>
            <w:tcW w:w="992" w:type="dxa"/>
            <w:tcBorders>
              <w:top w:val="nil"/>
              <w:left w:val="nil"/>
              <w:bottom w:val="nil"/>
              <w:right w:val="nil"/>
            </w:tcBorders>
            <w:shd w:val="clear" w:color="auto" w:fill="auto"/>
            <w:noWrap/>
            <w:vAlign w:val="bottom"/>
            <w:hideMark/>
          </w:tcPr>
          <w:p w14:paraId="5789A06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2620C82C"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04415AED" w14:textId="77777777" w:rsidR="003107D5" w:rsidRPr="00747CFD" w:rsidRDefault="003107D5" w:rsidP="00A41D37">
            <w:pPr>
              <w:spacing w:after="0" w:line="240" w:lineRule="auto"/>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Ukupno (t)</w:t>
            </w:r>
          </w:p>
        </w:tc>
        <w:tc>
          <w:tcPr>
            <w:tcW w:w="897" w:type="dxa"/>
            <w:tcBorders>
              <w:top w:val="nil"/>
              <w:left w:val="single" w:sz="8" w:space="0" w:color="auto"/>
              <w:bottom w:val="single" w:sz="4" w:space="0" w:color="auto"/>
              <w:right w:val="single" w:sz="4" w:space="0" w:color="auto"/>
            </w:tcBorders>
            <w:shd w:val="clear" w:color="auto" w:fill="auto"/>
            <w:noWrap/>
            <w:vAlign w:val="center"/>
            <w:hideMark/>
          </w:tcPr>
          <w:p w14:paraId="5A49ED2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46" w:type="dxa"/>
            <w:tcBorders>
              <w:top w:val="nil"/>
              <w:left w:val="nil"/>
              <w:bottom w:val="single" w:sz="4" w:space="0" w:color="auto"/>
              <w:right w:val="single" w:sz="4" w:space="0" w:color="auto"/>
            </w:tcBorders>
            <w:shd w:val="clear" w:color="auto" w:fill="auto"/>
            <w:noWrap/>
            <w:vAlign w:val="center"/>
            <w:hideMark/>
          </w:tcPr>
          <w:p w14:paraId="611C77D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897" w:type="dxa"/>
            <w:tcBorders>
              <w:top w:val="nil"/>
              <w:left w:val="nil"/>
              <w:bottom w:val="single" w:sz="4" w:space="0" w:color="auto"/>
              <w:right w:val="single" w:sz="4" w:space="0" w:color="auto"/>
            </w:tcBorders>
            <w:shd w:val="clear" w:color="auto" w:fill="auto"/>
            <w:noWrap/>
            <w:vAlign w:val="center"/>
            <w:hideMark/>
          </w:tcPr>
          <w:p w14:paraId="1C2F530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46" w:type="dxa"/>
            <w:tcBorders>
              <w:top w:val="nil"/>
              <w:left w:val="nil"/>
              <w:bottom w:val="single" w:sz="4" w:space="0" w:color="auto"/>
              <w:right w:val="single" w:sz="4" w:space="0" w:color="auto"/>
            </w:tcBorders>
            <w:shd w:val="clear" w:color="auto" w:fill="auto"/>
            <w:noWrap/>
            <w:vAlign w:val="center"/>
            <w:hideMark/>
          </w:tcPr>
          <w:p w14:paraId="5E91AD3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897" w:type="dxa"/>
            <w:tcBorders>
              <w:top w:val="nil"/>
              <w:left w:val="nil"/>
              <w:bottom w:val="single" w:sz="4" w:space="0" w:color="auto"/>
              <w:right w:val="single" w:sz="4" w:space="0" w:color="auto"/>
            </w:tcBorders>
            <w:shd w:val="clear" w:color="auto" w:fill="auto"/>
            <w:noWrap/>
            <w:vAlign w:val="center"/>
            <w:hideMark/>
          </w:tcPr>
          <w:p w14:paraId="15AE866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45" w:type="dxa"/>
            <w:tcBorders>
              <w:top w:val="nil"/>
              <w:left w:val="nil"/>
              <w:bottom w:val="single" w:sz="4" w:space="0" w:color="auto"/>
              <w:right w:val="single" w:sz="4" w:space="0" w:color="auto"/>
            </w:tcBorders>
            <w:shd w:val="clear" w:color="auto" w:fill="auto"/>
            <w:noWrap/>
            <w:vAlign w:val="center"/>
            <w:hideMark/>
          </w:tcPr>
          <w:p w14:paraId="6367B19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3" w:type="dxa"/>
            <w:tcBorders>
              <w:top w:val="nil"/>
              <w:left w:val="nil"/>
              <w:bottom w:val="single" w:sz="4" w:space="0" w:color="auto"/>
              <w:right w:val="single" w:sz="8" w:space="0" w:color="auto"/>
            </w:tcBorders>
            <w:shd w:val="clear" w:color="auto" w:fill="auto"/>
            <w:noWrap/>
            <w:vAlign w:val="center"/>
            <w:hideMark/>
          </w:tcPr>
          <w:p w14:paraId="1C154F04"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2.550.158</w:t>
            </w:r>
          </w:p>
        </w:tc>
        <w:tc>
          <w:tcPr>
            <w:tcW w:w="992" w:type="dxa"/>
            <w:tcBorders>
              <w:top w:val="nil"/>
              <w:left w:val="nil"/>
              <w:bottom w:val="nil"/>
              <w:right w:val="nil"/>
            </w:tcBorders>
            <w:shd w:val="clear" w:color="auto" w:fill="auto"/>
            <w:noWrap/>
            <w:vAlign w:val="bottom"/>
            <w:hideMark/>
          </w:tcPr>
          <w:p w14:paraId="78851FC5"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p>
        </w:tc>
      </w:tr>
      <w:tr w:rsidR="003107D5" w:rsidRPr="00747CFD" w14:paraId="177A4779"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52AC0059"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Papir i karton</w:t>
            </w:r>
          </w:p>
        </w:tc>
        <w:tc>
          <w:tcPr>
            <w:tcW w:w="897" w:type="dxa"/>
            <w:tcBorders>
              <w:top w:val="nil"/>
              <w:left w:val="single" w:sz="8" w:space="0" w:color="auto"/>
              <w:bottom w:val="single" w:sz="4" w:space="0" w:color="auto"/>
              <w:right w:val="single" w:sz="4" w:space="0" w:color="auto"/>
            </w:tcBorders>
            <w:shd w:val="clear" w:color="auto" w:fill="auto"/>
            <w:noWrap/>
            <w:vAlign w:val="center"/>
            <w:hideMark/>
          </w:tcPr>
          <w:p w14:paraId="2B96314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386.131</w:t>
            </w:r>
          </w:p>
        </w:tc>
        <w:tc>
          <w:tcPr>
            <w:tcW w:w="946" w:type="dxa"/>
            <w:tcBorders>
              <w:top w:val="nil"/>
              <w:left w:val="nil"/>
              <w:bottom w:val="single" w:sz="4" w:space="0" w:color="auto"/>
              <w:right w:val="single" w:sz="4" w:space="0" w:color="auto"/>
            </w:tcBorders>
            <w:shd w:val="clear" w:color="auto" w:fill="auto"/>
            <w:noWrap/>
            <w:vAlign w:val="center"/>
            <w:hideMark/>
          </w:tcPr>
          <w:p w14:paraId="3BEDF7B8"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405.864</w:t>
            </w:r>
          </w:p>
        </w:tc>
        <w:tc>
          <w:tcPr>
            <w:tcW w:w="897" w:type="dxa"/>
            <w:tcBorders>
              <w:top w:val="nil"/>
              <w:left w:val="nil"/>
              <w:bottom w:val="single" w:sz="4" w:space="0" w:color="auto"/>
              <w:right w:val="single" w:sz="4" w:space="0" w:color="auto"/>
            </w:tcBorders>
            <w:shd w:val="clear" w:color="auto" w:fill="auto"/>
            <w:noWrap/>
            <w:vAlign w:val="center"/>
            <w:hideMark/>
          </w:tcPr>
          <w:p w14:paraId="33450FC8"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425.597</w:t>
            </w:r>
          </w:p>
        </w:tc>
        <w:tc>
          <w:tcPr>
            <w:tcW w:w="946" w:type="dxa"/>
            <w:tcBorders>
              <w:top w:val="nil"/>
              <w:left w:val="nil"/>
              <w:bottom w:val="single" w:sz="4" w:space="0" w:color="auto"/>
              <w:right w:val="single" w:sz="4" w:space="0" w:color="auto"/>
            </w:tcBorders>
            <w:shd w:val="clear" w:color="auto" w:fill="auto"/>
            <w:noWrap/>
            <w:vAlign w:val="center"/>
            <w:hideMark/>
          </w:tcPr>
          <w:p w14:paraId="7B7B3F7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445.330</w:t>
            </w:r>
          </w:p>
        </w:tc>
        <w:tc>
          <w:tcPr>
            <w:tcW w:w="897" w:type="dxa"/>
            <w:tcBorders>
              <w:top w:val="nil"/>
              <w:left w:val="nil"/>
              <w:bottom w:val="single" w:sz="4" w:space="0" w:color="auto"/>
              <w:right w:val="single" w:sz="4" w:space="0" w:color="auto"/>
            </w:tcBorders>
            <w:shd w:val="clear" w:color="auto" w:fill="auto"/>
            <w:noWrap/>
            <w:vAlign w:val="center"/>
            <w:hideMark/>
          </w:tcPr>
          <w:p w14:paraId="423FF528"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465.064</w:t>
            </w:r>
          </w:p>
        </w:tc>
        <w:tc>
          <w:tcPr>
            <w:tcW w:w="945" w:type="dxa"/>
            <w:tcBorders>
              <w:top w:val="nil"/>
              <w:left w:val="nil"/>
              <w:bottom w:val="single" w:sz="4" w:space="0" w:color="auto"/>
              <w:right w:val="single" w:sz="4" w:space="0" w:color="auto"/>
            </w:tcBorders>
            <w:shd w:val="clear" w:color="auto" w:fill="auto"/>
            <w:noWrap/>
            <w:vAlign w:val="center"/>
            <w:hideMark/>
          </w:tcPr>
          <w:p w14:paraId="2AACC97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484.797</w:t>
            </w:r>
          </w:p>
        </w:tc>
        <w:tc>
          <w:tcPr>
            <w:tcW w:w="993" w:type="dxa"/>
            <w:tcBorders>
              <w:top w:val="nil"/>
              <w:left w:val="nil"/>
              <w:bottom w:val="single" w:sz="4" w:space="0" w:color="auto"/>
              <w:right w:val="single" w:sz="8" w:space="0" w:color="auto"/>
            </w:tcBorders>
            <w:shd w:val="clear" w:color="auto" w:fill="auto"/>
            <w:noWrap/>
            <w:vAlign w:val="center"/>
            <w:hideMark/>
          </w:tcPr>
          <w:p w14:paraId="41BA7E9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504.530</w:t>
            </w:r>
          </w:p>
        </w:tc>
        <w:tc>
          <w:tcPr>
            <w:tcW w:w="992" w:type="dxa"/>
            <w:tcBorders>
              <w:top w:val="nil"/>
              <w:left w:val="nil"/>
              <w:bottom w:val="nil"/>
              <w:right w:val="nil"/>
            </w:tcBorders>
            <w:shd w:val="clear" w:color="auto" w:fill="auto"/>
            <w:noWrap/>
            <w:vAlign w:val="bottom"/>
            <w:hideMark/>
          </w:tcPr>
          <w:p w14:paraId="2A97AAA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78090741"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4914A407"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Glomazni otpad</w:t>
            </w:r>
          </w:p>
        </w:tc>
        <w:tc>
          <w:tcPr>
            <w:tcW w:w="897" w:type="dxa"/>
            <w:tcBorders>
              <w:top w:val="nil"/>
              <w:left w:val="single" w:sz="8" w:space="0" w:color="auto"/>
              <w:bottom w:val="single" w:sz="4" w:space="0" w:color="auto"/>
              <w:right w:val="single" w:sz="4" w:space="0" w:color="auto"/>
            </w:tcBorders>
            <w:shd w:val="clear" w:color="auto" w:fill="auto"/>
            <w:noWrap/>
            <w:vAlign w:val="center"/>
            <w:hideMark/>
          </w:tcPr>
          <w:p w14:paraId="37E58DC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158.495</w:t>
            </w:r>
          </w:p>
        </w:tc>
        <w:tc>
          <w:tcPr>
            <w:tcW w:w="946" w:type="dxa"/>
            <w:tcBorders>
              <w:top w:val="nil"/>
              <w:left w:val="nil"/>
              <w:bottom w:val="single" w:sz="4" w:space="0" w:color="auto"/>
              <w:right w:val="single" w:sz="4" w:space="0" w:color="auto"/>
            </w:tcBorders>
            <w:shd w:val="clear" w:color="auto" w:fill="auto"/>
            <w:noWrap/>
            <w:vAlign w:val="center"/>
            <w:hideMark/>
          </w:tcPr>
          <w:p w14:paraId="7C7D51C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162.171</w:t>
            </w:r>
          </w:p>
        </w:tc>
        <w:tc>
          <w:tcPr>
            <w:tcW w:w="897" w:type="dxa"/>
            <w:tcBorders>
              <w:top w:val="nil"/>
              <w:left w:val="nil"/>
              <w:bottom w:val="single" w:sz="4" w:space="0" w:color="auto"/>
              <w:right w:val="single" w:sz="4" w:space="0" w:color="auto"/>
            </w:tcBorders>
            <w:shd w:val="clear" w:color="auto" w:fill="auto"/>
            <w:noWrap/>
            <w:vAlign w:val="center"/>
            <w:hideMark/>
          </w:tcPr>
          <w:p w14:paraId="6EB71F8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165.847</w:t>
            </w:r>
          </w:p>
        </w:tc>
        <w:tc>
          <w:tcPr>
            <w:tcW w:w="946" w:type="dxa"/>
            <w:tcBorders>
              <w:top w:val="nil"/>
              <w:left w:val="nil"/>
              <w:bottom w:val="single" w:sz="4" w:space="0" w:color="auto"/>
              <w:right w:val="single" w:sz="4" w:space="0" w:color="auto"/>
            </w:tcBorders>
            <w:shd w:val="clear" w:color="auto" w:fill="auto"/>
            <w:noWrap/>
            <w:vAlign w:val="center"/>
            <w:hideMark/>
          </w:tcPr>
          <w:p w14:paraId="0240540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169.523</w:t>
            </w:r>
          </w:p>
        </w:tc>
        <w:tc>
          <w:tcPr>
            <w:tcW w:w="897" w:type="dxa"/>
            <w:tcBorders>
              <w:top w:val="nil"/>
              <w:left w:val="nil"/>
              <w:bottom w:val="single" w:sz="4" w:space="0" w:color="auto"/>
              <w:right w:val="single" w:sz="4" w:space="0" w:color="auto"/>
            </w:tcBorders>
            <w:shd w:val="clear" w:color="auto" w:fill="auto"/>
            <w:noWrap/>
            <w:vAlign w:val="center"/>
            <w:hideMark/>
          </w:tcPr>
          <w:p w14:paraId="78E48B5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173.199</w:t>
            </w:r>
          </w:p>
        </w:tc>
        <w:tc>
          <w:tcPr>
            <w:tcW w:w="945" w:type="dxa"/>
            <w:tcBorders>
              <w:top w:val="nil"/>
              <w:left w:val="nil"/>
              <w:bottom w:val="single" w:sz="4" w:space="0" w:color="auto"/>
              <w:right w:val="single" w:sz="4" w:space="0" w:color="auto"/>
            </w:tcBorders>
            <w:shd w:val="clear" w:color="auto" w:fill="auto"/>
            <w:noWrap/>
            <w:vAlign w:val="center"/>
            <w:hideMark/>
          </w:tcPr>
          <w:p w14:paraId="72C2CA5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176.875</w:t>
            </w:r>
          </w:p>
        </w:tc>
        <w:tc>
          <w:tcPr>
            <w:tcW w:w="993" w:type="dxa"/>
            <w:tcBorders>
              <w:top w:val="nil"/>
              <w:left w:val="nil"/>
              <w:bottom w:val="single" w:sz="4" w:space="0" w:color="auto"/>
              <w:right w:val="single" w:sz="8" w:space="0" w:color="auto"/>
            </w:tcBorders>
            <w:shd w:val="clear" w:color="auto" w:fill="auto"/>
            <w:noWrap/>
            <w:vAlign w:val="center"/>
            <w:hideMark/>
          </w:tcPr>
          <w:p w14:paraId="35DA84C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180.551</w:t>
            </w:r>
          </w:p>
        </w:tc>
        <w:tc>
          <w:tcPr>
            <w:tcW w:w="992" w:type="dxa"/>
            <w:tcBorders>
              <w:top w:val="nil"/>
              <w:left w:val="nil"/>
              <w:bottom w:val="nil"/>
              <w:right w:val="nil"/>
            </w:tcBorders>
            <w:shd w:val="clear" w:color="auto" w:fill="auto"/>
            <w:noWrap/>
            <w:vAlign w:val="bottom"/>
            <w:hideMark/>
          </w:tcPr>
          <w:p w14:paraId="1B2510F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1E8DF462"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0D6850E9"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Biootpad</w:t>
            </w:r>
          </w:p>
        </w:tc>
        <w:tc>
          <w:tcPr>
            <w:tcW w:w="897" w:type="dxa"/>
            <w:tcBorders>
              <w:top w:val="nil"/>
              <w:left w:val="single" w:sz="8" w:space="0" w:color="auto"/>
              <w:bottom w:val="single" w:sz="4" w:space="0" w:color="auto"/>
              <w:right w:val="single" w:sz="4" w:space="0" w:color="auto"/>
            </w:tcBorders>
            <w:shd w:val="clear" w:color="auto" w:fill="auto"/>
            <w:noWrap/>
            <w:vAlign w:val="center"/>
            <w:hideMark/>
          </w:tcPr>
          <w:p w14:paraId="75F4BDB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354.329</w:t>
            </w:r>
          </w:p>
        </w:tc>
        <w:tc>
          <w:tcPr>
            <w:tcW w:w="946" w:type="dxa"/>
            <w:tcBorders>
              <w:top w:val="nil"/>
              <w:left w:val="nil"/>
              <w:bottom w:val="single" w:sz="4" w:space="0" w:color="auto"/>
              <w:right w:val="single" w:sz="4" w:space="0" w:color="auto"/>
            </w:tcBorders>
            <w:shd w:val="clear" w:color="auto" w:fill="auto"/>
            <w:noWrap/>
            <w:vAlign w:val="center"/>
            <w:hideMark/>
          </w:tcPr>
          <w:p w14:paraId="491E920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383.348</w:t>
            </w:r>
          </w:p>
        </w:tc>
        <w:tc>
          <w:tcPr>
            <w:tcW w:w="897" w:type="dxa"/>
            <w:tcBorders>
              <w:top w:val="nil"/>
              <w:left w:val="nil"/>
              <w:bottom w:val="single" w:sz="4" w:space="0" w:color="auto"/>
              <w:right w:val="single" w:sz="4" w:space="0" w:color="auto"/>
            </w:tcBorders>
            <w:shd w:val="clear" w:color="auto" w:fill="auto"/>
            <w:noWrap/>
            <w:vAlign w:val="center"/>
            <w:hideMark/>
          </w:tcPr>
          <w:p w14:paraId="34D52F9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412.367</w:t>
            </w:r>
          </w:p>
        </w:tc>
        <w:tc>
          <w:tcPr>
            <w:tcW w:w="946" w:type="dxa"/>
            <w:tcBorders>
              <w:top w:val="nil"/>
              <w:left w:val="nil"/>
              <w:bottom w:val="single" w:sz="4" w:space="0" w:color="auto"/>
              <w:right w:val="single" w:sz="4" w:space="0" w:color="auto"/>
            </w:tcBorders>
            <w:shd w:val="clear" w:color="auto" w:fill="auto"/>
            <w:noWrap/>
            <w:vAlign w:val="center"/>
            <w:hideMark/>
          </w:tcPr>
          <w:p w14:paraId="7190C41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441.387</w:t>
            </w:r>
          </w:p>
        </w:tc>
        <w:tc>
          <w:tcPr>
            <w:tcW w:w="897" w:type="dxa"/>
            <w:tcBorders>
              <w:top w:val="nil"/>
              <w:left w:val="nil"/>
              <w:bottom w:val="single" w:sz="4" w:space="0" w:color="auto"/>
              <w:right w:val="single" w:sz="4" w:space="0" w:color="auto"/>
            </w:tcBorders>
            <w:shd w:val="clear" w:color="auto" w:fill="auto"/>
            <w:noWrap/>
            <w:vAlign w:val="center"/>
            <w:hideMark/>
          </w:tcPr>
          <w:p w14:paraId="59C0BF8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470.406</w:t>
            </w:r>
          </w:p>
        </w:tc>
        <w:tc>
          <w:tcPr>
            <w:tcW w:w="945" w:type="dxa"/>
            <w:tcBorders>
              <w:top w:val="nil"/>
              <w:left w:val="nil"/>
              <w:bottom w:val="single" w:sz="4" w:space="0" w:color="auto"/>
              <w:right w:val="single" w:sz="4" w:space="0" w:color="auto"/>
            </w:tcBorders>
            <w:shd w:val="clear" w:color="auto" w:fill="auto"/>
            <w:noWrap/>
            <w:vAlign w:val="center"/>
            <w:hideMark/>
          </w:tcPr>
          <w:p w14:paraId="5280E8B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499.425</w:t>
            </w:r>
          </w:p>
        </w:tc>
        <w:tc>
          <w:tcPr>
            <w:tcW w:w="993" w:type="dxa"/>
            <w:tcBorders>
              <w:top w:val="nil"/>
              <w:left w:val="nil"/>
              <w:bottom w:val="single" w:sz="4" w:space="0" w:color="auto"/>
              <w:right w:val="single" w:sz="8" w:space="0" w:color="auto"/>
            </w:tcBorders>
            <w:shd w:val="clear" w:color="auto" w:fill="auto"/>
            <w:noWrap/>
            <w:vAlign w:val="center"/>
            <w:hideMark/>
          </w:tcPr>
          <w:p w14:paraId="366CE80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528.444</w:t>
            </w:r>
          </w:p>
        </w:tc>
        <w:tc>
          <w:tcPr>
            <w:tcW w:w="992" w:type="dxa"/>
            <w:tcBorders>
              <w:top w:val="nil"/>
              <w:left w:val="nil"/>
              <w:bottom w:val="nil"/>
              <w:right w:val="nil"/>
            </w:tcBorders>
            <w:shd w:val="clear" w:color="auto" w:fill="auto"/>
            <w:noWrap/>
            <w:vAlign w:val="bottom"/>
            <w:hideMark/>
          </w:tcPr>
          <w:p w14:paraId="0B0D76A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1BA686D1"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46E515EA"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Plastika</w:t>
            </w:r>
          </w:p>
        </w:tc>
        <w:tc>
          <w:tcPr>
            <w:tcW w:w="897" w:type="dxa"/>
            <w:tcBorders>
              <w:top w:val="nil"/>
              <w:left w:val="single" w:sz="8" w:space="0" w:color="auto"/>
              <w:bottom w:val="single" w:sz="4" w:space="0" w:color="auto"/>
              <w:right w:val="single" w:sz="4" w:space="0" w:color="auto"/>
            </w:tcBorders>
            <w:shd w:val="clear" w:color="auto" w:fill="auto"/>
            <w:noWrap/>
            <w:vAlign w:val="center"/>
            <w:hideMark/>
          </w:tcPr>
          <w:p w14:paraId="5D86825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215.819</w:t>
            </w:r>
          </w:p>
        </w:tc>
        <w:tc>
          <w:tcPr>
            <w:tcW w:w="946" w:type="dxa"/>
            <w:tcBorders>
              <w:top w:val="nil"/>
              <w:left w:val="nil"/>
              <w:bottom w:val="single" w:sz="4" w:space="0" w:color="auto"/>
              <w:right w:val="single" w:sz="4" w:space="0" w:color="auto"/>
            </w:tcBorders>
            <w:shd w:val="clear" w:color="auto" w:fill="auto"/>
            <w:noWrap/>
            <w:vAlign w:val="center"/>
            <w:hideMark/>
          </w:tcPr>
          <w:p w14:paraId="0C42C5E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233.584</w:t>
            </w:r>
          </w:p>
        </w:tc>
        <w:tc>
          <w:tcPr>
            <w:tcW w:w="897" w:type="dxa"/>
            <w:tcBorders>
              <w:top w:val="nil"/>
              <w:left w:val="nil"/>
              <w:bottom w:val="single" w:sz="4" w:space="0" w:color="auto"/>
              <w:right w:val="single" w:sz="4" w:space="0" w:color="auto"/>
            </w:tcBorders>
            <w:shd w:val="clear" w:color="auto" w:fill="auto"/>
            <w:noWrap/>
            <w:vAlign w:val="center"/>
            <w:hideMark/>
          </w:tcPr>
          <w:p w14:paraId="78B0072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251.348</w:t>
            </w:r>
          </w:p>
        </w:tc>
        <w:tc>
          <w:tcPr>
            <w:tcW w:w="946" w:type="dxa"/>
            <w:tcBorders>
              <w:top w:val="nil"/>
              <w:left w:val="nil"/>
              <w:bottom w:val="single" w:sz="4" w:space="0" w:color="auto"/>
              <w:right w:val="single" w:sz="4" w:space="0" w:color="auto"/>
            </w:tcBorders>
            <w:shd w:val="clear" w:color="auto" w:fill="auto"/>
            <w:noWrap/>
            <w:vAlign w:val="center"/>
            <w:hideMark/>
          </w:tcPr>
          <w:p w14:paraId="140EB51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269.112</w:t>
            </w:r>
          </w:p>
        </w:tc>
        <w:tc>
          <w:tcPr>
            <w:tcW w:w="897" w:type="dxa"/>
            <w:tcBorders>
              <w:top w:val="nil"/>
              <w:left w:val="nil"/>
              <w:bottom w:val="single" w:sz="4" w:space="0" w:color="auto"/>
              <w:right w:val="single" w:sz="4" w:space="0" w:color="auto"/>
            </w:tcBorders>
            <w:shd w:val="clear" w:color="auto" w:fill="auto"/>
            <w:noWrap/>
            <w:vAlign w:val="center"/>
            <w:hideMark/>
          </w:tcPr>
          <w:p w14:paraId="1345F21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286.876</w:t>
            </w:r>
          </w:p>
        </w:tc>
        <w:tc>
          <w:tcPr>
            <w:tcW w:w="945" w:type="dxa"/>
            <w:tcBorders>
              <w:top w:val="nil"/>
              <w:left w:val="nil"/>
              <w:bottom w:val="single" w:sz="4" w:space="0" w:color="auto"/>
              <w:right w:val="single" w:sz="4" w:space="0" w:color="auto"/>
            </w:tcBorders>
            <w:shd w:val="clear" w:color="auto" w:fill="auto"/>
            <w:noWrap/>
            <w:vAlign w:val="center"/>
            <w:hideMark/>
          </w:tcPr>
          <w:p w14:paraId="7D6477A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304.640</w:t>
            </w:r>
          </w:p>
        </w:tc>
        <w:tc>
          <w:tcPr>
            <w:tcW w:w="993" w:type="dxa"/>
            <w:tcBorders>
              <w:top w:val="nil"/>
              <w:left w:val="nil"/>
              <w:bottom w:val="single" w:sz="4" w:space="0" w:color="auto"/>
              <w:right w:val="single" w:sz="8" w:space="0" w:color="auto"/>
            </w:tcBorders>
            <w:shd w:val="clear" w:color="auto" w:fill="auto"/>
            <w:noWrap/>
            <w:vAlign w:val="center"/>
            <w:hideMark/>
          </w:tcPr>
          <w:p w14:paraId="124F16B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322.404</w:t>
            </w:r>
          </w:p>
        </w:tc>
        <w:tc>
          <w:tcPr>
            <w:tcW w:w="992" w:type="dxa"/>
            <w:tcBorders>
              <w:top w:val="nil"/>
              <w:left w:val="nil"/>
              <w:bottom w:val="nil"/>
              <w:right w:val="nil"/>
            </w:tcBorders>
            <w:shd w:val="clear" w:color="auto" w:fill="auto"/>
            <w:noWrap/>
            <w:vAlign w:val="bottom"/>
            <w:hideMark/>
          </w:tcPr>
          <w:p w14:paraId="7F27243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08414E5E"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5E8EB233"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Staklo</w:t>
            </w:r>
          </w:p>
        </w:tc>
        <w:tc>
          <w:tcPr>
            <w:tcW w:w="897" w:type="dxa"/>
            <w:tcBorders>
              <w:top w:val="nil"/>
              <w:left w:val="single" w:sz="8" w:space="0" w:color="auto"/>
              <w:bottom w:val="single" w:sz="4" w:space="0" w:color="auto"/>
              <w:right w:val="single" w:sz="4" w:space="0" w:color="auto"/>
            </w:tcBorders>
            <w:shd w:val="clear" w:color="auto" w:fill="auto"/>
            <w:noWrap/>
            <w:vAlign w:val="center"/>
            <w:hideMark/>
          </w:tcPr>
          <w:p w14:paraId="23574A2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69.123</w:t>
            </w:r>
          </w:p>
        </w:tc>
        <w:tc>
          <w:tcPr>
            <w:tcW w:w="946" w:type="dxa"/>
            <w:tcBorders>
              <w:top w:val="nil"/>
              <w:left w:val="nil"/>
              <w:bottom w:val="single" w:sz="4" w:space="0" w:color="auto"/>
              <w:right w:val="single" w:sz="4" w:space="0" w:color="auto"/>
            </w:tcBorders>
            <w:shd w:val="clear" w:color="auto" w:fill="auto"/>
            <w:noWrap/>
            <w:vAlign w:val="center"/>
            <w:hideMark/>
          </w:tcPr>
          <w:p w14:paraId="66C4D57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71.112</w:t>
            </w:r>
          </w:p>
        </w:tc>
        <w:tc>
          <w:tcPr>
            <w:tcW w:w="897" w:type="dxa"/>
            <w:tcBorders>
              <w:top w:val="nil"/>
              <w:left w:val="nil"/>
              <w:bottom w:val="single" w:sz="4" w:space="0" w:color="auto"/>
              <w:right w:val="single" w:sz="4" w:space="0" w:color="auto"/>
            </w:tcBorders>
            <w:shd w:val="clear" w:color="auto" w:fill="auto"/>
            <w:noWrap/>
            <w:vAlign w:val="center"/>
            <w:hideMark/>
          </w:tcPr>
          <w:p w14:paraId="283F315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73.101</w:t>
            </w:r>
          </w:p>
        </w:tc>
        <w:tc>
          <w:tcPr>
            <w:tcW w:w="946" w:type="dxa"/>
            <w:tcBorders>
              <w:top w:val="nil"/>
              <w:left w:val="nil"/>
              <w:bottom w:val="single" w:sz="4" w:space="0" w:color="auto"/>
              <w:right w:val="single" w:sz="4" w:space="0" w:color="auto"/>
            </w:tcBorders>
            <w:shd w:val="clear" w:color="auto" w:fill="auto"/>
            <w:noWrap/>
            <w:vAlign w:val="center"/>
            <w:hideMark/>
          </w:tcPr>
          <w:p w14:paraId="1B55C0E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75.090</w:t>
            </w:r>
          </w:p>
        </w:tc>
        <w:tc>
          <w:tcPr>
            <w:tcW w:w="897" w:type="dxa"/>
            <w:tcBorders>
              <w:top w:val="nil"/>
              <w:left w:val="nil"/>
              <w:bottom w:val="single" w:sz="4" w:space="0" w:color="auto"/>
              <w:right w:val="single" w:sz="4" w:space="0" w:color="auto"/>
            </w:tcBorders>
            <w:shd w:val="clear" w:color="auto" w:fill="auto"/>
            <w:noWrap/>
            <w:vAlign w:val="center"/>
            <w:hideMark/>
          </w:tcPr>
          <w:p w14:paraId="43D580D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77.079</w:t>
            </w:r>
          </w:p>
        </w:tc>
        <w:tc>
          <w:tcPr>
            <w:tcW w:w="945" w:type="dxa"/>
            <w:tcBorders>
              <w:top w:val="nil"/>
              <w:left w:val="nil"/>
              <w:bottom w:val="single" w:sz="4" w:space="0" w:color="auto"/>
              <w:right w:val="single" w:sz="4" w:space="0" w:color="auto"/>
            </w:tcBorders>
            <w:shd w:val="clear" w:color="auto" w:fill="auto"/>
            <w:noWrap/>
            <w:vAlign w:val="center"/>
            <w:hideMark/>
          </w:tcPr>
          <w:p w14:paraId="70BD3AD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79.068</w:t>
            </w:r>
          </w:p>
        </w:tc>
        <w:tc>
          <w:tcPr>
            <w:tcW w:w="993" w:type="dxa"/>
            <w:tcBorders>
              <w:top w:val="nil"/>
              <w:left w:val="nil"/>
              <w:bottom w:val="single" w:sz="4" w:space="0" w:color="auto"/>
              <w:right w:val="single" w:sz="8" w:space="0" w:color="auto"/>
            </w:tcBorders>
            <w:shd w:val="clear" w:color="auto" w:fill="auto"/>
            <w:noWrap/>
            <w:vAlign w:val="center"/>
            <w:hideMark/>
          </w:tcPr>
          <w:p w14:paraId="2686DF1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81.057</w:t>
            </w:r>
          </w:p>
        </w:tc>
        <w:tc>
          <w:tcPr>
            <w:tcW w:w="992" w:type="dxa"/>
            <w:tcBorders>
              <w:top w:val="nil"/>
              <w:left w:val="nil"/>
              <w:bottom w:val="nil"/>
              <w:right w:val="nil"/>
            </w:tcBorders>
            <w:shd w:val="clear" w:color="auto" w:fill="auto"/>
            <w:noWrap/>
            <w:vAlign w:val="bottom"/>
            <w:hideMark/>
          </w:tcPr>
          <w:p w14:paraId="1F29237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1FB15A4B"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4C6814FC"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Metal</w:t>
            </w:r>
          </w:p>
        </w:tc>
        <w:tc>
          <w:tcPr>
            <w:tcW w:w="897" w:type="dxa"/>
            <w:tcBorders>
              <w:top w:val="nil"/>
              <w:left w:val="single" w:sz="8" w:space="0" w:color="auto"/>
              <w:bottom w:val="single" w:sz="4" w:space="0" w:color="auto"/>
              <w:right w:val="single" w:sz="4" w:space="0" w:color="auto"/>
            </w:tcBorders>
            <w:shd w:val="clear" w:color="auto" w:fill="auto"/>
            <w:noWrap/>
            <w:vAlign w:val="center"/>
            <w:hideMark/>
          </w:tcPr>
          <w:p w14:paraId="4FF9E12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64.272</w:t>
            </w:r>
          </w:p>
        </w:tc>
        <w:tc>
          <w:tcPr>
            <w:tcW w:w="946" w:type="dxa"/>
            <w:tcBorders>
              <w:top w:val="nil"/>
              <w:left w:val="nil"/>
              <w:bottom w:val="single" w:sz="4" w:space="0" w:color="auto"/>
              <w:right w:val="single" w:sz="4" w:space="0" w:color="auto"/>
            </w:tcBorders>
            <w:shd w:val="clear" w:color="auto" w:fill="auto"/>
            <w:noWrap/>
            <w:vAlign w:val="center"/>
            <w:hideMark/>
          </w:tcPr>
          <w:p w14:paraId="403FC50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65.903</w:t>
            </w:r>
          </w:p>
        </w:tc>
        <w:tc>
          <w:tcPr>
            <w:tcW w:w="897" w:type="dxa"/>
            <w:tcBorders>
              <w:top w:val="nil"/>
              <w:left w:val="nil"/>
              <w:bottom w:val="single" w:sz="4" w:space="0" w:color="auto"/>
              <w:right w:val="single" w:sz="4" w:space="0" w:color="auto"/>
            </w:tcBorders>
            <w:shd w:val="clear" w:color="auto" w:fill="auto"/>
            <w:noWrap/>
            <w:vAlign w:val="center"/>
            <w:hideMark/>
          </w:tcPr>
          <w:p w14:paraId="69765CE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67.534</w:t>
            </w:r>
          </w:p>
        </w:tc>
        <w:tc>
          <w:tcPr>
            <w:tcW w:w="946" w:type="dxa"/>
            <w:tcBorders>
              <w:top w:val="nil"/>
              <w:left w:val="nil"/>
              <w:bottom w:val="single" w:sz="4" w:space="0" w:color="auto"/>
              <w:right w:val="single" w:sz="4" w:space="0" w:color="auto"/>
            </w:tcBorders>
            <w:shd w:val="clear" w:color="auto" w:fill="auto"/>
            <w:noWrap/>
            <w:vAlign w:val="center"/>
            <w:hideMark/>
          </w:tcPr>
          <w:p w14:paraId="7CD809E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69.164</w:t>
            </w:r>
          </w:p>
        </w:tc>
        <w:tc>
          <w:tcPr>
            <w:tcW w:w="897" w:type="dxa"/>
            <w:tcBorders>
              <w:top w:val="nil"/>
              <w:left w:val="nil"/>
              <w:bottom w:val="single" w:sz="4" w:space="0" w:color="auto"/>
              <w:right w:val="single" w:sz="4" w:space="0" w:color="auto"/>
            </w:tcBorders>
            <w:shd w:val="clear" w:color="auto" w:fill="auto"/>
            <w:noWrap/>
            <w:vAlign w:val="center"/>
            <w:hideMark/>
          </w:tcPr>
          <w:p w14:paraId="07019F6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70.795</w:t>
            </w:r>
          </w:p>
        </w:tc>
        <w:tc>
          <w:tcPr>
            <w:tcW w:w="945" w:type="dxa"/>
            <w:tcBorders>
              <w:top w:val="nil"/>
              <w:left w:val="nil"/>
              <w:bottom w:val="single" w:sz="4" w:space="0" w:color="auto"/>
              <w:right w:val="single" w:sz="4" w:space="0" w:color="auto"/>
            </w:tcBorders>
            <w:shd w:val="clear" w:color="auto" w:fill="auto"/>
            <w:noWrap/>
            <w:vAlign w:val="center"/>
            <w:hideMark/>
          </w:tcPr>
          <w:p w14:paraId="644D88F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72.426</w:t>
            </w:r>
          </w:p>
        </w:tc>
        <w:tc>
          <w:tcPr>
            <w:tcW w:w="993" w:type="dxa"/>
            <w:tcBorders>
              <w:top w:val="nil"/>
              <w:left w:val="nil"/>
              <w:bottom w:val="single" w:sz="4" w:space="0" w:color="auto"/>
              <w:right w:val="single" w:sz="8" w:space="0" w:color="auto"/>
            </w:tcBorders>
            <w:shd w:val="clear" w:color="auto" w:fill="auto"/>
            <w:noWrap/>
            <w:vAlign w:val="center"/>
            <w:hideMark/>
          </w:tcPr>
          <w:p w14:paraId="0D8B3A7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74.057</w:t>
            </w:r>
          </w:p>
        </w:tc>
        <w:tc>
          <w:tcPr>
            <w:tcW w:w="992" w:type="dxa"/>
            <w:tcBorders>
              <w:top w:val="nil"/>
              <w:left w:val="nil"/>
              <w:bottom w:val="nil"/>
              <w:right w:val="nil"/>
            </w:tcBorders>
            <w:shd w:val="clear" w:color="auto" w:fill="auto"/>
            <w:noWrap/>
            <w:vAlign w:val="bottom"/>
            <w:hideMark/>
          </w:tcPr>
          <w:p w14:paraId="314E30C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6D788093" w14:textId="77777777" w:rsidTr="00747CFD">
        <w:trPr>
          <w:trHeight w:val="240"/>
        </w:trPr>
        <w:tc>
          <w:tcPr>
            <w:tcW w:w="1266" w:type="dxa"/>
            <w:tcBorders>
              <w:top w:val="nil"/>
              <w:left w:val="single" w:sz="8" w:space="0" w:color="auto"/>
              <w:bottom w:val="single" w:sz="8" w:space="0" w:color="auto"/>
              <w:right w:val="single" w:sz="4" w:space="0" w:color="auto"/>
            </w:tcBorders>
            <w:shd w:val="clear" w:color="auto" w:fill="auto"/>
            <w:noWrap/>
            <w:vAlign w:val="center"/>
            <w:hideMark/>
          </w:tcPr>
          <w:p w14:paraId="71E1C496"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Električni i elektronički</w:t>
            </w:r>
          </w:p>
        </w:tc>
        <w:tc>
          <w:tcPr>
            <w:tcW w:w="897" w:type="dxa"/>
            <w:tcBorders>
              <w:top w:val="nil"/>
              <w:left w:val="single" w:sz="8" w:space="0" w:color="auto"/>
              <w:bottom w:val="single" w:sz="4" w:space="0" w:color="auto"/>
              <w:right w:val="single" w:sz="4" w:space="0" w:color="auto"/>
            </w:tcBorders>
            <w:shd w:val="clear" w:color="auto" w:fill="auto"/>
            <w:noWrap/>
            <w:vAlign w:val="center"/>
            <w:hideMark/>
          </w:tcPr>
          <w:p w14:paraId="7D3FAA6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40.743</w:t>
            </w:r>
          </w:p>
        </w:tc>
        <w:tc>
          <w:tcPr>
            <w:tcW w:w="946" w:type="dxa"/>
            <w:tcBorders>
              <w:top w:val="nil"/>
              <w:left w:val="nil"/>
              <w:bottom w:val="single" w:sz="4" w:space="0" w:color="auto"/>
              <w:right w:val="single" w:sz="4" w:space="0" w:color="auto"/>
            </w:tcBorders>
            <w:shd w:val="clear" w:color="auto" w:fill="auto"/>
            <w:noWrap/>
            <w:vAlign w:val="center"/>
            <w:hideMark/>
          </w:tcPr>
          <w:p w14:paraId="0E79DBD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41.773</w:t>
            </w:r>
          </w:p>
        </w:tc>
        <w:tc>
          <w:tcPr>
            <w:tcW w:w="897" w:type="dxa"/>
            <w:tcBorders>
              <w:top w:val="nil"/>
              <w:left w:val="nil"/>
              <w:bottom w:val="single" w:sz="4" w:space="0" w:color="auto"/>
              <w:right w:val="single" w:sz="4" w:space="0" w:color="auto"/>
            </w:tcBorders>
            <w:shd w:val="clear" w:color="auto" w:fill="auto"/>
            <w:noWrap/>
            <w:vAlign w:val="center"/>
            <w:hideMark/>
          </w:tcPr>
          <w:p w14:paraId="73F44CA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42.803</w:t>
            </w:r>
          </w:p>
        </w:tc>
        <w:tc>
          <w:tcPr>
            <w:tcW w:w="946" w:type="dxa"/>
            <w:tcBorders>
              <w:top w:val="nil"/>
              <w:left w:val="nil"/>
              <w:bottom w:val="single" w:sz="4" w:space="0" w:color="auto"/>
              <w:right w:val="single" w:sz="4" w:space="0" w:color="auto"/>
            </w:tcBorders>
            <w:shd w:val="clear" w:color="auto" w:fill="auto"/>
            <w:noWrap/>
            <w:vAlign w:val="center"/>
            <w:hideMark/>
          </w:tcPr>
          <w:p w14:paraId="7E2E8D2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43.833</w:t>
            </w:r>
          </w:p>
        </w:tc>
        <w:tc>
          <w:tcPr>
            <w:tcW w:w="897" w:type="dxa"/>
            <w:tcBorders>
              <w:top w:val="nil"/>
              <w:left w:val="nil"/>
              <w:bottom w:val="single" w:sz="4" w:space="0" w:color="auto"/>
              <w:right w:val="single" w:sz="4" w:space="0" w:color="auto"/>
            </w:tcBorders>
            <w:shd w:val="clear" w:color="auto" w:fill="auto"/>
            <w:noWrap/>
            <w:vAlign w:val="center"/>
            <w:hideMark/>
          </w:tcPr>
          <w:p w14:paraId="5AEAA26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44.863</w:t>
            </w:r>
          </w:p>
        </w:tc>
        <w:tc>
          <w:tcPr>
            <w:tcW w:w="945" w:type="dxa"/>
            <w:tcBorders>
              <w:top w:val="nil"/>
              <w:left w:val="nil"/>
              <w:bottom w:val="single" w:sz="4" w:space="0" w:color="auto"/>
              <w:right w:val="single" w:sz="4" w:space="0" w:color="auto"/>
            </w:tcBorders>
            <w:shd w:val="clear" w:color="auto" w:fill="auto"/>
            <w:noWrap/>
            <w:vAlign w:val="center"/>
            <w:hideMark/>
          </w:tcPr>
          <w:p w14:paraId="766640E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45.893</w:t>
            </w:r>
          </w:p>
        </w:tc>
        <w:tc>
          <w:tcPr>
            <w:tcW w:w="993" w:type="dxa"/>
            <w:tcBorders>
              <w:top w:val="nil"/>
              <w:left w:val="nil"/>
              <w:bottom w:val="single" w:sz="4" w:space="0" w:color="auto"/>
              <w:right w:val="single" w:sz="8" w:space="0" w:color="auto"/>
            </w:tcBorders>
            <w:shd w:val="clear" w:color="auto" w:fill="auto"/>
            <w:noWrap/>
            <w:vAlign w:val="center"/>
            <w:hideMark/>
          </w:tcPr>
          <w:p w14:paraId="4BD3FFA8"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46.923</w:t>
            </w:r>
          </w:p>
        </w:tc>
        <w:tc>
          <w:tcPr>
            <w:tcW w:w="992" w:type="dxa"/>
            <w:tcBorders>
              <w:top w:val="nil"/>
              <w:left w:val="nil"/>
              <w:bottom w:val="nil"/>
              <w:right w:val="nil"/>
            </w:tcBorders>
            <w:shd w:val="clear" w:color="auto" w:fill="auto"/>
            <w:noWrap/>
            <w:vAlign w:val="bottom"/>
            <w:hideMark/>
          </w:tcPr>
          <w:p w14:paraId="1F03BD0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72FC3499" w14:textId="77777777" w:rsidTr="00747CFD">
        <w:trPr>
          <w:trHeight w:val="1005"/>
        </w:trPr>
        <w:tc>
          <w:tcPr>
            <w:tcW w:w="1266" w:type="dxa"/>
            <w:tcBorders>
              <w:top w:val="nil"/>
              <w:left w:val="single" w:sz="8" w:space="0" w:color="auto"/>
              <w:bottom w:val="single" w:sz="8" w:space="0" w:color="auto"/>
              <w:right w:val="nil"/>
            </w:tcBorders>
            <w:shd w:val="clear" w:color="auto" w:fill="002060"/>
            <w:noWrap/>
            <w:vAlign w:val="center"/>
            <w:hideMark/>
          </w:tcPr>
          <w:p w14:paraId="42E973F9" w14:textId="77777777" w:rsidR="003107D5" w:rsidRPr="00747CFD" w:rsidRDefault="003107D5" w:rsidP="00A41D37">
            <w:pPr>
              <w:spacing w:after="0" w:line="240" w:lineRule="auto"/>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w:t>
            </w:r>
          </w:p>
        </w:tc>
        <w:tc>
          <w:tcPr>
            <w:tcW w:w="897" w:type="dxa"/>
            <w:tcBorders>
              <w:top w:val="single" w:sz="8" w:space="0" w:color="auto"/>
              <w:left w:val="single" w:sz="8" w:space="0" w:color="auto"/>
              <w:bottom w:val="single" w:sz="8" w:space="0" w:color="auto"/>
              <w:right w:val="single" w:sz="4" w:space="0" w:color="auto"/>
            </w:tcBorders>
            <w:shd w:val="clear" w:color="auto" w:fill="002060"/>
            <w:vAlign w:val="center"/>
            <w:hideMark/>
          </w:tcPr>
          <w:p w14:paraId="1112F8F1"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2030. u odnosu na 2029.</w:t>
            </w:r>
          </w:p>
        </w:tc>
        <w:tc>
          <w:tcPr>
            <w:tcW w:w="946" w:type="dxa"/>
            <w:tcBorders>
              <w:top w:val="single" w:sz="8" w:space="0" w:color="auto"/>
              <w:left w:val="nil"/>
              <w:bottom w:val="single" w:sz="8" w:space="0" w:color="auto"/>
              <w:right w:val="single" w:sz="4" w:space="0" w:color="auto"/>
            </w:tcBorders>
            <w:shd w:val="clear" w:color="auto" w:fill="002060"/>
            <w:vAlign w:val="center"/>
            <w:hideMark/>
          </w:tcPr>
          <w:p w14:paraId="1FE4F518"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2031. u odnosu na 2030.</w:t>
            </w:r>
          </w:p>
        </w:tc>
        <w:tc>
          <w:tcPr>
            <w:tcW w:w="897" w:type="dxa"/>
            <w:tcBorders>
              <w:top w:val="single" w:sz="8" w:space="0" w:color="auto"/>
              <w:left w:val="nil"/>
              <w:bottom w:val="single" w:sz="8" w:space="0" w:color="auto"/>
              <w:right w:val="single" w:sz="4" w:space="0" w:color="auto"/>
            </w:tcBorders>
            <w:shd w:val="clear" w:color="auto" w:fill="002060"/>
            <w:vAlign w:val="center"/>
            <w:hideMark/>
          </w:tcPr>
          <w:p w14:paraId="2D9B4E65"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2032. u odnosu na 2031.</w:t>
            </w:r>
          </w:p>
        </w:tc>
        <w:tc>
          <w:tcPr>
            <w:tcW w:w="946" w:type="dxa"/>
            <w:tcBorders>
              <w:top w:val="single" w:sz="8" w:space="0" w:color="auto"/>
              <w:left w:val="nil"/>
              <w:bottom w:val="single" w:sz="8" w:space="0" w:color="auto"/>
              <w:right w:val="single" w:sz="4" w:space="0" w:color="auto"/>
            </w:tcBorders>
            <w:shd w:val="clear" w:color="auto" w:fill="002060"/>
            <w:vAlign w:val="center"/>
            <w:hideMark/>
          </w:tcPr>
          <w:p w14:paraId="3A1B46C4"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2033. u odnosu na 2032.</w:t>
            </w:r>
          </w:p>
        </w:tc>
        <w:tc>
          <w:tcPr>
            <w:tcW w:w="897" w:type="dxa"/>
            <w:tcBorders>
              <w:top w:val="single" w:sz="8" w:space="0" w:color="auto"/>
              <w:left w:val="nil"/>
              <w:bottom w:val="single" w:sz="8" w:space="0" w:color="auto"/>
              <w:right w:val="single" w:sz="4" w:space="0" w:color="auto"/>
            </w:tcBorders>
            <w:shd w:val="clear" w:color="auto" w:fill="002060"/>
            <w:vAlign w:val="center"/>
            <w:hideMark/>
          </w:tcPr>
          <w:p w14:paraId="4376B162"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2034. u odnosu na 2033.</w:t>
            </w:r>
          </w:p>
        </w:tc>
        <w:tc>
          <w:tcPr>
            <w:tcW w:w="945" w:type="dxa"/>
            <w:tcBorders>
              <w:top w:val="single" w:sz="8" w:space="0" w:color="auto"/>
              <w:left w:val="nil"/>
              <w:bottom w:val="single" w:sz="8" w:space="0" w:color="auto"/>
              <w:right w:val="single" w:sz="4" w:space="0" w:color="auto"/>
            </w:tcBorders>
            <w:shd w:val="clear" w:color="auto" w:fill="002060"/>
            <w:vAlign w:val="center"/>
            <w:hideMark/>
          </w:tcPr>
          <w:p w14:paraId="3B7FD0D2"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2035. u odnosu na 2034.</w:t>
            </w:r>
          </w:p>
        </w:tc>
        <w:tc>
          <w:tcPr>
            <w:tcW w:w="993" w:type="dxa"/>
            <w:tcBorders>
              <w:top w:val="single" w:sz="8" w:space="0" w:color="auto"/>
              <w:left w:val="nil"/>
              <w:bottom w:val="single" w:sz="8" w:space="0" w:color="auto"/>
              <w:right w:val="single" w:sz="8" w:space="0" w:color="auto"/>
            </w:tcBorders>
            <w:shd w:val="clear" w:color="auto" w:fill="002060"/>
            <w:vAlign w:val="center"/>
            <w:hideMark/>
          </w:tcPr>
          <w:p w14:paraId="317AE86C"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Srednja vrijednost</w:t>
            </w:r>
          </w:p>
        </w:tc>
        <w:tc>
          <w:tcPr>
            <w:tcW w:w="992" w:type="dxa"/>
            <w:tcBorders>
              <w:top w:val="nil"/>
              <w:left w:val="nil"/>
              <w:bottom w:val="nil"/>
              <w:right w:val="nil"/>
            </w:tcBorders>
            <w:shd w:val="clear" w:color="auto" w:fill="auto"/>
            <w:noWrap/>
            <w:vAlign w:val="bottom"/>
            <w:hideMark/>
          </w:tcPr>
          <w:p w14:paraId="533352C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5D7B00A4" w14:textId="77777777" w:rsidTr="00747CFD">
        <w:trPr>
          <w:trHeight w:val="240"/>
        </w:trPr>
        <w:tc>
          <w:tcPr>
            <w:tcW w:w="1266" w:type="dxa"/>
            <w:tcBorders>
              <w:top w:val="single" w:sz="4" w:space="0" w:color="auto"/>
              <w:left w:val="single" w:sz="8" w:space="0" w:color="auto"/>
              <w:bottom w:val="single" w:sz="4" w:space="0" w:color="auto"/>
              <w:right w:val="nil"/>
            </w:tcBorders>
            <w:shd w:val="clear" w:color="auto" w:fill="auto"/>
            <w:noWrap/>
            <w:vAlign w:val="center"/>
            <w:hideMark/>
          </w:tcPr>
          <w:p w14:paraId="507ABF47"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Papir i karton</w:t>
            </w:r>
          </w:p>
        </w:tc>
        <w:tc>
          <w:tcPr>
            <w:tcW w:w="89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008DDA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3F2B7DB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14:paraId="0281FA7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4F71A6A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14:paraId="56133A3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14:paraId="3AAC85B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w:t>
            </w:r>
          </w:p>
        </w:tc>
        <w:tc>
          <w:tcPr>
            <w:tcW w:w="993" w:type="dxa"/>
            <w:tcBorders>
              <w:top w:val="single" w:sz="4" w:space="0" w:color="auto"/>
              <w:left w:val="nil"/>
              <w:bottom w:val="single" w:sz="4" w:space="0" w:color="auto"/>
              <w:right w:val="single" w:sz="8" w:space="0" w:color="auto"/>
            </w:tcBorders>
            <w:shd w:val="clear" w:color="auto" w:fill="auto"/>
            <w:noWrap/>
            <w:vAlign w:val="center"/>
            <w:hideMark/>
          </w:tcPr>
          <w:p w14:paraId="07930A3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w:t>
            </w:r>
          </w:p>
        </w:tc>
        <w:tc>
          <w:tcPr>
            <w:tcW w:w="992" w:type="dxa"/>
            <w:tcBorders>
              <w:top w:val="nil"/>
              <w:left w:val="nil"/>
              <w:bottom w:val="nil"/>
              <w:right w:val="nil"/>
            </w:tcBorders>
            <w:shd w:val="clear" w:color="auto" w:fill="auto"/>
            <w:noWrap/>
            <w:vAlign w:val="bottom"/>
            <w:hideMark/>
          </w:tcPr>
          <w:p w14:paraId="2EFA903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3F4B7483" w14:textId="77777777" w:rsidTr="00747CFD">
        <w:trPr>
          <w:trHeight w:val="225"/>
        </w:trPr>
        <w:tc>
          <w:tcPr>
            <w:tcW w:w="1266" w:type="dxa"/>
            <w:tcBorders>
              <w:top w:val="nil"/>
              <w:left w:val="single" w:sz="8" w:space="0" w:color="auto"/>
              <w:bottom w:val="single" w:sz="4" w:space="0" w:color="auto"/>
              <w:right w:val="nil"/>
            </w:tcBorders>
            <w:shd w:val="clear" w:color="auto" w:fill="auto"/>
            <w:noWrap/>
            <w:vAlign w:val="center"/>
            <w:hideMark/>
          </w:tcPr>
          <w:p w14:paraId="52D4870B"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Glomazni otpad</w:t>
            </w:r>
          </w:p>
        </w:tc>
        <w:tc>
          <w:tcPr>
            <w:tcW w:w="897" w:type="dxa"/>
            <w:tcBorders>
              <w:top w:val="nil"/>
              <w:left w:val="single" w:sz="8" w:space="0" w:color="auto"/>
              <w:bottom w:val="single" w:sz="4" w:space="0" w:color="auto"/>
              <w:right w:val="single" w:sz="4" w:space="0" w:color="auto"/>
            </w:tcBorders>
            <w:shd w:val="clear" w:color="auto" w:fill="auto"/>
            <w:noWrap/>
            <w:vAlign w:val="center"/>
            <w:hideMark/>
          </w:tcPr>
          <w:p w14:paraId="3E4D875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46" w:type="dxa"/>
            <w:tcBorders>
              <w:top w:val="nil"/>
              <w:left w:val="nil"/>
              <w:bottom w:val="single" w:sz="4" w:space="0" w:color="auto"/>
              <w:right w:val="single" w:sz="4" w:space="0" w:color="auto"/>
            </w:tcBorders>
            <w:shd w:val="clear" w:color="auto" w:fill="auto"/>
            <w:noWrap/>
            <w:vAlign w:val="center"/>
            <w:hideMark/>
          </w:tcPr>
          <w:p w14:paraId="3F4CEB7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897" w:type="dxa"/>
            <w:tcBorders>
              <w:top w:val="nil"/>
              <w:left w:val="nil"/>
              <w:bottom w:val="single" w:sz="4" w:space="0" w:color="auto"/>
              <w:right w:val="single" w:sz="4" w:space="0" w:color="auto"/>
            </w:tcBorders>
            <w:shd w:val="clear" w:color="auto" w:fill="auto"/>
            <w:noWrap/>
            <w:vAlign w:val="center"/>
            <w:hideMark/>
          </w:tcPr>
          <w:p w14:paraId="04F31C0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46" w:type="dxa"/>
            <w:tcBorders>
              <w:top w:val="nil"/>
              <w:left w:val="nil"/>
              <w:bottom w:val="single" w:sz="4" w:space="0" w:color="auto"/>
              <w:right w:val="single" w:sz="4" w:space="0" w:color="auto"/>
            </w:tcBorders>
            <w:shd w:val="clear" w:color="auto" w:fill="auto"/>
            <w:noWrap/>
            <w:vAlign w:val="center"/>
            <w:hideMark/>
          </w:tcPr>
          <w:p w14:paraId="7D87683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897" w:type="dxa"/>
            <w:tcBorders>
              <w:top w:val="nil"/>
              <w:left w:val="nil"/>
              <w:bottom w:val="single" w:sz="4" w:space="0" w:color="auto"/>
              <w:right w:val="single" w:sz="4" w:space="0" w:color="auto"/>
            </w:tcBorders>
            <w:shd w:val="clear" w:color="auto" w:fill="auto"/>
            <w:noWrap/>
            <w:vAlign w:val="center"/>
            <w:hideMark/>
          </w:tcPr>
          <w:p w14:paraId="4EB7371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45" w:type="dxa"/>
            <w:tcBorders>
              <w:top w:val="nil"/>
              <w:left w:val="nil"/>
              <w:bottom w:val="single" w:sz="4" w:space="0" w:color="auto"/>
              <w:right w:val="single" w:sz="4" w:space="0" w:color="auto"/>
            </w:tcBorders>
            <w:shd w:val="clear" w:color="auto" w:fill="auto"/>
            <w:noWrap/>
            <w:vAlign w:val="center"/>
            <w:hideMark/>
          </w:tcPr>
          <w:p w14:paraId="65C85C8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93" w:type="dxa"/>
            <w:tcBorders>
              <w:top w:val="nil"/>
              <w:left w:val="nil"/>
              <w:bottom w:val="single" w:sz="4" w:space="0" w:color="auto"/>
              <w:right w:val="single" w:sz="8" w:space="0" w:color="auto"/>
            </w:tcBorders>
            <w:shd w:val="clear" w:color="auto" w:fill="auto"/>
            <w:noWrap/>
            <w:vAlign w:val="center"/>
            <w:hideMark/>
          </w:tcPr>
          <w:p w14:paraId="52922FE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92" w:type="dxa"/>
            <w:tcBorders>
              <w:top w:val="nil"/>
              <w:left w:val="nil"/>
              <w:bottom w:val="nil"/>
              <w:right w:val="nil"/>
            </w:tcBorders>
            <w:shd w:val="clear" w:color="auto" w:fill="auto"/>
            <w:noWrap/>
            <w:vAlign w:val="bottom"/>
            <w:hideMark/>
          </w:tcPr>
          <w:p w14:paraId="4D43DB9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1F5DFF9E" w14:textId="77777777" w:rsidTr="00747CFD">
        <w:trPr>
          <w:trHeight w:val="225"/>
        </w:trPr>
        <w:tc>
          <w:tcPr>
            <w:tcW w:w="1266" w:type="dxa"/>
            <w:tcBorders>
              <w:top w:val="nil"/>
              <w:left w:val="single" w:sz="8" w:space="0" w:color="auto"/>
              <w:bottom w:val="single" w:sz="4" w:space="0" w:color="auto"/>
              <w:right w:val="nil"/>
            </w:tcBorders>
            <w:shd w:val="clear" w:color="auto" w:fill="auto"/>
            <w:noWrap/>
            <w:vAlign w:val="center"/>
            <w:hideMark/>
          </w:tcPr>
          <w:p w14:paraId="4CC1A4D3"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Biootpad</w:t>
            </w:r>
          </w:p>
        </w:tc>
        <w:tc>
          <w:tcPr>
            <w:tcW w:w="897" w:type="dxa"/>
            <w:tcBorders>
              <w:top w:val="nil"/>
              <w:left w:val="single" w:sz="8" w:space="0" w:color="auto"/>
              <w:bottom w:val="single" w:sz="4" w:space="0" w:color="auto"/>
              <w:right w:val="single" w:sz="4" w:space="0" w:color="auto"/>
            </w:tcBorders>
            <w:shd w:val="clear" w:color="auto" w:fill="auto"/>
            <w:noWrap/>
            <w:vAlign w:val="center"/>
            <w:hideMark/>
          </w:tcPr>
          <w:p w14:paraId="3BDD075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w:t>
            </w:r>
          </w:p>
        </w:tc>
        <w:tc>
          <w:tcPr>
            <w:tcW w:w="946" w:type="dxa"/>
            <w:tcBorders>
              <w:top w:val="nil"/>
              <w:left w:val="nil"/>
              <w:bottom w:val="single" w:sz="4" w:space="0" w:color="auto"/>
              <w:right w:val="single" w:sz="4" w:space="0" w:color="auto"/>
            </w:tcBorders>
            <w:shd w:val="clear" w:color="auto" w:fill="auto"/>
            <w:noWrap/>
            <w:vAlign w:val="center"/>
            <w:hideMark/>
          </w:tcPr>
          <w:p w14:paraId="296EB85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w:t>
            </w:r>
          </w:p>
        </w:tc>
        <w:tc>
          <w:tcPr>
            <w:tcW w:w="897" w:type="dxa"/>
            <w:tcBorders>
              <w:top w:val="nil"/>
              <w:left w:val="nil"/>
              <w:bottom w:val="single" w:sz="4" w:space="0" w:color="auto"/>
              <w:right w:val="single" w:sz="4" w:space="0" w:color="auto"/>
            </w:tcBorders>
            <w:shd w:val="clear" w:color="auto" w:fill="auto"/>
            <w:noWrap/>
            <w:vAlign w:val="center"/>
            <w:hideMark/>
          </w:tcPr>
          <w:p w14:paraId="17A3D75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w:t>
            </w:r>
          </w:p>
        </w:tc>
        <w:tc>
          <w:tcPr>
            <w:tcW w:w="946" w:type="dxa"/>
            <w:tcBorders>
              <w:top w:val="nil"/>
              <w:left w:val="nil"/>
              <w:bottom w:val="single" w:sz="4" w:space="0" w:color="auto"/>
              <w:right w:val="single" w:sz="4" w:space="0" w:color="auto"/>
            </w:tcBorders>
            <w:shd w:val="clear" w:color="auto" w:fill="auto"/>
            <w:noWrap/>
            <w:vAlign w:val="center"/>
            <w:hideMark/>
          </w:tcPr>
          <w:p w14:paraId="03894C1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w:t>
            </w:r>
          </w:p>
        </w:tc>
        <w:tc>
          <w:tcPr>
            <w:tcW w:w="897" w:type="dxa"/>
            <w:tcBorders>
              <w:top w:val="nil"/>
              <w:left w:val="nil"/>
              <w:bottom w:val="single" w:sz="4" w:space="0" w:color="auto"/>
              <w:right w:val="single" w:sz="4" w:space="0" w:color="auto"/>
            </w:tcBorders>
            <w:shd w:val="clear" w:color="auto" w:fill="auto"/>
            <w:noWrap/>
            <w:vAlign w:val="center"/>
            <w:hideMark/>
          </w:tcPr>
          <w:p w14:paraId="4538271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w:t>
            </w:r>
          </w:p>
        </w:tc>
        <w:tc>
          <w:tcPr>
            <w:tcW w:w="945" w:type="dxa"/>
            <w:tcBorders>
              <w:top w:val="nil"/>
              <w:left w:val="nil"/>
              <w:bottom w:val="single" w:sz="4" w:space="0" w:color="auto"/>
              <w:right w:val="single" w:sz="4" w:space="0" w:color="auto"/>
            </w:tcBorders>
            <w:shd w:val="clear" w:color="auto" w:fill="auto"/>
            <w:noWrap/>
            <w:vAlign w:val="center"/>
            <w:hideMark/>
          </w:tcPr>
          <w:p w14:paraId="1641051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w:t>
            </w:r>
          </w:p>
        </w:tc>
        <w:tc>
          <w:tcPr>
            <w:tcW w:w="993" w:type="dxa"/>
            <w:tcBorders>
              <w:top w:val="nil"/>
              <w:left w:val="nil"/>
              <w:bottom w:val="single" w:sz="4" w:space="0" w:color="auto"/>
              <w:right w:val="single" w:sz="8" w:space="0" w:color="auto"/>
            </w:tcBorders>
            <w:shd w:val="clear" w:color="auto" w:fill="auto"/>
            <w:noWrap/>
            <w:vAlign w:val="center"/>
            <w:hideMark/>
          </w:tcPr>
          <w:p w14:paraId="576DD5E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w:t>
            </w:r>
          </w:p>
        </w:tc>
        <w:tc>
          <w:tcPr>
            <w:tcW w:w="992" w:type="dxa"/>
            <w:tcBorders>
              <w:top w:val="nil"/>
              <w:left w:val="nil"/>
              <w:bottom w:val="nil"/>
              <w:right w:val="nil"/>
            </w:tcBorders>
            <w:shd w:val="clear" w:color="auto" w:fill="auto"/>
            <w:noWrap/>
            <w:vAlign w:val="bottom"/>
            <w:hideMark/>
          </w:tcPr>
          <w:p w14:paraId="2BB37A0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5D6E1A9C" w14:textId="77777777" w:rsidTr="00747CFD">
        <w:trPr>
          <w:trHeight w:val="225"/>
        </w:trPr>
        <w:tc>
          <w:tcPr>
            <w:tcW w:w="1266" w:type="dxa"/>
            <w:tcBorders>
              <w:top w:val="nil"/>
              <w:left w:val="single" w:sz="8" w:space="0" w:color="auto"/>
              <w:bottom w:val="single" w:sz="4" w:space="0" w:color="auto"/>
              <w:right w:val="nil"/>
            </w:tcBorders>
            <w:shd w:val="clear" w:color="auto" w:fill="auto"/>
            <w:noWrap/>
            <w:vAlign w:val="center"/>
            <w:hideMark/>
          </w:tcPr>
          <w:p w14:paraId="74242165"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Plastika</w:t>
            </w:r>
          </w:p>
        </w:tc>
        <w:tc>
          <w:tcPr>
            <w:tcW w:w="897" w:type="dxa"/>
            <w:tcBorders>
              <w:top w:val="nil"/>
              <w:left w:val="single" w:sz="8" w:space="0" w:color="auto"/>
              <w:bottom w:val="single" w:sz="4" w:space="0" w:color="auto"/>
              <w:right w:val="single" w:sz="4" w:space="0" w:color="auto"/>
            </w:tcBorders>
            <w:shd w:val="clear" w:color="auto" w:fill="auto"/>
            <w:noWrap/>
            <w:vAlign w:val="center"/>
            <w:hideMark/>
          </w:tcPr>
          <w:p w14:paraId="29220718"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w:t>
            </w:r>
          </w:p>
        </w:tc>
        <w:tc>
          <w:tcPr>
            <w:tcW w:w="946" w:type="dxa"/>
            <w:tcBorders>
              <w:top w:val="nil"/>
              <w:left w:val="nil"/>
              <w:bottom w:val="single" w:sz="4" w:space="0" w:color="auto"/>
              <w:right w:val="single" w:sz="4" w:space="0" w:color="auto"/>
            </w:tcBorders>
            <w:shd w:val="clear" w:color="auto" w:fill="auto"/>
            <w:noWrap/>
            <w:vAlign w:val="center"/>
            <w:hideMark/>
          </w:tcPr>
          <w:p w14:paraId="1976F0A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w:t>
            </w:r>
          </w:p>
        </w:tc>
        <w:tc>
          <w:tcPr>
            <w:tcW w:w="897" w:type="dxa"/>
            <w:tcBorders>
              <w:top w:val="nil"/>
              <w:left w:val="nil"/>
              <w:bottom w:val="single" w:sz="4" w:space="0" w:color="auto"/>
              <w:right w:val="single" w:sz="4" w:space="0" w:color="auto"/>
            </w:tcBorders>
            <w:shd w:val="clear" w:color="auto" w:fill="auto"/>
            <w:noWrap/>
            <w:vAlign w:val="center"/>
            <w:hideMark/>
          </w:tcPr>
          <w:p w14:paraId="02FBBED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w:t>
            </w:r>
          </w:p>
        </w:tc>
        <w:tc>
          <w:tcPr>
            <w:tcW w:w="946" w:type="dxa"/>
            <w:tcBorders>
              <w:top w:val="nil"/>
              <w:left w:val="nil"/>
              <w:bottom w:val="single" w:sz="4" w:space="0" w:color="auto"/>
              <w:right w:val="single" w:sz="4" w:space="0" w:color="auto"/>
            </w:tcBorders>
            <w:shd w:val="clear" w:color="auto" w:fill="auto"/>
            <w:noWrap/>
            <w:vAlign w:val="center"/>
            <w:hideMark/>
          </w:tcPr>
          <w:p w14:paraId="0ED60FF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w:t>
            </w:r>
          </w:p>
        </w:tc>
        <w:tc>
          <w:tcPr>
            <w:tcW w:w="897" w:type="dxa"/>
            <w:tcBorders>
              <w:top w:val="nil"/>
              <w:left w:val="nil"/>
              <w:bottom w:val="single" w:sz="4" w:space="0" w:color="auto"/>
              <w:right w:val="single" w:sz="4" w:space="0" w:color="auto"/>
            </w:tcBorders>
            <w:shd w:val="clear" w:color="auto" w:fill="auto"/>
            <w:noWrap/>
            <w:vAlign w:val="center"/>
            <w:hideMark/>
          </w:tcPr>
          <w:p w14:paraId="452F048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w:t>
            </w:r>
          </w:p>
        </w:tc>
        <w:tc>
          <w:tcPr>
            <w:tcW w:w="945" w:type="dxa"/>
            <w:tcBorders>
              <w:top w:val="nil"/>
              <w:left w:val="nil"/>
              <w:bottom w:val="single" w:sz="4" w:space="0" w:color="auto"/>
              <w:right w:val="single" w:sz="4" w:space="0" w:color="auto"/>
            </w:tcBorders>
            <w:shd w:val="clear" w:color="auto" w:fill="auto"/>
            <w:noWrap/>
            <w:vAlign w:val="center"/>
            <w:hideMark/>
          </w:tcPr>
          <w:p w14:paraId="37CD3CF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w:t>
            </w:r>
          </w:p>
        </w:tc>
        <w:tc>
          <w:tcPr>
            <w:tcW w:w="993" w:type="dxa"/>
            <w:tcBorders>
              <w:top w:val="nil"/>
              <w:left w:val="nil"/>
              <w:bottom w:val="single" w:sz="4" w:space="0" w:color="auto"/>
              <w:right w:val="single" w:sz="8" w:space="0" w:color="auto"/>
            </w:tcBorders>
            <w:shd w:val="clear" w:color="auto" w:fill="auto"/>
            <w:noWrap/>
            <w:vAlign w:val="center"/>
            <w:hideMark/>
          </w:tcPr>
          <w:p w14:paraId="57A93AC8"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w:t>
            </w:r>
          </w:p>
        </w:tc>
        <w:tc>
          <w:tcPr>
            <w:tcW w:w="992" w:type="dxa"/>
            <w:tcBorders>
              <w:top w:val="nil"/>
              <w:left w:val="nil"/>
              <w:bottom w:val="nil"/>
              <w:right w:val="nil"/>
            </w:tcBorders>
            <w:shd w:val="clear" w:color="auto" w:fill="auto"/>
            <w:noWrap/>
            <w:vAlign w:val="bottom"/>
            <w:hideMark/>
          </w:tcPr>
          <w:p w14:paraId="1240DD1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74FC8D20" w14:textId="77777777" w:rsidTr="00747CFD">
        <w:trPr>
          <w:trHeight w:val="225"/>
        </w:trPr>
        <w:tc>
          <w:tcPr>
            <w:tcW w:w="1266" w:type="dxa"/>
            <w:tcBorders>
              <w:top w:val="nil"/>
              <w:left w:val="single" w:sz="8" w:space="0" w:color="auto"/>
              <w:bottom w:val="single" w:sz="4" w:space="0" w:color="auto"/>
              <w:right w:val="nil"/>
            </w:tcBorders>
            <w:shd w:val="clear" w:color="auto" w:fill="auto"/>
            <w:noWrap/>
            <w:vAlign w:val="center"/>
            <w:hideMark/>
          </w:tcPr>
          <w:p w14:paraId="63FFC469"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Staklo</w:t>
            </w:r>
          </w:p>
        </w:tc>
        <w:tc>
          <w:tcPr>
            <w:tcW w:w="897" w:type="dxa"/>
            <w:tcBorders>
              <w:top w:val="nil"/>
              <w:left w:val="single" w:sz="8" w:space="0" w:color="auto"/>
              <w:bottom w:val="single" w:sz="4" w:space="0" w:color="auto"/>
              <w:right w:val="single" w:sz="4" w:space="0" w:color="auto"/>
            </w:tcBorders>
            <w:shd w:val="clear" w:color="auto" w:fill="auto"/>
            <w:noWrap/>
            <w:vAlign w:val="center"/>
            <w:hideMark/>
          </w:tcPr>
          <w:p w14:paraId="661EE60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6" w:type="dxa"/>
            <w:tcBorders>
              <w:top w:val="nil"/>
              <w:left w:val="nil"/>
              <w:bottom w:val="single" w:sz="4" w:space="0" w:color="auto"/>
              <w:right w:val="single" w:sz="4" w:space="0" w:color="auto"/>
            </w:tcBorders>
            <w:shd w:val="clear" w:color="auto" w:fill="auto"/>
            <w:noWrap/>
            <w:vAlign w:val="center"/>
            <w:hideMark/>
          </w:tcPr>
          <w:p w14:paraId="4A6AA9D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97" w:type="dxa"/>
            <w:tcBorders>
              <w:top w:val="nil"/>
              <w:left w:val="nil"/>
              <w:bottom w:val="single" w:sz="4" w:space="0" w:color="auto"/>
              <w:right w:val="single" w:sz="4" w:space="0" w:color="auto"/>
            </w:tcBorders>
            <w:shd w:val="clear" w:color="auto" w:fill="auto"/>
            <w:noWrap/>
            <w:vAlign w:val="center"/>
            <w:hideMark/>
          </w:tcPr>
          <w:p w14:paraId="7902E2D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6" w:type="dxa"/>
            <w:tcBorders>
              <w:top w:val="nil"/>
              <w:left w:val="nil"/>
              <w:bottom w:val="single" w:sz="4" w:space="0" w:color="auto"/>
              <w:right w:val="single" w:sz="4" w:space="0" w:color="auto"/>
            </w:tcBorders>
            <w:shd w:val="clear" w:color="auto" w:fill="auto"/>
            <w:noWrap/>
            <w:vAlign w:val="center"/>
            <w:hideMark/>
          </w:tcPr>
          <w:p w14:paraId="7EC5395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97" w:type="dxa"/>
            <w:tcBorders>
              <w:top w:val="nil"/>
              <w:left w:val="nil"/>
              <w:bottom w:val="single" w:sz="4" w:space="0" w:color="auto"/>
              <w:right w:val="single" w:sz="4" w:space="0" w:color="auto"/>
            </w:tcBorders>
            <w:shd w:val="clear" w:color="auto" w:fill="auto"/>
            <w:noWrap/>
            <w:vAlign w:val="center"/>
            <w:hideMark/>
          </w:tcPr>
          <w:p w14:paraId="6F363D9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5" w:type="dxa"/>
            <w:tcBorders>
              <w:top w:val="nil"/>
              <w:left w:val="nil"/>
              <w:bottom w:val="single" w:sz="4" w:space="0" w:color="auto"/>
              <w:right w:val="single" w:sz="4" w:space="0" w:color="auto"/>
            </w:tcBorders>
            <w:shd w:val="clear" w:color="auto" w:fill="auto"/>
            <w:noWrap/>
            <w:vAlign w:val="center"/>
            <w:hideMark/>
          </w:tcPr>
          <w:p w14:paraId="0EE5822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93" w:type="dxa"/>
            <w:tcBorders>
              <w:top w:val="nil"/>
              <w:left w:val="nil"/>
              <w:bottom w:val="single" w:sz="4" w:space="0" w:color="auto"/>
              <w:right w:val="single" w:sz="8" w:space="0" w:color="auto"/>
            </w:tcBorders>
            <w:shd w:val="clear" w:color="auto" w:fill="auto"/>
            <w:noWrap/>
            <w:vAlign w:val="center"/>
            <w:hideMark/>
          </w:tcPr>
          <w:p w14:paraId="15BDEF5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w:t>
            </w:r>
          </w:p>
        </w:tc>
        <w:tc>
          <w:tcPr>
            <w:tcW w:w="992" w:type="dxa"/>
            <w:tcBorders>
              <w:top w:val="nil"/>
              <w:left w:val="nil"/>
              <w:bottom w:val="nil"/>
              <w:right w:val="nil"/>
            </w:tcBorders>
            <w:shd w:val="clear" w:color="auto" w:fill="auto"/>
            <w:noWrap/>
            <w:vAlign w:val="bottom"/>
            <w:hideMark/>
          </w:tcPr>
          <w:p w14:paraId="32940E7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5D389DE4" w14:textId="77777777" w:rsidTr="00747CFD">
        <w:trPr>
          <w:trHeight w:val="225"/>
        </w:trPr>
        <w:tc>
          <w:tcPr>
            <w:tcW w:w="1266" w:type="dxa"/>
            <w:tcBorders>
              <w:top w:val="nil"/>
              <w:left w:val="single" w:sz="8" w:space="0" w:color="auto"/>
              <w:bottom w:val="single" w:sz="4" w:space="0" w:color="auto"/>
              <w:right w:val="nil"/>
            </w:tcBorders>
            <w:shd w:val="clear" w:color="auto" w:fill="auto"/>
            <w:noWrap/>
            <w:vAlign w:val="center"/>
            <w:hideMark/>
          </w:tcPr>
          <w:p w14:paraId="17BEFBEA"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Metal</w:t>
            </w:r>
          </w:p>
        </w:tc>
        <w:tc>
          <w:tcPr>
            <w:tcW w:w="897" w:type="dxa"/>
            <w:tcBorders>
              <w:top w:val="nil"/>
              <w:left w:val="single" w:sz="8" w:space="0" w:color="auto"/>
              <w:bottom w:val="single" w:sz="4" w:space="0" w:color="auto"/>
              <w:right w:val="single" w:sz="4" w:space="0" w:color="auto"/>
            </w:tcBorders>
            <w:shd w:val="clear" w:color="auto" w:fill="auto"/>
            <w:noWrap/>
            <w:vAlign w:val="center"/>
            <w:hideMark/>
          </w:tcPr>
          <w:p w14:paraId="14D2FA1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6" w:type="dxa"/>
            <w:tcBorders>
              <w:top w:val="nil"/>
              <w:left w:val="nil"/>
              <w:bottom w:val="single" w:sz="4" w:space="0" w:color="auto"/>
              <w:right w:val="single" w:sz="4" w:space="0" w:color="auto"/>
            </w:tcBorders>
            <w:shd w:val="clear" w:color="auto" w:fill="auto"/>
            <w:noWrap/>
            <w:vAlign w:val="center"/>
            <w:hideMark/>
          </w:tcPr>
          <w:p w14:paraId="7CD0A25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897" w:type="dxa"/>
            <w:tcBorders>
              <w:top w:val="nil"/>
              <w:left w:val="nil"/>
              <w:bottom w:val="single" w:sz="4" w:space="0" w:color="auto"/>
              <w:right w:val="single" w:sz="4" w:space="0" w:color="auto"/>
            </w:tcBorders>
            <w:shd w:val="clear" w:color="auto" w:fill="auto"/>
            <w:noWrap/>
            <w:vAlign w:val="center"/>
            <w:hideMark/>
          </w:tcPr>
          <w:p w14:paraId="6AF0AB9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46" w:type="dxa"/>
            <w:tcBorders>
              <w:top w:val="nil"/>
              <w:left w:val="nil"/>
              <w:bottom w:val="single" w:sz="4" w:space="0" w:color="auto"/>
              <w:right w:val="single" w:sz="4" w:space="0" w:color="auto"/>
            </w:tcBorders>
            <w:shd w:val="clear" w:color="auto" w:fill="auto"/>
            <w:noWrap/>
            <w:vAlign w:val="center"/>
            <w:hideMark/>
          </w:tcPr>
          <w:p w14:paraId="2DF46EF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897" w:type="dxa"/>
            <w:tcBorders>
              <w:top w:val="nil"/>
              <w:left w:val="nil"/>
              <w:bottom w:val="single" w:sz="4" w:space="0" w:color="auto"/>
              <w:right w:val="single" w:sz="4" w:space="0" w:color="auto"/>
            </w:tcBorders>
            <w:shd w:val="clear" w:color="auto" w:fill="auto"/>
            <w:noWrap/>
            <w:vAlign w:val="center"/>
            <w:hideMark/>
          </w:tcPr>
          <w:p w14:paraId="1550E35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45" w:type="dxa"/>
            <w:tcBorders>
              <w:top w:val="nil"/>
              <w:left w:val="nil"/>
              <w:bottom w:val="single" w:sz="4" w:space="0" w:color="auto"/>
              <w:right w:val="single" w:sz="4" w:space="0" w:color="auto"/>
            </w:tcBorders>
            <w:shd w:val="clear" w:color="auto" w:fill="auto"/>
            <w:noWrap/>
            <w:vAlign w:val="center"/>
            <w:hideMark/>
          </w:tcPr>
          <w:p w14:paraId="5B2EB85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93" w:type="dxa"/>
            <w:tcBorders>
              <w:top w:val="nil"/>
              <w:left w:val="nil"/>
              <w:bottom w:val="single" w:sz="4" w:space="0" w:color="auto"/>
              <w:right w:val="single" w:sz="8" w:space="0" w:color="auto"/>
            </w:tcBorders>
            <w:shd w:val="clear" w:color="auto" w:fill="auto"/>
            <w:noWrap/>
            <w:vAlign w:val="center"/>
            <w:hideMark/>
          </w:tcPr>
          <w:p w14:paraId="2A62570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w:t>
            </w:r>
          </w:p>
        </w:tc>
        <w:tc>
          <w:tcPr>
            <w:tcW w:w="992" w:type="dxa"/>
            <w:tcBorders>
              <w:top w:val="nil"/>
              <w:left w:val="nil"/>
              <w:bottom w:val="nil"/>
              <w:right w:val="nil"/>
            </w:tcBorders>
            <w:shd w:val="clear" w:color="auto" w:fill="auto"/>
            <w:noWrap/>
            <w:vAlign w:val="bottom"/>
            <w:hideMark/>
          </w:tcPr>
          <w:p w14:paraId="19B2036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6F70BBE7" w14:textId="77777777" w:rsidTr="00747CFD">
        <w:trPr>
          <w:trHeight w:val="240"/>
        </w:trPr>
        <w:tc>
          <w:tcPr>
            <w:tcW w:w="1266" w:type="dxa"/>
            <w:tcBorders>
              <w:top w:val="nil"/>
              <w:left w:val="single" w:sz="8" w:space="0" w:color="auto"/>
              <w:bottom w:val="single" w:sz="8" w:space="0" w:color="auto"/>
              <w:right w:val="nil"/>
            </w:tcBorders>
            <w:shd w:val="clear" w:color="auto" w:fill="auto"/>
            <w:noWrap/>
            <w:vAlign w:val="center"/>
            <w:hideMark/>
          </w:tcPr>
          <w:p w14:paraId="600E251E"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Električni i elektronički</w:t>
            </w:r>
          </w:p>
        </w:tc>
        <w:tc>
          <w:tcPr>
            <w:tcW w:w="897" w:type="dxa"/>
            <w:tcBorders>
              <w:top w:val="nil"/>
              <w:left w:val="single" w:sz="8" w:space="0" w:color="auto"/>
              <w:bottom w:val="single" w:sz="8" w:space="0" w:color="auto"/>
              <w:right w:val="single" w:sz="4" w:space="0" w:color="auto"/>
            </w:tcBorders>
            <w:shd w:val="clear" w:color="auto" w:fill="auto"/>
            <w:noWrap/>
            <w:vAlign w:val="center"/>
            <w:hideMark/>
          </w:tcPr>
          <w:p w14:paraId="19B2E25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6" w:type="dxa"/>
            <w:tcBorders>
              <w:top w:val="nil"/>
              <w:left w:val="nil"/>
              <w:bottom w:val="single" w:sz="8" w:space="0" w:color="auto"/>
              <w:right w:val="single" w:sz="4" w:space="0" w:color="auto"/>
            </w:tcBorders>
            <w:shd w:val="clear" w:color="auto" w:fill="auto"/>
            <w:noWrap/>
            <w:vAlign w:val="center"/>
            <w:hideMark/>
          </w:tcPr>
          <w:p w14:paraId="7EA0FEE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897" w:type="dxa"/>
            <w:tcBorders>
              <w:top w:val="nil"/>
              <w:left w:val="nil"/>
              <w:bottom w:val="single" w:sz="8" w:space="0" w:color="auto"/>
              <w:right w:val="single" w:sz="4" w:space="0" w:color="auto"/>
            </w:tcBorders>
            <w:shd w:val="clear" w:color="auto" w:fill="auto"/>
            <w:noWrap/>
            <w:vAlign w:val="center"/>
            <w:hideMark/>
          </w:tcPr>
          <w:p w14:paraId="0160276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46" w:type="dxa"/>
            <w:tcBorders>
              <w:top w:val="nil"/>
              <w:left w:val="nil"/>
              <w:bottom w:val="single" w:sz="8" w:space="0" w:color="auto"/>
              <w:right w:val="single" w:sz="4" w:space="0" w:color="auto"/>
            </w:tcBorders>
            <w:shd w:val="clear" w:color="auto" w:fill="auto"/>
            <w:noWrap/>
            <w:vAlign w:val="center"/>
            <w:hideMark/>
          </w:tcPr>
          <w:p w14:paraId="60D496D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897" w:type="dxa"/>
            <w:tcBorders>
              <w:top w:val="nil"/>
              <w:left w:val="nil"/>
              <w:bottom w:val="single" w:sz="8" w:space="0" w:color="auto"/>
              <w:right w:val="single" w:sz="4" w:space="0" w:color="auto"/>
            </w:tcBorders>
            <w:shd w:val="clear" w:color="auto" w:fill="auto"/>
            <w:noWrap/>
            <w:vAlign w:val="center"/>
            <w:hideMark/>
          </w:tcPr>
          <w:p w14:paraId="56ACDDE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45" w:type="dxa"/>
            <w:tcBorders>
              <w:top w:val="nil"/>
              <w:left w:val="nil"/>
              <w:bottom w:val="single" w:sz="8" w:space="0" w:color="auto"/>
              <w:right w:val="single" w:sz="4" w:space="0" w:color="auto"/>
            </w:tcBorders>
            <w:shd w:val="clear" w:color="auto" w:fill="auto"/>
            <w:noWrap/>
            <w:vAlign w:val="center"/>
            <w:hideMark/>
          </w:tcPr>
          <w:p w14:paraId="40C9B3A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93" w:type="dxa"/>
            <w:tcBorders>
              <w:top w:val="nil"/>
              <w:left w:val="nil"/>
              <w:bottom w:val="single" w:sz="8" w:space="0" w:color="auto"/>
              <w:right w:val="single" w:sz="8" w:space="0" w:color="auto"/>
            </w:tcBorders>
            <w:shd w:val="clear" w:color="auto" w:fill="auto"/>
            <w:noWrap/>
            <w:vAlign w:val="center"/>
            <w:hideMark/>
          </w:tcPr>
          <w:p w14:paraId="14FD9AC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w:t>
            </w:r>
          </w:p>
        </w:tc>
        <w:tc>
          <w:tcPr>
            <w:tcW w:w="992" w:type="dxa"/>
            <w:tcBorders>
              <w:top w:val="nil"/>
              <w:left w:val="nil"/>
              <w:bottom w:val="nil"/>
              <w:right w:val="nil"/>
            </w:tcBorders>
            <w:shd w:val="clear" w:color="auto" w:fill="auto"/>
            <w:noWrap/>
            <w:vAlign w:val="bottom"/>
            <w:hideMark/>
          </w:tcPr>
          <w:p w14:paraId="6027BC5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bl>
    <w:p w14:paraId="5E5A6EC9" w14:textId="77777777" w:rsidR="003107D5" w:rsidRPr="00D73675" w:rsidRDefault="003107D5" w:rsidP="00A079AF">
      <w:pPr>
        <w:rPr>
          <w:highlight w:val="yellow"/>
        </w:rPr>
      </w:pPr>
    </w:p>
    <w:p w14:paraId="42794EE8" w14:textId="51E8B8C9" w:rsidR="00A079AF" w:rsidRPr="00A079AF" w:rsidRDefault="00A079AF" w:rsidP="00A079AF">
      <w:r w:rsidRPr="00A079AF">
        <w:t xml:space="preserve">Sukladno </w:t>
      </w:r>
      <w:r>
        <w:t>navedenom,</w:t>
      </w:r>
      <w:r w:rsidRPr="00A079AF">
        <w:t xml:space="preserve"> godišnja stopa povećanja odvojenog prikupljanja KO iznosi 3-10%, što je još uvijek predstavlja prilično visoki rast u količinama odvojeno prikupljenog KO, ali uz znatna ulaganja ipak dostižan cilj tijekom sljedećih 13 godina. </w:t>
      </w:r>
    </w:p>
    <w:p w14:paraId="7CF6EE54" w14:textId="3A30491B" w:rsidR="00A079AF" w:rsidRPr="00A079AF" w:rsidRDefault="00A079AF" w:rsidP="00A079AF">
      <w:r w:rsidRPr="00A079AF">
        <w:t xml:space="preserve">Bez analize ispunjavanja ciljeva određenog Direktivom (EU) 2018/851 Europskog parlamenta i Vijeća od 30. svibnja 2018. o izmjeni Direktive 2008/98/EZ o otpadu o potrebi osiguranja pripreme za ponovnu uporabu i recikliranje komunalnog otpada u godinama 2025., </w:t>
      </w:r>
      <w:r>
        <w:t xml:space="preserve">2028., </w:t>
      </w:r>
      <w:r w:rsidRPr="00A079AF">
        <w:t xml:space="preserve">2030. i 2035. nije moguće izraditi projekcije očekivanih količina i sastava </w:t>
      </w:r>
      <w:proofErr w:type="spellStart"/>
      <w:r w:rsidRPr="00A079AF">
        <w:t>mKO</w:t>
      </w:r>
      <w:proofErr w:type="spellEnd"/>
      <w:r w:rsidRPr="00A079AF">
        <w:t xml:space="preserve">-a a za koje je potrebno uspostaviti sustav </w:t>
      </w:r>
      <w:r w:rsidRPr="00A079AF">
        <w:lastRenderedPageBreak/>
        <w:t>oporabe i zbrinjavanja</w:t>
      </w:r>
      <w:r>
        <w:t xml:space="preserve">. Prikaz potrebnih </w:t>
      </w:r>
      <w:r w:rsidRPr="00A079AF">
        <w:t>trendova u pripremi za ponovnu uporabu i recikliranje komunalnog otpada u godinama 2022.-2035.</w:t>
      </w:r>
      <w:r w:rsidR="004E4ED2">
        <w:t xml:space="preserve"> kao i količina </w:t>
      </w:r>
      <w:proofErr w:type="spellStart"/>
      <w:r w:rsidR="004E4ED2">
        <w:t>mKO</w:t>
      </w:r>
      <w:proofErr w:type="spellEnd"/>
      <w:r w:rsidR="004E4ED2">
        <w:t>-a koje proizlaze iz postavljenih ciljeva</w:t>
      </w:r>
      <w:r>
        <w:t xml:space="preserve"> dan je u Poglavlju </w:t>
      </w:r>
      <w:r>
        <w:fldChar w:fldCharType="begin"/>
      </w:r>
      <w:r>
        <w:instrText xml:space="preserve"> REF _Ref116296924 \r \h </w:instrText>
      </w:r>
      <w:r>
        <w:fldChar w:fldCharType="separate"/>
      </w:r>
      <w:r w:rsidR="00F37B62">
        <w:t>7</w:t>
      </w:r>
      <w:r>
        <w:fldChar w:fldCharType="end"/>
      </w:r>
      <w:r>
        <w:t>.</w:t>
      </w:r>
    </w:p>
    <w:p w14:paraId="6B392102" w14:textId="77777777" w:rsidR="008A3A57" w:rsidRPr="00A079AF" w:rsidRDefault="008A3A57" w:rsidP="0018450E">
      <w:pPr>
        <w:pStyle w:val="IRNaslov2"/>
        <w:numPr>
          <w:ilvl w:val="1"/>
          <w:numId w:val="22"/>
        </w:numPr>
        <w:ind w:left="709"/>
      </w:pPr>
      <w:bookmarkStart w:id="215" w:name="_Toc123211657"/>
      <w:r w:rsidRPr="00A079AF">
        <w:t>Uspostava Centara za gospodarenje otpadom (CGO)</w:t>
      </w:r>
      <w:bookmarkEnd w:id="215"/>
    </w:p>
    <w:p w14:paraId="09B429DD" w14:textId="77777777" w:rsidR="008A3A57" w:rsidRPr="00F2472E" w:rsidRDefault="008A3A57" w:rsidP="008A3A57">
      <w:r w:rsidRPr="00F2472E">
        <w:t xml:space="preserve">Sukladno zakonskoj regulativi na odlagalištu otpada dozvoljeno je odlaganje otpada koji je prošao prethodnu obradu otpada prije odlaganja. Iznimno je dozvoljeno odlaganje otpada koji nije prošao prethodnu obradu prije odlaganja, ako takvo odlaganje ne bi bilo protivno mjerama za postizanje ciljeva gospodarenja otpadom određenih ZOGO-om i to uz sljedeće uvjete: </w:t>
      </w:r>
    </w:p>
    <w:p w14:paraId="5FB6B88F" w14:textId="3DBB4C4B" w:rsidR="008A3A57" w:rsidRPr="00F2472E" w:rsidRDefault="008A3A57">
      <w:pPr>
        <w:pStyle w:val="Odlomakpopisa"/>
        <w:numPr>
          <w:ilvl w:val="0"/>
          <w:numId w:val="24"/>
        </w:numPr>
      </w:pPr>
      <w:r w:rsidRPr="00F2472E">
        <w:t>prethodna obrada toga otpada ne bi doprinijela smanjenju količina otpada koji se odlaže,</w:t>
      </w:r>
    </w:p>
    <w:p w14:paraId="7FD32567" w14:textId="556ABB54" w:rsidR="008A3A57" w:rsidRDefault="008A3A57">
      <w:pPr>
        <w:pStyle w:val="Odlomakpopisa"/>
        <w:numPr>
          <w:ilvl w:val="0"/>
          <w:numId w:val="24"/>
        </w:numPr>
      </w:pPr>
      <w:r w:rsidRPr="00F2472E">
        <w:t xml:space="preserve">prethodnom obradom </w:t>
      </w:r>
      <w:r w:rsidR="00DF0952">
        <w:t xml:space="preserve">se </w:t>
      </w:r>
      <w:r w:rsidRPr="00F2472E">
        <w:t>ne bi smanjio štetni utjecaj, uzrokovan svojstvima odloženog otpada, na okoliš, posebice onečišćenje površinskih voda, podzemnih voda, tla i zraka, kao i globalnog okoliša, uključujući »učinak staklenika«, te svake opasnosti za zdravlje ljudi do koje bi moglo doći zbog odlaganja otpada tijekom cijelog životnog vijeka odlagališta</w:t>
      </w:r>
      <w:r w:rsidR="00DF0952">
        <w:t>,</w:t>
      </w:r>
    </w:p>
    <w:p w14:paraId="2BB5FF90" w14:textId="0CAF8214" w:rsidR="00DF0952" w:rsidRPr="00F2472E" w:rsidRDefault="00DF0952">
      <w:pPr>
        <w:pStyle w:val="Odlomakpopisa"/>
        <w:numPr>
          <w:ilvl w:val="0"/>
          <w:numId w:val="24"/>
        </w:numPr>
      </w:pPr>
      <w:r>
        <w:t>odlaganje inertnog otpada čija obrada nije tehnički izvediva</w:t>
      </w:r>
    </w:p>
    <w:p w14:paraId="624EF05A" w14:textId="77777777" w:rsidR="008A3A57" w:rsidRPr="00F2472E" w:rsidRDefault="008A3A57" w:rsidP="008A3A57">
      <w:r w:rsidRPr="00F2472E">
        <w:t>Prema Zakonu o gospodarenju otpadom „obrada otpada je postupak oporabe ili zbrinjavanja, a uključuje i pripremu prije oporabe ili zbrinjavanja“ pri čemu se prethodna obrada otpada prije odlaganja smatra postupkom kojim se u fizikalnom, termičkom, kemijskom ili biološkom procesu, uključujući razvrstavanje, mijenjaju svojstva otpada s ciljem smanjivanja količine ili opasnih svojstava te poboljšava rukovanje ili poboljšava iskoristivost otpada.</w:t>
      </w:r>
    </w:p>
    <w:p w14:paraId="0967AA5B" w14:textId="7AA1566F" w:rsidR="008A3A57" w:rsidRPr="00F2472E" w:rsidRDefault="008A3A57" w:rsidP="008A3A57">
      <w:r w:rsidRPr="00F2472E">
        <w:t xml:space="preserve">Na </w:t>
      </w:r>
      <w:r w:rsidR="00DF0952">
        <w:t>lokacijama</w:t>
      </w:r>
      <w:r w:rsidR="00DF0952" w:rsidRPr="00F2472E">
        <w:t xml:space="preserve"> </w:t>
      </w:r>
      <w:r w:rsidRPr="00F2472E">
        <w:t>(postrojenjima) na kojima se vrši prethodna obrada miješanog komunalnog otpada prije odlaganja i/ili drugog načina zbrinjavanja potrebno je omogućiti:</w:t>
      </w:r>
    </w:p>
    <w:p w14:paraId="68FF099F" w14:textId="1A7DE71F" w:rsidR="008A3A57" w:rsidRPr="00F2472E" w:rsidRDefault="008A3A57">
      <w:pPr>
        <w:pStyle w:val="Odlomakpopisa"/>
        <w:numPr>
          <w:ilvl w:val="0"/>
          <w:numId w:val="24"/>
        </w:numPr>
      </w:pPr>
      <w:r w:rsidRPr="00F2472E">
        <w:t xml:space="preserve">Izdvajanje iskoristivih </w:t>
      </w:r>
      <w:r w:rsidR="00DF0952">
        <w:t>frakcija</w:t>
      </w:r>
      <w:r w:rsidR="00DF0952" w:rsidRPr="00F2472E">
        <w:t xml:space="preserve"> </w:t>
      </w:r>
      <w:r w:rsidRPr="00F2472E">
        <w:t>otpada koje nisu izdvojene na mjestu nastanka a kao priprema za oporabu i/ili recikliranje</w:t>
      </w:r>
    </w:p>
    <w:p w14:paraId="1B210B2E" w14:textId="77777777" w:rsidR="008A3A57" w:rsidRPr="00F2472E" w:rsidRDefault="008A3A57">
      <w:pPr>
        <w:pStyle w:val="Odlomakpopisa"/>
        <w:numPr>
          <w:ilvl w:val="0"/>
          <w:numId w:val="24"/>
        </w:numPr>
      </w:pPr>
      <w:r w:rsidRPr="00F2472E">
        <w:t xml:space="preserve">Biološku obradu (stabilizaciju) biorazgradivog dijela miješanog komunalnog otpada  </w:t>
      </w:r>
    </w:p>
    <w:p w14:paraId="5DB6A532" w14:textId="77777777" w:rsidR="008A3A57" w:rsidRPr="00F2472E" w:rsidRDefault="008A3A57">
      <w:pPr>
        <w:pStyle w:val="Odlomakpopisa"/>
        <w:numPr>
          <w:ilvl w:val="0"/>
          <w:numId w:val="24"/>
        </w:numPr>
      </w:pPr>
      <w:r w:rsidRPr="00F2472E">
        <w:t xml:space="preserve">Energetska oporaba otpada i produkata obrade otpada koje nije moguće materijalno </w:t>
      </w:r>
      <w:proofErr w:type="spellStart"/>
      <w:r w:rsidRPr="00F2472E">
        <w:t>oporabiti</w:t>
      </w:r>
      <w:proofErr w:type="spellEnd"/>
    </w:p>
    <w:p w14:paraId="42EC65ED" w14:textId="215DC81F" w:rsidR="008A3A57" w:rsidRPr="00F2472E" w:rsidRDefault="008A3A57">
      <w:pPr>
        <w:pStyle w:val="Odlomakpopisa"/>
        <w:numPr>
          <w:ilvl w:val="0"/>
          <w:numId w:val="24"/>
        </w:numPr>
      </w:pPr>
      <w:r w:rsidRPr="00F2472E">
        <w:t xml:space="preserve">Odlaganje i </w:t>
      </w:r>
      <w:r w:rsidR="00DF0952" w:rsidRPr="00F2472E">
        <w:t>drug</w:t>
      </w:r>
      <w:r w:rsidR="00DF0952">
        <w:t>i postupci</w:t>
      </w:r>
      <w:r w:rsidR="00DF0952" w:rsidRPr="00F2472E">
        <w:t xml:space="preserve"> zbrinjavanj</w:t>
      </w:r>
      <w:r w:rsidR="00DF0952">
        <w:t>a</w:t>
      </w:r>
      <w:r w:rsidR="00DF0952" w:rsidRPr="00F2472E">
        <w:t xml:space="preserve"> </w:t>
      </w:r>
      <w:r w:rsidRPr="00F2472E">
        <w:t xml:space="preserve">neiskoristivih produkata obrade i biološki stabiliziranog otpada  </w:t>
      </w:r>
    </w:p>
    <w:p w14:paraId="020F0B1F" w14:textId="77777777" w:rsidR="008A3A57" w:rsidRPr="00B23508" w:rsidRDefault="008A3A57" w:rsidP="00F2472E">
      <w:pPr>
        <w:rPr>
          <w:rFonts w:cstheme="minorHAnsi"/>
        </w:rPr>
      </w:pPr>
      <w:r w:rsidRPr="00B23508">
        <w:rPr>
          <w:rStyle w:val="fontstyle01"/>
          <w:rFonts w:asciiTheme="minorHAnsi" w:hAnsiTheme="minorHAnsi" w:cstheme="minorHAnsi"/>
        </w:rPr>
        <w:t xml:space="preserve">Navedeno postupanje s miješanim komunalnim otpadom se provodi primjenom reda prvenstva gospodarenja otpadom uz primjenu </w:t>
      </w:r>
      <w:r w:rsidRPr="00B23508">
        <w:rPr>
          <w:rFonts w:cstheme="minorHAnsi"/>
        </w:rPr>
        <w:t xml:space="preserve">»načela blizine« prema kojemu se obrada otpada mora obavljati u najbližoj odgovarajućoj građevini ili uređaju u odnosu na mjesto nastanka otpada, uzimajući u obzir gospodarsku učinkovitost i prihvatljivost za okoliš. </w:t>
      </w:r>
    </w:p>
    <w:p w14:paraId="162A4575" w14:textId="77777777" w:rsidR="008A3A57" w:rsidRPr="00F2472E" w:rsidRDefault="008A3A57" w:rsidP="00F2472E">
      <w:pPr>
        <w:rPr>
          <w:rFonts w:cstheme="minorHAnsi"/>
        </w:rPr>
      </w:pPr>
      <w:r w:rsidRPr="00A93459">
        <w:rPr>
          <w:rFonts w:cstheme="minorHAnsi"/>
          <w:highlight w:val="yellow"/>
        </w:rPr>
        <w:t xml:space="preserve">Sukladno načelu blizine davatelj usluge sakupljanja </w:t>
      </w:r>
      <w:proofErr w:type="spellStart"/>
      <w:r w:rsidRPr="00A93459">
        <w:rPr>
          <w:rFonts w:cstheme="minorHAnsi"/>
          <w:highlight w:val="yellow"/>
        </w:rPr>
        <w:t>mKO</w:t>
      </w:r>
      <w:proofErr w:type="spellEnd"/>
      <w:r w:rsidRPr="00A93459">
        <w:rPr>
          <w:rFonts w:cstheme="minorHAnsi"/>
          <w:highlight w:val="yellow"/>
        </w:rPr>
        <w:t xml:space="preserve"> je dužan predati </w:t>
      </w:r>
      <w:proofErr w:type="spellStart"/>
      <w:r w:rsidRPr="00A93459">
        <w:rPr>
          <w:rFonts w:cstheme="minorHAnsi"/>
          <w:highlight w:val="yellow"/>
        </w:rPr>
        <w:t>mKO</w:t>
      </w:r>
      <w:proofErr w:type="spellEnd"/>
      <w:r w:rsidRPr="00A93459">
        <w:rPr>
          <w:rFonts w:cstheme="minorHAnsi"/>
          <w:highlight w:val="yellow"/>
        </w:rPr>
        <w:t xml:space="preserve"> nastao na području određene JLS u centar za gospodarenje otpadom kojemu JLS pripada kako je određeno ovim Planom gospodarenja otpadom Republike Hrvatske.</w:t>
      </w:r>
    </w:p>
    <w:p w14:paraId="6EB75EE3" w14:textId="77777777" w:rsidR="008A3A57" w:rsidRPr="00F2472E" w:rsidRDefault="008A3A57" w:rsidP="00F2472E">
      <w:pPr>
        <w:rPr>
          <w:rFonts w:cstheme="minorHAnsi"/>
        </w:rPr>
      </w:pPr>
      <w:r w:rsidRPr="00F2472E">
        <w:rPr>
          <w:rFonts w:cstheme="minorHAnsi"/>
        </w:rPr>
        <w:t>S obzirom na postojeće i planirano stanje u gospodarenju otpadom cjeloviti sustav gospodarenja otpadom nije moguće uspostaviti bez segmenta obrade miješanog komunalnog otpada. Uvažavajući gore navedene činjenice i zakonski propisani red prvenstva, sustav gospodarenja komunalnim otpadom u RH treba razvijati na sljedećim područjima:</w:t>
      </w:r>
    </w:p>
    <w:p w14:paraId="0BC022F4" w14:textId="77777777" w:rsidR="008A3A57" w:rsidRPr="00F2472E" w:rsidRDefault="008A3A57">
      <w:pPr>
        <w:pStyle w:val="Odlomakpopisa"/>
        <w:numPr>
          <w:ilvl w:val="0"/>
          <w:numId w:val="25"/>
        </w:numPr>
      </w:pPr>
      <w:r w:rsidRPr="00F2472E">
        <w:t>Organizirano odvojeno sakupljanje pojedinih kategorija otpada iz komunalnog otpada uz osiguravanje potrebne infrastrukture;</w:t>
      </w:r>
    </w:p>
    <w:p w14:paraId="6509A11D" w14:textId="77777777" w:rsidR="008A3A57" w:rsidRPr="00F2472E" w:rsidRDefault="008A3A57">
      <w:pPr>
        <w:pStyle w:val="Odlomakpopisa"/>
        <w:numPr>
          <w:ilvl w:val="0"/>
          <w:numId w:val="25"/>
        </w:numPr>
      </w:pPr>
      <w:r w:rsidRPr="00F2472E">
        <w:lastRenderedPageBreak/>
        <w:t xml:space="preserve">Obrada odnosno priprema odvojeno prikupljenog otpada za ponovnu uporabu i recikliranje  </w:t>
      </w:r>
    </w:p>
    <w:p w14:paraId="3D76B166" w14:textId="77777777" w:rsidR="008A3A57" w:rsidRPr="00F2472E" w:rsidRDefault="008A3A57">
      <w:pPr>
        <w:pStyle w:val="Odlomakpopisa"/>
        <w:numPr>
          <w:ilvl w:val="0"/>
          <w:numId w:val="25"/>
        </w:numPr>
      </w:pPr>
      <w:r w:rsidRPr="00F2472E">
        <w:t xml:space="preserve">Obrada miješanog komunalnog otpada u postrojenjima za obradu </w:t>
      </w:r>
      <w:proofErr w:type="spellStart"/>
      <w:r w:rsidRPr="00F2472E">
        <w:t>mKO</w:t>
      </w:r>
      <w:proofErr w:type="spellEnd"/>
      <w:r w:rsidRPr="00F2472E">
        <w:t xml:space="preserve">-a (centar za gospodarenje otpadom s ili bez energetske oporabe); </w:t>
      </w:r>
    </w:p>
    <w:p w14:paraId="0D80640F" w14:textId="4238BB68" w:rsidR="008A3A57" w:rsidRPr="00F2472E" w:rsidRDefault="008A3A57">
      <w:pPr>
        <w:pStyle w:val="Odlomakpopisa"/>
        <w:numPr>
          <w:ilvl w:val="0"/>
          <w:numId w:val="25"/>
        </w:numPr>
      </w:pPr>
      <w:r w:rsidRPr="00F2472E">
        <w:t xml:space="preserve">Energetska oporaba otpada i produkata obrade otpada koje nije moguće materijalno </w:t>
      </w:r>
      <w:proofErr w:type="spellStart"/>
      <w:r w:rsidRPr="00F2472E">
        <w:t>oporabiti</w:t>
      </w:r>
      <w:proofErr w:type="spellEnd"/>
      <w:r w:rsidR="000F46A9">
        <w:t xml:space="preserve"> proizvedenog /nastalog u RH</w:t>
      </w:r>
      <w:r w:rsidRPr="00F2472E">
        <w:t xml:space="preserve">; </w:t>
      </w:r>
    </w:p>
    <w:p w14:paraId="118B4A4D" w14:textId="2D6B0654" w:rsidR="008A3A57" w:rsidRPr="00F2472E" w:rsidRDefault="008A3A57">
      <w:pPr>
        <w:pStyle w:val="Odlomakpopisa"/>
        <w:numPr>
          <w:ilvl w:val="0"/>
          <w:numId w:val="25"/>
        </w:numPr>
      </w:pPr>
      <w:r w:rsidRPr="00F2472E">
        <w:t xml:space="preserve">Odlaganje i </w:t>
      </w:r>
      <w:r w:rsidR="000F46A9" w:rsidRPr="00F2472E">
        <w:t>drug</w:t>
      </w:r>
      <w:r w:rsidR="000F46A9">
        <w:t>i</w:t>
      </w:r>
      <w:r w:rsidR="000F46A9" w:rsidRPr="00F2472E">
        <w:t xml:space="preserve"> </w:t>
      </w:r>
      <w:r w:rsidR="000F46A9">
        <w:t xml:space="preserve">postupci </w:t>
      </w:r>
      <w:r w:rsidR="000F46A9" w:rsidRPr="00F2472E">
        <w:t>zbrinjavanj</w:t>
      </w:r>
      <w:r w:rsidR="000F46A9">
        <w:t>a</w:t>
      </w:r>
      <w:r w:rsidR="000F46A9" w:rsidRPr="00F2472E">
        <w:t xml:space="preserve"> </w:t>
      </w:r>
      <w:r w:rsidRPr="00F2472E">
        <w:t xml:space="preserve">neiskoristivih produkata obrade i biološki stabiliziranog otpada; </w:t>
      </w:r>
    </w:p>
    <w:p w14:paraId="27AE1DF4" w14:textId="77777777" w:rsidR="008A3A57" w:rsidRPr="00F2472E" w:rsidRDefault="008A3A57">
      <w:pPr>
        <w:pStyle w:val="Odlomakpopisa"/>
        <w:numPr>
          <w:ilvl w:val="0"/>
          <w:numId w:val="25"/>
        </w:numPr>
      </w:pPr>
      <w:r w:rsidRPr="00F2472E">
        <w:t xml:space="preserve">Odlaganje stabiliziranog opasnog otpada. </w:t>
      </w:r>
    </w:p>
    <w:p w14:paraId="5DBFD309" w14:textId="2B12FB6F" w:rsidR="008A3A57" w:rsidRPr="00F2472E" w:rsidRDefault="008A3A57" w:rsidP="008A3A57">
      <w:r w:rsidRPr="00F2472E">
        <w:t xml:space="preserve">Centar za gospodarenje otpadom je sklop više međusobno funkcionalno i/ili tehnološki povezanih građevina i uređaja za obradu (oporabu i zbrinjavanje) komunalnog otpada </w:t>
      </w:r>
      <w:proofErr w:type="spellStart"/>
      <w:r w:rsidRPr="00F2472E">
        <w:t>otpada</w:t>
      </w:r>
      <w:proofErr w:type="spellEnd"/>
      <w:r w:rsidR="00716095">
        <w:t xml:space="preserve"> i drugog otpada ako je taj otpad sličan po prirodi i sastavu otpadu iz kućanstva odnosno otpada koji je moguće obraditi u CGO-u sukladno predviđenoj tehnologiji obrade</w:t>
      </w:r>
      <w:r w:rsidRPr="00F2472E">
        <w:t xml:space="preserve">. Sastavni dio Centara za gospodarenje otpadom predstavlja i mreža pretovarnih stanica </w:t>
      </w:r>
      <w:r w:rsidR="00060B03">
        <w:t>koje imaju funkciju prikupljanja otpada i okrupnjavanja pošiljki otpada za prijevoz do CGO-a odnosno postrojenja za recikliranje</w:t>
      </w:r>
      <w:r w:rsidRPr="00F2472E">
        <w:t xml:space="preserve">. </w:t>
      </w:r>
    </w:p>
    <w:p w14:paraId="32F86CCB" w14:textId="77777777" w:rsidR="008A3A57" w:rsidRPr="00F2472E" w:rsidRDefault="008A3A57" w:rsidP="008A3A57">
      <w:r w:rsidRPr="00F2472E">
        <w:t xml:space="preserve">U CGO-u se odvijaju različite aktivnosti vezane uz obradu otpada prije konačne oporabe i zbrinjavanja </w:t>
      </w:r>
      <w:proofErr w:type="spellStart"/>
      <w:r w:rsidRPr="00F2472E">
        <w:t>ostatnih</w:t>
      </w:r>
      <w:proofErr w:type="spellEnd"/>
      <w:r w:rsidRPr="00F2472E">
        <w:t xml:space="preserve"> frakcija kao što su:</w:t>
      </w:r>
    </w:p>
    <w:p w14:paraId="63D44C57" w14:textId="5706CE89" w:rsidR="008A3A57" w:rsidRPr="00F2472E" w:rsidRDefault="008A3A57">
      <w:pPr>
        <w:pStyle w:val="Odlomakpopisa"/>
        <w:numPr>
          <w:ilvl w:val="0"/>
          <w:numId w:val="26"/>
        </w:numPr>
      </w:pPr>
      <w:r w:rsidRPr="00F2472E">
        <w:t xml:space="preserve">prihvat i obrada otpada; </w:t>
      </w:r>
    </w:p>
    <w:p w14:paraId="62818789" w14:textId="77777777" w:rsidR="008A3A57" w:rsidRPr="00F2472E" w:rsidRDefault="008A3A57">
      <w:pPr>
        <w:pStyle w:val="Odlomakpopisa"/>
        <w:numPr>
          <w:ilvl w:val="0"/>
          <w:numId w:val="26"/>
        </w:numPr>
      </w:pPr>
      <w:r w:rsidRPr="00F2472E">
        <w:t xml:space="preserve">izdvajanje otpada koji se može ponovno uporabiti ili reciklirati te izdvajanje i daljnja predaja opasnog otpada; </w:t>
      </w:r>
    </w:p>
    <w:p w14:paraId="1E397C1F" w14:textId="77777777" w:rsidR="008A3A57" w:rsidRPr="00F2472E" w:rsidRDefault="008A3A57">
      <w:pPr>
        <w:pStyle w:val="Odlomakpopisa"/>
        <w:numPr>
          <w:ilvl w:val="0"/>
          <w:numId w:val="26"/>
        </w:numPr>
      </w:pPr>
      <w:r w:rsidRPr="00F2472E">
        <w:t>izdvajanje i distribucija otpada koji se može koristiti u druge svrhe;</w:t>
      </w:r>
    </w:p>
    <w:p w14:paraId="1E5B7393" w14:textId="0B98E705" w:rsidR="008A3A57" w:rsidRPr="00F2472E" w:rsidRDefault="008A3A57">
      <w:pPr>
        <w:pStyle w:val="Odlomakpopisa"/>
        <w:numPr>
          <w:ilvl w:val="0"/>
          <w:numId w:val="26"/>
        </w:numPr>
      </w:pPr>
      <w:r w:rsidRPr="00F2472E">
        <w:t xml:space="preserve">biološka obrada otpada </w:t>
      </w:r>
    </w:p>
    <w:p w14:paraId="356D9EBA" w14:textId="03E37287" w:rsidR="008A3A57" w:rsidRPr="00F2472E" w:rsidRDefault="008A3A57">
      <w:pPr>
        <w:pStyle w:val="Odlomakpopisa"/>
        <w:numPr>
          <w:ilvl w:val="0"/>
          <w:numId w:val="26"/>
        </w:numPr>
      </w:pPr>
      <w:r w:rsidRPr="00F2472E">
        <w:t>priprema za energetsku oporabu</w:t>
      </w:r>
      <w:r w:rsidR="00945857">
        <w:t xml:space="preserve"> i</w:t>
      </w:r>
      <w:r w:rsidRPr="00F2472E">
        <w:t xml:space="preserve"> energetska oporaba otpada; </w:t>
      </w:r>
    </w:p>
    <w:p w14:paraId="496F149F" w14:textId="77777777" w:rsidR="008A3A57" w:rsidRPr="00F2472E" w:rsidRDefault="008A3A57">
      <w:pPr>
        <w:pStyle w:val="Odlomakpopisa"/>
        <w:numPr>
          <w:ilvl w:val="0"/>
          <w:numId w:val="26"/>
        </w:numPr>
      </w:pPr>
      <w:r w:rsidRPr="00F2472E">
        <w:t xml:space="preserve">trajno zbrinjavanje obrađenog otpada. </w:t>
      </w:r>
    </w:p>
    <w:p w14:paraId="0F305F49" w14:textId="77777777" w:rsidR="00945857" w:rsidRPr="00A93459" w:rsidRDefault="00945857" w:rsidP="008D6E1F">
      <w:pPr>
        <w:rPr>
          <w:highlight w:val="yellow"/>
        </w:rPr>
      </w:pPr>
      <w:r w:rsidRPr="00A93459">
        <w:rPr>
          <w:highlight w:val="yellow"/>
        </w:rPr>
        <w:t>U CGO se mogu zaprimati sljedeće vrste otpada:</w:t>
      </w:r>
    </w:p>
    <w:p w14:paraId="4DC42665" w14:textId="52F0FB32" w:rsidR="00945857" w:rsidRPr="00A93459" w:rsidRDefault="00945857" w:rsidP="008D6E1F">
      <w:pPr>
        <w:pStyle w:val="Odlomakpopisa"/>
        <w:numPr>
          <w:ilvl w:val="0"/>
          <w:numId w:val="26"/>
        </w:numPr>
        <w:rPr>
          <w:highlight w:val="yellow"/>
        </w:rPr>
      </w:pPr>
      <w:r w:rsidRPr="00A93459">
        <w:rPr>
          <w:highlight w:val="yellow"/>
        </w:rPr>
        <w:t>krupni (glomazni) otpad</w:t>
      </w:r>
    </w:p>
    <w:p w14:paraId="7901D757" w14:textId="29431E3A" w:rsidR="00945857" w:rsidRPr="00A93459" w:rsidRDefault="00945857" w:rsidP="008D6E1F">
      <w:pPr>
        <w:pStyle w:val="Odlomakpopisa"/>
        <w:numPr>
          <w:ilvl w:val="0"/>
          <w:numId w:val="26"/>
        </w:numPr>
        <w:rPr>
          <w:highlight w:val="yellow"/>
        </w:rPr>
      </w:pPr>
      <w:r w:rsidRPr="00A93459">
        <w:rPr>
          <w:highlight w:val="yellow"/>
        </w:rPr>
        <w:t>odvojeno prikupljeni otpadni papir/karton, plastika, metal, staklo</w:t>
      </w:r>
    </w:p>
    <w:p w14:paraId="56AF1EF6" w14:textId="348A1B07" w:rsidR="00945857" w:rsidRPr="00A93459" w:rsidRDefault="00945857" w:rsidP="008D6E1F">
      <w:pPr>
        <w:pStyle w:val="Odlomakpopisa"/>
        <w:numPr>
          <w:ilvl w:val="0"/>
          <w:numId w:val="26"/>
        </w:numPr>
        <w:rPr>
          <w:highlight w:val="yellow"/>
        </w:rPr>
      </w:pPr>
      <w:r w:rsidRPr="00A93459">
        <w:rPr>
          <w:highlight w:val="yellow"/>
        </w:rPr>
        <w:t>odvojeno prikupljeni biootpad</w:t>
      </w:r>
    </w:p>
    <w:p w14:paraId="1743B509" w14:textId="22BD8E9F" w:rsidR="00945857" w:rsidRPr="00A93459" w:rsidRDefault="00945857" w:rsidP="008D6E1F">
      <w:pPr>
        <w:pStyle w:val="Odlomakpopisa"/>
        <w:numPr>
          <w:ilvl w:val="0"/>
          <w:numId w:val="26"/>
        </w:numPr>
        <w:rPr>
          <w:highlight w:val="yellow"/>
        </w:rPr>
      </w:pPr>
      <w:r w:rsidRPr="00A93459">
        <w:rPr>
          <w:highlight w:val="yellow"/>
        </w:rPr>
        <w:t>građevni otpad</w:t>
      </w:r>
    </w:p>
    <w:p w14:paraId="1B84E2CD" w14:textId="25CFE2EB" w:rsidR="00945857" w:rsidRPr="00A93459" w:rsidRDefault="00945857" w:rsidP="008D6E1F">
      <w:pPr>
        <w:pStyle w:val="Odlomakpopisa"/>
        <w:numPr>
          <w:ilvl w:val="0"/>
          <w:numId w:val="26"/>
        </w:numPr>
        <w:rPr>
          <w:highlight w:val="yellow"/>
        </w:rPr>
      </w:pPr>
      <w:r w:rsidRPr="00A93459">
        <w:rPr>
          <w:highlight w:val="yellow"/>
        </w:rPr>
        <w:t>građevni otpad koji sadrži azbest</w:t>
      </w:r>
    </w:p>
    <w:p w14:paraId="53FDA5B8" w14:textId="434E9C18" w:rsidR="00945857" w:rsidRPr="00A93459" w:rsidRDefault="00945857" w:rsidP="008D6E1F">
      <w:pPr>
        <w:pStyle w:val="Odlomakpopisa"/>
        <w:numPr>
          <w:ilvl w:val="0"/>
          <w:numId w:val="26"/>
        </w:numPr>
        <w:rPr>
          <w:highlight w:val="yellow"/>
        </w:rPr>
      </w:pPr>
      <w:r w:rsidRPr="00A93459">
        <w:rPr>
          <w:highlight w:val="yellow"/>
        </w:rPr>
        <w:t>neopasni i inertni proizvodni otpad</w:t>
      </w:r>
    </w:p>
    <w:p w14:paraId="44CB561D" w14:textId="222600C1" w:rsidR="00945857" w:rsidRPr="00A93459" w:rsidRDefault="00945857">
      <w:pPr>
        <w:pStyle w:val="Odlomakpopisa"/>
        <w:numPr>
          <w:ilvl w:val="0"/>
          <w:numId w:val="26"/>
        </w:numPr>
        <w:rPr>
          <w:highlight w:val="yellow"/>
        </w:rPr>
      </w:pPr>
      <w:r w:rsidRPr="00A93459">
        <w:rPr>
          <w:highlight w:val="yellow"/>
        </w:rPr>
        <w:t>miješani komunalni otpad</w:t>
      </w:r>
    </w:p>
    <w:p w14:paraId="26F7BE16" w14:textId="199DF063" w:rsidR="00716095" w:rsidRPr="00A93459" w:rsidRDefault="00716095" w:rsidP="008D6E1F">
      <w:pPr>
        <w:pStyle w:val="Odlomakpopisa"/>
        <w:numPr>
          <w:ilvl w:val="0"/>
          <w:numId w:val="26"/>
        </w:numPr>
        <w:rPr>
          <w:highlight w:val="yellow"/>
        </w:rPr>
      </w:pPr>
      <w:r w:rsidRPr="00A93459">
        <w:rPr>
          <w:highlight w:val="yellow"/>
        </w:rPr>
        <w:t>nečistoće izdvojene prilikom obrade odvojeno prikupljenog otpada</w:t>
      </w:r>
    </w:p>
    <w:p w14:paraId="488F44BB" w14:textId="3D68E73F" w:rsidR="008A3A57" w:rsidRPr="00FE144B" w:rsidRDefault="008A3A57" w:rsidP="008A3A57">
      <w:r w:rsidRPr="00F2472E">
        <w:t xml:space="preserve">U centrima za gospodarenje otpadom sakupljeni otpad se priprema za daljnju obradu, izdvajaju se vrijedni sastojci otpada koji se mogu ponovno uporabiti ili reciklirati te vrste otpada pogodne za energetsku oporabu. U centrima za gospodarenje otpadom predviđena je mehanička i biološka obrada </w:t>
      </w:r>
      <w:r w:rsidRPr="00FE144B">
        <w:t>otpada i/ili energetska oporaba otpada uključujući i trajno zbrinjavanje otpada. Mogući koncepti energetske oporabe komunalnog i drugih vrsta otpada detaljnije su razrađeni u poglavlju Energetska oporaba otpada (</w:t>
      </w:r>
      <w:r w:rsidR="00FE144B" w:rsidRPr="00FE144B">
        <w:t xml:space="preserve">Poglavlje </w:t>
      </w:r>
      <w:r w:rsidR="00FE144B" w:rsidRPr="00FE144B">
        <w:fldChar w:fldCharType="begin"/>
      </w:r>
      <w:r w:rsidR="00FE144B" w:rsidRPr="00FE144B">
        <w:instrText xml:space="preserve"> REF _Ref116462273 \r \h </w:instrText>
      </w:r>
      <w:r w:rsidR="00FE144B">
        <w:instrText xml:space="preserve"> \* MERGEFORMAT </w:instrText>
      </w:r>
      <w:r w:rsidR="00FE144B" w:rsidRPr="00FE144B">
        <w:fldChar w:fldCharType="separate"/>
      </w:r>
      <w:r w:rsidR="00F37B62">
        <w:t>6.4</w:t>
      </w:r>
      <w:r w:rsidR="00FE144B" w:rsidRPr="00FE144B">
        <w:fldChar w:fldCharType="end"/>
      </w:r>
      <w:r w:rsidR="00FE144B" w:rsidRPr="00FE144B">
        <w:t>.</w:t>
      </w:r>
      <w:r w:rsidRPr="00FE144B">
        <w:t>).</w:t>
      </w:r>
    </w:p>
    <w:p w14:paraId="03D0C47A" w14:textId="77777777" w:rsidR="008A3A57" w:rsidRPr="00F2472E" w:rsidRDefault="008A3A57" w:rsidP="008A3A57">
      <w:r w:rsidRPr="00F2472E">
        <w:t xml:space="preserve">Sukladno Strategiji gospodarenja otpadom Republike Hrvatske (NN 130/05) i Plana gospodarenja otpadom Republike Hrvatske od 2017.-2022. </w:t>
      </w:r>
      <w:hyperlink r:id="rId14" w:tgtFrame="_blank" w:tooltip="PGORH" w:history="1">
        <w:r w:rsidRPr="00F2472E">
          <w:t xml:space="preserve">NN 3/17, 1/22), </w:t>
        </w:r>
      </w:hyperlink>
      <w:r w:rsidRPr="00F2472E">
        <w:t xml:space="preserve">Republika Hrvatska se opredijelila za centralizirani sustav gospodarenja </w:t>
      </w:r>
      <w:proofErr w:type="spellStart"/>
      <w:r w:rsidRPr="00F2472E">
        <w:t>mKO</w:t>
      </w:r>
      <w:proofErr w:type="spellEnd"/>
      <w:r w:rsidRPr="00F2472E">
        <w:t xml:space="preserve">-a gdje će se cjelokupni </w:t>
      </w:r>
      <w:proofErr w:type="spellStart"/>
      <w:r w:rsidRPr="00F2472E">
        <w:t>mKO</w:t>
      </w:r>
      <w:proofErr w:type="spellEnd"/>
      <w:r w:rsidRPr="00F2472E">
        <w:t xml:space="preserve"> koji se prikuplja u sklopu javne usluge </w:t>
      </w:r>
      <w:proofErr w:type="spellStart"/>
      <w:r w:rsidRPr="00F2472E">
        <w:t>oporabljivati</w:t>
      </w:r>
      <w:proofErr w:type="spellEnd"/>
      <w:r w:rsidRPr="00F2472E">
        <w:t xml:space="preserve"> i zbrinjavati u sklopu CGO-a. </w:t>
      </w:r>
    </w:p>
    <w:p w14:paraId="699D1EAB" w14:textId="77777777" w:rsidR="008A3A57" w:rsidRPr="00F2472E" w:rsidRDefault="008A3A57" w:rsidP="008A3A57">
      <w:r w:rsidRPr="00F2472E">
        <w:lastRenderedPageBreak/>
        <w:t xml:space="preserve">Iako uspostava centraliziranih mjesta obrade </w:t>
      </w:r>
      <w:proofErr w:type="spellStart"/>
      <w:r w:rsidRPr="00F2472E">
        <w:t>mKO</w:t>
      </w:r>
      <w:proofErr w:type="spellEnd"/>
      <w:r w:rsidRPr="00F2472E">
        <w:t xml:space="preserve">-a i ostalih odvojeno prikupljenih kategorija otpada zahtijeva veća početna ulaganja (veći kapitalni troškovi), navedenim pristupom se utječe na optimiziranje operativnih troškova koji u slučaju decentraliziranog sustava mogu predstavljati značajni udio u ukupnim troškovima oporabe i zbrinjavanja </w:t>
      </w:r>
      <w:proofErr w:type="spellStart"/>
      <w:r w:rsidRPr="00F2472E">
        <w:t>mKO</w:t>
      </w:r>
      <w:proofErr w:type="spellEnd"/>
      <w:r w:rsidRPr="00F2472E">
        <w:t>-a.</w:t>
      </w:r>
    </w:p>
    <w:p w14:paraId="7EC34E15" w14:textId="77777777" w:rsidR="008A3A57" w:rsidRPr="00F2472E" w:rsidRDefault="008A3A57" w:rsidP="008A3A57">
      <w:r w:rsidRPr="00A93459">
        <w:rPr>
          <w:highlight w:val="yellow"/>
        </w:rPr>
        <w:t>U RH je planirana izgradnja ukupno 11 centara za gospodarenje</w:t>
      </w:r>
      <w:r w:rsidRPr="00F2472E">
        <w:t>. Lokacije centara određene su kao rezultat optimizacije prostornih i ekonomskih parametara dok tehničko-tehnološko rješenje proizlazi iz obaveza ispunjavanja zadanih ciljeva u skladu sa najboljim raspoloživim tehnikama.</w:t>
      </w:r>
    </w:p>
    <w:p w14:paraId="402E63D9" w14:textId="52C7D1B9" w:rsidR="008A3A57" w:rsidRDefault="008A3A57" w:rsidP="008A3A57">
      <w:r w:rsidRPr="00F2472E">
        <w:t xml:space="preserve">Potrebni kapaciteti obrade </w:t>
      </w:r>
      <w:proofErr w:type="spellStart"/>
      <w:r w:rsidRPr="00F2472E">
        <w:t>mKO</w:t>
      </w:r>
      <w:proofErr w:type="spellEnd"/>
      <w:r w:rsidRPr="00F2472E">
        <w:t xml:space="preserve">-a proizlaze iz planirane uspostave odvojenog prikupljanja </w:t>
      </w:r>
      <w:proofErr w:type="spellStart"/>
      <w:r w:rsidRPr="00F2472E">
        <w:t>reciklabilnog</w:t>
      </w:r>
      <w:proofErr w:type="spellEnd"/>
      <w:r w:rsidRPr="00F2472E">
        <w:t xml:space="preserve"> otpada određeni u prethodnom poglavlju. Kapaciteti pojedinih CGO-a prikazani</w:t>
      </w:r>
      <w:r w:rsidR="00DD4D4C">
        <w:t xml:space="preserve"> su</w:t>
      </w:r>
      <w:r w:rsidRPr="00F2472E">
        <w:t xml:space="preserve"> u </w:t>
      </w:r>
      <w:r w:rsidR="00F2472E">
        <w:fldChar w:fldCharType="begin"/>
      </w:r>
      <w:r w:rsidR="00F2472E">
        <w:instrText xml:space="preserve"> REF _Ref116297169 \h </w:instrText>
      </w:r>
      <w:r w:rsidR="00F2472E">
        <w:fldChar w:fldCharType="separate"/>
      </w:r>
      <w:r w:rsidR="00F37B62" w:rsidRPr="00F2472E">
        <w:t xml:space="preserve">Tablica </w:t>
      </w:r>
      <w:r w:rsidR="00F37B62">
        <w:rPr>
          <w:noProof/>
        </w:rPr>
        <w:t>30</w:t>
      </w:r>
      <w:r w:rsidR="00F2472E">
        <w:fldChar w:fldCharType="end"/>
      </w:r>
      <w:r w:rsidRPr="00F2472E">
        <w:t>.</w:t>
      </w:r>
    </w:p>
    <w:p w14:paraId="2D51781F" w14:textId="44FF877F" w:rsidR="008A3A57" w:rsidRPr="00F2472E" w:rsidRDefault="008A3A57" w:rsidP="00BF6618">
      <w:pPr>
        <w:pStyle w:val="Tablica"/>
        <w:rPr>
          <w:b w:val="0"/>
          <w:bCs/>
        </w:rPr>
      </w:pPr>
      <w:bookmarkStart w:id="216" w:name="_Ref116297169"/>
      <w:bookmarkStart w:id="217" w:name="_Toc125364419"/>
      <w:r w:rsidRPr="00F2472E">
        <w:t xml:space="preserve">Tablica </w:t>
      </w:r>
      <w:fldSimple w:instr=" SEQ Tablica \* ARABIC ">
        <w:r w:rsidR="00F37B62">
          <w:rPr>
            <w:noProof/>
          </w:rPr>
          <w:t>30</w:t>
        </w:r>
      </w:fldSimple>
      <w:bookmarkEnd w:id="216"/>
      <w:r w:rsidR="00FD7CF9">
        <w:rPr>
          <w:noProof/>
        </w:rPr>
        <w:t>.</w:t>
      </w:r>
      <w:r w:rsidR="00213955">
        <w:t xml:space="preserve"> </w:t>
      </w:r>
      <w:r w:rsidR="00C85289">
        <w:rPr>
          <w:b w:val="0"/>
          <w:bCs/>
        </w:rPr>
        <w:t>Popis i nazivni kapaciteti</w:t>
      </w:r>
      <w:r w:rsidR="00CF00B9">
        <w:rPr>
          <w:b w:val="0"/>
          <w:bCs/>
        </w:rPr>
        <w:t xml:space="preserve"> </w:t>
      </w:r>
      <w:r w:rsidRPr="00F2472E">
        <w:rPr>
          <w:b w:val="0"/>
          <w:bCs/>
        </w:rPr>
        <w:t>centara za gospodarenje otpadom</w:t>
      </w:r>
      <w:bookmarkEnd w:id="217"/>
    </w:p>
    <w:tbl>
      <w:tblPr>
        <w:tblStyle w:val="Reetkatablice"/>
        <w:tblW w:w="9051" w:type="dxa"/>
        <w:tblLook w:val="04A0" w:firstRow="1" w:lastRow="0" w:firstColumn="1" w:lastColumn="0" w:noHBand="0" w:noVBand="1"/>
      </w:tblPr>
      <w:tblGrid>
        <w:gridCol w:w="508"/>
        <w:gridCol w:w="1614"/>
        <w:gridCol w:w="5670"/>
        <w:gridCol w:w="1259"/>
      </w:tblGrid>
      <w:tr w:rsidR="00DD4D4C" w:rsidRPr="00747CFD" w14:paraId="56D720CE" w14:textId="77777777" w:rsidTr="00747CFD">
        <w:trPr>
          <w:tblHeader/>
        </w:trPr>
        <w:tc>
          <w:tcPr>
            <w:tcW w:w="508"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B6998C6" w14:textId="77777777" w:rsidR="00DD4D4C" w:rsidRPr="00747CFD" w:rsidRDefault="00DD4D4C">
            <w:pPr>
              <w:jc w:val="center"/>
              <w:rPr>
                <w:rFonts w:cstheme="minorHAnsi"/>
                <w:b/>
                <w:bCs/>
                <w:color w:val="FFFFFF" w:themeColor="background1"/>
                <w:sz w:val="16"/>
                <w:szCs w:val="16"/>
              </w:rPr>
            </w:pPr>
            <w:r w:rsidRPr="00747CFD">
              <w:rPr>
                <w:rFonts w:cstheme="minorHAnsi"/>
                <w:b/>
                <w:bCs/>
                <w:color w:val="FFFFFF" w:themeColor="background1"/>
                <w:sz w:val="16"/>
                <w:szCs w:val="16"/>
              </w:rPr>
              <w:t>Br.</w:t>
            </w:r>
          </w:p>
        </w:tc>
        <w:tc>
          <w:tcPr>
            <w:tcW w:w="1614"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D16E1E3" w14:textId="77777777" w:rsidR="00DD4D4C" w:rsidRPr="00747CFD" w:rsidRDefault="00DD4D4C">
            <w:pPr>
              <w:jc w:val="center"/>
              <w:rPr>
                <w:rFonts w:cstheme="minorHAnsi"/>
                <w:b/>
                <w:bCs/>
                <w:color w:val="FFFFFF" w:themeColor="background1"/>
                <w:sz w:val="16"/>
                <w:szCs w:val="16"/>
              </w:rPr>
            </w:pPr>
            <w:r w:rsidRPr="00747CFD">
              <w:rPr>
                <w:rFonts w:cstheme="minorHAnsi"/>
                <w:b/>
                <w:bCs/>
                <w:color w:val="FFFFFF" w:themeColor="background1"/>
                <w:sz w:val="16"/>
                <w:szCs w:val="16"/>
              </w:rPr>
              <w:t>Naziv</w:t>
            </w:r>
          </w:p>
        </w:tc>
        <w:tc>
          <w:tcPr>
            <w:tcW w:w="567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1E481FB" w14:textId="77777777" w:rsidR="00DD4D4C" w:rsidRPr="00747CFD" w:rsidRDefault="00DD4D4C">
            <w:pPr>
              <w:jc w:val="center"/>
              <w:rPr>
                <w:rFonts w:cstheme="minorHAnsi"/>
                <w:b/>
                <w:bCs/>
                <w:color w:val="FFFFFF" w:themeColor="background1"/>
                <w:sz w:val="16"/>
                <w:szCs w:val="16"/>
              </w:rPr>
            </w:pPr>
            <w:r w:rsidRPr="00747CFD">
              <w:rPr>
                <w:rFonts w:cstheme="minorHAnsi"/>
                <w:b/>
                <w:bCs/>
                <w:color w:val="FFFFFF" w:themeColor="background1"/>
                <w:sz w:val="16"/>
                <w:szCs w:val="16"/>
              </w:rPr>
              <w:t>Županija</w:t>
            </w:r>
          </w:p>
        </w:tc>
        <w:tc>
          <w:tcPr>
            <w:tcW w:w="125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65B3CB9" w14:textId="77777777" w:rsidR="00DD4D4C" w:rsidRPr="00747CFD" w:rsidRDefault="00DD4D4C">
            <w:pPr>
              <w:jc w:val="center"/>
              <w:rPr>
                <w:rFonts w:cstheme="minorHAnsi"/>
                <w:b/>
                <w:bCs/>
                <w:color w:val="FFFFFF" w:themeColor="background1"/>
                <w:sz w:val="16"/>
                <w:szCs w:val="16"/>
              </w:rPr>
            </w:pPr>
            <w:r w:rsidRPr="00747CFD">
              <w:rPr>
                <w:rFonts w:cstheme="minorHAnsi"/>
                <w:b/>
                <w:bCs/>
                <w:color w:val="FFFFFF" w:themeColor="background1"/>
                <w:sz w:val="16"/>
                <w:szCs w:val="16"/>
              </w:rPr>
              <w:t>Kapacitet (tona/godina)</w:t>
            </w:r>
          </w:p>
        </w:tc>
      </w:tr>
      <w:tr w:rsidR="00DD4D4C" w:rsidRPr="00747CFD" w14:paraId="3B6F1620" w14:textId="77777777" w:rsidTr="00747CFD">
        <w:tc>
          <w:tcPr>
            <w:tcW w:w="508" w:type="dxa"/>
            <w:tcBorders>
              <w:top w:val="single" w:sz="4" w:space="0" w:color="auto"/>
              <w:left w:val="single" w:sz="4" w:space="0" w:color="auto"/>
              <w:bottom w:val="single" w:sz="4" w:space="0" w:color="auto"/>
              <w:right w:val="single" w:sz="4" w:space="0" w:color="auto"/>
            </w:tcBorders>
            <w:vAlign w:val="center"/>
            <w:hideMark/>
          </w:tcPr>
          <w:p w14:paraId="16126D95" w14:textId="77777777" w:rsidR="00DD4D4C" w:rsidRPr="00747CFD" w:rsidRDefault="00DD4D4C">
            <w:pPr>
              <w:rPr>
                <w:rFonts w:cstheme="minorHAnsi"/>
                <w:sz w:val="16"/>
                <w:szCs w:val="16"/>
              </w:rPr>
            </w:pPr>
            <w:r w:rsidRPr="00747CFD">
              <w:rPr>
                <w:rFonts w:cstheme="minorHAnsi"/>
                <w:sz w:val="16"/>
                <w:szCs w:val="16"/>
              </w:rPr>
              <w:t>1.</w:t>
            </w:r>
          </w:p>
        </w:tc>
        <w:tc>
          <w:tcPr>
            <w:tcW w:w="1614" w:type="dxa"/>
            <w:tcBorders>
              <w:top w:val="single" w:sz="4" w:space="0" w:color="auto"/>
              <w:left w:val="single" w:sz="4" w:space="0" w:color="auto"/>
              <w:bottom w:val="single" w:sz="4" w:space="0" w:color="auto"/>
              <w:right w:val="single" w:sz="4" w:space="0" w:color="auto"/>
            </w:tcBorders>
            <w:vAlign w:val="center"/>
            <w:hideMark/>
          </w:tcPr>
          <w:p w14:paraId="5C02B270" w14:textId="77777777" w:rsidR="00DD4D4C" w:rsidRPr="00747CFD" w:rsidRDefault="00DD4D4C">
            <w:pPr>
              <w:rPr>
                <w:rFonts w:cstheme="minorHAnsi"/>
                <w:sz w:val="16"/>
                <w:szCs w:val="16"/>
              </w:rPr>
            </w:pPr>
            <w:r w:rsidRPr="00747CFD">
              <w:rPr>
                <w:rFonts w:cstheme="minorHAnsi"/>
                <w:sz w:val="16"/>
                <w:szCs w:val="16"/>
              </w:rPr>
              <w:t xml:space="preserve">CGO </w:t>
            </w:r>
            <w:proofErr w:type="spellStart"/>
            <w:r w:rsidRPr="00747CFD">
              <w:rPr>
                <w:rFonts w:cstheme="minorHAnsi"/>
                <w:sz w:val="16"/>
                <w:szCs w:val="16"/>
              </w:rPr>
              <w:t>Marišćina</w:t>
            </w:r>
            <w:proofErr w:type="spellEnd"/>
          </w:p>
        </w:tc>
        <w:tc>
          <w:tcPr>
            <w:tcW w:w="5670" w:type="dxa"/>
            <w:tcBorders>
              <w:top w:val="single" w:sz="4" w:space="0" w:color="auto"/>
              <w:left w:val="single" w:sz="4" w:space="0" w:color="auto"/>
              <w:bottom w:val="single" w:sz="4" w:space="0" w:color="auto"/>
              <w:right w:val="single" w:sz="4" w:space="0" w:color="auto"/>
            </w:tcBorders>
            <w:vAlign w:val="center"/>
            <w:hideMark/>
          </w:tcPr>
          <w:p w14:paraId="6E844D33" w14:textId="77777777" w:rsidR="00DD4D4C" w:rsidRPr="00747CFD" w:rsidRDefault="00DD4D4C">
            <w:pPr>
              <w:rPr>
                <w:rFonts w:cstheme="minorHAnsi"/>
                <w:sz w:val="16"/>
                <w:szCs w:val="16"/>
              </w:rPr>
            </w:pPr>
            <w:r w:rsidRPr="00747CFD">
              <w:rPr>
                <w:rFonts w:cstheme="minorHAnsi"/>
                <w:sz w:val="16"/>
                <w:szCs w:val="16"/>
              </w:rPr>
              <w:t>Primorsko – goranska (sve JLS)</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492878D" w14:textId="77777777" w:rsidR="00DD4D4C" w:rsidRPr="00747CFD" w:rsidRDefault="00DD4D4C">
            <w:pPr>
              <w:jc w:val="right"/>
              <w:rPr>
                <w:rFonts w:cstheme="minorHAnsi"/>
                <w:sz w:val="16"/>
                <w:szCs w:val="16"/>
              </w:rPr>
            </w:pPr>
            <w:r w:rsidRPr="00747CFD">
              <w:rPr>
                <w:rFonts w:cstheme="minorHAnsi"/>
                <w:sz w:val="16"/>
                <w:szCs w:val="16"/>
              </w:rPr>
              <w:t>100.000</w:t>
            </w:r>
          </w:p>
        </w:tc>
      </w:tr>
      <w:tr w:rsidR="00DD4D4C" w:rsidRPr="00747CFD" w14:paraId="6D036044" w14:textId="77777777" w:rsidTr="00747CFD">
        <w:tc>
          <w:tcPr>
            <w:tcW w:w="508" w:type="dxa"/>
            <w:tcBorders>
              <w:top w:val="single" w:sz="4" w:space="0" w:color="auto"/>
              <w:left w:val="single" w:sz="4" w:space="0" w:color="auto"/>
              <w:bottom w:val="single" w:sz="4" w:space="0" w:color="auto"/>
              <w:right w:val="single" w:sz="4" w:space="0" w:color="auto"/>
            </w:tcBorders>
            <w:vAlign w:val="center"/>
            <w:hideMark/>
          </w:tcPr>
          <w:p w14:paraId="2FB09C59" w14:textId="77777777" w:rsidR="00DD4D4C" w:rsidRPr="00747CFD" w:rsidRDefault="00DD4D4C">
            <w:pPr>
              <w:rPr>
                <w:rFonts w:cstheme="minorHAnsi"/>
                <w:sz w:val="16"/>
                <w:szCs w:val="16"/>
              </w:rPr>
            </w:pPr>
            <w:r w:rsidRPr="00747CFD">
              <w:rPr>
                <w:rFonts w:cstheme="minorHAnsi"/>
                <w:sz w:val="16"/>
                <w:szCs w:val="16"/>
              </w:rPr>
              <w:t>2.</w:t>
            </w:r>
          </w:p>
        </w:tc>
        <w:tc>
          <w:tcPr>
            <w:tcW w:w="1614" w:type="dxa"/>
            <w:tcBorders>
              <w:top w:val="single" w:sz="4" w:space="0" w:color="auto"/>
              <w:left w:val="single" w:sz="4" w:space="0" w:color="auto"/>
              <w:bottom w:val="single" w:sz="4" w:space="0" w:color="auto"/>
              <w:right w:val="single" w:sz="4" w:space="0" w:color="auto"/>
            </w:tcBorders>
            <w:vAlign w:val="center"/>
            <w:hideMark/>
          </w:tcPr>
          <w:p w14:paraId="256ACA31" w14:textId="77777777" w:rsidR="00DD4D4C" w:rsidRPr="00747CFD" w:rsidRDefault="00DD4D4C">
            <w:pPr>
              <w:rPr>
                <w:rFonts w:cstheme="minorHAnsi"/>
                <w:sz w:val="16"/>
                <w:szCs w:val="16"/>
              </w:rPr>
            </w:pPr>
            <w:r w:rsidRPr="00747CFD">
              <w:rPr>
                <w:rFonts w:cstheme="minorHAnsi"/>
                <w:sz w:val="16"/>
                <w:szCs w:val="16"/>
              </w:rPr>
              <w:t xml:space="preserve">CGO </w:t>
            </w:r>
            <w:proofErr w:type="spellStart"/>
            <w:r w:rsidRPr="00747CFD">
              <w:rPr>
                <w:rFonts w:cstheme="minorHAnsi"/>
                <w:sz w:val="16"/>
                <w:szCs w:val="16"/>
              </w:rPr>
              <w:t>Kaštijun</w:t>
            </w:r>
            <w:proofErr w:type="spellEnd"/>
          </w:p>
        </w:tc>
        <w:tc>
          <w:tcPr>
            <w:tcW w:w="5670" w:type="dxa"/>
            <w:tcBorders>
              <w:top w:val="single" w:sz="4" w:space="0" w:color="auto"/>
              <w:left w:val="single" w:sz="4" w:space="0" w:color="auto"/>
              <w:bottom w:val="single" w:sz="4" w:space="0" w:color="auto"/>
              <w:right w:val="single" w:sz="4" w:space="0" w:color="auto"/>
            </w:tcBorders>
            <w:vAlign w:val="center"/>
            <w:hideMark/>
          </w:tcPr>
          <w:p w14:paraId="0CDB74B3" w14:textId="77777777" w:rsidR="00DD4D4C" w:rsidRPr="00747CFD" w:rsidRDefault="00DD4D4C">
            <w:pPr>
              <w:rPr>
                <w:rFonts w:cstheme="minorHAnsi"/>
                <w:sz w:val="16"/>
                <w:szCs w:val="16"/>
              </w:rPr>
            </w:pPr>
            <w:r w:rsidRPr="00747CFD">
              <w:rPr>
                <w:rFonts w:cstheme="minorHAnsi"/>
                <w:sz w:val="16"/>
                <w:szCs w:val="16"/>
              </w:rPr>
              <w:t>Istarska (sve JLS)</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A18A1A9" w14:textId="77777777" w:rsidR="00DD4D4C" w:rsidRPr="00747CFD" w:rsidRDefault="00DD4D4C">
            <w:pPr>
              <w:jc w:val="right"/>
              <w:rPr>
                <w:rFonts w:cstheme="minorHAnsi"/>
                <w:sz w:val="16"/>
                <w:szCs w:val="16"/>
              </w:rPr>
            </w:pPr>
            <w:r w:rsidRPr="00747CFD">
              <w:rPr>
                <w:rFonts w:cstheme="minorHAnsi"/>
                <w:sz w:val="16"/>
                <w:szCs w:val="16"/>
              </w:rPr>
              <w:t>90.000</w:t>
            </w:r>
          </w:p>
        </w:tc>
      </w:tr>
      <w:tr w:rsidR="00DD4D4C" w:rsidRPr="00747CFD" w14:paraId="7862D8C1" w14:textId="77777777" w:rsidTr="00747CFD">
        <w:tc>
          <w:tcPr>
            <w:tcW w:w="508" w:type="dxa"/>
            <w:tcBorders>
              <w:top w:val="single" w:sz="4" w:space="0" w:color="auto"/>
              <w:left w:val="single" w:sz="4" w:space="0" w:color="auto"/>
              <w:bottom w:val="single" w:sz="4" w:space="0" w:color="auto"/>
              <w:right w:val="single" w:sz="4" w:space="0" w:color="auto"/>
            </w:tcBorders>
            <w:vAlign w:val="center"/>
            <w:hideMark/>
          </w:tcPr>
          <w:p w14:paraId="35910358" w14:textId="77777777" w:rsidR="00DD4D4C" w:rsidRPr="00747CFD" w:rsidRDefault="00DD4D4C">
            <w:pPr>
              <w:rPr>
                <w:rFonts w:cstheme="minorHAnsi"/>
                <w:sz w:val="16"/>
                <w:szCs w:val="16"/>
              </w:rPr>
            </w:pPr>
            <w:r w:rsidRPr="00747CFD">
              <w:rPr>
                <w:rFonts w:cstheme="minorHAnsi"/>
                <w:sz w:val="16"/>
                <w:szCs w:val="16"/>
              </w:rPr>
              <w:t>3.</w:t>
            </w:r>
          </w:p>
        </w:tc>
        <w:tc>
          <w:tcPr>
            <w:tcW w:w="1614" w:type="dxa"/>
            <w:tcBorders>
              <w:top w:val="single" w:sz="4" w:space="0" w:color="auto"/>
              <w:left w:val="single" w:sz="4" w:space="0" w:color="auto"/>
              <w:bottom w:val="single" w:sz="4" w:space="0" w:color="auto"/>
              <w:right w:val="single" w:sz="4" w:space="0" w:color="auto"/>
            </w:tcBorders>
            <w:vAlign w:val="center"/>
            <w:hideMark/>
          </w:tcPr>
          <w:p w14:paraId="173A1D84" w14:textId="77777777" w:rsidR="00DD4D4C" w:rsidRPr="00747CFD" w:rsidRDefault="00DD4D4C">
            <w:pPr>
              <w:rPr>
                <w:rFonts w:cstheme="minorHAnsi"/>
                <w:sz w:val="16"/>
                <w:szCs w:val="16"/>
              </w:rPr>
            </w:pPr>
            <w:r w:rsidRPr="00747CFD">
              <w:rPr>
                <w:rFonts w:cstheme="minorHAnsi"/>
                <w:sz w:val="16"/>
                <w:szCs w:val="16"/>
              </w:rPr>
              <w:t xml:space="preserve">CGO </w:t>
            </w:r>
            <w:proofErr w:type="spellStart"/>
            <w:r w:rsidRPr="00747CFD">
              <w:rPr>
                <w:rFonts w:cstheme="minorHAnsi"/>
                <w:sz w:val="16"/>
                <w:szCs w:val="16"/>
              </w:rPr>
              <w:t>Bikarac</w:t>
            </w:r>
            <w:proofErr w:type="spellEnd"/>
          </w:p>
        </w:tc>
        <w:tc>
          <w:tcPr>
            <w:tcW w:w="5670" w:type="dxa"/>
            <w:tcBorders>
              <w:top w:val="single" w:sz="4" w:space="0" w:color="auto"/>
              <w:left w:val="single" w:sz="4" w:space="0" w:color="auto"/>
              <w:bottom w:val="single" w:sz="4" w:space="0" w:color="auto"/>
              <w:right w:val="single" w:sz="4" w:space="0" w:color="auto"/>
            </w:tcBorders>
            <w:vAlign w:val="center"/>
            <w:hideMark/>
          </w:tcPr>
          <w:p w14:paraId="2B8AFC90" w14:textId="77777777" w:rsidR="00DD4D4C" w:rsidRPr="00747CFD" w:rsidRDefault="00DD4D4C">
            <w:pPr>
              <w:rPr>
                <w:rFonts w:cstheme="minorHAnsi"/>
                <w:sz w:val="16"/>
                <w:szCs w:val="16"/>
              </w:rPr>
            </w:pPr>
            <w:r w:rsidRPr="00747CFD">
              <w:rPr>
                <w:rFonts w:cstheme="minorHAnsi"/>
                <w:sz w:val="16"/>
                <w:szCs w:val="16"/>
              </w:rPr>
              <w:t>Šibensko-kninska (sve JLS)</w:t>
            </w:r>
          </w:p>
        </w:tc>
        <w:tc>
          <w:tcPr>
            <w:tcW w:w="1259" w:type="dxa"/>
            <w:tcBorders>
              <w:top w:val="single" w:sz="4" w:space="0" w:color="auto"/>
              <w:left w:val="single" w:sz="4" w:space="0" w:color="auto"/>
              <w:bottom w:val="single" w:sz="4" w:space="0" w:color="auto"/>
              <w:right w:val="single" w:sz="4" w:space="0" w:color="auto"/>
            </w:tcBorders>
            <w:vAlign w:val="center"/>
            <w:hideMark/>
          </w:tcPr>
          <w:p w14:paraId="0E07EF37" w14:textId="77777777" w:rsidR="00DD4D4C" w:rsidRPr="00747CFD" w:rsidRDefault="00DD4D4C">
            <w:pPr>
              <w:jc w:val="right"/>
              <w:rPr>
                <w:rFonts w:cstheme="minorHAnsi"/>
                <w:sz w:val="16"/>
                <w:szCs w:val="16"/>
              </w:rPr>
            </w:pPr>
            <w:r w:rsidRPr="00747CFD">
              <w:rPr>
                <w:rFonts w:cstheme="minorHAnsi"/>
                <w:sz w:val="16"/>
                <w:szCs w:val="16"/>
              </w:rPr>
              <w:t>40.000</w:t>
            </w:r>
          </w:p>
        </w:tc>
      </w:tr>
      <w:tr w:rsidR="00DD4D4C" w:rsidRPr="00747CFD" w14:paraId="7A259817" w14:textId="77777777" w:rsidTr="00747CFD">
        <w:tc>
          <w:tcPr>
            <w:tcW w:w="508" w:type="dxa"/>
            <w:tcBorders>
              <w:top w:val="single" w:sz="4" w:space="0" w:color="auto"/>
              <w:left w:val="single" w:sz="4" w:space="0" w:color="auto"/>
              <w:bottom w:val="single" w:sz="4" w:space="0" w:color="auto"/>
              <w:right w:val="single" w:sz="4" w:space="0" w:color="auto"/>
            </w:tcBorders>
            <w:vAlign w:val="center"/>
            <w:hideMark/>
          </w:tcPr>
          <w:p w14:paraId="032265AB" w14:textId="77777777" w:rsidR="00DD4D4C" w:rsidRPr="00747CFD" w:rsidRDefault="00DD4D4C">
            <w:pPr>
              <w:rPr>
                <w:rFonts w:cstheme="minorHAnsi"/>
                <w:sz w:val="16"/>
                <w:szCs w:val="16"/>
              </w:rPr>
            </w:pPr>
            <w:r w:rsidRPr="00747CFD">
              <w:rPr>
                <w:rFonts w:cstheme="minorHAnsi"/>
                <w:sz w:val="16"/>
                <w:szCs w:val="16"/>
              </w:rPr>
              <w:t>4.</w:t>
            </w:r>
          </w:p>
        </w:tc>
        <w:tc>
          <w:tcPr>
            <w:tcW w:w="1614" w:type="dxa"/>
            <w:tcBorders>
              <w:top w:val="single" w:sz="4" w:space="0" w:color="auto"/>
              <w:left w:val="single" w:sz="4" w:space="0" w:color="auto"/>
              <w:bottom w:val="single" w:sz="4" w:space="0" w:color="auto"/>
              <w:right w:val="single" w:sz="4" w:space="0" w:color="auto"/>
            </w:tcBorders>
            <w:vAlign w:val="center"/>
            <w:hideMark/>
          </w:tcPr>
          <w:p w14:paraId="59A306D8" w14:textId="77777777" w:rsidR="00DD4D4C" w:rsidRPr="00747CFD" w:rsidRDefault="00DD4D4C">
            <w:pPr>
              <w:rPr>
                <w:rFonts w:cstheme="minorHAnsi"/>
                <w:sz w:val="16"/>
                <w:szCs w:val="16"/>
              </w:rPr>
            </w:pPr>
            <w:r w:rsidRPr="00747CFD">
              <w:rPr>
                <w:rFonts w:cstheme="minorHAnsi"/>
                <w:sz w:val="16"/>
                <w:szCs w:val="16"/>
              </w:rPr>
              <w:t>CGO Biljane Donje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E4A6F60" w14:textId="77777777" w:rsidR="00DD4D4C" w:rsidRPr="00747CFD" w:rsidRDefault="00DD4D4C">
            <w:pPr>
              <w:rPr>
                <w:rFonts w:cstheme="minorHAnsi"/>
                <w:sz w:val="16"/>
                <w:szCs w:val="16"/>
              </w:rPr>
            </w:pPr>
            <w:r w:rsidRPr="00747CFD">
              <w:rPr>
                <w:rFonts w:cstheme="minorHAnsi"/>
                <w:sz w:val="16"/>
                <w:szCs w:val="16"/>
              </w:rPr>
              <w:t>Zadarska (sve JLS), dio Ličko-senjske (gradovi Gospić i Novalja, te općine Karlobag, Perušić, Donji Lapac, Udbina i Lovinac)</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89F9DB9" w14:textId="77777777" w:rsidR="00DD4D4C" w:rsidRPr="00747CFD" w:rsidRDefault="00DD4D4C">
            <w:pPr>
              <w:jc w:val="right"/>
              <w:rPr>
                <w:rFonts w:cstheme="minorHAnsi"/>
                <w:sz w:val="16"/>
                <w:szCs w:val="16"/>
              </w:rPr>
            </w:pPr>
            <w:r w:rsidRPr="00747CFD">
              <w:rPr>
                <w:rFonts w:cstheme="minorHAnsi"/>
                <w:sz w:val="16"/>
                <w:szCs w:val="16"/>
              </w:rPr>
              <w:t>70.000</w:t>
            </w:r>
          </w:p>
        </w:tc>
      </w:tr>
      <w:tr w:rsidR="00DD4D4C" w:rsidRPr="00747CFD" w14:paraId="09558628" w14:textId="77777777" w:rsidTr="00747CFD">
        <w:tc>
          <w:tcPr>
            <w:tcW w:w="508" w:type="dxa"/>
            <w:tcBorders>
              <w:top w:val="single" w:sz="4" w:space="0" w:color="auto"/>
              <w:left w:val="single" w:sz="4" w:space="0" w:color="auto"/>
              <w:bottom w:val="single" w:sz="4" w:space="0" w:color="auto"/>
              <w:right w:val="single" w:sz="4" w:space="0" w:color="auto"/>
            </w:tcBorders>
            <w:vAlign w:val="center"/>
            <w:hideMark/>
          </w:tcPr>
          <w:p w14:paraId="0F48961B" w14:textId="77777777" w:rsidR="00DD4D4C" w:rsidRPr="00747CFD" w:rsidRDefault="00DD4D4C">
            <w:pPr>
              <w:rPr>
                <w:rFonts w:cstheme="minorHAnsi"/>
                <w:sz w:val="16"/>
                <w:szCs w:val="16"/>
              </w:rPr>
            </w:pPr>
            <w:r w:rsidRPr="00747CFD">
              <w:rPr>
                <w:rFonts w:cstheme="minorHAnsi"/>
                <w:sz w:val="16"/>
                <w:szCs w:val="16"/>
              </w:rPr>
              <w:t>5.</w:t>
            </w:r>
          </w:p>
        </w:tc>
        <w:tc>
          <w:tcPr>
            <w:tcW w:w="1614" w:type="dxa"/>
            <w:tcBorders>
              <w:top w:val="single" w:sz="4" w:space="0" w:color="auto"/>
              <w:left w:val="single" w:sz="4" w:space="0" w:color="auto"/>
              <w:bottom w:val="single" w:sz="4" w:space="0" w:color="auto"/>
              <w:right w:val="single" w:sz="4" w:space="0" w:color="auto"/>
            </w:tcBorders>
            <w:vAlign w:val="center"/>
            <w:hideMark/>
          </w:tcPr>
          <w:p w14:paraId="6EB34513" w14:textId="77777777" w:rsidR="00DD4D4C" w:rsidRPr="00747CFD" w:rsidRDefault="00DD4D4C">
            <w:pPr>
              <w:rPr>
                <w:rFonts w:cstheme="minorHAnsi"/>
                <w:sz w:val="16"/>
                <w:szCs w:val="16"/>
              </w:rPr>
            </w:pPr>
            <w:r w:rsidRPr="00747CFD">
              <w:rPr>
                <w:rFonts w:cstheme="minorHAnsi"/>
                <w:sz w:val="16"/>
                <w:szCs w:val="16"/>
              </w:rPr>
              <w:t>CGO Babina Gora</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E6DDDBD" w14:textId="77777777" w:rsidR="00DD4D4C" w:rsidRPr="00747CFD" w:rsidRDefault="00DD4D4C">
            <w:pPr>
              <w:rPr>
                <w:rFonts w:cstheme="minorHAnsi"/>
                <w:sz w:val="16"/>
                <w:szCs w:val="16"/>
              </w:rPr>
            </w:pPr>
            <w:r w:rsidRPr="00747CFD">
              <w:rPr>
                <w:rFonts w:cstheme="minorHAnsi"/>
                <w:sz w:val="16"/>
                <w:szCs w:val="16"/>
              </w:rPr>
              <w:t>Karlovačka (sve JLS), dio Ličko-senjske (grad Otočac i općine Brinje, Plitvička jezera, Vrhovine), dio Sisačko-moslavačke (grad Glina i općine Gvozd i Topusko )</w:t>
            </w:r>
          </w:p>
        </w:tc>
        <w:tc>
          <w:tcPr>
            <w:tcW w:w="1259" w:type="dxa"/>
            <w:tcBorders>
              <w:top w:val="single" w:sz="4" w:space="0" w:color="auto"/>
              <w:left w:val="single" w:sz="4" w:space="0" w:color="auto"/>
              <w:bottom w:val="single" w:sz="4" w:space="0" w:color="auto"/>
              <w:right w:val="single" w:sz="4" w:space="0" w:color="auto"/>
            </w:tcBorders>
            <w:vAlign w:val="center"/>
            <w:hideMark/>
          </w:tcPr>
          <w:p w14:paraId="07E094F9" w14:textId="77777777" w:rsidR="00DD4D4C" w:rsidRPr="00747CFD" w:rsidRDefault="00DD4D4C">
            <w:pPr>
              <w:jc w:val="right"/>
              <w:rPr>
                <w:rFonts w:cstheme="minorHAnsi"/>
                <w:sz w:val="16"/>
                <w:szCs w:val="16"/>
              </w:rPr>
            </w:pPr>
            <w:r w:rsidRPr="00747CFD">
              <w:rPr>
                <w:rFonts w:cstheme="minorHAnsi"/>
                <w:sz w:val="16"/>
                <w:szCs w:val="16"/>
              </w:rPr>
              <w:t>30.000</w:t>
            </w:r>
          </w:p>
        </w:tc>
      </w:tr>
      <w:tr w:rsidR="00DD4D4C" w:rsidRPr="00747CFD" w14:paraId="5F55CF64" w14:textId="77777777" w:rsidTr="00747CFD">
        <w:tc>
          <w:tcPr>
            <w:tcW w:w="508" w:type="dxa"/>
            <w:tcBorders>
              <w:top w:val="single" w:sz="4" w:space="0" w:color="auto"/>
              <w:left w:val="single" w:sz="4" w:space="0" w:color="auto"/>
              <w:bottom w:val="single" w:sz="4" w:space="0" w:color="auto"/>
              <w:right w:val="single" w:sz="4" w:space="0" w:color="auto"/>
            </w:tcBorders>
            <w:vAlign w:val="center"/>
            <w:hideMark/>
          </w:tcPr>
          <w:p w14:paraId="31086361" w14:textId="77777777" w:rsidR="00DD4D4C" w:rsidRPr="00747CFD" w:rsidRDefault="00DD4D4C">
            <w:pPr>
              <w:rPr>
                <w:rFonts w:cstheme="minorHAnsi"/>
                <w:sz w:val="16"/>
                <w:szCs w:val="16"/>
              </w:rPr>
            </w:pPr>
            <w:r w:rsidRPr="00747CFD">
              <w:rPr>
                <w:rFonts w:cstheme="minorHAnsi"/>
                <w:sz w:val="16"/>
                <w:szCs w:val="16"/>
              </w:rPr>
              <w:t>6.</w:t>
            </w:r>
          </w:p>
        </w:tc>
        <w:tc>
          <w:tcPr>
            <w:tcW w:w="1614" w:type="dxa"/>
            <w:tcBorders>
              <w:top w:val="single" w:sz="4" w:space="0" w:color="auto"/>
              <w:left w:val="single" w:sz="4" w:space="0" w:color="auto"/>
              <w:bottom w:val="single" w:sz="4" w:space="0" w:color="auto"/>
              <w:right w:val="single" w:sz="4" w:space="0" w:color="auto"/>
            </w:tcBorders>
            <w:vAlign w:val="center"/>
            <w:hideMark/>
          </w:tcPr>
          <w:p w14:paraId="29D95895" w14:textId="77777777" w:rsidR="00DD4D4C" w:rsidRPr="00747CFD" w:rsidRDefault="00DD4D4C">
            <w:pPr>
              <w:rPr>
                <w:rFonts w:cstheme="minorHAnsi"/>
                <w:sz w:val="16"/>
                <w:szCs w:val="16"/>
              </w:rPr>
            </w:pPr>
            <w:r w:rsidRPr="00747CFD">
              <w:rPr>
                <w:rFonts w:cstheme="minorHAnsi"/>
                <w:sz w:val="16"/>
                <w:szCs w:val="16"/>
              </w:rPr>
              <w:t xml:space="preserve">CGO </w:t>
            </w:r>
            <w:proofErr w:type="spellStart"/>
            <w:r w:rsidRPr="00747CFD">
              <w:rPr>
                <w:rFonts w:cstheme="minorHAnsi"/>
                <w:sz w:val="16"/>
                <w:szCs w:val="16"/>
              </w:rPr>
              <w:t>Lećevica</w:t>
            </w:r>
            <w:proofErr w:type="spellEnd"/>
          </w:p>
        </w:tc>
        <w:tc>
          <w:tcPr>
            <w:tcW w:w="5670" w:type="dxa"/>
            <w:tcBorders>
              <w:top w:val="single" w:sz="4" w:space="0" w:color="auto"/>
              <w:left w:val="single" w:sz="4" w:space="0" w:color="auto"/>
              <w:bottom w:val="single" w:sz="4" w:space="0" w:color="auto"/>
              <w:right w:val="single" w:sz="4" w:space="0" w:color="auto"/>
            </w:tcBorders>
            <w:vAlign w:val="center"/>
            <w:hideMark/>
          </w:tcPr>
          <w:p w14:paraId="12280587" w14:textId="77777777" w:rsidR="00DD4D4C" w:rsidRPr="00747CFD" w:rsidRDefault="00DD4D4C">
            <w:pPr>
              <w:rPr>
                <w:rFonts w:cstheme="minorHAnsi"/>
                <w:sz w:val="16"/>
                <w:szCs w:val="16"/>
              </w:rPr>
            </w:pPr>
            <w:r w:rsidRPr="00747CFD">
              <w:rPr>
                <w:rFonts w:cstheme="minorHAnsi"/>
                <w:sz w:val="16"/>
                <w:szCs w:val="16"/>
              </w:rPr>
              <w:t>Splitsko-dalmatinska (sve JLS)</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468C4C4" w14:textId="77777777" w:rsidR="00DD4D4C" w:rsidRPr="00747CFD" w:rsidRDefault="00DD4D4C">
            <w:pPr>
              <w:jc w:val="right"/>
              <w:rPr>
                <w:rFonts w:cstheme="minorHAnsi"/>
                <w:sz w:val="16"/>
                <w:szCs w:val="16"/>
              </w:rPr>
            </w:pPr>
            <w:r w:rsidRPr="00747CFD">
              <w:rPr>
                <w:rFonts w:cstheme="minorHAnsi"/>
                <w:sz w:val="16"/>
                <w:szCs w:val="16"/>
              </w:rPr>
              <w:t>110.000</w:t>
            </w:r>
          </w:p>
        </w:tc>
      </w:tr>
      <w:tr w:rsidR="00DD4D4C" w:rsidRPr="00747CFD" w14:paraId="17F4419A" w14:textId="77777777" w:rsidTr="00747CFD">
        <w:tc>
          <w:tcPr>
            <w:tcW w:w="508" w:type="dxa"/>
            <w:tcBorders>
              <w:top w:val="single" w:sz="4" w:space="0" w:color="auto"/>
              <w:left w:val="single" w:sz="4" w:space="0" w:color="auto"/>
              <w:bottom w:val="single" w:sz="4" w:space="0" w:color="auto"/>
              <w:right w:val="single" w:sz="4" w:space="0" w:color="auto"/>
            </w:tcBorders>
            <w:vAlign w:val="center"/>
            <w:hideMark/>
          </w:tcPr>
          <w:p w14:paraId="7A02111B" w14:textId="77777777" w:rsidR="00DD4D4C" w:rsidRPr="00747CFD" w:rsidRDefault="00DD4D4C">
            <w:pPr>
              <w:rPr>
                <w:rFonts w:cstheme="minorHAnsi"/>
                <w:sz w:val="16"/>
                <w:szCs w:val="16"/>
              </w:rPr>
            </w:pPr>
            <w:r w:rsidRPr="00747CFD">
              <w:rPr>
                <w:rFonts w:cstheme="minorHAnsi"/>
                <w:sz w:val="16"/>
                <w:szCs w:val="16"/>
              </w:rPr>
              <w:t>7.</w:t>
            </w:r>
          </w:p>
        </w:tc>
        <w:tc>
          <w:tcPr>
            <w:tcW w:w="1614" w:type="dxa"/>
            <w:tcBorders>
              <w:top w:val="single" w:sz="4" w:space="0" w:color="auto"/>
              <w:left w:val="single" w:sz="4" w:space="0" w:color="auto"/>
              <w:bottom w:val="single" w:sz="4" w:space="0" w:color="auto"/>
              <w:right w:val="single" w:sz="4" w:space="0" w:color="auto"/>
            </w:tcBorders>
            <w:vAlign w:val="center"/>
            <w:hideMark/>
          </w:tcPr>
          <w:p w14:paraId="3C573A96" w14:textId="77777777" w:rsidR="00DD4D4C" w:rsidRPr="00747CFD" w:rsidRDefault="00DD4D4C">
            <w:pPr>
              <w:rPr>
                <w:rFonts w:cstheme="minorHAnsi"/>
                <w:sz w:val="16"/>
                <w:szCs w:val="16"/>
              </w:rPr>
            </w:pPr>
            <w:r w:rsidRPr="00747CFD">
              <w:rPr>
                <w:rFonts w:cstheme="minorHAnsi"/>
                <w:sz w:val="16"/>
                <w:szCs w:val="16"/>
              </w:rPr>
              <w:t xml:space="preserve">CGO </w:t>
            </w:r>
            <w:proofErr w:type="spellStart"/>
            <w:r w:rsidRPr="00747CFD">
              <w:rPr>
                <w:rFonts w:cstheme="minorHAnsi"/>
                <w:sz w:val="16"/>
                <w:szCs w:val="16"/>
              </w:rPr>
              <w:t>Lučino</w:t>
            </w:r>
            <w:proofErr w:type="spellEnd"/>
            <w:r w:rsidRPr="00747CFD">
              <w:rPr>
                <w:rFonts w:cstheme="minorHAnsi"/>
                <w:sz w:val="16"/>
                <w:szCs w:val="16"/>
              </w:rPr>
              <w:t xml:space="preserve"> </w:t>
            </w:r>
            <w:proofErr w:type="spellStart"/>
            <w:r w:rsidRPr="00747CFD">
              <w:rPr>
                <w:rFonts w:cstheme="minorHAnsi"/>
                <w:sz w:val="16"/>
                <w:szCs w:val="16"/>
              </w:rPr>
              <w:t>Razdolje</w:t>
            </w:r>
            <w:proofErr w:type="spellEnd"/>
          </w:p>
        </w:tc>
        <w:tc>
          <w:tcPr>
            <w:tcW w:w="5670" w:type="dxa"/>
            <w:tcBorders>
              <w:top w:val="single" w:sz="4" w:space="0" w:color="auto"/>
              <w:left w:val="single" w:sz="4" w:space="0" w:color="auto"/>
              <w:bottom w:val="single" w:sz="4" w:space="0" w:color="auto"/>
              <w:right w:val="single" w:sz="4" w:space="0" w:color="auto"/>
            </w:tcBorders>
            <w:vAlign w:val="center"/>
            <w:hideMark/>
          </w:tcPr>
          <w:p w14:paraId="796F570B" w14:textId="77777777" w:rsidR="00DD4D4C" w:rsidRPr="00747CFD" w:rsidRDefault="00DD4D4C">
            <w:pPr>
              <w:rPr>
                <w:rFonts w:cstheme="minorHAnsi"/>
                <w:sz w:val="16"/>
                <w:szCs w:val="16"/>
              </w:rPr>
            </w:pPr>
            <w:r w:rsidRPr="00747CFD">
              <w:rPr>
                <w:rFonts w:cstheme="minorHAnsi"/>
                <w:sz w:val="16"/>
                <w:szCs w:val="16"/>
              </w:rPr>
              <w:t>Dubrovačko-neretvanska (sve JLS)</w:t>
            </w:r>
          </w:p>
        </w:tc>
        <w:tc>
          <w:tcPr>
            <w:tcW w:w="1259" w:type="dxa"/>
            <w:tcBorders>
              <w:top w:val="single" w:sz="4" w:space="0" w:color="auto"/>
              <w:left w:val="single" w:sz="4" w:space="0" w:color="auto"/>
              <w:bottom w:val="single" w:sz="4" w:space="0" w:color="auto"/>
              <w:right w:val="single" w:sz="4" w:space="0" w:color="auto"/>
            </w:tcBorders>
            <w:vAlign w:val="center"/>
            <w:hideMark/>
          </w:tcPr>
          <w:p w14:paraId="3F6B36EF" w14:textId="77777777" w:rsidR="00DD4D4C" w:rsidRPr="00747CFD" w:rsidRDefault="00DD4D4C">
            <w:pPr>
              <w:jc w:val="right"/>
              <w:rPr>
                <w:rFonts w:cstheme="minorHAnsi"/>
                <w:sz w:val="16"/>
                <w:szCs w:val="16"/>
              </w:rPr>
            </w:pPr>
            <w:r w:rsidRPr="00747CFD">
              <w:rPr>
                <w:rFonts w:cstheme="minorHAnsi"/>
                <w:sz w:val="16"/>
                <w:szCs w:val="16"/>
              </w:rPr>
              <w:t>40.000</w:t>
            </w:r>
          </w:p>
        </w:tc>
      </w:tr>
      <w:tr w:rsidR="00DD4D4C" w:rsidRPr="00747CFD" w14:paraId="221E2905" w14:textId="77777777" w:rsidTr="00747CFD">
        <w:tc>
          <w:tcPr>
            <w:tcW w:w="508" w:type="dxa"/>
            <w:tcBorders>
              <w:top w:val="single" w:sz="4" w:space="0" w:color="auto"/>
              <w:left w:val="single" w:sz="4" w:space="0" w:color="auto"/>
              <w:bottom w:val="single" w:sz="4" w:space="0" w:color="auto"/>
              <w:right w:val="single" w:sz="4" w:space="0" w:color="auto"/>
            </w:tcBorders>
            <w:vAlign w:val="center"/>
            <w:hideMark/>
          </w:tcPr>
          <w:p w14:paraId="10856D44" w14:textId="77777777" w:rsidR="00DD4D4C" w:rsidRPr="00747CFD" w:rsidRDefault="00DD4D4C">
            <w:pPr>
              <w:rPr>
                <w:rFonts w:cstheme="minorHAnsi"/>
                <w:sz w:val="16"/>
                <w:szCs w:val="16"/>
              </w:rPr>
            </w:pPr>
            <w:r w:rsidRPr="00747CFD">
              <w:rPr>
                <w:rFonts w:cstheme="minorHAnsi"/>
                <w:sz w:val="16"/>
                <w:szCs w:val="16"/>
              </w:rPr>
              <w:t>8.</w:t>
            </w:r>
          </w:p>
        </w:tc>
        <w:tc>
          <w:tcPr>
            <w:tcW w:w="1614" w:type="dxa"/>
            <w:tcBorders>
              <w:top w:val="single" w:sz="4" w:space="0" w:color="auto"/>
              <w:left w:val="single" w:sz="4" w:space="0" w:color="auto"/>
              <w:bottom w:val="single" w:sz="4" w:space="0" w:color="auto"/>
              <w:right w:val="single" w:sz="4" w:space="0" w:color="auto"/>
            </w:tcBorders>
            <w:vAlign w:val="center"/>
            <w:hideMark/>
          </w:tcPr>
          <w:p w14:paraId="69BD85A5" w14:textId="77777777" w:rsidR="00DD4D4C" w:rsidRPr="00747CFD" w:rsidRDefault="00DD4D4C">
            <w:pPr>
              <w:rPr>
                <w:rFonts w:cstheme="minorHAnsi"/>
                <w:sz w:val="16"/>
                <w:szCs w:val="16"/>
              </w:rPr>
            </w:pPr>
            <w:r w:rsidRPr="00747CFD">
              <w:rPr>
                <w:rFonts w:cstheme="minorHAnsi"/>
                <w:sz w:val="16"/>
                <w:szCs w:val="16"/>
              </w:rPr>
              <w:t xml:space="preserve">CGO </w:t>
            </w:r>
            <w:proofErr w:type="spellStart"/>
            <w:r w:rsidRPr="00747CFD">
              <w:rPr>
                <w:rFonts w:cstheme="minorHAnsi"/>
                <w:sz w:val="16"/>
                <w:szCs w:val="16"/>
              </w:rPr>
              <w:t>Piškornica</w:t>
            </w:r>
            <w:proofErr w:type="spellEnd"/>
          </w:p>
        </w:tc>
        <w:tc>
          <w:tcPr>
            <w:tcW w:w="5670" w:type="dxa"/>
            <w:tcBorders>
              <w:top w:val="single" w:sz="4" w:space="0" w:color="auto"/>
              <w:left w:val="single" w:sz="4" w:space="0" w:color="auto"/>
              <w:bottom w:val="single" w:sz="4" w:space="0" w:color="auto"/>
              <w:right w:val="single" w:sz="4" w:space="0" w:color="auto"/>
            </w:tcBorders>
            <w:vAlign w:val="center"/>
            <w:hideMark/>
          </w:tcPr>
          <w:p w14:paraId="26BCF0C5" w14:textId="77777777" w:rsidR="00DD4D4C" w:rsidRPr="00747CFD" w:rsidRDefault="00DD4D4C">
            <w:pPr>
              <w:rPr>
                <w:rFonts w:cstheme="minorHAnsi"/>
                <w:sz w:val="16"/>
                <w:szCs w:val="16"/>
              </w:rPr>
            </w:pPr>
            <w:r w:rsidRPr="00747CFD">
              <w:rPr>
                <w:rFonts w:cstheme="minorHAnsi"/>
                <w:sz w:val="16"/>
                <w:szCs w:val="16"/>
              </w:rPr>
              <w:t>Koprivničko-križevačka (sve JLS), Krapinsko-zagorska (sve JLS), Međimurska (sve JLS), Varaždinska (sve JLS), Bjelovarsko-bilogorska županija (sve JLS)</w:t>
            </w:r>
          </w:p>
        </w:tc>
        <w:tc>
          <w:tcPr>
            <w:tcW w:w="1259" w:type="dxa"/>
            <w:tcBorders>
              <w:top w:val="single" w:sz="4" w:space="0" w:color="auto"/>
              <w:left w:val="single" w:sz="4" w:space="0" w:color="auto"/>
              <w:bottom w:val="single" w:sz="4" w:space="0" w:color="auto"/>
              <w:right w:val="single" w:sz="4" w:space="0" w:color="auto"/>
            </w:tcBorders>
            <w:vAlign w:val="center"/>
            <w:hideMark/>
          </w:tcPr>
          <w:p w14:paraId="396D89A3" w14:textId="77777777" w:rsidR="00DD4D4C" w:rsidRPr="00747CFD" w:rsidRDefault="00DD4D4C">
            <w:pPr>
              <w:jc w:val="right"/>
              <w:rPr>
                <w:rFonts w:cstheme="minorHAnsi"/>
                <w:sz w:val="16"/>
                <w:szCs w:val="16"/>
              </w:rPr>
            </w:pPr>
            <w:r w:rsidRPr="00747CFD">
              <w:rPr>
                <w:rFonts w:cstheme="minorHAnsi"/>
                <w:sz w:val="16"/>
                <w:szCs w:val="16"/>
              </w:rPr>
              <w:t>110.000</w:t>
            </w:r>
          </w:p>
        </w:tc>
      </w:tr>
      <w:tr w:rsidR="00DD4D4C" w:rsidRPr="00747CFD" w14:paraId="23A1E664" w14:textId="77777777" w:rsidTr="00747CFD">
        <w:tc>
          <w:tcPr>
            <w:tcW w:w="508" w:type="dxa"/>
            <w:tcBorders>
              <w:top w:val="single" w:sz="4" w:space="0" w:color="auto"/>
              <w:left w:val="single" w:sz="4" w:space="0" w:color="auto"/>
              <w:bottom w:val="single" w:sz="4" w:space="0" w:color="auto"/>
              <w:right w:val="single" w:sz="4" w:space="0" w:color="auto"/>
            </w:tcBorders>
            <w:vAlign w:val="center"/>
            <w:hideMark/>
          </w:tcPr>
          <w:p w14:paraId="7A187330" w14:textId="77777777" w:rsidR="00DD4D4C" w:rsidRPr="00747CFD" w:rsidRDefault="00DD4D4C">
            <w:pPr>
              <w:rPr>
                <w:rFonts w:cstheme="minorHAnsi"/>
                <w:sz w:val="16"/>
                <w:szCs w:val="16"/>
              </w:rPr>
            </w:pPr>
            <w:r w:rsidRPr="00747CFD">
              <w:rPr>
                <w:rFonts w:cstheme="minorHAnsi"/>
                <w:sz w:val="16"/>
                <w:szCs w:val="16"/>
              </w:rPr>
              <w:t>9.</w:t>
            </w:r>
          </w:p>
        </w:tc>
        <w:tc>
          <w:tcPr>
            <w:tcW w:w="1614" w:type="dxa"/>
            <w:tcBorders>
              <w:top w:val="single" w:sz="4" w:space="0" w:color="auto"/>
              <w:left w:val="single" w:sz="4" w:space="0" w:color="auto"/>
              <w:bottom w:val="single" w:sz="4" w:space="0" w:color="auto"/>
              <w:right w:val="single" w:sz="4" w:space="0" w:color="auto"/>
            </w:tcBorders>
            <w:vAlign w:val="center"/>
            <w:hideMark/>
          </w:tcPr>
          <w:p w14:paraId="1707F87E" w14:textId="77777777" w:rsidR="00DD4D4C" w:rsidRPr="00747CFD" w:rsidRDefault="00DD4D4C">
            <w:pPr>
              <w:rPr>
                <w:rFonts w:cstheme="minorHAnsi"/>
                <w:sz w:val="16"/>
                <w:szCs w:val="16"/>
              </w:rPr>
            </w:pPr>
            <w:r w:rsidRPr="00747CFD">
              <w:rPr>
                <w:rFonts w:cstheme="minorHAnsi"/>
                <w:sz w:val="16"/>
                <w:szCs w:val="16"/>
              </w:rPr>
              <w:t xml:space="preserve">CGO </w:t>
            </w:r>
            <w:proofErr w:type="spellStart"/>
            <w:r w:rsidRPr="00747CFD">
              <w:rPr>
                <w:rFonts w:cstheme="minorHAnsi"/>
                <w:sz w:val="16"/>
                <w:szCs w:val="16"/>
              </w:rPr>
              <w:t>Orlovnjak</w:t>
            </w:r>
            <w:proofErr w:type="spellEnd"/>
          </w:p>
        </w:tc>
        <w:tc>
          <w:tcPr>
            <w:tcW w:w="5670" w:type="dxa"/>
            <w:tcBorders>
              <w:top w:val="single" w:sz="4" w:space="0" w:color="auto"/>
              <w:left w:val="single" w:sz="4" w:space="0" w:color="auto"/>
              <w:bottom w:val="single" w:sz="4" w:space="0" w:color="auto"/>
              <w:right w:val="single" w:sz="4" w:space="0" w:color="auto"/>
            </w:tcBorders>
            <w:vAlign w:val="center"/>
            <w:hideMark/>
          </w:tcPr>
          <w:p w14:paraId="27D4BD96" w14:textId="77777777" w:rsidR="00DD4D4C" w:rsidRPr="00747CFD" w:rsidRDefault="00DD4D4C">
            <w:pPr>
              <w:rPr>
                <w:rFonts w:cstheme="minorHAnsi"/>
                <w:sz w:val="16"/>
                <w:szCs w:val="16"/>
              </w:rPr>
            </w:pPr>
            <w:r w:rsidRPr="00747CFD">
              <w:rPr>
                <w:rFonts w:cstheme="minorHAnsi"/>
                <w:sz w:val="16"/>
                <w:szCs w:val="16"/>
              </w:rPr>
              <w:t>Osječko-baranjska (sve JLS), Vukovarsko-srijemska (sve JLS)</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779E5BB" w14:textId="77777777" w:rsidR="00DD4D4C" w:rsidRPr="00747CFD" w:rsidRDefault="00DD4D4C">
            <w:pPr>
              <w:jc w:val="right"/>
              <w:rPr>
                <w:rFonts w:cstheme="minorHAnsi"/>
                <w:sz w:val="16"/>
                <w:szCs w:val="16"/>
              </w:rPr>
            </w:pPr>
            <w:r w:rsidRPr="00747CFD">
              <w:rPr>
                <w:rFonts w:cstheme="minorHAnsi"/>
                <w:sz w:val="16"/>
                <w:szCs w:val="16"/>
              </w:rPr>
              <w:t>60.000</w:t>
            </w:r>
          </w:p>
        </w:tc>
      </w:tr>
      <w:tr w:rsidR="00DD4D4C" w:rsidRPr="00747CFD" w14:paraId="4A6D5CC4" w14:textId="77777777" w:rsidTr="00747CFD">
        <w:tc>
          <w:tcPr>
            <w:tcW w:w="508" w:type="dxa"/>
            <w:tcBorders>
              <w:top w:val="single" w:sz="4" w:space="0" w:color="auto"/>
              <w:left w:val="single" w:sz="4" w:space="0" w:color="auto"/>
              <w:bottom w:val="single" w:sz="4" w:space="0" w:color="auto"/>
              <w:right w:val="single" w:sz="4" w:space="0" w:color="auto"/>
            </w:tcBorders>
            <w:vAlign w:val="center"/>
            <w:hideMark/>
          </w:tcPr>
          <w:p w14:paraId="151052DD" w14:textId="77777777" w:rsidR="00DD4D4C" w:rsidRPr="00747CFD" w:rsidRDefault="00DD4D4C">
            <w:pPr>
              <w:rPr>
                <w:rFonts w:cstheme="minorHAnsi"/>
                <w:sz w:val="16"/>
                <w:szCs w:val="16"/>
              </w:rPr>
            </w:pPr>
            <w:r w:rsidRPr="00747CFD">
              <w:rPr>
                <w:rFonts w:cstheme="minorHAnsi"/>
                <w:sz w:val="16"/>
                <w:szCs w:val="16"/>
              </w:rPr>
              <w:t>10.</w:t>
            </w:r>
          </w:p>
        </w:tc>
        <w:tc>
          <w:tcPr>
            <w:tcW w:w="1614" w:type="dxa"/>
            <w:tcBorders>
              <w:top w:val="single" w:sz="4" w:space="0" w:color="auto"/>
              <w:left w:val="single" w:sz="4" w:space="0" w:color="auto"/>
              <w:bottom w:val="single" w:sz="4" w:space="0" w:color="auto"/>
              <w:right w:val="single" w:sz="4" w:space="0" w:color="auto"/>
            </w:tcBorders>
            <w:vAlign w:val="center"/>
            <w:hideMark/>
          </w:tcPr>
          <w:p w14:paraId="2E47952B" w14:textId="77777777" w:rsidR="00DD4D4C" w:rsidRPr="00747CFD" w:rsidRDefault="00DD4D4C">
            <w:pPr>
              <w:rPr>
                <w:rFonts w:cstheme="minorHAnsi"/>
                <w:sz w:val="16"/>
                <w:szCs w:val="16"/>
              </w:rPr>
            </w:pPr>
            <w:r w:rsidRPr="00747CFD">
              <w:rPr>
                <w:rFonts w:cstheme="minorHAnsi"/>
                <w:sz w:val="16"/>
                <w:szCs w:val="16"/>
              </w:rPr>
              <w:t xml:space="preserve">CGO </w:t>
            </w:r>
            <w:proofErr w:type="spellStart"/>
            <w:r w:rsidRPr="00747CFD">
              <w:rPr>
                <w:rFonts w:cstheme="minorHAnsi"/>
                <w:sz w:val="16"/>
                <w:szCs w:val="16"/>
              </w:rPr>
              <w:t>Šagulje</w:t>
            </w:r>
            <w:proofErr w:type="spellEnd"/>
          </w:p>
        </w:tc>
        <w:tc>
          <w:tcPr>
            <w:tcW w:w="5670" w:type="dxa"/>
            <w:tcBorders>
              <w:top w:val="single" w:sz="4" w:space="0" w:color="auto"/>
              <w:left w:val="single" w:sz="4" w:space="0" w:color="auto"/>
              <w:bottom w:val="single" w:sz="4" w:space="0" w:color="auto"/>
              <w:right w:val="single" w:sz="4" w:space="0" w:color="auto"/>
            </w:tcBorders>
            <w:vAlign w:val="center"/>
            <w:hideMark/>
          </w:tcPr>
          <w:p w14:paraId="0B3264E5" w14:textId="77777777" w:rsidR="00DD4D4C" w:rsidRPr="00747CFD" w:rsidRDefault="00DD4D4C">
            <w:pPr>
              <w:rPr>
                <w:rFonts w:cstheme="minorHAnsi"/>
                <w:sz w:val="16"/>
                <w:szCs w:val="16"/>
              </w:rPr>
            </w:pPr>
            <w:r w:rsidRPr="00747CFD">
              <w:rPr>
                <w:rFonts w:cstheme="minorHAnsi"/>
                <w:sz w:val="16"/>
                <w:szCs w:val="16"/>
              </w:rPr>
              <w:t>Brodsko-posavska (sve JLS), Požeško-slavonska (sve JLS), Virovitičko-podravska županija (sve JLS) dio Sisačko-</w:t>
            </w:r>
            <w:proofErr w:type="spellStart"/>
            <w:r w:rsidRPr="00747CFD">
              <w:rPr>
                <w:rFonts w:cstheme="minorHAnsi"/>
                <w:sz w:val="16"/>
                <w:szCs w:val="16"/>
              </w:rPr>
              <w:t>moslovačke</w:t>
            </w:r>
            <w:proofErr w:type="spellEnd"/>
            <w:r w:rsidRPr="00747CFD">
              <w:rPr>
                <w:rFonts w:cstheme="minorHAnsi"/>
                <w:sz w:val="16"/>
                <w:szCs w:val="16"/>
              </w:rPr>
              <w:t xml:space="preserve"> (gradovi Hrvatska Kostajnica, Kutina, Novska, Popovača, Sisak i općine Donji </w:t>
            </w:r>
            <w:proofErr w:type="spellStart"/>
            <w:r w:rsidRPr="00747CFD">
              <w:rPr>
                <w:rFonts w:cstheme="minorHAnsi"/>
                <w:sz w:val="16"/>
                <w:szCs w:val="16"/>
              </w:rPr>
              <w:t>Kukuruzari</w:t>
            </w:r>
            <w:proofErr w:type="spellEnd"/>
            <w:r w:rsidRPr="00747CFD">
              <w:rPr>
                <w:rFonts w:cstheme="minorHAnsi"/>
                <w:sz w:val="16"/>
                <w:szCs w:val="16"/>
              </w:rPr>
              <w:t>, Dvor, Hrvatska Dubica, Jasenovac, Lekenik, Lipovljani, Majur, Sunja, Topusko, Velika Ludina)</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755699A" w14:textId="77777777" w:rsidR="00DD4D4C" w:rsidRPr="00747CFD" w:rsidRDefault="00DD4D4C">
            <w:pPr>
              <w:jc w:val="right"/>
              <w:rPr>
                <w:rFonts w:cstheme="minorHAnsi"/>
                <w:sz w:val="16"/>
                <w:szCs w:val="16"/>
              </w:rPr>
            </w:pPr>
            <w:r w:rsidRPr="00747CFD">
              <w:rPr>
                <w:rFonts w:cstheme="minorHAnsi"/>
                <w:sz w:val="16"/>
                <w:szCs w:val="16"/>
              </w:rPr>
              <w:t>55.000</w:t>
            </w:r>
          </w:p>
        </w:tc>
      </w:tr>
      <w:tr w:rsidR="00DD4D4C" w:rsidRPr="00747CFD" w14:paraId="7FAB8D5C" w14:textId="77777777" w:rsidTr="00747CFD">
        <w:tc>
          <w:tcPr>
            <w:tcW w:w="508" w:type="dxa"/>
            <w:tcBorders>
              <w:top w:val="single" w:sz="4" w:space="0" w:color="auto"/>
              <w:left w:val="single" w:sz="4" w:space="0" w:color="auto"/>
              <w:bottom w:val="single" w:sz="4" w:space="0" w:color="auto"/>
              <w:right w:val="single" w:sz="4" w:space="0" w:color="auto"/>
            </w:tcBorders>
            <w:vAlign w:val="center"/>
            <w:hideMark/>
          </w:tcPr>
          <w:p w14:paraId="608CA0B2" w14:textId="77777777" w:rsidR="00DD4D4C" w:rsidRPr="00747CFD" w:rsidRDefault="00DD4D4C">
            <w:pPr>
              <w:rPr>
                <w:rFonts w:cstheme="minorHAnsi"/>
                <w:sz w:val="16"/>
                <w:szCs w:val="16"/>
              </w:rPr>
            </w:pPr>
            <w:r w:rsidRPr="00747CFD">
              <w:rPr>
                <w:rFonts w:cstheme="minorHAnsi"/>
                <w:sz w:val="16"/>
                <w:szCs w:val="16"/>
              </w:rPr>
              <w:t>11.</w:t>
            </w:r>
          </w:p>
        </w:tc>
        <w:tc>
          <w:tcPr>
            <w:tcW w:w="1614" w:type="dxa"/>
            <w:tcBorders>
              <w:top w:val="single" w:sz="4" w:space="0" w:color="auto"/>
              <w:left w:val="single" w:sz="4" w:space="0" w:color="auto"/>
              <w:bottom w:val="single" w:sz="4" w:space="0" w:color="auto"/>
              <w:right w:val="single" w:sz="4" w:space="0" w:color="auto"/>
            </w:tcBorders>
            <w:vAlign w:val="center"/>
            <w:hideMark/>
          </w:tcPr>
          <w:p w14:paraId="0DFDB02C" w14:textId="77777777" w:rsidR="00DD4D4C" w:rsidRPr="00747CFD" w:rsidRDefault="00DD4D4C">
            <w:pPr>
              <w:rPr>
                <w:rFonts w:cstheme="minorHAnsi"/>
                <w:sz w:val="16"/>
                <w:szCs w:val="16"/>
              </w:rPr>
            </w:pPr>
            <w:r w:rsidRPr="00747CFD">
              <w:rPr>
                <w:rFonts w:cstheme="minorHAnsi"/>
                <w:sz w:val="16"/>
                <w:szCs w:val="16"/>
              </w:rPr>
              <w:t>CGO Zagreb</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85C43DA" w14:textId="77777777" w:rsidR="00DD4D4C" w:rsidRPr="00747CFD" w:rsidRDefault="00DD4D4C">
            <w:pPr>
              <w:rPr>
                <w:rFonts w:cstheme="minorHAnsi"/>
                <w:sz w:val="16"/>
                <w:szCs w:val="16"/>
              </w:rPr>
            </w:pPr>
            <w:r w:rsidRPr="00747CFD">
              <w:rPr>
                <w:rFonts w:cstheme="minorHAnsi"/>
                <w:sz w:val="16"/>
                <w:szCs w:val="16"/>
              </w:rPr>
              <w:t>Grad Zagreb, Zagrebačka (sve JLS)</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6A3E10D" w14:textId="77777777" w:rsidR="00DD4D4C" w:rsidRPr="00747CFD" w:rsidRDefault="00DD4D4C">
            <w:pPr>
              <w:jc w:val="right"/>
              <w:rPr>
                <w:rFonts w:cstheme="minorHAnsi"/>
                <w:sz w:val="16"/>
                <w:szCs w:val="16"/>
              </w:rPr>
            </w:pPr>
            <w:r w:rsidRPr="00747CFD">
              <w:rPr>
                <w:rFonts w:cstheme="minorHAnsi"/>
                <w:sz w:val="16"/>
                <w:szCs w:val="16"/>
              </w:rPr>
              <w:t>180.000</w:t>
            </w:r>
          </w:p>
        </w:tc>
      </w:tr>
    </w:tbl>
    <w:p w14:paraId="4F0004EA" w14:textId="4EC95FAC" w:rsidR="008A3A57" w:rsidRDefault="008A3A57" w:rsidP="008A3A57"/>
    <w:p w14:paraId="7CAD87A0" w14:textId="2948156F" w:rsidR="00122AD2" w:rsidRPr="00A079AF" w:rsidRDefault="00122AD2" w:rsidP="0018450E">
      <w:pPr>
        <w:pStyle w:val="IRNaslov2"/>
        <w:numPr>
          <w:ilvl w:val="1"/>
          <w:numId w:val="22"/>
        </w:numPr>
        <w:ind w:left="709"/>
      </w:pPr>
      <w:bookmarkStart w:id="218" w:name="_Toc123211658"/>
      <w:r>
        <w:t>Odlagališta neopasnog otpada</w:t>
      </w:r>
      <w:bookmarkEnd w:id="218"/>
    </w:p>
    <w:p w14:paraId="041D2329" w14:textId="23430186" w:rsidR="00122AD2" w:rsidRDefault="00122AD2" w:rsidP="00122AD2">
      <w:r>
        <w:t xml:space="preserve">U 2021. godini je nastalo ukupno 1.004.877 tona </w:t>
      </w:r>
      <w:proofErr w:type="spellStart"/>
      <w:r>
        <w:t>mKO</w:t>
      </w:r>
      <w:proofErr w:type="spellEnd"/>
      <w:r>
        <w:t xml:space="preserve">-a. S obzirom na trenutno stanje gospodarenja </w:t>
      </w:r>
      <w:proofErr w:type="spellStart"/>
      <w:r>
        <w:t>mKO</w:t>
      </w:r>
      <w:proofErr w:type="spellEnd"/>
      <w:r>
        <w:t xml:space="preserve">-om gdje se svega cca 146.000 tona </w:t>
      </w:r>
      <w:proofErr w:type="spellStart"/>
      <w:r>
        <w:t>mKO</w:t>
      </w:r>
      <w:proofErr w:type="spellEnd"/>
      <w:r>
        <w:t>-a obrađuje u sklopu 2 postojeća CGO-a (</w:t>
      </w:r>
      <w:proofErr w:type="spellStart"/>
      <w:r>
        <w:t>Kaštijun</w:t>
      </w:r>
      <w:proofErr w:type="spellEnd"/>
      <w:r>
        <w:t xml:space="preserve"> i </w:t>
      </w:r>
      <w:proofErr w:type="spellStart"/>
      <w:r>
        <w:t>Marišćina</w:t>
      </w:r>
      <w:proofErr w:type="spellEnd"/>
      <w:r>
        <w:t>), na postojeća aktivna odlagališta</w:t>
      </w:r>
      <w:r w:rsidR="00DF07C9">
        <w:t xml:space="preserve"> (njih </w:t>
      </w:r>
      <w:r w:rsidR="00E615C7">
        <w:t>80</w:t>
      </w:r>
      <w:r w:rsidR="00DF07C9">
        <w:t xml:space="preserve"> u 2021. godini)</w:t>
      </w:r>
      <w:r>
        <w:t xml:space="preserve"> odloženo</w:t>
      </w:r>
      <w:r w:rsidR="00DF07C9">
        <w:t xml:space="preserve"> je</w:t>
      </w:r>
      <w:r>
        <w:t xml:space="preserve"> 848.075 t </w:t>
      </w:r>
      <w:proofErr w:type="spellStart"/>
      <w:r>
        <w:t>mKO</w:t>
      </w:r>
      <w:proofErr w:type="spellEnd"/>
      <w:r>
        <w:t>-a bez prethodne obrade.</w:t>
      </w:r>
    </w:p>
    <w:p w14:paraId="6A9ACED7" w14:textId="2E5770A2" w:rsidR="00DF07C9" w:rsidRDefault="00DF07C9" w:rsidP="00122AD2">
      <w:r w:rsidRPr="00E615C7">
        <w:t xml:space="preserve">Kako je prethodno navedeno u poglavlju </w:t>
      </w:r>
      <w:r w:rsidRPr="00E615C7">
        <w:fldChar w:fldCharType="begin"/>
      </w:r>
      <w:r w:rsidRPr="00E615C7">
        <w:instrText xml:space="preserve"> REF _Ref116637855 \r \h  \* MERGEFORMAT </w:instrText>
      </w:r>
      <w:r w:rsidRPr="00E615C7">
        <w:fldChar w:fldCharType="separate"/>
      </w:r>
      <w:r w:rsidR="00F37B62">
        <w:t>2.4.1.6</w:t>
      </w:r>
      <w:r w:rsidRPr="00E615C7">
        <w:fldChar w:fldCharType="end"/>
      </w:r>
      <w:r w:rsidRPr="00E615C7">
        <w:t>., ukupan preostali kapacitet na svim odlagalištima krajem 2021. godine, prema procjeni operatera odlagališta iznosio je 16.624.770 tona, od čega se 9.792.665 tona odnosi na odlagališta na kojima se odlaže komunalni otpad. U 2021. godini pripremu sanacije prijavilo je 15 odlagališta, sanacija je bila u tijeku na 28 odlagališta, a status saniranih ima ukupno 37 odlagališta.</w:t>
      </w:r>
    </w:p>
    <w:p w14:paraId="163CC961" w14:textId="392644BB" w:rsidR="00122AD2" w:rsidRDefault="00122AD2" w:rsidP="00122AD2">
      <w:r>
        <w:t xml:space="preserve">Kontinuirano se radi na unapređenju sustava praćenja ispunjavanja propisanih ciljeva i na provođenju mjera u svrhu smanjenja odlaganja otpada, čemu ide u prilog i donošenje Odluke o redoslijedu i dinamici zatvaranja odlagališta </w:t>
      </w:r>
      <w:r w:rsidR="000B0FC1">
        <w:t>(NN</w:t>
      </w:r>
      <w:r>
        <w:t xml:space="preserve"> 3/19, 17/19). Odlukom je, između ostaloga, određen raspored i dinamika zatvaranja odlagališta neopasnog otpada po županijama koja su se trebala zatvoriti do 31.12</w:t>
      </w:r>
      <w:r w:rsidR="000B0FC1">
        <w:t>.</w:t>
      </w:r>
      <w:r>
        <w:t>2018. godine. Do kraja 2020. godine zatvoreno je svih 26 planiranih odlagališta.</w:t>
      </w:r>
    </w:p>
    <w:p w14:paraId="4FC87079" w14:textId="77777777" w:rsidR="00122AD2" w:rsidRDefault="00122AD2" w:rsidP="00122AD2">
      <w:r>
        <w:t xml:space="preserve">Uzimajući u obzir broj neusklađenih i usklađenih aktivnih službenih odlagališta neopasnog otpada, količine </w:t>
      </w:r>
      <w:proofErr w:type="spellStart"/>
      <w:r>
        <w:t>mKO</w:t>
      </w:r>
      <w:proofErr w:type="spellEnd"/>
      <w:r>
        <w:t xml:space="preserve">-a koji se odlaže bez prethodne obrade te ciljeve postupnog smanjenja količina otpada </w:t>
      </w:r>
      <w:r>
        <w:lastRenderedPageBreak/>
        <w:t xml:space="preserve">koji se odlaže na odlagališta, neophodno je predvidjeti postupno preusmjeravanje otpada sa manjih, neusklađenih i nesaniranih odlagališta s ciljem njihove sanacije i zatvaranja bez daljnjeg odlaganja, na veća, infrastrukturno opremljena, usklađena odlagališta s dostatnim kapacitetima. Istovremeno potrebno je nastaviti aktivnosti na izgradnji planiranih postrojenja za oporabu i zbrinjavanje </w:t>
      </w:r>
      <w:proofErr w:type="spellStart"/>
      <w:r>
        <w:t>mKO</w:t>
      </w:r>
      <w:proofErr w:type="spellEnd"/>
      <w:r>
        <w:t>-a, kroz izgradnju centara za gospodarenje otpadom.</w:t>
      </w:r>
    </w:p>
    <w:p w14:paraId="40D7DF16" w14:textId="77777777" w:rsidR="00122AD2" w:rsidRDefault="00122AD2" w:rsidP="00122AD2">
      <w:r>
        <w:t>Odlukom o redoslijedu i dinamici zatvaranja odlagališta određena su postojeća odlagališta neopasnog otpada:</w:t>
      </w:r>
    </w:p>
    <w:p w14:paraId="019D6E8D" w14:textId="646B1046" w:rsidR="00122AD2" w:rsidRDefault="00122AD2">
      <w:pPr>
        <w:pStyle w:val="Odlomakpopisa"/>
        <w:numPr>
          <w:ilvl w:val="0"/>
          <w:numId w:val="26"/>
        </w:numPr>
      </w:pPr>
      <w:r>
        <w:t>koja se zatvaraju</w:t>
      </w:r>
    </w:p>
    <w:p w14:paraId="0FA6D617" w14:textId="1AC9F94C" w:rsidR="00122AD2" w:rsidRDefault="00122AD2">
      <w:pPr>
        <w:pStyle w:val="Odlomakpopisa"/>
        <w:numPr>
          <w:ilvl w:val="0"/>
          <w:numId w:val="26"/>
        </w:numPr>
      </w:pPr>
      <w:r>
        <w:t xml:space="preserve">na kojima će se nastaviti odlagati neopasni komunalni i proizvodni otpad do popunjena kapaciteta za odlaganje </w:t>
      </w:r>
    </w:p>
    <w:p w14:paraId="0E6FF30C" w14:textId="60EC7C51" w:rsidR="00122AD2" w:rsidRDefault="00122AD2">
      <w:pPr>
        <w:pStyle w:val="Odlomakpopisa"/>
        <w:numPr>
          <w:ilvl w:val="0"/>
          <w:numId w:val="26"/>
        </w:numPr>
      </w:pPr>
      <w:r>
        <w:t xml:space="preserve">na kojima će se nastaviti odlagati neopasni komunalni i proizvodni otpad do početka rada Centara za gospodarenje otpadom. </w:t>
      </w:r>
    </w:p>
    <w:p w14:paraId="5F5CE410" w14:textId="77777777" w:rsidR="00122AD2" w:rsidRDefault="00122AD2" w:rsidP="00122AD2">
      <w:r>
        <w:t>Kako bi se smanjile količine otpada koje se odlažu i dostigli propisani ciljevi za smanjenje odlaganja biorazgradivog komunalnog otpada, svakako je potrebno u narednom razdoblju intenzivirati već postojeću provedbu mjera usmjerenih na odvojeno prikupljanje komunalnog otpada, opremanje i izgradnju infrastrukture za pripremu za ponovnu uporabu i recikliranje komunalnog otpada te nastavak izgradnje postrojenja za oporabu i zbrinjavanje miješanog komunalnog otpada.</w:t>
      </w:r>
    </w:p>
    <w:p w14:paraId="4746518F" w14:textId="74A41CBB" w:rsidR="00122AD2" w:rsidRPr="004B7A1E" w:rsidRDefault="00122AD2" w:rsidP="00E25425">
      <w:pPr>
        <w:pStyle w:val="Tekstkomentara"/>
      </w:pPr>
      <w:r w:rsidRPr="004B7A1E">
        <w:rPr>
          <w:sz w:val="22"/>
          <w:szCs w:val="22"/>
        </w:rPr>
        <w:t>Postojeća odlagališta neopasnog otpada koja ispunjavaju ili će ispunjavati uvjete za rad (sanirana i usklađena s nacionalnom i europskom regulativom) nastaviti će s radom i prihvatom miješanog komunalnog otpada do puštanja u rad odgovarajućeg centra za gospodarenje otpadom nakon čega se navedena odlagališta zatvaraju ili se preostali kapaciteti koriste za prihvat inertnog otpada. Također, sukladno zakonskoj regulativi na usklađenim odlagalištima otpada dozvoljeno je odlaganje otpada koji je prošao prethodnu obradu otpada prije odlaganja. Iznimno, dozvoljeno je i odlaganje otpada koji nije prošao prethodnu obradu prije odlaganja, ako takvo odlaganje ne bi bilo protivno mjerama za postizanje ciljeva gospodarenja otpadom određenih ZOGO-om i to u slučaju da prethodna obrada toga otpada ne bi doprinijela smanjenju količina otpada koji se odlaže, ili se prethodnom obradom ne bi smanjio štetni utjecaj, uzrokovan svojstvima odloženog otpada, na okoliš</w:t>
      </w:r>
      <w:r w:rsidR="004B7A1E">
        <w:rPr>
          <w:sz w:val="22"/>
          <w:szCs w:val="22"/>
        </w:rPr>
        <w:t>. Također je</w:t>
      </w:r>
      <w:r w:rsidR="004B7A1E" w:rsidRPr="004B7A1E">
        <w:rPr>
          <w:sz w:val="22"/>
          <w:szCs w:val="22"/>
        </w:rPr>
        <w:t xml:space="preserve"> </w:t>
      </w:r>
      <w:r w:rsidR="004B7A1E">
        <w:rPr>
          <w:sz w:val="22"/>
          <w:szCs w:val="22"/>
        </w:rPr>
        <w:t xml:space="preserve">dozvoljeno odlaganje </w:t>
      </w:r>
      <w:r w:rsidR="004B7A1E" w:rsidRPr="004B7A1E">
        <w:rPr>
          <w:sz w:val="22"/>
          <w:szCs w:val="22"/>
        </w:rPr>
        <w:t>inertn</w:t>
      </w:r>
      <w:r w:rsidR="004B7A1E">
        <w:rPr>
          <w:sz w:val="22"/>
          <w:szCs w:val="22"/>
        </w:rPr>
        <w:t>og</w:t>
      </w:r>
      <w:r w:rsidR="004B7A1E" w:rsidRPr="004B7A1E">
        <w:rPr>
          <w:sz w:val="22"/>
          <w:szCs w:val="22"/>
        </w:rPr>
        <w:t xml:space="preserve"> otpad</w:t>
      </w:r>
      <w:r w:rsidR="004B7A1E">
        <w:rPr>
          <w:sz w:val="22"/>
          <w:szCs w:val="22"/>
        </w:rPr>
        <w:t>a</w:t>
      </w:r>
      <w:r w:rsidR="004B7A1E" w:rsidRPr="004B7A1E">
        <w:rPr>
          <w:sz w:val="22"/>
          <w:szCs w:val="22"/>
        </w:rPr>
        <w:t xml:space="preserve"> čija obrada nije tehnički izvediva</w:t>
      </w:r>
      <w:r w:rsidRPr="004B7A1E">
        <w:rPr>
          <w:sz w:val="22"/>
          <w:szCs w:val="22"/>
        </w:rPr>
        <w:t>.</w:t>
      </w:r>
    </w:p>
    <w:p w14:paraId="5BF1FDA4" w14:textId="77777777" w:rsidR="00122AD2" w:rsidRDefault="00122AD2" w:rsidP="00122AD2">
      <w:r>
        <w:t xml:space="preserve">S obzirom da je u promatranom planskom razdoblju (2023.-2028.) predviđen završetak izgradnje postrojenja za oporabu i zbrinjavanje miješanog komunalnog otpada (kao dio Centara za gospodarenje otpadom), potrebno je predvidjeti zatvaranje svih odlagališta neopasnog otpada. </w:t>
      </w:r>
    </w:p>
    <w:p w14:paraId="061AC28C" w14:textId="7D3230AA" w:rsidR="00FC253D" w:rsidRDefault="00122AD2" w:rsidP="004E657D">
      <w:r w:rsidRPr="00A93459">
        <w:rPr>
          <w:highlight w:val="yellow"/>
        </w:rPr>
        <w:t xml:space="preserve">U tijeku je izrada revidirane Odluke o redoslijedu i dinamici zatvaranja odlagališta kojom će se uzeti u obzir najnoviji status pojedinih projekata izgradnje CGO-a kao jedne od krajnjih točaka u sustavu gospodarenja </w:t>
      </w:r>
      <w:proofErr w:type="spellStart"/>
      <w:r w:rsidRPr="00A93459">
        <w:rPr>
          <w:highlight w:val="yellow"/>
        </w:rPr>
        <w:t>mKO</w:t>
      </w:r>
      <w:proofErr w:type="spellEnd"/>
      <w:r w:rsidRPr="00A93459">
        <w:rPr>
          <w:highlight w:val="yellow"/>
        </w:rPr>
        <w:t xml:space="preserve">-om te raspoloživost kapaciteta na aktivnim odlagalištima. Rezultat Odluke će biti popis odlagališta koja će se zatvoriti u ovom planskom razdoblju a ne temelju čega će se moći </w:t>
      </w:r>
      <w:r w:rsidR="00DF2400" w:rsidRPr="00A93459">
        <w:rPr>
          <w:highlight w:val="yellow"/>
        </w:rPr>
        <w:t>procijeniti</w:t>
      </w:r>
      <w:r w:rsidRPr="00A93459">
        <w:rPr>
          <w:highlight w:val="yellow"/>
        </w:rPr>
        <w:t xml:space="preserve"> kapitalni troškovi zatvaranja odlagališta</w:t>
      </w:r>
      <w:r>
        <w:t>.</w:t>
      </w:r>
    </w:p>
    <w:p w14:paraId="53485BA3" w14:textId="237515C5" w:rsidR="00122AD2" w:rsidRPr="0057661C" w:rsidRDefault="00122AD2" w:rsidP="0018450E">
      <w:pPr>
        <w:pStyle w:val="IRNaslov2"/>
        <w:pageBreakBefore/>
        <w:numPr>
          <w:ilvl w:val="1"/>
          <w:numId w:val="22"/>
        </w:numPr>
        <w:ind w:left="709"/>
      </w:pPr>
      <w:bookmarkStart w:id="219" w:name="_Ref116462273"/>
      <w:bookmarkStart w:id="220" w:name="_Toc123211659"/>
      <w:r w:rsidRPr="0057661C">
        <w:lastRenderedPageBreak/>
        <w:t>Energetska oporaba otpada</w:t>
      </w:r>
      <w:bookmarkEnd w:id="219"/>
      <w:bookmarkEnd w:id="220"/>
    </w:p>
    <w:p w14:paraId="3D6D3816" w14:textId="5F2FA33D" w:rsidR="0057661C" w:rsidRDefault="0057661C" w:rsidP="0057661C">
      <w:r>
        <w:t>Cjeloviti sustav gospodarenja otpadom, uvažavajući red prvenstva gospodarenja otpadom kao i postavljene ciljeve za ograničenjem dopuštene količine otpada koja se može odložiti 2035. godine</w:t>
      </w:r>
      <w:r w:rsidR="00945857">
        <w:t xml:space="preserve"> a koji iznosi 10%, nije moguće ispuniti bez energetske oporabe. </w:t>
      </w:r>
      <w:r w:rsidR="00945857" w:rsidRPr="00A93459">
        <w:rPr>
          <w:highlight w:val="yellow"/>
        </w:rPr>
        <w:t xml:space="preserve">Stoga je zbog postavljenih ciljeva </w:t>
      </w:r>
      <w:r w:rsidR="00E36E9E" w:rsidRPr="00A93459">
        <w:rPr>
          <w:highlight w:val="yellow"/>
        </w:rPr>
        <w:t>potrebno</w:t>
      </w:r>
      <w:r w:rsidR="00945857" w:rsidRPr="00A93459">
        <w:rPr>
          <w:highlight w:val="yellow"/>
        </w:rPr>
        <w:t xml:space="preserve"> planirati i izgraditi postrojenja za energetsku oporabu</w:t>
      </w:r>
      <w:r w:rsidR="00E36E9E" w:rsidRPr="00A93459">
        <w:rPr>
          <w:highlight w:val="yellow"/>
        </w:rPr>
        <w:t xml:space="preserve"> otpada</w:t>
      </w:r>
      <w:r>
        <w:t xml:space="preserve">. Naime, cijeli sustav gospodarenja otpadom zasnovan je na primjeni svih pet </w:t>
      </w:r>
      <w:r w:rsidR="008757DF">
        <w:t>segmenata</w:t>
      </w:r>
      <w:r w:rsidR="00FC253D">
        <w:t xml:space="preserve"> </w:t>
      </w:r>
      <w:r>
        <w:t xml:space="preserve">reda prvenstva gospodarenja otpadom (prevencija, ponovno korištenje, recikliranje, oporaba, zbrinjavanje), dok je cilj također samodostatnost i održivost sustava bez potrebe, odnosno s minimiziranjem potrebe za obradom otpada i sirovina dobivenih obradom otpada izvan granica RH kako bi se </w:t>
      </w:r>
      <w:r w:rsidR="00FC253D">
        <w:t>1.)</w:t>
      </w:r>
      <w:r>
        <w:t xml:space="preserve"> smanjili troškovi konačnog zbrinjavanja otpada i </w:t>
      </w:r>
      <w:r w:rsidR="00FC253D">
        <w:t>2.)</w:t>
      </w:r>
      <w:r>
        <w:t xml:space="preserve"> kako bi se osigurao što veći stupanj energetske neovisnosti RH. Tako je jedna od vizija Strategije energetskog razvoja RH do 2030. s pogledom na 2050. (NN 25/20) „Ojačati sigurnost opskrbe energijom kroz rast domaće proizvodnje i povezivanje energetske infrastrukture, kao i uvođenje mehanizama za razvoj proizvodnih kapaciteta“.</w:t>
      </w:r>
    </w:p>
    <w:p w14:paraId="77232E45" w14:textId="77777777" w:rsidR="0057661C" w:rsidRDefault="0057661C" w:rsidP="0057661C">
      <w:r>
        <w:t xml:space="preserve">Kao što je vidljivo iz projekcija nastanka KO, odvojenog sakupljanja i materijalne oporabe potrebno je predvidjeti sustav za gospodarenje </w:t>
      </w:r>
      <w:proofErr w:type="spellStart"/>
      <w:r>
        <w:t>mKO</w:t>
      </w:r>
      <w:proofErr w:type="spellEnd"/>
      <w:r>
        <w:t xml:space="preserve">-om za približno 900.000 t/god (Scenarij 1) odnosno 1.000.000 t/god (Scenarij 2). S obzirom na strateško opredjeljenje RH za obradu </w:t>
      </w:r>
      <w:proofErr w:type="spellStart"/>
      <w:r>
        <w:t>mKO</w:t>
      </w:r>
      <w:proofErr w:type="spellEnd"/>
      <w:r>
        <w:t xml:space="preserve">-a u sklopu regionalnih CGO-a, izlazni produkti obrade </w:t>
      </w:r>
      <w:proofErr w:type="spellStart"/>
      <w:r>
        <w:t>mKO</w:t>
      </w:r>
      <w:proofErr w:type="spellEnd"/>
      <w:r>
        <w:t>-a su:</w:t>
      </w:r>
    </w:p>
    <w:p w14:paraId="3B98A9DA" w14:textId="023D4207" w:rsidR="0057661C" w:rsidRDefault="0057661C" w:rsidP="0057661C">
      <w:pPr>
        <w:pStyle w:val="Odlomakpopisa"/>
        <w:numPr>
          <w:ilvl w:val="0"/>
          <w:numId w:val="26"/>
        </w:numPr>
      </w:pPr>
      <w:proofErr w:type="spellStart"/>
      <w:r>
        <w:t>Reciklati</w:t>
      </w:r>
      <w:proofErr w:type="spellEnd"/>
      <w:r>
        <w:t xml:space="preserve"> – izdvojeni otpad pogodan za materijalnu oporabu</w:t>
      </w:r>
    </w:p>
    <w:p w14:paraId="6AB8D893" w14:textId="1C2EB5F1" w:rsidR="0057661C" w:rsidRDefault="0057661C" w:rsidP="0057661C">
      <w:pPr>
        <w:pStyle w:val="Odlomakpopisa"/>
        <w:numPr>
          <w:ilvl w:val="0"/>
          <w:numId w:val="26"/>
        </w:numPr>
      </w:pPr>
      <w:r>
        <w:t>Gorivo iz otpada</w:t>
      </w:r>
    </w:p>
    <w:p w14:paraId="50596B13" w14:textId="1A211497" w:rsidR="0057661C" w:rsidRDefault="0057661C" w:rsidP="0057661C">
      <w:pPr>
        <w:pStyle w:val="Odlomakpopisa"/>
        <w:numPr>
          <w:ilvl w:val="0"/>
          <w:numId w:val="26"/>
        </w:numPr>
      </w:pPr>
      <w:r>
        <w:t>Ostatak za odlaganje – stabilizirani biorazgradivi otpad i ostali otpad koji nije pogodan za niti jedan drugi sustav oporabe</w:t>
      </w:r>
    </w:p>
    <w:p w14:paraId="3396D688" w14:textId="25FBBA21" w:rsidR="0057661C" w:rsidRDefault="0057661C" w:rsidP="0057661C">
      <w:r w:rsidRPr="00A93459">
        <w:rPr>
          <w:highlight w:val="yellow"/>
        </w:rPr>
        <w:t xml:space="preserve">U skladu s tim proizlazi potreba za energetskom oporabom otpada koji se ne može drugačije </w:t>
      </w:r>
      <w:proofErr w:type="spellStart"/>
      <w:r w:rsidRPr="00A93459">
        <w:rPr>
          <w:highlight w:val="yellow"/>
        </w:rPr>
        <w:t>oporabiti</w:t>
      </w:r>
      <w:proofErr w:type="spellEnd"/>
      <w:r w:rsidRPr="00A93459">
        <w:rPr>
          <w:highlight w:val="yellow"/>
        </w:rPr>
        <w:t xml:space="preserve">/ponovo iskoristiti, a koji su rezultat obrade otpada u centrima za gospodarenje otpadom te otpadnog mulja sa uređaja za pročišćavanje </w:t>
      </w:r>
      <w:r w:rsidR="009732FB" w:rsidRPr="00A93459">
        <w:rPr>
          <w:highlight w:val="yellow"/>
        </w:rPr>
        <w:t xml:space="preserve">komunalnih </w:t>
      </w:r>
      <w:r w:rsidRPr="00A93459">
        <w:rPr>
          <w:highlight w:val="yellow"/>
        </w:rPr>
        <w:t>otpadnih voda</w:t>
      </w:r>
      <w:r w:rsidR="00DC3036" w:rsidRPr="00A93459">
        <w:rPr>
          <w:highlight w:val="yellow"/>
        </w:rPr>
        <w:t>.</w:t>
      </w:r>
    </w:p>
    <w:p w14:paraId="4F8FC40F" w14:textId="3B0D4479" w:rsidR="0057661C" w:rsidRDefault="0057661C" w:rsidP="0057661C">
      <w:r>
        <w:t xml:space="preserve">Gorive frakcije iz komunalnog otpada, izdvojene u procesu mehaničko-biološke obrade u sklopu centara gospodarenja otpadom, ovisno o klasi odnosno ostalim parametrima </w:t>
      </w:r>
      <w:r w:rsidR="00E36E9E">
        <w:t>mogu se obrađivati</w:t>
      </w:r>
      <w:r>
        <w:t xml:space="preserve"> u industrijskim postrojenjima odnosno postrojenjima za energetsku oporabu otpada zajedno s obrađenim  muljem iz uređaja za pročišćavanje</w:t>
      </w:r>
      <w:r w:rsidR="009732FB">
        <w:t xml:space="preserve"> komunalnih</w:t>
      </w:r>
      <w:r>
        <w:t xml:space="preserve"> otpadnih voda. </w:t>
      </w:r>
    </w:p>
    <w:p w14:paraId="59616530" w14:textId="4CB0F98C" w:rsidR="0057661C" w:rsidRDefault="0057661C" w:rsidP="0057661C">
      <w:r>
        <w:t xml:space="preserve">Rezultat energetske oporabe otpada je toplinska </w:t>
      </w:r>
      <w:r w:rsidR="00E36E9E">
        <w:t xml:space="preserve">i </w:t>
      </w:r>
      <w:r>
        <w:t>električna energija, dok se kao ostatak pojavljuje šljaka  te pepeo.</w:t>
      </w:r>
      <w:r w:rsidR="000254FA">
        <w:t xml:space="preserve"> </w:t>
      </w:r>
    </w:p>
    <w:p w14:paraId="5F3DD118" w14:textId="59939464" w:rsidR="0057661C" w:rsidRDefault="0057661C" w:rsidP="0057661C">
      <w:r>
        <w:t>Postrojenja za termičku obradu odnosno energetsku oporabu otpada se koriste, ali nisu ograničena, za obradu sljedećih vrsta otpada:</w:t>
      </w:r>
    </w:p>
    <w:p w14:paraId="3F898CD2" w14:textId="45A70A5E" w:rsidR="0057661C" w:rsidRDefault="0057661C" w:rsidP="0057661C">
      <w:pPr>
        <w:pStyle w:val="Odlomakpopisa"/>
        <w:numPr>
          <w:ilvl w:val="0"/>
          <w:numId w:val="26"/>
        </w:numPr>
      </w:pPr>
      <w:r>
        <w:t xml:space="preserve">miješani i ostali komunalni otpad za koji nije moguća ponovna uporaba i materijalna oporaba; </w:t>
      </w:r>
    </w:p>
    <w:p w14:paraId="1AEC39AB" w14:textId="4E0402CB" w:rsidR="0057661C" w:rsidRDefault="0057661C" w:rsidP="0057661C">
      <w:pPr>
        <w:pStyle w:val="Odlomakpopisa"/>
        <w:numPr>
          <w:ilvl w:val="0"/>
          <w:numId w:val="26"/>
        </w:numPr>
      </w:pPr>
      <w:r>
        <w:t xml:space="preserve">gorivo iz otpada dobiveno nakon mehaničko-biološke obrade; </w:t>
      </w:r>
    </w:p>
    <w:p w14:paraId="736D25BE" w14:textId="5D0FD7D1" w:rsidR="0057661C" w:rsidRDefault="0057661C" w:rsidP="0057661C">
      <w:pPr>
        <w:pStyle w:val="Odlomakpopisa"/>
        <w:numPr>
          <w:ilvl w:val="0"/>
          <w:numId w:val="26"/>
        </w:numPr>
      </w:pPr>
      <w:proofErr w:type="spellStart"/>
      <w:r>
        <w:t>ostatni</w:t>
      </w:r>
      <w:proofErr w:type="spellEnd"/>
      <w:r>
        <w:t xml:space="preserve"> materijal od proizvodnje drveta i proizvoda od drveta; </w:t>
      </w:r>
    </w:p>
    <w:p w14:paraId="3D4DD4F2" w14:textId="0D29A223" w:rsidR="0057661C" w:rsidRDefault="0057661C" w:rsidP="0057661C">
      <w:pPr>
        <w:pStyle w:val="Odlomakpopisa"/>
        <w:numPr>
          <w:ilvl w:val="0"/>
          <w:numId w:val="26"/>
        </w:numPr>
      </w:pPr>
      <w:r>
        <w:t xml:space="preserve">otpadni mulj od obrade </w:t>
      </w:r>
      <w:r w:rsidR="009732FB">
        <w:t xml:space="preserve">komunalnih </w:t>
      </w:r>
      <w:r>
        <w:t xml:space="preserve">otpadnih voda; </w:t>
      </w:r>
    </w:p>
    <w:p w14:paraId="6DEF298B" w14:textId="1295BB77" w:rsidR="0057661C" w:rsidRDefault="0057661C" w:rsidP="0057661C">
      <w:pPr>
        <w:pStyle w:val="Odlomakpopisa"/>
        <w:numPr>
          <w:ilvl w:val="0"/>
          <w:numId w:val="26"/>
        </w:numPr>
      </w:pPr>
      <w:r>
        <w:t>ostali otpad u skladu s pravilnicima koji definiraju gospodarenje određenom kategorijom otpada</w:t>
      </w:r>
      <w:r w:rsidR="000254FA">
        <w:t xml:space="preserve"> i karakteristikama samog postrojenja za termičku obradu</w:t>
      </w:r>
      <w:r>
        <w:t xml:space="preserve">. </w:t>
      </w:r>
    </w:p>
    <w:p w14:paraId="7E5A8867" w14:textId="174A3D0F" w:rsidR="000254FA" w:rsidRPr="00E25425" w:rsidRDefault="000254FA" w:rsidP="00E25425">
      <w:pPr>
        <w:pStyle w:val="Tekstkomentara"/>
        <w:rPr>
          <w:sz w:val="22"/>
          <w:szCs w:val="22"/>
        </w:rPr>
      </w:pPr>
      <w:r w:rsidRPr="0010715D">
        <w:rPr>
          <w:sz w:val="22"/>
          <w:szCs w:val="22"/>
          <w:highlight w:val="yellow"/>
        </w:rPr>
        <w:t>Potrebu uspostave odgovarajućih postrojenja za energetsku oporabu otpada osim kroz red prvenstva, potrebno je promatrati i kroz načela gospodarenja otpadom (npr. blizine i samodostatnosti) kako bi se osiguralo smanjenje transportnih troškova i energetske oporaba u slučaju termičke obrade otpada izvan teritorija RH i osigurala samodostatnost u slučaju manjka kapaciteta izva</w:t>
      </w:r>
      <w:r w:rsidR="009F05F7" w:rsidRPr="0010715D">
        <w:rPr>
          <w:sz w:val="22"/>
          <w:szCs w:val="22"/>
          <w:highlight w:val="yellow"/>
        </w:rPr>
        <w:t>n</w:t>
      </w:r>
      <w:r w:rsidRPr="0010715D">
        <w:rPr>
          <w:sz w:val="22"/>
          <w:szCs w:val="22"/>
          <w:highlight w:val="yellow"/>
        </w:rPr>
        <w:t xml:space="preserve"> RH</w:t>
      </w:r>
      <w:r w:rsidRPr="00E25425">
        <w:rPr>
          <w:sz w:val="22"/>
          <w:szCs w:val="22"/>
        </w:rPr>
        <w:t>.</w:t>
      </w:r>
    </w:p>
    <w:p w14:paraId="55A7D692" w14:textId="77777777" w:rsidR="0057661C" w:rsidRDefault="0057661C" w:rsidP="0057661C">
      <w:r>
        <w:lastRenderedPageBreak/>
        <w:t>Razmatrajući širi aspekt doprinosa energetske oporabe otpada izuzev odgovarajuće zaštite okoliša i važnosti ovog postupka obrade za ostvarenje zakonski postavljenih ciljeva ekonomski doprinos nije zanemariv.</w:t>
      </w:r>
    </w:p>
    <w:p w14:paraId="0CAE5FC2" w14:textId="77777777" w:rsidR="0057661C" w:rsidRDefault="0057661C" w:rsidP="0057661C">
      <w:r>
        <w:t xml:space="preserve">Osim </w:t>
      </w:r>
      <w:r w:rsidRPr="0010715D">
        <w:rPr>
          <w:highlight w:val="yellow"/>
        </w:rPr>
        <w:t>novih postrojenja za energetsku oporabu otpada koja se mogu planirati u sklopu CGO-a ili kao zasebni objekti</w:t>
      </w:r>
      <w:r>
        <w:t xml:space="preserve">, potrebno je uzeti u obzir i postojeća postrojenja koja već imaju izgrađenu i funkcionalnu infrastrukturu kao što su cestovni i željeznički pristupi, spojevi na VN mrežu, sustav distribucije ogrjevne topline i tehnološke pare i sl. </w:t>
      </w:r>
    </w:p>
    <w:p w14:paraId="41B56723" w14:textId="5973A64C" w:rsidR="0057661C" w:rsidRDefault="0057661C" w:rsidP="0057661C">
      <w:r>
        <w:t xml:space="preserve">Postojeći objekti na kojima je moguće planirati izgradnju (nadogradnja) postrojenja za energetsku oporabu otpada </w:t>
      </w:r>
      <w:r w:rsidR="000254FA">
        <w:t xml:space="preserve">nastalog na teritoriju RH </w:t>
      </w:r>
      <w:r>
        <w:t>su</w:t>
      </w:r>
      <w:r w:rsidR="000254FA">
        <w:t>:</w:t>
      </w:r>
    </w:p>
    <w:p w14:paraId="7C6A7F84" w14:textId="7998EF6B" w:rsidR="0057661C" w:rsidRPr="0010715D" w:rsidRDefault="0057661C" w:rsidP="0057661C">
      <w:pPr>
        <w:pStyle w:val="Odlomakpopisa"/>
        <w:numPr>
          <w:ilvl w:val="0"/>
          <w:numId w:val="26"/>
        </w:numPr>
        <w:rPr>
          <w:highlight w:val="yellow"/>
        </w:rPr>
      </w:pPr>
      <w:r w:rsidRPr="0010715D">
        <w:rPr>
          <w:highlight w:val="yellow"/>
        </w:rPr>
        <w:t xml:space="preserve">industrijske toplane i kotlovnice </w:t>
      </w:r>
    </w:p>
    <w:p w14:paraId="1CAADE45" w14:textId="3ACC9E0D" w:rsidR="0057661C" w:rsidRPr="0010715D" w:rsidRDefault="0057661C" w:rsidP="0057661C">
      <w:pPr>
        <w:pStyle w:val="Odlomakpopisa"/>
        <w:numPr>
          <w:ilvl w:val="0"/>
          <w:numId w:val="26"/>
        </w:numPr>
        <w:rPr>
          <w:highlight w:val="yellow"/>
        </w:rPr>
      </w:pPr>
      <w:r w:rsidRPr="0010715D">
        <w:rPr>
          <w:highlight w:val="yellow"/>
        </w:rPr>
        <w:t>termoelektrane</w:t>
      </w:r>
    </w:p>
    <w:p w14:paraId="621DC585" w14:textId="144B84D2" w:rsidR="0057661C" w:rsidRPr="0010715D" w:rsidRDefault="0057661C" w:rsidP="0057661C">
      <w:pPr>
        <w:pStyle w:val="Odlomakpopisa"/>
        <w:numPr>
          <w:ilvl w:val="0"/>
          <w:numId w:val="26"/>
        </w:numPr>
        <w:rPr>
          <w:highlight w:val="yellow"/>
        </w:rPr>
      </w:pPr>
      <w:r w:rsidRPr="0010715D">
        <w:rPr>
          <w:highlight w:val="yellow"/>
        </w:rPr>
        <w:t>tvornice cementa i tvornice vapna</w:t>
      </w:r>
    </w:p>
    <w:p w14:paraId="56339A65" w14:textId="77777777" w:rsidR="0057661C" w:rsidRDefault="0057661C" w:rsidP="0057661C">
      <w:r>
        <w:t xml:space="preserve">Neki od postojećih objekata već i koriste gorivo iz otpada kao alternativno gorivo odnosno </w:t>
      </w:r>
      <w:proofErr w:type="spellStart"/>
      <w:r>
        <w:t>oporabljuju</w:t>
      </w:r>
      <w:proofErr w:type="spellEnd"/>
      <w:r>
        <w:t xml:space="preserve"> otpad postupkom R1 (korištenje otpada uglavnom kao goriva ili drugog načina dobivanja energije). Ukupno su u RH do kolovoza 2022. godine četiri tvrtke posjedovale dozvolu za energetsku oporabu na pet lokacija ukupnog kapaciteta 392.479 tona/godina.</w:t>
      </w:r>
    </w:p>
    <w:p w14:paraId="4B64EC7F" w14:textId="558AE545" w:rsidR="0057661C" w:rsidRDefault="0057661C" w:rsidP="0057661C">
      <w:r>
        <w:t xml:space="preserve">Međutim, problem je što s obzirom na tehnološke zahtjeve procesa, navedena postojeća postrojenja imaju </w:t>
      </w:r>
      <w:r w:rsidRPr="0010715D">
        <w:rPr>
          <w:highlight w:val="yellow"/>
        </w:rPr>
        <w:t>visoke zahtjeve za kvalitetom goriva iz otpada</w:t>
      </w:r>
      <w:r>
        <w:t xml:space="preserve">. Tako bi npr. u slučaju da svi planirani CGO-i proizvode gorivo iz otpada koje je moguće </w:t>
      </w:r>
      <w:proofErr w:type="spellStart"/>
      <w:r>
        <w:t>oporabiti</w:t>
      </w:r>
      <w:proofErr w:type="spellEnd"/>
      <w:r>
        <w:t xml:space="preserve"> u postojećim postrojenjima, bilo potrebno proizvoditi GIO visoke klase što predstavlja najviše oko 20% (bazirano na projiciranom sastavu </w:t>
      </w:r>
      <w:proofErr w:type="spellStart"/>
      <w:r>
        <w:t>mKO</w:t>
      </w:r>
      <w:proofErr w:type="spellEnd"/>
      <w:r>
        <w:t xml:space="preserve">-a) ulaza u proces obrade </w:t>
      </w:r>
      <w:proofErr w:type="spellStart"/>
      <w:r>
        <w:t>mKO</w:t>
      </w:r>
      <w:proofErr w:type="spellEnd"/>
      <w:r>
        <w:t>-a</w:t>
      </w:r>
      <w:r w:rsidR="005A3E5D">
        <w:t>.</w:t>
      </w:r>
      <w:r>
        <w:t xml:space="preserve"> </w:t>
      </w:r>
    </w:p>
    <w:p w14:paraId="7B136111" w14:textId="77777777" w:rsidR="0057661C" w:rsidRDefault="0057661C" w:rsidP="0057661C">
      <w:r>
        <w:t xml:space="preserve">Međutim , isključivom proizvodnjom visokokvalitetnog goriva iz otpada nije moguće ispuniti ciljeve smanjenja količina koja je dozvoljeno odložiti na najviše 10% količina KO 2035. godine te je stoga nužno </w:t>
      </w:r>
      <w:r w:rsidRPr="0010715D">
        <w:rPr>
          <w:highlight w:val="yellow"/>
        </w:rPr>
        <w:t xml:space="preserve">planirati postrojenja koja će biti u mogućnosti </w:t>
      </w:r>
      <w:proofErr w:type="spellStart"/>
      <w:r w:rsidRPr="0010715D">
        <w:rPr>
          <w:highlight w:val="yellow"/>
        </w:rPr>
        <w:t>oporabiti</w:t>
      </w:r>
      <w:proofErr w:type="spellEnd"/>
      <w:r w:rsidRPr="0010715D">
        <w:rPr>
          <w:highlight w:val="yellow"/>
        </w:rPr>
        <w:t xml:space="preserve"> otpad šireg kvalitativnog raspona</w:t>
      </w:r>
      <w:r>
        <w:t>.</w:t>
      </w:r>
    </w:p>
    <w:p w14:paraId="0A9D4B2F" w14:textId="77502A77" w:rsidR="0057661C" w:rsidRDefault="0057661C" w:rsidP="0057661C">
      <w:r>
        <w:t xml:space="preserve">Tako je potrebno planirati sustav koji će biti u mogućnosti energetski </w:t>
      </w:r>
      <w:proofErr w:type="spellStart"/>
      <w:r>
        <w:t>oporabiti</w:t>
      </w:r>
      <w:proofErr w:type="spellEnd"/>
      <w:r>
        <w:t xml:space="preserve"> oko 400.000 tona/god </w:t>
      </w:r>
      <w:r w:rsidR="005A3E5D">
        <w:t xml:space="preserve">procesiranog i/ili </w:t>
      </w:r>
      <w:proofErr w:type="spellStart"/>
      <w:r w:rsidR="005A3E5D">
        <w:t>neprocesiranog</w:t>
      </w:r>
      <w:proofErr w:type="spellEnd"/>
      <w:r w:rsidR="005A3E5D">
        <w:t xml:space="preserve"> </w:t>
      </w:r>
      <w:proofErr w:type="spellStart"/>
      <w:r w:rsidR="005A3E5D">
        <w:t>mKO</w:t>
      </w:r>
      <w:proofErr w:type="spellEnd"/>
      <w:r w:rsidR="005A3E5D">
        <w:t xml:space="preserve">-a </w:t>
      </w:r>
      <w:r>
        <w:t>(Scenarij 1 - gorivo iz otpada niske do srednje kvalitete) uvećano za mulj</w:t>
      </w:r>
      <w:r w:rsidR="009732FB">
        <w:t xml:space="preserve"> iz uređaja za pročišćavanje komunalnih otpadnih voda</w:t>
      </w:r>
      <w:r>
        <w:t xml:space="preserve"> u iznosu od </w:t>
      </w:r>
      <w:r w:rsidR="009732FB">
        <w:t>100.000 t ST/god</w:t>
      </w:r>
      <w:r>
        <w:t xml:space="preserve">, odnosno oko 145.000 tona/god </w:t>
      </w:r>
      <w:r w:rsidR="005A3E5D">
        <w:t xml:space="preserve">procesiranog i/ili </w:t>
      </w:r>
      <w:proofErr w:type="spellStart"/>
      <w:r w:rsidR="005A3E5D">
        <w:t>neprocesiranog</w:t>
      </w:r>
      <w:proofErr w:type="spellEnd"/>
      <w:r w:rsidR="005A3E5D">
        <w:t xml:space="preserve"> </w:t>
      </w:r>
      <w:proofErr w:type="spellStart"/>
      <w:r w:rsidR="005A3E5D">
        <w:t>mKO</w:t>
      </w:r>
      <w:proofErr w:type="spellEnd"/>
      <w:r w:rsidR="005A3E5D">
        <w:t xml:space="preserve">-a </w:t>
      </w:r>
      <w:r>
        <w:t>(Scenarij 2 - gorivo iz otpada visoke kvalitete).</w:t>
      </w:r>
    </w:p>
    <w:p w14:paraId="4AA8B8A9" w14:textId="7408D345" w:rsidR="0057661C" w:rsidRDefault="0057661C" w:rsidP="0057661C">
      <w:r>
        <w:t xml:space="preserve">S obzirom da se navedeni sustavi i postrojenja planiraju i izvode na za minimalno operativno razdoblje od 30 godina., odgoda ciljeva sukladno Scenariju 2 će samo dovesti do odgode za potrebnim dodatnim kapacitetima za energetsku oporabu većih količina </w:t>
      </w:r>
      <w:proofErr w:type="spellStart"/>
      <w:r>
        <w:t>mKO</w:t>
      </w:r>
      <w:proofErr w:type="spellEnd"/>
      <w:r>
        <w:t>-a i goriva iz otpada.</w:t>
      </w:r>
    </w:p>
    <w:p w14:paraId="1AB02C6D" w14:textId="77777777" w:rsidR="0057661C" w:rsidRDefault="0057661C" w:rsidP="0057661C">
      <w:r>
        <w:t xml:space="preserve">Mikrolokacije postrojenja proizlaze kao rezultat studija izvodljivosti gdje će se uzeti u obzir prometna povezanost, uvjeti zaštite okoliša i prirode i kao najvažniji parametar mogućnost plasiranje proizvedene toplinske i električne energije s obzirom da se kombinacijom oporabe s proizvodnjom toplinske i električne energije postiže najviša razina energetske efikasnosti. </w:t>
      </w:r>
    </w:p>
    <w:p w14:paraId="375B23A4" w14:textId="597A0CDE" w:rsidR="00122AD2" w:rsidRDefault="0057661C" w:rsidP="0057661C">
      <w:r>
        <w:t>Podjela na županije poslužila je samo kao baza za lakši prikaz potencijala i potreba za postrojenjima za energetsku oporabu s obzirom na zemljopisne značajke dok će se zbrinjavanje gorivog otpada, otpadnog mulja</w:t>
      </w:r>
      <w:r w:rsidR="009732FB">
        <w:t xml:space="preserve"> iz uređaja za pročišćavanje komunalnih otpadnih voda </w:t>
      </w:r>
      <w:r>
        <w:t xml:space="preserve">i ostalog otpada predviđenog za energetsku oporabu odvijati putem tržišnih principa neovisno o </w:t>
      </w:r>
      <w:r w:rsidR="008757DF">
        <w:t xml:space="preserve">županijskim </w:t>
      </w:r>
      <w:r>
        <w:t>administrativnim granicama osim za određene kategorije otpada sukladno posebnim propisima.</w:t>
      </w:r>
    </w:p>
    <w:p w14:paraId="4585D2C8" w14:textId="3A4C8162" w:rsidR="008757DF" w:rsidRDefault="008757DF" w:rsidP="0057661C">
      <w:r w:rsidRPr="00BC0410">
        <w:lastRenderedPageBreak/>
        <w:t>Uzevši u obzir ograničenja uspostavljena EU ciljem za odlaganje komunalnog otpada, ali i poteškoće s obradom otpadnog mulja</w:t>
      </w:r>
      <w:r w:rsidR="009732FB">
        <w:t xml:space="preserve"> iz uređaja za pročišćavanje komunalnih otpadnih voda</w:t>
      </w:r>
      <w:r w:rsidRPr="00BC0410">
        <w:t>, zbrinjavanjem otpada preostalog nakon obrade komunalnog otpada i drugih vrsta otpada, bez cjelovite primjene svih segmenata reda prvenstva gospodarenja otpadom, uključujući energetsku oporabu i spaljivanje otpada neće biti moguće ostvariti na teritoriju RH cilj u svezi odlaganja komunalnog otpada, te je potrebno osigurati i omogućiti zainteresiranim subjektima pripremu i razvoj projekata energetske oporabe.</w:t>
      </w:r>
    </w:p>
    <w:p w14:paraId="0759BE4B" w14:textId="240C5330" w:rsidR="004D652F" w:rsidRDefault="00700671" w:rsidP="0018450E">
      <w:pPr>
        <w:pStyle w:val="IRNaslov1"/>
        <w:numPr>
          <w:ilvl w:val="0"/>
          <w:numId w:val="22"/>
        </w:numPr>
        <w:ind w:left="709" w:hanging="709"/>
      </w:pPr>
      <w:bookmarkStart w:id="221" w:name="_Toc123211660"/>
      <w:bookmarkStart w:id="222" w:name="_Ref116296912"/>
      <w:bookmarkStart w:id="223" w:name="_Ref116296924"/>
      <w:r>
        <w:rPr>
          <w:caps w:val="0"/>
        </w:rPr>
        <w:lastRenderedPageBreak/>
        <w:t>OPORABA I/ILI ZBRINJAVANJE MULJA S UREĐAJA ZA PROČIŠĆAVANJE KOMUNALNIH OTPADNIH VODA</w:t>
      </w:r>
      <w:bookmarkEnd w:id="221"/>
    </w:p>
    <w:p w14:paraId="4F2780BE" w14:textId="77777777" w:rsidR="004D652F" w:rsidRDefault="004D652F" w:rsidP="004D652F">
      <w:r>
        <w:t xml:space="preserve">Prema </w:t>
      </w:r>
      <w:r w:rsidRPr="004E657D">
        <w:rPr>
          <w:i/>
          <w:iCs/>
        </w:rPr>
        <w:t>Akcijskom planu za korištenje mulja iz uređaja za pročišćavanje otpadnih voda na pogodnim površinama (Hrvatske vode, ožujak 2020.)</w:t>
      </w:r>
      <w:r>
        <w:t xml:space="preserve"> očekuje se vršna proizvodnja mulja od 79.300 t ST/god 2031. godine te je ista povezana s puštanjem u rad novih uređaja za pročišćavanje komunalnih otpadnih voda. 2028. godine se očekuje nastanak nešto manjih količina mulja u odnosu na maksimalno očekivane ali s obzirom da je prema navedenom dokumentu sustav gospodarenja muljem potrebno planirati za raspon - 5% + 25% opterećenja muljem, za daljnje potrebe će se uzeti u obzir očekivana maksimalna količina mulja u iznosu od 100.000 t ST/god.</w:t>
      </w:r>
    </w:p>
    <w:p w14:paraId="3982E96B" w14:textId="7A4FAE64" w:rsidR="004D652F" w:rsidRDefault="004D652F" w:rsidP="004D652F">
      <w:r>
        <w:t xml:space="preserve">Navedena količina se odnosi na mulj koji se ne vraća u proces obrade </w:t>
      </w:r>
      <w:r w:rsidR="009732FB">
        <w:t xml:space="preserve">komunalnih </w:t>
      </w:r>
      <w:r>
        <w:t xml:space="preserve">otpadnih voda te koji se stoga mora </w:t>
      </w:r>
      <w:proofErr w:type="spellStart"/>
      <w:r>
        <w:t>oporabiti</w:t>
      </w:r>
      <w:proofErr w:type="spellEnd"/>
      <w:r>
        <w:t xml:space="preserve"> i/ili zbrinuti uvažavajući red prvenstva gospodarenja otpadom. Pri tome oporaba i/ili zbrinjavanje mulja </w:t>
      </w:r>
      <w:r w:rsidR="009732FB">
        <w:t xml:space="preserve">s uređaja za pročišćavanje komunalnih otpadnih voda </w:t>
      </w:r>
      <w:r>
        <w:t>se najčešće provodi sljedećim postupcima:</w:t>
      </w:r>
    </w:p>
    <w:p w14:paraId="6E417307" w14:textId="77777777" w:rsidR="004D652F" w:rsidRDefault="004D652F" w:rsidP="004D652F">
      <w:pPr>
        <w:pStyle w:val="Odlomakpopisa"/>
        <w:numPr>
          <w:ilvl w:val="0"/>
          <w:numId w:val="26"/>
        </w:numPr>
      </w:pPr>
      <w:r>
        <w:t xml:space="preserve">Materijalna oporaba – kao </w:t>
      </w:r>
      <w:proofErr w:type="spellStart"/>
      <w:r>
        <w:t>prekrivka</w:t>
      </w:r>
      <w:proofErr w:type="spellEnd"/>
      <w:r>
        <w:t xml:space="preserve"> i </w:t>
      </w:r>
      <w:proofErr w:type="spellStart"/>
      <w:r>
        <w:t>rekultivirajući</w:t>
      </w:r>
      <w:proofErr w:type="spellEnd"/>
      <w:r>
        <w:t xml:space="preserve"> materijal na odlagalištima otpada</w:t>
      </w:r>
    </w:p>
    <w:p w14:paraId="5FE6C67B" w14:textId="77777777" w:rsidR="004D652F" w:rsidRDefault="004D652F" w:rsidP="004D652F">
      <w:pPr>
        <w:pStyle w:val="Odlomakpopisa"/>
        <w:numPr>
          <w:ilvl w:val="0"/>
          <w:numId w:val="26"/>
        </w:numPr>
      </w:pPr>
      <w:r>
        <w:t>Digestija i/ili kompostiranje</w:t>
      </w:r>
    </w:p>
    <w:p w14:paraId="33594F1A" w14:textId="77777777" w:rsidR="004D652F" w:rsidRDefault="004D652F" w:rsidP="004D652F">
      <w:pPr>
        <w:pStyle w:val="Odlomakpopisa"/>
        <w:numPr>
          <w:ilvl w:val="0"/>
          <w:numId w:val="26"/>
        </w:numPr>
      </w:pPr>
      <w:r>
        <w:t>Energetska oporaba spaljivanjem ili suspaljivanjem</w:t>
      </w:r>
    </w:p>
    <w:p w14:paraId="043C59F0" w14:textId="39D11AB2" w:rsidR="004D652F" w:rsidRDefault="004D652F" w:rsidP="004D652F">
      <w:r>
        <w:t xml:space="preserve">Mogućnosti primjene nekog od postupaka oporabe i/ili zbrinjavanja ovise o stupnju prethodne obrade i pripreme mulja odnosno o udjelu suhe tvari. Tako npr. za mulj koji je prosušen do &gt;80% ST jedna od najpoželjnijih opcija oporabe i/ili zbrinjavanja je </w:t>
      </w:r>
      <w:r w:rsidR="009732FB">
        <w:t>e</w:t>
      </w:r>
      <w:r>
        <w:t>nergetska oporaba spaljivanjem ili suspaljivanjem.</w:t>
      </w:r>
    </w:p>
    <w:p w14:paraId="1A52F63A" w14:textId="12B9FDB6" w:rsidR="004D652F" w:rsidRDefault="004D652F" w:rsidP="004D652F">
      <w:r w:rsidRPr="0010715D">
        <w:rPr>
          <w:highlight w:val="yellow"/>
        </w:rPr>
        <w:t xml:space="preserve">Planiranje sustava je potrebno bazirati na „načelu blizine“ kako bi se smanjilo okolišno opterećenje i pripadajući rizici. Iznimka je energetska oporaba </w:t>
      </w:r>
      <w:r w:rsidR="009732FB" w:rsidRPr="0010715D">
        <w:rPr>
          <w:highlight w:val="yellow"/>
        </w:rPr>
        <w:t xml:space="preserve">otpadnog </w:t>
      </w:r>
      <w:r w:rsidRPr="0010715D">
        <w:rPr>
          <w:highlight w:val="yellow"/>
        </w:rPr>
        <w:t>mulja s ciljem proizvodnje električne i toplinske energije čime se može opravdati veća udaljenost transporta u smislu CO</w:t>
      </w:r>
      <w:r w:rsidRPr="0010715D">
        <w:rPr>
          <w:highlight w:val="yellow"/>
          <w:vertAlign w:val="subscript"/>
        </w:rPr>
        <w:t>2</w:t>
      </w:r>
      <w:r w:rsidRPr="0010715D">
        <w:rPr>
          <w:highlight w:val="yellow"/>
        </w:rPr>
        <w:t xml:space="preserve"> ekvivalenta proizvedene električne i/ili toplinske energije</w:t>
      </w:r>
      <w:r>
        <w:t>.</w:t>
      </w:r>
    </w:p>
    <w:p w14:paraId="749F72C2" w14:textId="368EC182" w:rsidR="00ED7307" w:rsidRDefault="00ED7307" w:rsidP="00ED7307">
      <w:r>
        <w:t>S obzirom na ograničene kapacitete obrade mulja s uređaja za pročišćavanje komunalnih otpadnih voda koji nastaje i koji će nastajati u planskom razdoblju u RH, a kako bi se spriječio negativni ut</w:t>
      </w:r>
      <w:r w:rsidR="0019120B">
        <w:t>jecaj na nacionalni sustav gosp</w:t>
      </w:r>
      <w:r>
        <w:t xml:space="preserve">odarenja otpadom, potrebno je </w:t>
      </w:r>
      <w:r w:rsidRPr="0010715D">
        <w:rPr>
          <w:highlight w:val="yellow"/>
        </w:rPr>
        <w:t>zabraniti uvoz</w:t>
      </w:r>
      <w:r>
        <w:t xml:space="preserve"> otpada ključnih brojeva </w:t>
      </w:r>
      <w:r w:rsidRPr="00DB139C">
        <w:t>19 08 05, 19 08 11*, 19 08 12, 19 08 13* i 19 08 14</w:t>
      </w:r>
      <w:r w:rsidR="00551151">
        <w:t>.</w:t>
      </w:r>
    </w:p>
    <w:p w14:paraId="5C45DF09" w14:textId="77777777" w:rsidR="00ED7307" w:rsidRDefault="00ED7307" w:rsidP="004D652F"/>
    <w:p w14:paraId="7BF745FA" w14:textId="346D8660" w:rsidR="00FD4DF8" w:rsidRPr="00835847" w:rsidRDefault="00596ABF" w:rsidP="0018450E">
      <w:pPr>
        <w:pStyle w:val="IRNaslov1"/>
        <w:numPr>
          <w:ilvl w:val="0"/>
          <w:numId w:val="22"/>
        </w:numPr>
        <w:ind w:left="709" w:hanging="709"/>
      </w:pPr>
      <w:bookmarkStart w:id="224" w:name="_Toc123211661"/>
      <w:r>
        <w:lastRenderedPageBreak/>
        <w:t>Kriteriji za određivanje načelnih lokacija i potrebnih kapaciteta novih građevina i postrojenja</w:t>
      </w:r>
      <w:bookmarkEnd w:id="222"/>
      <w:bookmarkEnd w:id="223"/>
      <w:bookmarkEnd w:id="224"/>
    </w:p>
    <w:p w14:paraId="6391EF4E" w14:textId="77777777" w:rsidR="00010942" w:rsidRDefault="00010942" w:rsidP="004B4A81">
      <w:r>
        <w:t>Određivanje načelnih lokacija građevina za gospodarenje otpadom zasniva se na uvažavanju: načela zaštite okoliša i gospodarenja otpadom definiranih zakonskom regulativom, znanstvenih spoznaja, najbolje svjetske prakse i pravila struke te financijsko-ekonomskog aspekta.</w:t>
      </w:r>
    </w:p>
    <w:p w14:paraId="55B4BFAC" w14:textId="77777777" w:rsidR="00010942" w:rsidRDefault="00010942" w:rsidP="004B4A81">
      <w:r>
        <w:t>Načela blizine i samodostatnosti uz načela zaštite okoliša rezultiraju optimizacijom i uravnoteženjem sustava što vodi k njegovoj održivosti tijekom vijeka korištenja. Načelo blizine se različito odražava na sustave gospodarenja određenim kategorijama otpada s obzirom na njihovu osjetljivost na transportne troškove kao i količine otpada kojim se gospodari što uvjetuje primjenu različitih kriterija prilikom optimizacije pojedinog sustava.</w:t>
      </w:r>
    </w:p>
    <w:p w14:paraId="70725CF6" w14:textId="3C625876" w:rsidR="00010942" w:rsidRDefault="00010942" w:rsidP="004B4A81">
      <w:r>
        <w:t>Osnovni preduvjet realizacije svakog objekta u sustavu gospodarenja otpadom je usklađenost planiranog zahvata s prostorno-planskom dokumentacijom u kojoj JL(R)S planiraju u prostoru objekte gospodarenja otpadom sukladno potrebama u određenom planskom razdoblju dok se razvoj sustava gospodarenja otpadom na regionalnoj razini (Županije i Grad Zagreb) rješava kroz Planove gospodarenja otpadom</w:t>
      </w:r>
      <w:r w:rsidR="00D01D12">
        <w:t xml:space="preserve"> (</w:t>
      </w:r>
      <w:r w:rsidR="00D01D12" w:rsidRPr="00F12587">
        <w:t>područne (</w:t>
      </w:r>
      <w:r w:rsidR="00D01D12">
        <w:t xml:space="preserve">odnosno </w:t>
      </w:r>
      <w:r w:rsidR="00D01D12" w:rsidRPr="00F12587">
        <w:t>regionalne samouprave</w:t>
      </w:r>
      <w:r w:rsidR="00D01D12">
        <w:t>)</w:t>
      </w:r>
      <w:r>
        <w:t xml:space="preserve"> čija je obaveza donošenja propisana Zakonom o gospodarenju otpadom. Navedenim se Planovima, a koji mora biti usklađen s nacionalnim Planom, rješava cjeloviti pristup gospodarenju otpadom određujući gospodarenje s otpadom od mjesta nastanka do mjesta konačne obrade.</w:t>
      </w:r>
    </w:p>
    <w:p w14:paraId="3B771DCF" w14:textId="4A275AC3" w:rsidR="00010942" w:rsidRDefault="00010942" w:rsidP="004B4A81">
      <w:r>
        <w:t>Gospodarenje komunalnim otpadom, kao jednom od prioritetnih kategorija otpada po pitanju količina i sastava, obuhvaćenosti sudionika sustava, kompleksnim zahtjevima što se tiče odgovarajućeg sustava za gospodarenje i pripadajuće infrastrukture uvjetovano je:</w:t>
      </w:r>
    </w:p>
    <w:p w14:paraId="3F9CE99A" w14:textId="77777777" w:rsidR="00010942" w:rsidRPr="004B4A81" w:rsidRDefault="00010942">
      <w:pPr>
        <w:pStyle w:val="Odlomakpopisa"/>
        <w:numPr>
          <w:ilvl w:val="0"/>
          <w:numId w:val="27"/>
        </w:numPr>
        <w:rPr>
          <w:rStyle w:val="markedcontent"/>
        </w:rPr>
      </w:pPr>
      <w:r w:rsidRPr="004B4A81">
        <w:rPr>
          <w:rStyle w:val="markedcontent"/>
        </w:rPr>
        <w:t xml:space="preserve">zakonodavnim okvirom </w:t>
      </w:r>
    </w:p>
    <w:p w14:paraId="01BA8082" w14:textId="77777777" w:rsidR="00010942" w:rsidRPr="00010942" w:rsidRDefault="00010942">
      <w:pPr>
        <w:pStyle w:val="Odlomakpopisa"/>
        <w:numPr>
          <w:ilvl w:val="1"/>
          <w:numId w:val="27"/>
        </w:numPr>
      </w:pPr>
      <w:r w:rsidRPr="00010942">
        <w:t xml:space="preserve">odvojeno prikupljanje problematičnog otpada, papira i kartona, stakla, plastike, biootpada, metala, tekstila i glomaznog otpada; </w:t>
      </w:r>
    </w:p>
    <w:p w14:paraId="6AE09A3F" w14:textId="77777777" w:rsidR="00010942" w:rsidRPr="00010942" w:rsidRDefault="00010942">
      <w:pPr>
        <w:pStyle w:val="Odlomakpopisa"/>
        <w:numPr>
          <w:ilvl w:val="1"/>
          <w:numId w:val="27"/>
        </w:numPr>
      </w:pPr>
      <w:r w:rsidRPr="00010942">
        <w:t xml:space="preserve">ispunjavanja ciljeva pripreme za ponovnu uporabu i recikliranje kroz odvojeno prikupljanje papira i kartona, metala, plastike, stakla, biootpada i glomaznog otpada u minimalnom udjelu od: </w:t>
      </w:r>
    </w:p>
    <w:p w14:paraId="458A445F" w14:textId="30D6E0E1" w:rsidR="00010942" w:rsidRPr="00010942" w:rsidRDefault="00010942">
      <w:pPr>
        <w:pStyle w:val="Odlomakpopisa"/>
        <w:numPr>
          <w:ilvl w:val="2"/>
          <w:numId w:val="27"/>
        </w:numPr>
      </w:pPr>
      <w:r w:rsidRPr="00010942">
        <w:rPr>
          <w:b/>
          <w:bCs/>
        </w:rPr>
        <w:t>Scenarij 1</w:t>
      </w:r>
      <w:r w:rsidRPr="00010942">
        <w:t xml:space="preserve"> - 55%, 60%, 65% mase komunalnog otpada do 2025., 2030, 2035.</w:t>
      </w:r>
      <w:r w:rsidR="00055983">
        <w:t xml:space="preserve"> Scenarij 1 predviđa ispunjenje ciljeva određenih </w:t>
      </w:r>
      <w:r w:rsidR="00055983" w:rsidRPr="00307DF3">
        <w:rPr>
          <w:rFonts w:cstheme="minorHAnsi"/>
        </w:rPr>
        <w:t>Direktiv</w:t>
      </w:r>
      <w:r w:rsidR="00055983">
        <w:rPr>
          <w:rFonts w:cstheme="minorHAnsi"/>
        </w:rPr>
        <w:t>om</w:t>
      </w:r>
      <w:r w:rsidR="00055983" w:rsidRPr="00307DF3">
        <w:rPr>
          <w:rFonts w:cstheme="minorHAnsi"/>
        </w:rPr>
        <w:t xml:space="preserve"> (EU) 2008/98/EZ</w:t>
      </w:r>
      <w:r w:rsidR="00055983">
        <w:rPr>
          <w:rFonts w:cstheme="minorHAnsi"/>
        </w:rPr>
        <w:t>, članak 11., točka 2.</w:t>
      </w:r>
    </w:p>
    <w:p w14:paraId="646DC70D" w14:textId="62835171" w:rsidR="00010942" w:rsidRPr="00010942" w:rsidRDefault="00010942">
      <w:pPr>
        <w:pStyle w:val="Odlomakpopisa"/>
        <w:numPr>
          <w:ilvl w:val="2"/>
          <w:numId w:val="27"/>
        </w:numPr>
      </w:pPr>
      <w:r w:rsidRPr="00010942">
        <w:rPr>
          <w:b/>
          <w:bCs/>
        </w:rPr>
        <w:t>Scenarij 2</w:t>
      </w:r>
      <w:r w:rsidRPr="00010942">
        <w:t xml:space="preserve"> - 50%, 55%, 60% mase komunalnog otpada do 2025., 2030, 2035.</w:t>
      </w:r>
      <w:r w:rsidR="00055983" w:rsidRPr="00055983">
        <w:t xml:space="preserve"> </w:t>
      </w:r>
      <w:r w:rsidR="00055983">
        <w:t xml:space="preserve">Scenarij 2 predviđa odgodu ispunjenja ciljeva određenih </w:t>
      </w:r>
      <w:r w:rsidR="00055983" w:rsidRPr="00307DF3">
        <w:rPr>
          <w:rFonts w:cstheme="minorHAnsi"/>
        </w:rPr>
        <w:t>Direktiv</w:t>
      </w:r>
      <w:r w:rsidR="00055983">
        <w:rPr>
          <w:rFonts w:cstheme="minorHAnsi"/>
        </w:rPr>
        <w:t>om</w:t>
      </w:r>
      <w:r w:rsidR="00055983" w:rsidRPr="00307DF3">
        <w:rPr>
          <w:rFonts w:cstheme="minorHAnsi"/>
        </w:rPr>
        <w:t xml:space="preserve"> (EU) 2008/98/EZ</w:t>
      </w:r>
      <w:r w:rsidR="00055983">
        <w:rPr>
          <w:rFonts w:cstheme="minorHAnsi"/>
        </w:rPr>
        <w:t>, članak 11., točka 2. za 5 godina sukladno članku 11., točke 3. i 5.</w:t>
      </w:r>
    </w:p>
    <w:p w14:paraId="627A360E" w14:textId="77777777" w:rsidR="00010942" w:rsidRPr="00010942" w:rsidRDefault="00010942">
      <w:pPr>
        <w:pStyle w:val="Odlomakpopisa"/>
        <w:numPr>
          <w:ilvl w:val="1"/>
          <w:numId w:val="27"/>
        </w:numPr>
      </w:pPr>
      <w:r w:rsidRPr="00010942">
        <w:t>ograničenja za odlaganje za sav otpad koji je pogodan za recikliranje i druge postupke materijalne i energetske oporabe do 2030.</w:t>
      </w:r>
    </w:p>
    <w:p w14:paraId="0578AC5A" w14:textId="77777777" w:rsidR="00010942" w:rsidRPr="00010942" w:rsidRDefault="00010942">
      <w:pPr>
        <w:pStyle w:val="Odlomakpopisa"/>
        <w:numPr>
          <w:ilvl w:val="1"/>
          <w:numId w:val="27"/>
        </w:numPr>
      </w:pPr>
      <w:r w:rsidRPr="00010942">
        <w:t xml:space="preserve">ograničenje količine komunalnog otpada koji se odlaže: </w:t>
      </w:r>
    </w:p>
    <w:p w14:paraId="0178B671" w14:textId="40408539" w:rsidR="00010942" w:rsidRPr="00010942" w:rsidRDefault="00010942">
      <w:pPr>
        <w:pStyle w:val="Odlomakpopisa"/>
        <w:numPr>
          <w:ilvl w:val="2"/>
          <w:numId w:val="27"/>
        </w:numPr>
      </w:pPr>
      <w:r w:rsidRPr="00010942">
        <w:rPr>
          <w:b/>
          <w:bCs/>
        </w:rPr>
        <w:t>Scenarij 1</w:t>
      </w:r>
      <w:r w:rsidRPr="00010942">
        <w:t xml:space="preserve"> - na najviše 10 % ukupne količine (po masi) nastalog komunalnog otpada do 2035.</w:t>
      </w:r>
      <w:r w:rsidR="00055983">
        <w:t xml:space="preserve"> Scenarij 1 predviđa ispunjenje ciljeva određenih </w:t>
      </w:r>
      <w:r w:rsidR="00055983" w:rsidRPr="00307DF3">
        <w:rPr>
          <w:rFonts w:cstheme="minorHAnsi"/>
        </w:rPr>
        <w:t>Direktiv</w:t>
      </w:r>
      <w:r w:rsidR="00055983">
        <w:rPr>
          <w:rFonts w:cstheme="minorHAnsi"/>
        </w:rPr>
        <w:t>om</w:t>
      </w:r>
      <w:r w:rsidR="00055983" w:rsidRPr="00307DF3">
        <w:rPr>
          <w:rFonts w:cstheme="minorHAnsi"/>
        </w:rPr>
        <w:t xml:space="preserve"> </w:t>
      </w:r>
      <w:r w:rsidR="00057E06" w:rsidRPr="00307DF3">
        <w:rPr>
          <w:rFonts w:cstheme="minorHAnsi"/>
        </w:rPr>
        <w:t xml:space="preserve">(EU) </w:t>
      </w:r>
      <w:r w:rsidR="00057E06">
        <w:rPr>
          <w:rFonts w:cstheme="minorHAnsi"/>
        </w:rPr>
        <w:t>1999</w:t>
      </w:r>
      <w:r w:rsidR="00057E06" w:rsidRPr="00307DF3">
        <w:rPr>
          <w:rFonts w:cstheme="minorHAnsi"/>
        </w:rPr>
        <w:t>/</w:t>
      </w:r>
      <w:r w:rsidR="00057E06">
        <w:rPr>
          <w:rFonts w:cstheme="minorHAnsi"/>
        </w:rPr>
        <w:t>31</w:t>
      </w:r>
      <w:r w:rsidR="00057E06" w:rsidRPr="00307DF3">
        <w:rPr>
          <w:rFonts w:cstheme="minorHAnsi"/>
        </w:rPr>
        <w:t>/EZ)</w:t>
      </w:r>
      <w:r w:rsidR="00055983">
        <w:rPr>
          <w:rFonts w:cstheme="minorHAnsi"/>
        </w:rPr>
        <w:t xml:space="preserve">, članak </w:t>
      </w:r>
      <w:r w:rsidR="00057E06">
        <w:rPr>
          <w:rFonts w:cstheme="minorHAnsi"/>
        </w:rPr>
        <w:t>5</w:t>
      </w:r>
      <w:r w:rsidR="00055983">
        <w:rPr>
          <w:rFonts w:cstheme="minorHAnsi"/>
        </w:rPr>
        <w:t xml:space="preserve">., točka </w:t>
      </w:r>
      <w:r w:rsidR="00057E06">
        <w:rPr>
          <w:rFonts w:cstheme="minorHAnsi"/>
        </w:rPr>
        <w:t>5</w:t>
      </w:r>
      <w:r w:rsidR="00055983">
        <w:rPr>
          <w:rFonts w:cstheme="minorHAnsi"/>
        </w:rPr>
        <w:t>.</w:t>
      </w:r>
    </w:p>
    <w:p w14:paraId="0EFBB3F1" w14:textId="4BC7993F" w:rsidR="00010942" w:rsidRPr="00010942" w:rsidRDefault="00010942">
      <w:pPr>
        <w:pStyle w:val="Odlomakpopisa"/>
        <w:numPr>
          <w:ilvl w:val="2"/>
          <w:numId w:val="27"/>
        </w:numPr>
      </w:pPr>
      <w:r w:rsidRPr="00010942">
        <w:rPr>
          <w:b/>
          <w:bCs/>
        </w:rPr>
        <w:t>Scenarij 2</w:t>
      </w:r>
      <w:r w:rsidRPr="00010942">
        <w:t xml:space="preserve"> - na najviše 10 % ukupne količine (po masi) nastalog komunalnog otpada do 2040. i na najviše 25 % ukupne količine (po masi) nastalog komunalnog otpada do 2035.</w:t>
      </w:r>
      <w:r w:rsidR="00057E06" w:rsidRPr="00057E06">
        <w:t xml:space="preserve"> </w:t>
      </w:r>
      <w:r w:rsidR="00057E06">
        <w:t xml:space="preserve">Scenarij 2 predviđa ispunjenje ciljeva određenih </w:t>
      </w:r>
      <w:r w:rsidR="00057E06" w:rsidRPr="00307DF3">
        <w:rPr>
          <w:rFonts w:cstheme="minorHAnsi"/>
        </w:rPr>
        <w:t>Direktiv</w:t>
      </w:r>
      <w:r w:rsidR="00057E06">
        <w:rPr>
          <w:rFonts w:cstheme="minorHAnsi"/>
        </w:rPr>
        <w:t>om</w:t>
      </w:r>
      <w:r w:rsidR="00057E06" w:rsidRPr="00307DF3">
        <w:rPr>
          <w:rFonts w:cstheme="minorHAnsi"/>
        </w:rPr>
        <w:t xml:space="preserve"> (EU) </w:t>
      </w:r>
      <w:r w:rsidR="00057E06">
        <w:rPr>
          <w:rFonts w:cstheme="minorHAnsi"/>
        </w:rPr>
        <w:t>1999</w:t>
      </w:r>
      <w:r w:rsidR="00057E06" w:rsidRPr="00307DF3">
        <w:rPr>
          <w:rFonts w:cstheme="minorHAnsi"/>
        </w:rPr>
        <w:t>/</w:t>
      </w:r>
      <w:r w:rsidR="00057E06">
        <w:rPr>
          <w:rFonts w:cstheme="minorHAnsi"/>
        </w:rPr>
        <w:t>31</w:t>
      </w:r>
      <w:r w:rsidR="00057E06" w:rsidRPr="00307DF3">
        <w:rPr>
          <w:rFonts w:cstheme="minorHAnsi"/>
        </w:rPr>
        <w:t>/EZ)</w:t>
      </w:r>
      <w:r w:rsidR="00057E06">
        <w:rPr>
          <w:rFonts w:cstheme="minorHAnsi"/>
        </w:rPr>
        <w:t>, članak 5., točka 6. i 8.</w:t>
      </w:r>
    </w:p>
    <w:p w14:paraId="6932E271" w14:textId="77777777" w:rsidR="00010942" w:rsidRPr="00010942" w:rsidRDefault="00010942">
      <w:pPr>
        <w:pStyle w:val="Odlomakpopisa"/>
        <w:numPr>
          <w:ilvl w:val="1"/>
          <w:numId w:val="27"/>
        </w:numPr>
      </w:pPr>
      <w:r w:rsidRPr="00010942">
        <w:t xml:space="preserve">obavezna obrada otpada prije odlaganja </w:t>
      </w:r>
    </w:p>
    <w:p w14:paraId="6025EFBD" w14:textId="77777777" w:rsidR="00010942" w:rsidRPr="00010942" w:rsidRDefault="00010942">
      <w:pPr>
        <w:pStyle w:val="Odlomakpopisa"/>
        <w:numPr>
          <w:ilvl w:val="1"/>
          <w:numId w:val="27"/>
        </w:numPr>
      </w:pPr>
      <w:r w:rsidRPr="00010942">
        <w:lastRenderedPageBreak/>
        <w:t xml:space="preserve">smanjenje količina biorazgradivog komunalnog otpada koji se odlaže na odlagališta; </w:t>
      </w:r>
    </w:p>
    <w:p w14:paraId="2A6B105C" w14:textId="77777777" w:rsidR="00010942" w:rsidRPr="004B4A81" w:rsidRDefault="00010942">
      <w:pPr>
        <w:pStyle w:val="Odlomakpopisa"/>
        <w:numPr>
          <w:ilvl w:val="0"/>
          <w:numId w:val="27"/>
        </w:numPr>
        <w:rPr>
          <w:rStyle w:val="markedcontent"/>
        </w:rPr>
      </w:pPr>
      <w:r w:rsidRPr="004B4A81">
        <w:rPr>
          <w:rStyle w:val="markedcontent"/>
        </w:rPr>
        <w:t xml:space="preserve">prostornim značajkama područja obuhvata; </w:t>
      </w:r>
    </w:p>
    <w:p w14:paraId="685F6612" w14:textId="77777777" w:rsidR="00010942" w:rsidRPr="004B4A81" w:rsidRDefault="00010942">
      <w:pPr>
        <w:pStyle w:val="Odlomakpopisa"/>
        <w:numPr>
          <w:ilvl w:val="0"/>
          <w:numId w:val="27"/>
        </w:numPr>
        <w:rPr>
          <w:rStyle w:val="markedcontent"/>
        </w:rPr>
      </w:pPr>
      <w:r w:rsidRPr="004B4A81">
        <w:rPr>
          <w:rStyle w:val="markedcontent"/>
        </w:rPr>
        <w:t xml:space="preserve">mogućnosti smještaja spremnika za odvojeno prikupljanje pojedinih komponenti komunalnog otpada; </w:t>
      </w:r>
    </w:p>
    <w:p w14:paraId="2EDBB9C6" w14:textId="77777777" w:rsidR="00010942" w:rsidRPr="004B4A81" w:rsidRDefault="00010942">
      <w:pPr>
        <w:pStyle w:val="Odlomakpopisa"/>
        <w:numPr>
          <w:ilvl w:val="0"/>
          <w:numId w:val="27"/>
        </w:numPr>
        <w:rPr>
          <w:rStyle w:val="markedcontent"/>
        </w:rPr>
      </w:pPr>
      <w:r w:rsidRPr="004B4A81">
        <w:rPr>
          <w:rStyle w:val="markedcontent"/>
        </w:rPr>
        <w:t xml:space="preserve">transportnim putevima; </w:t>
      </w:r>
    </w:p>
    <w:p w14:paraId="3E72B6B9" w14:textId="77777777" w:rsidR="00010942" w:rsidRPr="004B4A81" w:rsidRDefault="00010942">
      <w:pPr>
        <w:pStyle w:val="Odlomakpopisa"/>
        <w:numPr>
          <w:ilvl w:val="0"/>
          <w:numId w:val="27"/>
        </w:numPr>
        <w:rPr>
          <w:rStyle w:val="markedcontent"/>
        </w:rPr>
      </w:pPr>
      <w:r w:rsidRPr="004B4A81">
        <w:rPr>
          <w:rStyle w:val="markedcontent"/>
        </w:rPr>
        <w:t xml:space="preserve">mogućnosti obrade biorazgradivog dijela komunalnog otpada; </w:t>
      </w:r>
    </w:p>
    <w:p w14:paraId="51D8B039" w14:textId="77777777" w:rsidR="00010942" w:rsidRPr="004B4A81" w:rsidRDefault="00010942">
      <w:pPr>
        <w:pStyle w:val="Odlomakpopisa"/>
        <w:numPr>
          <w:ilvl w:val="0"/>
          <w:numId w:val="27"/>
        </w:numPr>
        <w:rPr>
          <w:rStyle w:val="markedcontent"/>
        </w:rPr>
      </w:pPr>
      <w:r w:rsidRPr="004B4A81">
        <w:rPr>
          <w:rStyle w:val="markedcontent"/>
        </w:rPr>
        <w:t xml:space="preserve">stupnjem razvijenosti sredine, s obzirom na generiranje određenih kategorija otpada; </w:t>
      </w:r>
    </w:p>
    <w:p w14:paraId="00ED4C75" w14:textId="77777777" w:rsidR="00010942" w:rsidRPr="004B4A81" w:rsidRDefault="00010942">
      <w:pPr>
        <w:pStyle w:val="Odlomakpopisa"/>
        <w:numPr>
          <w:ilvl w:val="0"/>
          <w:numId w:val="27"/>
        </w:numPr>
        <w:rPr>
          <w:rStyle w:val="markedcontent"/>
        </w:rPr>
      </w:pPr>
      <w:r w:rsidRPr="004B4A81">
        <w:rPr>
          <w:rStyle w:val="markedcontent"/>
        </w:rPr>
        <w:t xml:space="preserve">značajkama postojećeg i budućeg sustava gospodarenja komunalnim otpadom, s obzirom da li se lokacija već koristi u svrhu gospodarenja otpadom. </w:t>
      </w:r>
    </w:p>
    <w:p w14:paraId="12569E9C" w14:textId="57C9DE3F" w:rsidR="00010942" w:rsidRDefault="00010942" w:rsidP="004B4A81">
      <w:r>
        <w:t>Lokacije objekata za sakupljanje otpada (</w:t>
      </w:r>
      <w:r w:rsidR="00C01538" w:rsidRPr="00A8056D">
        <w:rPr>
          <w:rFonts w:cstheme="minorHAnsi"/>
        </w:rPr>
        <w:t>spremnici na javnim površinama</w:t>
      </w:r>
      <w:r>
        <w:t xml:space="preserve">, </w:t>
      </w:r>
      <w:proofErr w:type="spellStart"/>
      <w:r>
        <w:t>reciklažna</w:t>
      </w:r>
      <w:proofErr w:type="spellEnd"/>
      <w:r>
        <w:t xml:space="preserve"> dvorišta) namijenjenih pretežno građanima rezultat su analize područja generiranja otpada i smještaju se kako bi se omogućio što jednostavniji pristup krajnjem korisniku, što je najčešće u težištima nastanka otpada te u središtima naseljenih područja. </w:t>
      </w:r>
    </w:p>
    <w:p w14:paraId="0C79094C" w14:textId="77777777" w:rsidR="00010942" w:rsidRDefault="00010942" w:rsidP="004B4A81">
      <w:pPr>
        <w:rPr>
          <w:color w:val="0070C0"/>
        </w:rPr>
      </w:pPr>
      <w:r>
        <w:t>Neki od uvjeta koje moraju zadovoljiti objekti/spremnici sustava za sakupljanje otpada su:</w:t>
      </w:r>
    </w:p>
    <w:p w14:paraId="61EF105C" w14:textId="77777777" w:rsidR="00010942" w:rsidRPr="004B4A81" w:rsidRDefault="00010942">
      <w:pPr>
        <w:pStyle w:val="Odlomakpopisa"/>
        <w:numPr>
          <w:ilvl w:val="0"/>
          <w:numId w:val="28"/>
        </w:numPr>
        <w:rPr>
          <w:rStyle w:val="markedcontent"/>
        </w:rPr>
      </w:pPr>
      <w:r w:rsidRPr="004B4A81">
        <w:rPr>
          <w:rStyle w:val="markedcontent"/>
        </w:rPr>
        <w:t xml:space="preserve">prikupljanje na mjestu nastanka – spremnici na „kućnom pragu“ ili u krugu pravnih osoba za odvojeno prikupljanje (ne postoje posebni uvjeti osim broja spremnika i zahtjeva za njihovom trajnošću i manipulativnim svojstvima), </w:t>
      </w:r>
    </w:p>
    <w:p w14:paraId="2B538056" w14:textId="44D85955" w:rsidR="00010942" w:rsidRPr="004B4A81" w:rsidRDefault="00010942">
      <w:pPr>
        <w:pStyle w:val="Odlomakpopisa"/>
        <w:numPr>
          <w:ilvl w:val="0"/>
          <w:numId w:val="28"/>
        </w:numPr>
        <w:rPr>
          <w:rStyle w:val="markedcontent"/>
        </w:rPr>
      </w:pPr>
      <w:r w:rsidRPr="004B4A81">
        <w:rPr>
          <w:rStyle w:val="markedcontent"/>
        </w:rPr>
        <w:t xml:space="preserve">prikupljanje na mjestu nastanka – spremnici na javnim površinama. U slučaju da su jedina mjera odvojenog prikupljanja otpada  moraju biti lako pristupačni kako korisniku tako i pružatelju usluge sakupljanja otpada, </w:t>
      </w:r>
    </w:p>
    <w:p w14:paraId="3D6F3C68" w14:textId="44839995" w:rsidR="00010942" w:rsidRPr="004B4A81" w:rsidRDefault="00010942">
      <w:pPr>
        <w:pStyle w:val="Odlomakpopisa"/>
        <w:numPr>
          <w:ilvl w:val="0"/>
          <w:numId w:val="28"/>
        </w:numPr>
        <w:rPr>
          <w:rStyle w:val="markedcontent"/>
        </w:rPr>
      </w:pPr>
      <w:proofErr w:type="spellStart"/>
      <w:r w:rsidRPr="004B4A81">
        <w:rPr>
          <w:rStyle w:val="markedcontent"/>
        </w:rPr>
        <w:t>reciklažna</w:t>
      </w:r>
      <w:proofErr w:type="spellEnd"/>
      <w:r w:rsidRPr="004B4A81">
        <w:rPr>
          <w:rStyle w:val="markedcontent"/>
        </w:rPr>
        <w:t xml:space="preserve"> dvorišta – stacionarna </w:t>
      </w:r>
      <w:proofErr w:type="spellStart"/>
      <w:r w:rsidRPr="004B4A81">
        <w:rPr>
          <w:rStyle w:val="markedcontent"/>
        </w:rPr>
        <w:t>reciklažna</w:t>
      </w:r>
      <w:proofErr w:type="spellEnd"/>
      <w:r w:rsidRPr="004B4A81">
        <w:rPr>
          <w:rStyle w:val="markedcontent"/>
        </w:rPr>
        <w:t xml:space="preserve"> dvorišta obavezna su u svim JLS s više od 3000 stanovnika, te s najmanje jednim dvorištem na 25.000 stanovnika. Lokacija se odabire kako bi se omogućio jednostavan pristup svim korisnicima koji</w:t>
      </w:r>
      <w:r w:rsidRPr="004B4A81">
        <w:rPr>
          <w:rStyle w:val="markedcontent"/>
          <w:sz w:val="24"/>
          <w:szCs w:val="24"/>
        </w:rPr>
        <w:t xml:space="preserve"> </w:t>
      </w:r>
      <w:r w:rsidRPr="004B4A81">
        <w:rPr>
          <w:rStyle w:val="markedcontent"/>
        </w:rPr>
        <w:t xml:space="preserve">gravitiraju određenom </w:t>
      </w:r>
      <w:proofErr w:type="spellStart"/>
      <w:r w:rsidRPr="004B4A81">
        <w:rPr>
          <w:rStyle w:val="markedcontent"/>
        </w:rPr>
        <w:t>reciklažnom</w:t>
      </w:r>
      <w:proofErr w:type="spellEnd"/>
      <w:r w:rsidRPr="004B4A81">
        <w:rPr>
          <w:rStyle w:val="markedcontent"/>
        </w:rPr>
        <w:t xml:space="preserve"> dvorištu te ovlaštenim sakupljačima/</w:t>
      </w:r>
      <w:proofErr w:type="spellStart"/>
      <w:r w:rsidRPr="004B4A81">
        <w:rPr>
          <w:rStyle w:val="markedcontent"/>
        </w:rPr>
        <w:t>oporabiteljima</w:t>
      </w:r>
      <w:proofErr w:type="spellEnd"/>
      <w:r w:rsidRPr="004B4A81">
        <w:rPr>
          <w:rStyle w:val="markedcontent"/>
        </w:rPr>
        <w:t xml:space="preserve"> određene kategorije otpada. JLS s manje od 3</w:t>
      </w:r>
      <w:r>
        <w:rPr>
          <w:rStyle w:val="markedcontent"/>
        </w:rPr>
        <w:t>.</w:t>
      </w:r>
      <w:r w:rsidRPr="004B4A81">
        <w:rPr>
          <w:rStyle w:val="markedcontent"/>
        </w:rPr>
        <w:t xml:space="preserve">000 stanovnika a koja ne posjeduje stacionarno </w:t>
      </w:r>
      <w:proofErr w:type="spellStart"/>
      <w:r w:rsidRPr="004B4A81">
        <w:rPr>
          <w:rStyle w:val="markedcontent"/>
        </w:rPr>
        <w:t>reciklažno</w:t>
      </w:r>
      <w:proofErr w:type="spellEnd"/>
      <w:r w:rsidRPr="004B4A81">
        <w:rPr>
          <w:rStyle w:val="markedcontent"/>
        </w:rPr>
        <w:t xml:space="preserve"> dvorište mora osigurati dostupnost mobilnog </w:t>
      </w:r>
      <w:proofErr w:type="spellStart"/>
      <w:r w:rsidRPr="004B4A81">
        <w:rPr>
          <w:rStyle w:val="markedcontent"/>
        </w:rPr>
        <w:t>reciklažnog</w:t>
      </w:r>
      <w:proofErr w:type="spellEnd"/>
      <w:r w:rsidRPr="004B4A81">
        <w:rPr>
          <w:rStyle w:val="markedcontent"/>
        </w:rPr>
        <w:t xml:space="preserve"> dvorišta</w:t>
      </w:r>
    </w:p>
    <w:p w14:paraId="4D754A58" w14:textId="3AE7EE6A" w:rsidR="00010942" w:rsidRDefault="00010942" w:rsidP="004B4A81">
      <w:r>
        <w:t>Načelne lokacije objekata sustava gospodarenja otpadom (</w:t>
      </w:r>
      <w:proofErr w:type="spellStart"/>
      <w:r>
        <w:t>reciklažnog</w:t>
      </w:r>
      <w:proofErr w:type="spellEnd"/>
      <w:r>
        <w:t xml:space="preserve"> dvorišta za građevni otpad, centra za gospodarenje otpadom, postrojenja za energetsku oporabu otpada itd.) ovise o uvjetima zaštite okoliša i prirode u određenom području iz kojih proizlaze ograničenja određenih djelatnosti. Pogodnost potencijalnih lokacija za smještaj objekata sustava gospodarenja otpadom uglavnom se određuje putem </w:t>
      </w:r>
      <w:r w:rsidR="005C5E60">
        <w:t>višekriterijske</w:t>
      </w:r>
      <w:r>
        <w:t xml:space="preserve"> analize uzimajući u obzir hidrološke i hidrogeološke značajke lokacije, udaljenost od naseljenih područja, prometnu povezanost (cestovnu, željezničku, pomorsku), razvijenost infrastrukture uzimajući u obzir mogućnosti plasiranja proizvoda koji nastaju kao rezultat gospodarenja otpadom (GIO, toplinska i električna energija, kompost i sl.).</w:t>
      </w:r>
    </w:p>
    <w:p w14:paraId="08BB0D5D" w14:textId="1EEFDAA3" w:rsidR="00A52DE5" w:rsidRDefault="00010942" w:rsidP="00010942">
      <w:r>
        <w:t>Kriterij za određivanje lokacije odlagališta opasnog otpada proizlaze iz visokih zahtjeva propisa kojim je reguliran način i uvjeti odlaganja otpada, kategorije i uvjeti rada za odlagališta otpada.</w:t>
      </w:r>
    </w:p>
    <w:p w14:paraId="0FB11967" w14:textId="77777777" w:rsidR="00A52DE5" w:rsidRPr="00A52DE5" w:rsidRDefault="00A52DE5" w:rsidP="0018450E">
      <w:pPr>
        <w:pStyle w:val="IRNaslov2"/>
        <w:numPr>
          <w:ilvl w:val="1"/>
          <w:numId w:val="22"/>
        </w:numPr>
        <w:ind w:left="709" w:hanging="709"/>
      </w:pPr>
      <w:bookmarkStart w:id="225" w:name="_Toc123211662"/>
      <w:r w:rsidRPr="00A52DE5">
        <w:t>Tehnički zahtjevi za građevine za gospodarenje otpadom</w:t>
      </w:r>
      <w:bookmarkEnd w:id="225"/>
    </w:p>
    <w:p w14:paraId="43E224A4" w14:textId="77777777" w:rsidR="00FC740D" w:rsidRPr="00FC740D" w:rsidRDefault="00FC740D" w:rsidP="004B4A81">
      <w:r w:rsidRPr="00FC740D">
        <w:t>Najbolje raspoložive tehnike (NRT) opisuju obvezujuće tehnike i tehnologiju koju je potrebno primijeniti za projektiranje, gradnju, održavanje, uporabu i stavljanje izvan uporabe građevina za gospodarenje otpadom za koje postoji obveza izdavanja okolišne dozvole.</w:t>
      </w:r>
    </w:p>
    <w:p w14:paraId="2458E849" w14:textId="77777777" w:rsidR="00FC740D" w:rsidRPr="00FC740D" w:rsidRDefault="00FC740D" w:rsidP="004B4A81">
      <w:r w:rsidRPr="00FC740D">
        <w:t xml:space="preserve">Smjernice za primjenu NRT definirane su u aktualnoj verziji tzv. referentnog dokumenta o najboljim raspoloživim tehnikama nastalom kao rezultat razmjene podataka koje organizira Europska komisija </w:t>
      </w:r>
      <w:r w:rsidRPr="00FC740D">
        <w:lastRenderedPageBreak/>
        <w:t>između država članica, industrije, nevladinih organizacija zaštite okoliša i Europske komisije. Iz navedenih NRT proizlaze granične vrijednosti emisija u okoliš koje se ne smiju prekoračiti.</w:t>
      </w:r>
    </w:p>
    <w:p w14:paraId="01D3F7FD" w14:textId="77777777" w:rsidR="00FC740D" w:rsidRPr="00FC740D" w:rsidRDefault="00FC740D" w:rsidP="004B4A81">
      <w:r w:rsidRPr="00FC740D">
        <w:t xml:space="preserve"> </w:t>
      </w:r>
    </w:p>
    <w:p w14:paraId="3BDD529E" w14:textId="77777777" w:rsidR="00FC740D" w:rsidRPr="00FC740D" w:rsidRDefault="00FC740D" w:rsidP="004B4A81">
      <w:r w:rsidRPr="00FC740D">
        <w:t>Za sve je građevine, osim NRT potrebno uzeti u obzir i primjere najbolje prakse te stanje tehničke spoznaje u određenom trenutku.</w:t>
      </w:r>
    </w:p>
    <w:p w14:paraId="714DD4CD" w14:textId="33E04C8F" w:rsidR="00A52DE5" w:rsidRDefault="00FC740D" w:rsidP="00FC740D">
      <w:r w:rsidRPr="00FC740D">
        <w:t>Odgovarajuće mjere zaštite okoliša te uvjeti izgradnje i opremanja građevina sustava gospodarenja otpadom za koje ne postoji obaveza utvrđivanja okolišne dozvole definirani su kroz odgovarajuće provedbene propise kojima su propisani minimalni zahtjevi za projektiranje, izgradnju, vođenje objekata te praćenje emisija</w:t>
      </w:r>
      <w:r>
        <w:t xml:space="preserve"> </w:t>
      </w:r>
      <w:r w:rsidR="00A52DE5">
        <w:t>(</w:t>
      </w:r>
      <w:r w:rsidR="00A52DE5">
        <w:fldChar w:fldCharType="begin"/>
      </w:r>
      <w:r w:rsidR="00A52DE5">
        <w:instrText xml:space="preserve"> REF _Ref115434342 \h </w:instrText>
      </w:r>
      <w:r w:rsidR="00A52DE5">
        <w:fldChar w:fldCharType="separate"/>
      </w:r>
      <w:r w:rsidR="00F37B62">
        <w:t xml:space="preserve">Tablica </w:t>
      </w:r>
      <w:r w:rsidR="00F37B62">
        <w:rPr>
          <w:noProof/>
        </w:rPr>
        <w:t>31</w:t>
      </w:r>
      <w:r w:rsidR="00A52DE5">
        <w:fldChar w:fldCharType="end"/>
      </w:r>
      <w:r w:rsidR="00A52DE5">
        <w:t>).</w:t>
      </w:r>
    </w:p>
    <w:p w14:paraId="42B6C4D1" w14:textId="1EE8CF48" w:rsidR="00A52DE5" w:rsidRPr="0076704C" w:rsidRDefault="00A52DE5" w:rsidP="00A52DE5">
      <w:pPr>
        <w:pStyle w:val="Tablica"/>
      </w:pPr>
      <w:bookmarkStart w:id="226" w:name="_Ref115434342"/>
      <w:bookmarkStart w:id="227" w:name="_Toc125364420"/>
      <w:r>
        <w:t xml:space="preserve">Tablica </w:t>
      </w:r>
      <w:fldSimple w:instr=" SEQ Tablica \* ARABIC ">
        <w:r w:rsidR="00F37B62">
          <w:rPr>
            <w:noProof/>
          </w:rPr>
          <w:t>31</w:t>
        </w:r>
      </w:fldSimple>
      <w:bookmarkEnd w:id="226"/>
      <w:r>
        <w:t xml:space="preserve">. </w:t>
      </w:r>
      <w:r w:rsidR="0062696C">
        <w:rPr>
          <w:b w:val="0"/>
          <w:bCs/>
        </w:rPr>
        <w:t>Zakonska regulativa</w:t>
      </w:r>
      <w:r w:rsidRPr="00A52DE5">
        <w:rPr>
          <w:b w:val="0"/>
          <w:bCs/>
        </w:rPr>
        <w:t xml:space="preserve"> </w:t>
      </w:r>
      <w:r w:rsidR="0062696C" w:rsidRPr="00A52DE5">
        <w:rPr>
          <w:b w:val="0"/>
          <w:bCs/>
        </w:rPr>
        <w:t>koj</w:t>
      </w:r>
      <w:r w:rsidR="0062696C">
        <w:rPr>
          <w:b w:val="0"/>
          <w:bCs/>
        </w:rPr>
        <w:t>om</w:t>
      </w:r>
      <w:r w:rsidR="0062696C" w:rsidRPr="00A52DE5">
        <w:rPr>
          <w:b w:val="0"/>
          <w:bCs/>
        </w:rPr>
        <w:t xml:space="preserve"> </w:t>
      </w:r>
      <w:r w:rsidRPr="00A52DE5">
        <w:rPr>
          <w:b w:val="0"/>
          <w:bCs/>
        </w:rPr>
        <w:t>su propisani minimalni zahtjevi za projektiranje, izgradnju, vođenje objekata te praćenje emisija</w:t>
      </w:r>
      <w:bookmarkEnd w:id="227"/>
    </w:p>
    <w:tbl>
      <w:tblPr>
        <w:tblStyle w:val="Reetkatablice"/>
        <w:tblW w:w="0" w:type="auto"/>
        <w:tblLook w:val="04A0" w:firstRow="1" w:lastRow="0" w:firstColumn="1" w:lastColumn="0" w:noHBand="0" w:noVBand="1"/>
      </w:tblPr>
      <w:tblGrid>
        <w:gridCol w:w="4508"/>
        <w:gridCol w:w="4508"/>
      </w:tblGrid>
      <w:tr w:rsidR="00A52DE5" w:rsidRPr="00747CFD" w14:paraId="1E9A774A" w14:textId="77777777" w:rsidTr="00A52DE5">
        <w:tc>
          <w:tcPr>
            <w:tcW w:w="4508" w:type="dxa"/>
            <w:shd w:val="clear" w:color="auto" w:fill="002060"/>
          </w:tcPr>
          <w:p w14:paraId="55EA217F" w14:textId="41885EA3" w:rsidR="00A52DE5" w:rsidRPr="00747CFD" w:rsidRDefault="00A52DE5" w:rsidP="00A52DE5">
            <w:pPr>
              <w:jc w:val="center"/>
              <w:rPr>
                <w:b/>
                <w:bCs/>
                <w:color w:val="FFFFFF" w:themeColor="background1"/>
                <w:sz w:val="16"/>
                <w:szCs w:val="20"/>
              </w:rPr>
            </w:pPr>
            <w:r w:rsidRPr="00747CFD">
              <w:rPr>
                <w:b/>
                <w:bCs/>
                <w:color w:val="FFFFFF" w:themeColor="background1"/>
                <w:sz w:val="16"/>
                <w:szCs w:val="20"/>
              </w:rPr>
              <w:t>Dokument</w:t>
            </w:r>
          </w:p>
        </w:tc>
        <w:tc>
          <w:tcPr>
            <w:tcW w:w="4508" w:type="dxa"/>
            <w:shd w:val="clear" w:color="auto" w:fill="002060"/>
          </w:tcPr>
          <w:p w14:paraId="1213D9E2" w14:textId="5C82281A" w:rsidR="00A52DE5" w:rsidRPr="00747CFD" w:rsidRDefault="00A52DE5" w:rsidP="00A52DE5">
            <w:pPr>
              <w:jc w:val="center"/>
              <w:rPr>
                <w:b/>
                <w:bCs/>
                <w:color w:val="FFFFFF" w:themeColor="background1"/>
                <w:sz w:val="16"/>
                <w:szCs w:val="20"/>
              </w:rPr>
            </w:pPr>
            <w:r w:rsidRPr="00747CFD">
              <w:rPr>
                <w:b/>
                <w:bCs/>
                <w:color w:val="FFFFFF" w:themeColor="background1"/>
                <w:sz w:val="16"/>
                <w:szCs w:val="20"/>
              </w:rPr>
              <w:t>Kratki opis sadržaja dokumenta</w:t>
            </w:r>
          </w:p>
        </w:tc>
      </w:tr>
      <w:tr w:rsidR="00A52DE5" w:rsidRPr="00747CFD" w14:paraId="6ACAB9B5" w14:textId="77777777" w:rsidTr="00A52DE5">
        <w:tc>
          <w:tcPr>
            <w:tcW w:w="4508" w:type="dxa"/>
          </w:tcPr>
          <w:p w14:paraId="26DF109A" w14:textId="2BC89DE7" w:rsidR="00A52DE5" w:rsidRPr="00747CFD" w:rsidRDefault="00A52DE5" w:rsidP="00A52DE5">
            <w:pPr>
              <w:rPr>
                <w:sz w:val="16"/>
                <w:szCs w:val="20"/>
              </w:rPr>
            </w:pPr>
            <w:r w:rsidRPr="00747CFD">
              <w:rPr>
                <w:sz w:val="16"/>
                <w:szCs w:val="20"/>
              </w:rPr>
              <w:t xml:space="preserve">Pravilnik o gospodarenju otpadom (NN </w:t>
            </w:r>
            <w:r w:rsidR="00631932" w:rsidRPr="00747CFD">
              <w:rPr>
                <w:sz w:val="16"/>
                <w:szCs w:val="20"/>
              </w:rPr>
              <w:t>106/22</w:t>
            </w:r>
            <w:r w:rsidRPr="00747CFD">
              <w:rPr>
                <w:sz w:val="16"/>
                <w:szCs w:val="20"/>
              </w:rPr>
              <w:t>)</w:t>
            </w:r>
          </w:p>
        </w:tc>
        <w:tc>
          <w:tcPr>
            <w:tcW w:w="4508" w:type="dxa"/>
          </w:tcPr>
          <w:p w14:paraId="568C98B2" w14:textId="40C03404" w:rsidR="00A52DE5" w:rsidRPr="00747CFD" w:rsidRDefault="00A52DE5" w:rsidP="00A52DE5">
            <w:pPr>
              <w:rPr>
                <w:sz w:val="16"/>
                <w:szCs w:val="20"/>
              </w:rPr>
            </w:pPr>
            <w:r w:rsidRPr="00747CFD">
              <w:rPr>
                <w:sz w:val="16"/>
                <w:szCs w:val="20"/>
              </w:rPr>
              <w:t xml:space="preserve">Propisuje uvjete i način rada te opremanja skladišta otpada i </w:t>
            </w:r>
            <w:proofErr w:type="spellStart"/>
            <w:r w:rsidRPr="00747CFD">
              <w:rPr>
                <w:sz w:val="16"/>
                <w:szCs w:val="20"/>
              </w:rPr>
              <w:t>reciklažnih</w:t>
            </w:r>
            <w:proofErr w:type="spellEnd"/>
            <w:r w:rsidRPr="00747CFD">
              <w:rPr>
                <w:sz w:val="16"/>
                <w:szCs w:val="20"/>
              </w:rPr>
              <w:t xml:space="preserve"> dvorišta</w:t>
            </w:r>
          </w:p>
        </w:tc>
      </w:tr>
      <w:tr w:rsidR="00A52DE5" w:rsidRPr="00747CFD" w14:paraId="0E3C6EF6" w14:textId="77777777" w:rsidTr="00A52DE5">
        <w:tc>
          <w:tcPr>
            <w:tcW w:w="4508" w:type="dxa"/>
          </w:tcPr>
          <w:p w14:paraId="7E4334CF" w14:textId="5CEE7564" w:rsidR="00A52DE5" w:rsidRPr="00747CFD" w:rsidRDefault="00A52DE5" w:rsidP="00A52DE5">
            <w:pPr>
              <w:rPr>
                <w:sz w:val="16"/>
                <w:szCs w:val="20"/>
              </w:rPr>
            </w:pPr>
            <w:r w:rsidRPr="00747CFD">
              <w:rPr>
                <w:sz w:val="16"/>
                <w:szCs w:val="20"/>
              </w:rPr>
              <w:t xml:space="preserve">Pravilnik o </w:t>
            </w:r>
            <w:r w:rsidR="00631932" w:rsidRPr="00747CFD">
              <w:rPr>
                <w:sz w:val="16"/>
                <w:szCs w:val="20"/>
              </w:rPr>
              <w:t>termičkoj obradi otpada</w:t>
            </w:r>
            <w:r w:rsidRPr="00747CFD">
              <w:rPr>
                <w:sz w:val="16"/>
                <w:szCs w:val="20"/>
              </w:rPr>
              <w:t xml:space="preserve"> (NN </w:t>
            </w:r>
            <w:r w:rsidR="00631932" w:rsidRPr="00747CFD">
              <w:rPr>
                <w:sz w:val="16"/>
                <w:szCs w:val="20"/>
              </w:rPr>
              <w:t>75/16</w:t>
            </w:r>
            <w:r w:rsidRPr="00747CFD">
              <w:rPr>
                <w:sz w:val="16"/>
                <w:szCs w:val="20"/>
              </w:rPr>
              <w:t>)</w:t>
            </w:r>
          </w:p>
        </w:tc>
        <w:tc>
          <w:tcPr>
            <w:tcW w:w="4508" w:type="dxa"/>
          </w:tcPr>
          <w:p w14:paraId="734DE44E" w14:textId="0EC2C558" w:rsidR="00A52DE5" w:rsidRPr="00747CFD" w:rsidRDefault="00A52DE5" w:rsidP="00A52DE5">
            <w:pPr>
              <w:rPr>
                <w:sz w:val="16"/>
                <w:szCs w:val="20"/>
              </w:rPr>
            </w:pPr>
            <w:r w:rsidRPr="00747CFD">
              <w:rPr>
                <w:sz w:val="16"/>
                <w:szCs w:val="20"/>
              </w:rPr>
              <w:t xml:space="preserve">Propisuje </w:t>
            </w:r>
            <w:r w:rsidR="00631932" w:rsidRPr="00747CFD">
              <w:rPr>
                <w:sz w:val="16"/>
                <w:szCs w:val="20"/>
              </w:rPr>
              <w:t xml:space="preserve">način i uvjete rada, uvjete za početak i prekid rada postrojenja za spaljivanje i suspaljivanje, način ulazne kontrole otpada, način zaštite zraka, tla i voda te način gospodarenja </w:t>
            </w:r>
            <w:proofErr w:type="spellStart"/>
            <w:r w:rsidR="00631932" w:rsidRPr="00747CFD">
              <w:rPr>
                <w:sz w:val="16"/>
                <w:szCs w:val="20"/>
              </w:rPr>
              <w:t>ostatnim</w:t>
            </w:r>
            <w:proofErr w:type="spellEnd"/>
            <w:r w:rsidR="00631932" w:rsidRPr="00747CFD">
              <w:rPr>
                <w:sz w:val="16"/>
                <w:szCs w:val="20"/>
              </w:rPr>
              <w:t xml:space="preserve"> otpadom u postrojenju za spaljivanje i suspaljivanje otpada i posebne uvjet</w:t>
            </w:r>
            <w:r w:rsidR="005C5E60" w:rsidRPr="00747CFD">
              <w:rPr>
                <w:sz w:val="16"/>
                <w:szCs w:val="20"/>
              </w:rPr>
              <w:t>e</w:t>
            </w:r>
            <w:r w:rsidR="00631932" w:rsidRPr="00747CFD">
              <w:rPr>
                <w:sz w:val="16"/>
                <w:szCs w:val="20"/>
              </w:rPr>
              <w:t xml:space="preserve"> za ostale postupke termičke obrade otpada.</w:t>
            </w:r>
          </w:p>
        </w:tc>
      </w:tr>
      <w:tr w:rsidR="00A52DE5" w:rsidRPr="00747CFD" w14:paraId="5311D1CA" w14:textId="77777777" w:rsidTr="00A52DE5">
        <w:tc>
          <w:tcPr>
            <w:tcW w:w="4508" w:type="dxa"/>
          </w:tcPr>
          <w:p w14:paraId="3F799920" w14:textId="53CA69E1" w:rsidR="00A52DE5" w:rsidRPr="00747CFD" w:rsidRDefault="00A52DE5" w:rsidP="00A52DE5">
            <w:pPr>
              <w:rPr>
                <w:sz w:val="16"/>
                <w:szCs w:val="20"/>
              </w:rPr>
            </w:pPr>
            <w:r w:rsidRPr="00747CFD">
              <w:rPr>
                <w:sz w:val="16"/>
                <w:szCs w:val="20"/>
              </w:rPr>
              <w:t>Pravilnik o načinima i uvjetima odlaganja otpada, kategorijama i uvjetima rada za odlagališta otpada (NN 114/15</w:t>
            </w:r>
            <w:r w:rsidR="00631932" w:rsidRPr="00747CFD">
              <w:rPr>
                <w:sz w:val="16"/>
                <w:szCs w:val="20"/>
              </w:rPr>
              <w:t>, 103/18, 56/19</w:t>
            </w:r>
            <w:r w:rsidRPr="00747CFD">
              <w:rPr>
                <w:sz w:val="16"/>
                <w:szCs w:val="20"/>
              </w:rPr>
              <w:t>)</w:t>
            </w:r>
          </w:p>
        </w:tc>
        <w:tc>
          <w:tcPr>
            <w:tcW w:w="4508" w:type="dxa"/>
          </w:tcPr>
          <w:p w14:paraId="36F43E96" w14:textId="6BA568C5" w:rsidR="00A52DE5" w:rsidRPr="00747CFD" w:rsidRDefault="00A52DE5" w:rsidP="00A52DE5">
            <w:pPr>
              <w:rPr>
                <w:sz w:val="16"/>
                <w:szCs w:val="20"/>
              </w:rPr>
            </w:pPr>
            <w:r w:rsidRPr="00747CFD">
              <w:rPr>
                <w:sz w:val="16"/>
                <w:szCs w:val="20"/>
              </w:rPr>
              <w:t>Propisuje kategorije odlagališta otpada, postupci i drugi uvjeti za odlaganje otpada, granične vrijednosti emisija u okoliš kod odlaganja otpada, uvjeti i mjere u svezi s planiranjem, gradnjom, radom i zatvaranjem odlagališta i postupanjem nakon njihovog zatvaranja; odnosi se na odlagališta inertnog, neopasnog i opasnog otpada</w:t>
            </w:r>
          </w:p>
        </w:tc>
      </w:tr>
      <w:tr w:rsidR="00A52DE5" w:rsidRPr="00747CFD" w14:paraId="602C3038" w14:textId="77777777" w:rsidTr="00A52DE5">
        <w:tc>
          <w:tcPr>
            <w:tcW w:w="4508" w:type="dxa"/>
          </w:tcPr>
          <w:p w14:paraId="6DAA0F4B" w14:textId="3011933E" w:rsidR="00A52DE5" w:rsidRPr="00747CFD" w:rsidRDefault="0062696C" w:rsidP="00A52DE5">
            <w:pPr>
              <w:rPr>
                <w:sz w:val="16"/>
                <w:szCs w:val="20"/>
              </w:rPr>
            </w:pPr>
            <w:r w:rsidRPr="00747CFD">
              <w:rPr>
                <w:sz w:val="16"/>
                <w:szCs w:val="20"/>
              </w:rPr>
              <w:t xml:space="preserve"> Zakon o gospodarenju otpadom (</w:t>
            </w:r>
            <w:r w:rsidR="00DA38E4" w:rsidRPr="00747CFD">
              <w:rPr>
                <w:sz w:val="16"/>
                <w:szCs w:val="20"/>
              </w:rPr>
              <w:t>NN 84/21</w:t>
            </w:r>
            <w:r w:rsidRPr="00747CFD">
              <w:rPr>
                <w:sz w:val="16"/>
                <w:szCs w:val="20"/>
              </w:rPr>
              <w:t>)</w:t>
            </w:r>
            <w:r w:rsidR="00DA38E4" w:rsidRPr="00747CFD">
              <w:rPr>
                <w:sz w:val="16"/>
                <w:szCs w:val="20"/>
              </w:rPr>
              <w:t>, Pravilnik o gospodarenju otpadom (NN 106/22)</w:t>
            </w:r>
          </w:p>
        </w:tc>
        <w:tc>
          <w:tcPr>
            <w:tcW w:w="4508" w:type="dxa"/>
          </w:tcPr>
          <w:p w14:paraId="30199314" w14:textId="50C7D1E0" w:rsidR="00A52DE5" w:rsidRPr="00747CFD" w:rsidRDefault="00631932" w:rsidP="00631932">
            <w:pPr>
              <w:rPr>
                <w:sz w:val="16"/>
                <w:szCs w:val="20"/>
              </w:rPr>
            </w:pPr>
            <w:r w:rsidRPr="00747CFD">
              <w:rPr>
                <w:sz w:val="16"/>
                <w:szCs w:val="20"/>
              </w:rPr>
              <w:t xml:space="preserve">Propisuje način gospodarenja komunalnim otpadom u vezi s javnom uslugom prikupljanja miješanog komunalnog otpada i biorazgradivog komunalnog otpada te odvojenog prikupljanja otpadnog papira, metala, stakla, plastike, tekstila, problematičnog otpada i krupnog (glomaznog) otpada, prostorni razmještaj </w:t>
            </w:r>
            <w:proofErr w:type="spellStart"/>
            <w:r w:rsidRPr="00747CFD">
              <w:rPr>
                <w:sz w:val="16"/>
                <w:szCs w:val="20"/>
              </w:rPr>
              <w:t>reciklažnih</w:t>
            </w:r>
            <w:proofErr w:type="spellEnd"/>
            <w:r w:rsidRPr="00747CFD">
              <w:rPr>
                <w:sz w:val="16"/>
                <w:szCs w:val="20"/>
              </w:rPr>
              <w:t xml:space="preserve"> dvorišta, način izračuna granične količine miješanog komunalnog otpada za određena razdoblja, način i uvjete određivanja i obračuna naknade za gradnju građevina za gospodarenje komunalnim otpadom i način obračuna poticajne naknade za smanjenje količine miješanog komunalnog otpada.</w:t>
            </w:r>
          </w:p>
        </w:tc>
      </w:tr>
      <w:tr w:rsidR="00A52DE5" w:rsidRPr="00747CFD" w14:paraId="282E2925" w14:textId="77777777" w:rsidTr="00A52DE5">
        <w:tc>
          <w:tcPr>
            <w:tcW w:w="4508" w:type="dxa"/>
          </w:tcPr>
          <w:p w14:paraId="1A42B8E6" w14:textId="231A31D7" w:rsidR="00A52DE5" w:rsidRPr="00747CFD" w:rsidRDefault="00631932" w:rsidP="00A52DE5">
            <w:pPr>
              <w:rPr>
                <w:sz w:val="16"/>
                <w:szCs w:val="20"/>
              </w:rPr>
            </w:pPr>
            <w:r w:rsidRPr="00747CFD">
              <w:rPr>
                <w:sz w:val="16"/>
                <w:szCs w:val="20"/>
              </w:rPr>
              <w:t>Pravilnik  građevnom otpadu i otpadu koji sadrži azbest (NN 69/16)</w:t>
            </w:r>
          </w:p>
        </w:tc>
        <w:tc>
          <w:tcPr>
            <w:tcW w:w="4508" w:type="dxa"/>
          </w:tcPr>
          <w:p w14:paraId="0CBC2042" w14:textId="0B7125B6" w:rsidR="00A52DE5" w:rsidRPr="00747CFD" w:rsidRDefault="00631932" w:rsidP="00A52DE5">
            <w:pPr>
              <w:rPr>
                <w:sz w:val="16"/>
                <w:szCs w:val="20"/>
              </w:rPr>
            </w:pPr>
            <w:r w:rsidRPr="00747CFD">
              <w:rPr>
                <w:sz w:val="16"/>
                <w:szCs w:val="20"/>
              </w:rPr>
              <w:t>Propisuju se uvjeti gospodarenja građevnim otpadom, obveze proizvođača proizvoda koji sadrži azbest, postupci gospodarenja otpadom koji sadrži azbest, zahtjevi u pogledu skladištenja i prijevoza otpada koji sadrži azbest, uvjeti za gospodarenje azbestnim otpadom.</w:t>
            </w:r>
          </w:p>
        </w:tc>
      </w:tr>
      <w:tr w:rsidR="00A52DE5" w:rsidRPr="00747CFD" w14:paraId="69131A23" w14:textId="77777777" w:rsidTr="00A52DE5">
        <w:tc>
          <w:tcPr>
            <w:tcW w:w="4508" w:type="dxa"/>
          </w:tcPr>
          <w:p w14:paraId="0DED2784" w14:textId="697C77EA" w:rsidR="00A52DE5" w:rsidRPr="00747CFD" w:rsidRDefault="00A52DE5" w:rsidP="00A52DE5">
            <w:pPr>
              <w:rPr>
                <w:sz w:val="16"/>
                <w:szCs w:val="20"/>
              </w:rPr>
            </w:pPr>
            <w:r w:rsidRPr="00747CFD">
              <w:rPr>
                <w:sz w:val="16"/>
                <w:szCs w:val="20"/>
              </w:rPr>
              <w:t>Pravilnik o nusproizvodima i ukidanju statusa otpada (NN 117/14)</w:t>
            </w:r>
          </w:p>
        </w:tc>
        <w:tc>
          <w:tcPr>
            <w:tcW w:w="4508" w:type="dxa"/>
          </w:tcPr>
          <w:p w14:paraId="5E11B9D5" w14:textId="7338898B" w:rsidR="00A52DE5" w:rsidRPr="00747CFD" w:rsidRDefault="00A52DE5" w:rsidP="00A52DE5">
            <w:pPr>
              <w:rPr>
                <w:sz w:val="16"/>
                <w:szCs w:val="20"/>
              </w:rPr>
            </w:pPr>
            <w:r w:rsidRPr="00747CFD">
              <w:rPr>
                <w:sz w:val="16"/>
                <w:szCs w:val="20"/>
              </w:rPr>
              <w:t>Uvjeti obrade i korištenja građevnog otpada kojem je ukinut status otpada; uvjeti obrade i korištenja biorazgradivog otpada kojem je ukinut status otpada(ne uključuje oporabu papira, tekstila)</w:t>
            </w:r>
          </w:p>
        </w:tc>
      </w:tr>
      <w:tr w:rsidR="00E36E9E" w:rsidRPr="00747CFD" w14:paraId="217A9743" w14:textId="77777777" w:rsidTr="00A52DE5">
        <w:tc>
          <w:tcPr>
            <w:tcW w:w="4508" w:type="dxa"/>
          </w:tcPr>
          <w:p w14:paraId="2FC78043" w14:textId="0C1577CC" w:rsidR="00E36E9E" w:rsidRPr="00747CFD" w:rsidRDefault="00E36E9E" w:rsidP="00A52DE5">
            <w:pPr>
              <w:rPr>
                <w:sz w:val="16"/>
                <w:szCs w:val="20"/>
              </w:rPr>
            </w:pPr>
            <w:r w:rsidRPr="00747CFD">
              <w:rPr>
                <w:sz w:val="16"/>
                <w:szCs w:val="20"/>
              </w:rPr>
              <w:t>Uredba o procjeni utjecaja zahvata na okoliš (NN </w:t>
            </w:r>
            <w:hyperlink r:id="rId15" w:tgtFrame="_blank" w:history="1">
              <w:r w:rsidRPr="00747CFD">
                <w:rPr>
                  <w:sz w:val="16"/>
                  <w:szCs w:val="20"/>
                </w:rPr>
                <w:t>61/14</w:t>
              </w:r>
            </w:hyperlink>
            <w:r w:rsidRPr="00747CFD">
              <w:rPr>
                <w:sz w:val="16"/>
                <w:szCs w:val="20"/>
              </w:rPr>
              <w:t> i </w:t>
            </w:r>
            <w:hyperlink r:id="rId16" w:tgtFrame="_blank" w:history="1">
              <w:r w:rsidRPr="00747CFD">
                <w:rPr>
                  <w:sz w:val="16"/>
                  <w:szCs w:val="20"/>
                </w:rPr>
                <w:t>3/17</w:t>
              </w:r>
            </w:hyperlink>
            <w:r w:rsidRPr="00747CFD">
              <w:rPr>
                <w:sz w:val="16"/>
                <w:szCs w:val="20"/>
              </w:rPr>
              <w:t>)</w:t>
            </w:r>
          </w:p>
        </w:tc>
        <w:tc>
          <w:tcPr>
            <w:tcW w:w="4508" w:type="dxa"/>
          </w:tcPr>
          <w:p w14:paraId="13904A2F" w14:textId="6FEF8287" w:rsidR="00E36E9E" w:rsidRPr="00747CFD" w:rsidRDefault="00E36E9E" w:rsidP="00A52DE5">
            <w:pPr>
              <w:rPr>
                <w:sz w:val="16"/>
                <w:szCs w:val="20"/>
              </w:rPr>
            </w:pPr>
            <w:r w:rsidRPr="00747CFD">
              <w:rPr>
                <w:sz w:val="16"/>
                <w:szCs w:val="20"/>
              </w:rPr>
              <w:t>Propisuje uvjete i način provođenja Procjena utjecaja zahvata na okoliš (PUO) odnosno Ocjene o potrebi procjene utjecaja zahvata na okoliš (OPUO). Također, određuje zahvate za koje je propisano provođenje PUO i OPUO</w:t>
            </w:r>
          </w:p>
        </w:tc>
      </w:tr>
      <w:tr w:rsidR="00E36E9E" w:rsidRPr="00747CFD" w14:paraId="49A3993F" w14:textId="77777777" w:rsidTr="00A52DE5">
        <w:tc>
          <w:tcPr>
            <w:tcW w:w="4508" w:type="dxa"/>
          </w:tcPr>
          <w:p w14:paraId="3715079A" w14:textId="1BA6189A" w:rsidR="00E36E9E" w:rsidRPr="00747CFD" w:rsidRDefault="00E36E9E" w:rsidP="00A52DE5">
            <w:pPr>
              <w:rPr>
                <w:sz w:val="16"/>
                <w:szCs w:val="20"/>
              </w:rPr>
            </w:pPr>
            <w:r w:rsidRPr="00747CFD">
              <w:rPr>
                <w:sz w:val="16"/>
                <w:szCs w:val="20"/>
              </w:rPr>
              <w:t xml:space="preserve">Uredba o okolišnoj dozvoli (NN </w:t>
            </w:r>
            <w:hyperlink r:id="rId17" w:history="1">
              <w:r w:rsidRPr="00747CFD">
                <w:rPr>
                  <w:sz w:val="16"/>
                  <w:szCs w:val="20"/>
                </w:rPr>
                <w:t>8/14</w:t>
              </w:r>
            </w:hyperlink>
            <w:r w:rsidRPr="00747CFD">
              <w:rPr>
                <w:sz w:val="16"/>
                <w:szCs w:val="20"/>
              </w:rPr>
              <w:t xml:space="preserve">, </w:t>
            </w:r>
            <w:hyperlink r:id="rId18" w:tgtFrame="_blank" w:history="1">
              <w:r w:rsidRPr="00747CFD">
                <w:rPr>
                  <w:sz w:val="16"/>
                  <w:szCs w:val="20"/>
                </w:rPr>
                <w:t>5/18</w:t>
              </w:r>
            </w:hyperlink>
            <w:r w:rsidRPr="00747CFD">
              <w:rPr>
                <w:sz w:val="16"/>
                <w:szCs w:val="20"/>
              </w:rPr>
              <w:t>)</w:t>
            </w:r>
          </w:p>
        </w:tc>
        <w:tc>
          <w:tcPr>
            <w:tcW w:w="4508" w:type="dxa"/>
          </w:tcPr>
          <w:p w14:paraId="3CD16F32" w14:textId="35B50CED" w:rsidR="00E36E9E" w:rsidRPr="00747CFD" w:rsidRDefault="006E3E79" w:rsidP="00A52DE5">
            <w:pPr>
              <w:rPr>
                <w:sz w:val="16"/>
                <w:szCs w:val="20"/>
              </w:rPr>
            </w:pPr>
            <w:r w:rsidRPr="00747CFD">
              <w:rPr>
                <w:sz w:val="16"/>
                <w:szCs w:val="20"/>
              </w:rPr>
              <w:t>Okolišna dozvola je dozvola za rad postrojenja koju je operater dužan ishoditi prije puštanja u rad postrojenja namijenjenog obavljanju djelatnosti kojom se mogu prouzročiti industrijske emisije. Uredbom se propisuje i način utvrđivanja najboljih raspoloživih tehnika te se daje i popis onečišćujućih tvari za koje se određuju granične vrijednosti emisija</w:t>
            </w:r>
          </w:p>
        </w:tc>
      </w:tr>
    </w:tbl>
    <w:p w14:paraId="51E9A419" w14:textId="17712BFE" w:rsidR="00A52DE5" w:rsidRDefault="00A52DE5" w:rsidP="00A52DE5"/>
    <w:p w14:paraId="5E3BBA5C" w14:textId="77777777" w:rsidR="00A52DE5" w:rsidRPr="00A52DE5" w:rsidRDefault="00A52DE5" w:rsidP="0018450E">
      <w:pPr>
        <w:pStyle w:val="IRNaslov2"/>
        <w:numPr>
          <w:ilvl w:val="1"/>
          <w:numId w:val="22"/>
        </w:numPr>
        <w:ind w:left="709" w:hanging="709"/>
      </w:pPr>
      <w:bookmarkStart w:id="228" w:name="_Toc123211663"/>
      <w:r w:rsidRPr="00A52DE5">
        <w:lastRenderedPageBreak/>
        <w:t>Način određivanja potrebnih kapaciteta novih pogona za oporabu ili zbrinjavanje otpada</w:t>
      </w:r>
      <w:bookmarkEnd w:id="228"/>
    </w:p>
    <w:p w14:paraId="477FCB39" w14:textId="1036D6E2" w:rsidR="00A52DE5" w:rsidRDefault="00BC189A" w:rsidP="00BC189A">
      <w:r w:rsidRPr="00BC189A">
        <w:t>Prema izrađenoj procjeni razvoja tijeka komunalnog otpada, a kako bi se ostvarili zakonski zadani ciljevi (Scenarij 1 ili Scenarij 2) u narednom planskom razdoblju potrebno je unaprijediti postojeća i uspostaviti nova postrojenja za pripremu materijala za materijalnu i energetsku oporabu (</w:t>
      </w:r>
      <w:proofErr w:type="spellStart"/>
      <w:r w:rsidRPr="00BC189A">
        <w:t>sortirnice</w:t>
      </w:r>
      <w:proofErr w:type="spellEnd"/>
      <w:r w:rsidRPr="00BC189A">
        <w:t>), materijalnu i energetsku oporabu te zbrinjavanje otpada. Procjena razvoja tijeka komunalnog otpada izrađena je temeljem demografskih kretanja u RH, kretanja bruto društvenog proizvoda i broj stranih turističkih noćenja u RH. Procjenama je obuhvaćeno šire vremensko razdoblje od onog planiranog ovim dokumentom, kako bi se mogli prikazati i uzeti u obzir dugoročniji trendovi kao i ciljevi do 2035. godine odnosno 2040. godine.</w:t>
      </w:r>
      <w:r w:rsidR="00197065">
        <w:t xml:space="preserve"> Metodološki pristup i detaljan proračun je prikazan u poglavlju </w:t>
      </w:r>
      <w:r w:rsidR="00197065" w:rsidRPr="00CA22AD">
        <w:rPr>
          <w:b/>
          <w:bCs/>
          <w:i/>
          <w:iCs/>
        </w:rPr>
        <w:t xml:space="preserve">6.1. Osnove i pretpostavke za uspostavu i razvoj sustava oporabe i zbrinjavanja </w:t>
      </w:r>
      <w:proofErr w:type="spellStart"/>
      <w:r w:rsidR="00197065" w:rsidRPr="00CA22AD">
        <w:rPr>
          <w:b/>
          <w:bCs/>
          <w:i/>
          <w:iCs/>
        </w:rPr>
        <w:t>mKO</w:t>
      </w:r>
      <w:proofErr w:type="spellEnd"/>
      <w:r w:rsidR="00197065" w:rsidRPr="00CA22AD">
        <w:rPr>
          <w:b/>
          <w:bCs/>
          <w:i/>
          <w:iCs/>
        </w:rPr>
        <w:t>-a</w:t>
      </w:r>
      <w:r w:rsidR="00197065">
        <w:rPr>
          <w:b/>
          <w:bCs/>
          <w:i/>
          <w:iCs/>
        </w:rPr>
        <w:t>.</w:t>
      </w:r>
    </w:p>
    <w:p w14:paraId="291DAB52" w14:textId="40DE1370" w:rsidR="00DA38E4" w:rsidRPr="00835847" w:rsidRDefault="00DA38E4" w:rsidP="0018450E">
      <w:pPr>
        <w:pStyle w:val="IRNaslov3"/>
        <w:numPr>
          <w:ilvl w:val="2"/>
          <w:numId w:val="22"/>
        </w:numPr>
        <w:ind w:left="1418"/>
      </w:pPr>
      <w:bookmarkStart w:id="229" w:name="_Toc123211664"/>
      <w:r>
        <w:t xml:space="preserve">Postrojenja za sortiranje odvojeno prikupljenih suhih </w:t>
      </w:r>
      <w:proofErr w:type="spellStart"/>
      <w:r>
        <w:t>reciklata</w:t>
      </w:r>
      <w:bookmarkEnd w:id="229"/>
      <w:proofErr w:type="spellEnd"/>
      <w:r>
        <w:t xml:space="preserve"> </w:t>
      </w:r>
    </w:p>
    <w:p w14:paraId="145FEA2B" w14:textId="2B11BDE1" w:rsidR="00D52AD6" w:rsidRDefault="00D52AD6" w:rsidP="00BC189A">
      <w:r w:rsidRPr="007A3BF2">
        <w:t xml:space="preserve">Ukupni potrebni kapaciteti novih </w:t>
      </w:r>
      <w:proofErr w:type="spellStart"/>
      <w:r w:rsidRPr="00197065">
        <w:t>sortirnica</w:t>
      </w:r>
      <w:proofErr w:type="spellEnd"/>
      <w:r w:rsidRPr="007A3BF2">
        <w:t xml:space="preserve"> (ili nadograđenih postojećih pogona kojima će se povećati kapacitet ili efikasnost sortiranja) proizlaze iz postojećih kapaciteta i projekcija kretanja određenih ključnih kategorija otpada te su navedeni u tablicama i grafičkim prikazima u nastavku</w:t>
      </w:r>
      <w:r w:rsidR="00DA38E4">
        <w:t xml:space="preserve"> te ukupno iznose 763.149</w:t>
      </w:r>
      <w:r w:rsidR="006F226C">
        <w:t xml:space="preserve"> t/god</w:t>
      </w:r>
      <w:r w:rsidR="00A82100">
        <w:t xml:space="preserve"> </w:t>
      </w:r>
      <w:r w:rsidR="006F226C">
        <w:t xml:space="preserve">za Scenarij 1 koji predviđa ispunjenje ciljeva određenih </w:t>
      </w:r>
      <w:r w:rsidR="006F226C" w:rsidRPr="00197065">
        <w:t>Direktivom (EU) 2008/98/EZ i 1999/31/EZ</w:t>
      </w:r>
      <w:r w:rsidR="006F226C">
        <w:t xml:space="preserve"> </w:t>
      </w:r>
      <w:r w:rsidRPr="007A3BF2">
        <w:t>(</w:t>
      </w:r>
      <w:r w:rsidRPr="007A3BF2">
        <w:fldChar w:fldCharType="begin"/>
      </w:r>
      <w:r w:rsidRPr="007A3BF2">
        <w:instrText xml:space="preserve"> REF _Ref115435276 \h </w:instrText>
      </w:r>
      <w:r w:rsidR="007A3BF2">
        <w:instrText xml:space="preserve"> \* MERGEFORMAT </w:instrText>
      </w:r>
      <w:r w:rsidRPr="007A3BF2">
        <w:fldChar w:fldCharType="separate"/>
      </w:r>
      <w:r w:rsidR="00F37B62">
        <w:t>Tablica 32</w:t>
      </w:r>
      <w:r w:rsidRPr="007A3BF2">
        <w:fldChar w:fldCharType="end"/>
      </w:r>
      <w:r w:rsidRPr="007A3BF2">
        <w:t xml:space="preserve"> i </w:t>
      </w:r>
      <w:r w:rsidRPr="007A3BF2">
        <w:fldChar w:fldCharType="begin"/>
      </w:r>
      <w:r w:rsidRPr="007A3BF2">
        <w:instrText xml:space="preserve"> REF _Ref116284370 \h </w:instrText>
      </w:r>
      <w:r w:rsidR="007A3BF2">
        <w:instrText xml:space="preserve"> \* MERGEFORMAT </w:instrText>
      </w:r>
      <w:r w:rsidRPr="007A3BF2">
        <w:fldChar w:fldCharType="separate"/>
      </w:r>
      <w:r w:rsidR="00F37B62" w:rsidRPr="007A3BF2">
        <w:t xml:space="preserve">Slika </w:t>
      </w:r>
      <w:r w:rsidR="00F37B62">
        <w:t>63</w:t>
      </w:r>
      <w:r w:rsidRPr="007A3BF2">
        <w:fldChar w:fldCharType="end"/>
      </w:r>
      <w:r w:rsidR="006F226C">
        <w:t>)</w:t>
      </w:r>
      <w:r w:rsidRPr="007A3BF2">
        <w:t>,</w:t>
      </w:r>
      <w:r w:rsidR="006F226C">
        <w:t xml:space="preserve"> odnosno 691.401 t/god za Scenarij 2 koji predviđa odgodu ciljeva određenih </w:t>
      </w:r>
      <w:r w:rsidR="006F226C" w:rsidRPr="00197065">
        <w:t>Direktivom (EU) 2008/98/EZ i 1999/31/EZ</w:t>
      </w:r>
      <w:r w:rsidRPr="007A3BF2">
        <w:t xml:space="preserve"> </w:t>
      </w:r>
      <w:r w:rsidR="006F226C">
        <w:t>(</w:t>
      </w:r>
      <w:r w:rsidRPr="007A3BF2">
        <w:fldChar w:fldCharType="begin"/>
      </w:r>
      <w:r w:rsidRPr="007A3BF2">
        <w:instrText xml:space="preserve"> REF _Ref116284355 \h </w:instrText>
      </w:r>
      <w:r w:rsidR="007A3BF2">
        <w:instrText xml:space="preserve"> \* MERGEFORMAT </w:instrText>
      </w:r>
      <w:r w:rsidRPr="007A3BF2">
        <w:fldChar w:fldCharType="separate"/>
      </w:r>
      <w:r w:rsidR="00F37B62" w:rsidRPr="00A02E56">
        <w:t xml:space="preserve">Tablica </w:t>
      </w:r>
      <w:r w:rsidR="00F37B62">
        <w:t>33</w:t>
      </w:r>
      <w:r w:rsidRPr="007A3BF2">
        <w:fldChar w:fldCharType="end"/>
      </w:r>
      <w:r w:rsidRPr="007A3BF2">
        <w:t xml:space="preserve"> i </w:t>
      </w:r>
      <w:r w:rsidRPr="007A3BF2">
        <w:fldChar w:fldCharType="begin"/>
      </w:r>
      <w:r w:rsidRPr="007A3BF2">
        <w:instrText xml:space="preserve"> REF _Ref116284377 \h </w:instrText>
      </w:r>
      <w:r w:rsidR="007A3BF2">
        <w:instrText xml:space="preserve"> \* MERGEFORMAT </w:instrText>
      </w:r>
      <w:r w:rsidRPr="007A3BF2">
        <w:fldChar w:fldCharType="separate"/>
      </w:r>
      <w:r w:rsidR="00F37B62" w:rsidRPr="00D52AD6">
        <w:t xml:space="preserve">Slika </w:t>
      </w:r>
      <w:r w:rsidR="00F37B62">
        <w:t>64</w:t>
      </w:r>
      <w:r w:rsidRPr="007A3BF2">
        <w:fldChar w:fldCharType="end"/>
      </w:r>
      <w:r w:rsidR="006F226C">
        <w:t>)</w:t>
      </w:r>
      <w:r w:rsidRPr="007A3BF2">
        <w:t xml:space="preserve"> </w:t>
      </w:r>
    </w:p>
    <w:p w14:paraId="3E341703" w14:textId="469AB775" w:rsidR="00A52DE5" w:rsidRDefault="00A43521" w:rsidP="009173E5">
      <w:pPr>
        <w:pStyle w:val="Tablica"/>
      </w:pPr>
      <w:bookmarkStart w:id="230" w:name="_Ref115435276"/>
      <w:bookmarkStart w:id="231" w:name="_Ref116284338"/>
      <w:bookmarkStart w:id="232" w:name="_Toc125364421"/>
      <w:r>
        <w:t xml:space="preserve">Tablica </w:t>
      </w:r>
      <w:fldSimple w:instr=" SEQ Tablica \* ARABIC ">
        <w:r w:rsidR="00F37B62">
          <w:rPr>
            <w:noProof/>
          </w:rPr>
          <w:t>32</w:t>
        </w:r>
      </w:fldSimple>
      <w:bookmarkEnd w:id="230"/>
      <w:r>
        <w:t xml:space="preserve">. </w:t>
      </w:r>
      <w:r w:rsidR="00D52AD6" w:rsidRPr="004B4A81">
        <w:rPr>
          <w:b w:val="0"/>
          <w:bCs/>
        </w:rPr>
        <w:t>Ukupni potrebni kapaciteti</w:t>
      </w:r>
      <w:r w:rsidR="00D52AD6">
        <w:rPr>
          <w:b w:val="0"/>
          <w:bCs/>
        </w:rPr>
        <w:t xml:space="preserve"> </w:t>
      </w:r>
      <w:proofErr w:type="spellStart"/>
      <w:r w:rsidR="00D52AD6">
        <w:rPr>
          <w:b w:val="0"/>
          <w:bCs/>
        </w:rPr>
        <w:t>sortirnica</w:t>
      </w:r>
      <w:proofErr w:type="spellEnd"/>
      <w:r w:rsidR="00D52AD6">
        <w:rPr>
          <w:b w:val="0"/>
          <w:bCs/>
        </w:rPr>
        <w:t xml:space="preserve"> u 2028. godini – SCENARIJ 1</w:t>
      </w:r>
      <w:bookmarkEnd w:id="231"/>
      <w:bookmarkEnd w:id="232"/>
    </w:p>
    <w:tbl>
      <w:tblPr>
        <w:tblW w:w="9629" w:type="dxa"/>
        <w:tblLook w:val="04A0" w:firstRow="1" w:lastRow="0" w:firstColumn="1" w:lastColumn="0" w:noHBand="0" w:noVBand="1"/>
      </w:tblPr>
      <w:tblGrid>
        <w:gridCol w:w="1691"/>
        <w:gridCol w:w="993"/>
        <w:gridCol w:w="850"/>
        <w:gridCol w:w="1134"/>
        <w:gridCol w:w="1134"/>
        <w:gridCol w:w="1134"/>
        <w:gridCol w:w="1418"/>
        <w:gridCol w:w="1275"/>
      </w:tblGrid>
      <w:tr w:rsidR="00FE33B9" w:rsidRPr="00747CFD" w14:paraId="2E71AF29" w14:textId="5260FFE5" w:rsidTr="00BB2706">
        <w:trPr>
          <w:trHeight w:val="1350"/>
        </w:trPr>
        <w:tc>
          <w:tcPr>
            <w:tcW w:w="1691" w:type="dxa"/>
            <w:tcBorders>
              <w:top w:val="nil"/>
              <w:left w:val="single" w:sz="8" w:space="0" w:color="auto"/>
              <w:bottom w:val="nil"/>
              <w:right w:val="single" w:sz="4" w:space="0" w:color="auto"/>
            </w:tcBorders>
            <w:shd w:val="clear" w:color="auto" w:fill="002060"/>
            <w:noWrap/>
            <w:vAlign w:val="center"/>
            <w:hideMark/>
          </w:tcPr>
          <w:p w14:paraId="77D7EC55" w14:textId="77777777" w:rsidR="00AD0869" w:rsidRPr="00747CFD" w:rsidRDefault="00AD0869"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Županija</w:t>
            </w:r>
          </w:p>
        </w:tc>
        <w:tc>
          <w:tcPr>
            <w:tcW w:w="993" w:type="dxa"/>
            <w:tcBorders>
              <w:top w:val="nil"/>
              <w:left w:val="nil"/>
              <w:bottom w:val="nil"/>
              <w:right w:val="single" w:sz="4" w:space="0" w:color="auto"/>
            </w:tcBorders>
            <w:shd w:val="clear" w:color="auto" w:fill="002060"/>
            <w:vAlign w:val="center"/>
            <w:hideMark/>
          </w:tcPr>
          <w:p w14:paraId="31927AF5" w14:textId="77777777" w:rsidR="00AD0869" w:rsidRPr="00747CFD" w:rsidRDefault="00AD0869"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Udio županije u ukupno skupljenoj količini KO</w:t>
            </w:r>
          </w:p>
        </w:tc>
        <w:tc>
          <w:tcPr>
            <w:tcW w:w="850" w:type="dxa"/>
            <w:tcBorders>
              <w:top w:val="nil"/>
              <w:left w:val="nil"/>
              <w:bottom w:val="nil"/>
              <w:right w:val="single" w:sz="4" w:space="0" w:color="auto"/>
            </w:tcBorders>
            <w:shd w:val="clear" w:color="auto" w:fill="002060"/>
            <w:vAlign w:val="center"/>
            <w:hideMark/>
          </w:tcPr>
          <w:p w14:paraId="5B83C911" w14:textId="77777777" w:rsidR="00AD0869" w:rsidRPr="00747CFD" w:rsidRDefault="00AD0869"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xml:space="preserve">Ulaz u sustav obrade suhih </w:t>
            </w:r>
            <w:proofErr w:type="spellStart"/>
            <w:r w:rsidRPr="00747CFD">
              <w:rPr>
                <w:rFonts w:ascii="Calibri" w:eastAsia="Times New Roman" w:hAnsi="Calibri" w:cs="Calibri"/>
                <w:b/>
                <w:color w:val="FFFFFF" w:themeColor="background1"/>
                <w:sz w:val="16"/>
                <w:szCs w:val="16"/>
                <w:lang w:eastAsia="hr-HR"/>
              </w:rPr>
              <w:t>reciklata</w:t>
            </w:r>
            <w:proofErr w:type="spellEnd"/>
            <w:r w:rsidRPr="00747CFD">
              <w:rPr>
                <w:rFonts w:ascii="Calibri" w:eastAsia="Times New Roman" w:hAnsi="Calibri" w:cs="Calibri"/>
                <w:b/>
                <w:color w:val="FFFFFF" w:themeColor="background1"/>
                <w:sz w:val="16"/>
                <w:szCs w:val="16"/>
                <w:lang w:eastAsia="hr-HR"/>
              </w:rPr>
              <w:br/>
              <w:t>(t/god)</w:t>
            </w:r>
          </w:p>
        </w:tc>
        <w:tc>
          <w:tcPr>
            <w:tcW w:w="1134" w:type="dxa"/>
            <w:tcBorders>
              <w:top w:val="nil"/>
              <w:left w:val="nil"/>
              <w:bottom w:val="nil"/>
              <w:right w:val="single" w:sz="4" w:space="0" w:color="auto"/>
            </w:tcBorders>
            <w:shd w:val="clear" w:color="auto" w:fill="002060"/>
            <w:vAlign w:val="center"/>
            <w:hideMark/>
          </w:tcPr>
          <w:p w14:paraId="69C576A0" w14:textId="77777777" w:rsidR="00AD0869" w:rsidRPr="00747CFD" w:rsidRDefault="00AD0869"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xml:space="preserve">Ukupni potrebni kapacitet </w:t>
            </w:r>
            <w:proofErr w:type="spellStart"/>
            <w:r w:rsidRPr="00747CFD">
              <w:rPr>
                <w:rFonts w:ascii="Calibri" w:eastAsia="Times New Roman" w:hAnsi="Calibri" w:cs="Calibri"/>
                <w:b/>
                <w:color w:val="FFFFFF" w:themeColor="background1"/>
                <w:sz w:val="16"/>
                <w:szCs w:val="16"/>
                <w:lang w:eastAsia="hr-HR"/>
              </w:rPr>
              <w:t>sortirnica</w:t>
            </w:r>
            <w:proofErr w:type="spellEnd"/>
            <w:r w:rsidRPr="00747CFD">
              <w:rPr>
                <w:rFonts w:ascii="Calibri" w:eastAsia="Times New Roman" w:hAnsi="Calibri" w:cs="Calibri"/>
                <w:b/>
                <w:color w:val="FFFFFF" w:themeColor="background1"/>
                <w:sz w:val="16"/>
                <w:szCs w:val="16"/>
                <w:lang w:eastAsia="hr-HR"/>
              </w:rPr>
              <w:t xml:space="preserve"> za obradu suhih </w:t>
            </w:r>
            <w:proofErr w:type="spellStart"/>
            <w:r w:rsidRPr="00747CFD">
              <w:rPr>
                <w:rFonts w:ascii="Calibri" w:eastAsia="Times New Roman" w:hAnsi="Calibri" w:cs="Calibri"/>
                <w:b/>
                <w:color w:val="FFFFFF" w:themeColor="background1"/>
                <w:sz w:val="16"/>
                <w:szCs w:val="16"/>
                <w:lang w:eastAsia="hr-HR"/>
              </w:rPr>
              <w:t>reciklata</w:t>
            </w:r>
            <w:proofErr w:type="spellEnd"/>
            <w:r w:rsidRPr="00747CFD">
              <w:rPr>
                <w:rFonts w:ascii="Calibri" w:eastAsia="Times New Roman" w:hAnsi="Calibri" w:cs="Calibri"/>
                <w:b/>
                <w:color w:val="FFFFFF" w:themeColor="background1"/>
                <w:sz w:val="16"/>
                <w:szCs w:val="16"/>
                <w:lang w:eastAsia="hr-HR"/>
              </w:rPr>
              <w:br/>
              <w:t>(t/god)</w:t>
            </w:r>
          </w:p>
        </w:tc>
        <w:tc>
          <w:tcPr>
            <w:tcW w:w="1134" w:type="dxa"/>
            <w:tcBorders>
              <w:top w:val="nil"/>
              <w:left w:val="nil"/>
              <w:bottom w:val="nil"/>
              <w:right w:val="single" w:sz="4" w:space="0" w:color="auto"/>
            </w:tcBorders>
            <w:shd w:val="clear" w:color="auto" w:fill="002060"/>
            <w:vAlign w:val="center"/>
            <w:hideMark/>
          </w:tcPr>
          <w:p w14:paraId="5764D614" w14:textId="77777777" w:rsidR="00AD0869" w:rsidRPr="00747CFD" w:rsidRDefault="00AD0869"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xml:space="preserve">Kapacitet postojećih </w:t>
            </w:r>
            <w:proofErr w:type="spellStart"/>
            <w:r w:rsidRPr="00747CFD">
              <w:rPr>
                <w:rFonts w:ascii="Calibri" w:eastAsia="Times New Roman" w:hAnsi="Calibri" w:cs="Calibri"/>
                <w:b/>
                <w:color w:val="FFFFFF" w:themeColor="background1"/>
                <w:sz w:val="16"/>
                <w:szCs w:val="16"/>
                <w:lang w:eastAsia="hr-HR"/>
              </w:rPr>
              <w:t>sortirnica</w:t>
            </w:r>
            <w:proofErr w:type="spellEnd"/>
            <w:r w:rsidRPr="00747CFD">
              <w:rPr>
                <w:rFonts w:ascii="Calibri" w:eastAsia="Times New Roman" w:hAnsi="Calibri" w:cs="Calibri"/>
                <w:b/>
                <w:color w:val="FFFFFF" w:themeColor="background1"/>
                <w:sz w:val="16"/>
                <w:szCs w:val="16"/>
                <w:lang w:eastAsia="hr-HR"/>
              </w:rPr>
              <w:t xml:space="preserve"> za obradu suhih </w:t>
            </w:r>
            <w:proofErr w:type="spellStart"/>
            <w:r w:rsidRPr="00747CFD">
              <w:rPr>
                <w:rFonts w:ascii="Calibri" w:eastAsia="Times New Roman" w:hAnsi="Calibri" w:cs="Calibri"/>
                <w:b/>
                <w:color w:val="FFFFFF" w:themeColor="background1"/>
                <w:sz w:val="16"/>
                <w:szCs w:val="16"/>
                <w:lang w:eastAsia="hr-HR"/>
              </w:rPr>
              <w:t>reciklata</w:t>
            </w:r>
            <w:proofErr w:type="spellEnd"/>
            <w:r w:rsidRPr="00747CFD">
              <w:rPr>
                <w:rFonts w:ascii="Calibri" w:eastAsia="Times New Roman" w:hAnsi="Calibri" w:cs="Calibri"/>
                <w:b/>
                <w:color w:val="FFFFFF" w:themeColor="background1"/>
                <w:sz w:val="16"/>
                <w:szCs w:val="16"/>
                <w:lang w:eastAsia="hr-HR"/>
              </w:rPr>
              <w:t xml:space="preserve"> (R12)</w:t>
            </w:r>
            <w:r w:rsidRPr="00747CFD">
              <w:rPr>
                <w:rFonts w:ascii="Calibri" w:eastAsia="Times New Roman" w:hAnsi="Calibri" w:cs="Calibri"/>
                <w:b/>
                <w:color w:val="FFFFFF" w:themeColor="background1"/>
                <w:sz w:val="16"/>
                <w:szCs w:val="16"/>
                <w:lang w:eastAsia="hr-HR"/>
              </w:rPr>
              <w:br/>
              <w:t>(t/god)</w:t>
            </w:r>
          </w:p>
        </w:tc>
        <w:tc>
          <w:tcPr>
            <w:tcW w:w="1134" w:type="dxa"/>
            <w:tcBorders>
              <w:top w:val="nil"/>
              <w:left w:val="nil"/>
              <w:bottom w:val="nil"/>
              <w:right w:val="single" w:sz="4" w:space="0" w:color="auto"/>
            </w:tcBorders>
            <w:shd w:val="clear" w:color="auto" w:fill="002060"/>
            <w:vAlign w:val="center"/>
            <w:hideMark/>
          </w:tcPr>
          <w:p w14:paraId="5275A411" w14:textId="77777777" w:rsidR="00AD0869" w:rsidRPr="00747CFD" w:rsidRDefault="00AD0869"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xml:space="preserve">Potrebni dodatni kapacitet </w:t>
            </w:r>
            <w:proofErr w:type="spellStart"/>
            <w:r w:rsidRPr="00747CFD">
              <w:rPr>
                <w:rFonts w:ascii="Calibri" w:eastAsia="Times New Roman" w:hAnsi="Calibri" w:cs="Calibri"/>
                <w:b/>
                <w:color w:val="FFFFFF" w:themeColor="background1"/>
                <w:sz w:val="16"/>
                <w:szCs w:val="16"/>
                <w:lang w:eastAsia="hr-HR"/>
              </w:rPr>
              <w:t>sortirnica</w:t>
            </w:r>
            <w:proofErr w:type="spellEnd"/>
            <w:r w:rsidRPr="00747CFD">
              <w:rPr>
                <w:rFonts w:ascii="Calibri" w:eastAsia="Times New Roman" w:hAnsi="Calibri" w:cs="Calibri"/>
                <w:b/>
                <w:color w:val="FFFFFF" w:themeColor="background1"/>
                <w:sz w:val="16"/>
                <w:szCs w:val="16"/>
                <w:lang w:eastAsia="hr-HR"/>
              </w:rPr>
              <w:t xml:space="preserve"> za obradu suhih </w:t>
            </w:r>
            <w:proofErr w:type="spellStart"/>
            <w:r w:rsidRPr="00747CFD">
              <w:rPr>
                <w:rFonts w:ascii="Calibri" w:eastAsia="Times New Roman" w:hAnsi="Calibri" w:cs="Calibri"/>
                <w:b/>
                <w:color w:val="FFFFFF" w:themeColor="background1"/>
                <w:sz w:val="16"/>
                <w:szCs w:val="16"/>
                <w:lang w:eastAsia="hr-HR"/>
              </w:rPr>
              <w:t>reciklata</w:t>
            </w:r>
            <w:proofErr w:type="spellEnd"/>
            <w:r w:rsidRPr="00747CFD">
              <w:rPr>
                <w:rFonts w:ascii="Calibri" w:eastAsia="Times New Roman" w:hAnsi="Calibri" w:cs="Calibri"/>
                <w:b/>
                <w:color w:val="FFFFFF" w:themeColor="background1"/>
                <w:sz w:val="16"/>
                <w:szCs w:val="16"/>
                <w:lang w:eastAsia="hr-HR"/>
              </w:rPr>
              <w:br/>
              <w:t>(t/god)</w:t>
            </w:r>
          </w:p>
        </w:tc>
        <w:tc>
          <w:tcPr>
            <w:tcW w:w="1418" w:type="dxa"/>
            <w:tcBorders>
              <w:top w:val="nil"/>
              <w:left w:val="nil"/>
              <w:bottom w:val="nil"/>
              <w:right w:val="single" w:sz="8" w:space="0" w:color="auto"/>
            </w:tcBorders>
            <w:shd w:val="clear" w:color="auto" w:fill="002060"/>
            <w:vAlign w:val="center"/>
            <w:hideMark/>
          </w:tcPr>
          <w:p w14:paraId="0624021C" w14:textId="1A83F74A" w:rsidR="00AD0869" w:rsidRPr="00747CFD" w:rsidRDefault="00AD0869"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xml:space="preserve">Procjena troškova izgradnje novih </w:t>
            </w:r>
            <w:proofErr w:type="spellStart"/>
            <w:r w:rsidRPr="00747CFD">
              <w:rPr>
                <w:rFonts w:ascii="Calibri" w:eastAsia="Times New Roman" w:hAnsi="Calibri" w:cs="Calibri"/>
                <w:b/>
                <w:color w:val="FFFFFF" w:themeColor="background1"/>
                <w:sz w:val="16"/>
                <w:szCs w:val="16"/>
                <w:lang w:eastAsia="hr-HR"/>
              </w:rPr>
              <w:t>sortirnica</w:t>
            </w:r>
            <w:proofErr w:type="spellEnd"/>
            <w:r w:rsidR="00FE33B9">
              <w:rPr>
                <w:rFonts w:ascii="Calibri" w:eastAsia="Times New Roman" w:hAnsi="Calibri" w:cs="Calibri"/>
                <w:b/>
                <w:color w:val="FFFFFF" w:themeColor="background1"/>
                <w:sz w:val="16"/>
                <w:szCs w:val="16"/>
                <w:lang w:eastAsia="hr-HR"/>
              </w:rPr>
              <w:br/>
              <w:t>(kn)</w:t>
            </w:r>
          </w:p>
        </w:tc>
        <w:tc>
          <w:tcPr>
            <w:tcW w:w="1275" w:type="dxa"/>
            <w:tcBorders>
              <w:top w:val="nil"/>
              <w:left w:val="nil"/>
              <w:bottom w:val="nil"/>
              <w:right w:val="single" w:sz="8" w:space="0" w:color="auto"/>
            </w:tcBorders>
            <w:shd w:val="clear" w:color="auto" w:fill="002060"/>
            <w:vAlign w:val="center"/>
          </w:tcPr>
          <w:p w14:paraId="6E45C7A9" w14:textId="212C91BC" w:rsidR="00AD0869" w:rsidRPr="00747CFD" w:rsidRDefault="00FE33B9" w:rsidP="00FE33B9">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xml:space="preserve">Procjena troškova izgradnje novih </w:t>
            </w:r>
            <w:proofErr w:type="spellStart"/>
            <w:r w:rsidRPr="00747CFD">
              <w:rPr>
                <w:rFonts w:ascii="Calibri" w:eastAsia="Times New Roman" w:hAnsi="Calibri" w:cs="Calibri"/>
                <w:b/>
                <w:color w:val="FFFFFF" w:themeColor="background1"/>
                <w:sz w:val="16"/>
                <w:szCs w:val="16"/>
                <w:lang w:eastAsia="hr-HR"/>
              </w:rPr>
              <w:t>sortirnica</w:t>
            </w:r>
            <w:proofErr w:type="spellEnd"/>
            <w:r>
              <w:rPr>
                <w:rFonts w:ascii="Calibri" w:eastAsia="Times New Roman" w:hAnsi="Calibri" w:cs="Calibri"/>
                <w:b/>
                <w:color w:val="FFFFFF" w:themeColor="background1"/>
                <w:sz w:val="16"/>
                <w:szCs w:val="16"/>
                <w:lang w:eastAsia="hr-HR"/>
              </w:rPr>
              <w:br/>
              <w:t>(EUR)</w:t>
            </w:r>
          </w:p>
        </w:tc>
      </w:tr>
      <w:tr w:rsidR="00FE33B9" w:rsidRPr="00747CFD" w14:paraId="3E4E8154" w14:textId="06098593" w:rsidTr="00A82100">
        <w:trPr>
          <w:trHeight w:val="170"/>
        </w:trPr>
        <w:tc>
          <w:tcPr>
            <w:tcW w:w="169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A597A34"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Bjelovarsko-bilogorska</w:t>
            </w:r>
          </w:p>
        </w:tc>
        <w:tc>
          <w:tcPr>
            <w:tcW w:w="993" w:type="dxa"/>
            <w:tcBorders>
              <w:top w:val="single" w:sz="8" w:space="0" w:color="auto"/>
              <w:left w:val="nil"/>
              <w:bottom w:val="single" w:sz="4" w:space="0" w:color="auto"/>
              <w:right w:val="single" w:sz="4" w:space="0" w:color="auto"/>
            </w:tcBorders>
            <w:shd w:val="clear" w:color="auto" w:fill="auto"/>
            <w:noWrap/>
            <w:vAlign w:val="center"/>
            <w:hideMark/>
          </w:tcPr>
          <w:p w14:paraId="35B21394"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w:t>
            </w:r>
          </w:p>
        </w:tc>
        <w:tc>
          <w:tcPr>
            <w:tcW w:w="85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BA5E3D2"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763.149</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7621949A"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12.182</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014EC352"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2.100</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45A7DF81"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10.082</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14:paraId="543632FA" w14:textId="766007BA"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35.285.332 </w:t>
            </w:r>
          </w:p>
        </w:tc>
        <w:tc>
          <w:tcPr>
            <w:tcW w:w="1275" w:type="dxa"/>
            <w:tcBorders>
              <w:top w:val="single" w:sz="8" w:space="0" w:color="auto"/>
              <w:left w:val="nil"/>
              <w:bottom w:val="single" w:sz="4" w:space="0" w:color="auto"/>
              <w:right w:val="single" w:sz="8" w:space="0" w:color="auto"/>
            </w:tcBorders>
            <w:vAlign w:val="center"/>
          </w:tcPr>
          <w:p w14:paraId="36561086" w14:textId="5095347B"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4.683.168,36</w:t>
            </w:r>
          </w:p>
        </w:tc>
      </w:tr>
      <w:tr w:rsidR="00FE33B9" w:rsidRPr="00747CFD" w14:paraId="68F164B7" w14:textId="1EC4C065"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64C44B8E"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Brodsko-posavska</w:t>
            </w:r>
          </w:p>
        </w:tc>
        <w:tc>
          <w:tcPr>
            <w:tcW w:w="993" w:type="dxa"/>
            <w:tcBorders>
              <w:top w:val="nil"/>
              <w:left w:val="nil"/>
              <w:bottom w:val="single" w:sz="4" w:space="0" w:color="auto"/>
              <w:right w:val="single" w:sz="4" w:space="0" w:color="auto"/>
            </w:tcBorders>
            <w:shd w:val="clear" w:color="auto" w:fill="auto"/>
            <w:noWrap/>
            <w:vAlign w:val="center"/>
            <w:hideMark/>
          </w:tcPr>
          <w:p w14:paraId="599370D5"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2,0%</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085C8AF3"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614B5182"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15.617</w:t>
            </w:r>
          </w:p>
        </w:tc>
        <w:tc>
          <w:tcPr>
            <w:tcW w:w="1134" w:type="dxa"/>
            <w:tcBorders>
              <w:top w:val="nil"/>
              <w:left w:val="nil"/>
              <w:bottom w:val="single" w:sz="4" w:space="0" w:color="auto"/>
              <w:right w:val="single" w:sz="4" w:space="0" w:color="auto"/>
            </w:tcBorders>
            <w:shd w:val="clear" w:color="auto" w:fill="auto"/>
            <w:noWrap/>
            <w:vAlign w:val="center"/>
            <w:hideMark/>
          </w:tcPr>
          <w:p w14:paraId="2182E223"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tcBorders>
              <w:top w:val="nil"/>
              <w:left w:val="nil"/>
              <w:bottom w:val="single" w:sz="4" w:space="0" w:color="auto"/>
              <w:right w:val="single" w:sz="4" w:space="0" w:color="auto"/>
            </w:tcBorders>
            <w:shd w:val="clear" w:color="auto" w:fill="auto"/>
            <w:noWrap/>
            <w:vAlign w:val="center"/>
            <w:hideMark/>
          </w:tcPr>
          <w:p w14:paraId="352A207F"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15.617</w:t>
            </w:r>
          </w:p>
        </w:tc>
        <w:tc>
          <w:tcPr>
            <w:tcW w:w="1418" w:type="dxa"/>
            <w:tcBorders>
              <w:top w:val="nil"/>
              <w:left w:val="nil"/>
              <w:bottom w:val="single" w:sz="4" w:space="0" w:color="auto"/>
              <w:right w:val="single" w:sz="8" w:space="0" w:color="auto"/>
            </w:tcBorders>
            <w:shd w:val="clear" w:color="auto" w:fill="auto"/>
            <w:noWrap/>
            <w:vAlign w:val="center"/>
            <w:hideMark/>
          </w:tcPr>
          <w:p w14:paraId="2C2D826D" w14:textId="5D15598A"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54.661.020 </w:t>
            </w:r>
          </w:p>
        </w:tc>
        <w:tc>
          <w:tcPr>
            <w:tcW w:w="1275" w:type="dxa"/>
            <w:tcBorders>
              <w:top w:val="nil"/>
              <w:left w:val="nil"/>
              <w:bottom w:val="single" w:sz="4" w:space="0" w:color="auto"/>
              <w:right w:val="single" w:sz="8" w:space="0" w:color="auto"/>
            </w:tcBorders>
            <w:vAlign w:val="center"/>
          </w:tcPr>
          <w:p w14:paraId="7D15A2C0" w14:textId="311640D4"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7.254.764,09</w:t>
            </w:r>
          </w:p>
        </w:tc>
      </w:tr>
      <w:tr w:rsidR="00FE33B9" w:rsidRPr="00747CFD" w14:paraId="57E80699" w14:textId="4211AB91"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0FB1A783"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Dubrovačko-neretvanska</w:t>
            </w:r>
          </w:p>
        </w:tc>
        <w:tc>
          <w:tcPr>
            <w:tcW w:w="993" w:type="dxa"/>
            <w:tcBorders>
              <w:top w:val="nil"/>
              <w:left w:val="nil"/>
              <w:bottom w:val="single" w:sz="4" w:space="0" w:color="auto"/>
              <w:right w:val="single" w:sz="4" w:space="0" w:color="auto"/>
            </w:tcBorders>
            <w:shd w:val="clear" w:color="auto" w:fill="auto"/>
            <w:noWrap/>
            <w:vAlign w:val="center"/>
            <w:hideMark/>
          </w:tcPr>
          <w:p w14:paraId="2D73F6B3"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3,9%</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54CC0E03"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334272E4"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29.775</w:t>
            </w:r>
          </w:p>
        </w:tc>
        <w:tc>
          <w:tcPr>
            <w:tcW w:w="1134" w:type="dxa"/>
            <w:tcBorders>
              <w:top w:val="nil"/>
              <w:left w:val="nil"/>
              <w:bottom w:val="single" w:sz="4" w:space="0" w:color="auto"/>
              <w:right w:val="single" w:sz="4" w:space="0" w:color="auto"/>
            </w:tcBorders>
            <w:shd w:val="clear" w:color="auto" w:fill="auto"/>
            <w:noWrap/>
            <w:vAlign w:val="center"/>
            <w:hideMark/>
          </w:tcPr>
          <w:p w14:paraId="173E5A97"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2.900</w:t>
            </w:r>
          </w:p>
        </w:tc>
        <w:tc>
          <w:tcPr>
            <w:tcW w:w="1134" w:type="dxa"/>
            <w:tcBorders>
              <w:top w:val="nil"/>
              <w:left w:val="nil"/>
              <w:bottom w:val="single" w:sz="4" w:space="0" w:color="auto"/>
              <w:right w:val="single" w:sz="4" w:space="0" w:color="auto"/>
            </w:tcBorders>
            <w:shd w:val="clear" w:color="auto" w:fill="auto"/>
            <w:noWrap/>
            <w:vAlign w:val="center"/>
            <w:hideMark/>
          </w:tcPr>
          <w:p w14:paraId="4E260A74"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26.875</w:t>
            </w:r>
          </w:p>
        </w:tc>
        <w:tc>
          <w:tcPr>
            <w:tcW w:w="1418" w:type="dxa"/>
            <w:tcBorders>
              <w:top w:val="nil"/>
              <w:left w:val="nil"/>
              <w:bottom w:val="single" w:sz="4" w:space="0" w:color="auto"/>
              <w:right w:val="single" w:sz="8" w:space="0" w:color="auto"/>
            </w:tcBorders>
            <w:shd w:val="clear" w:color="auto" w:fill="auto"/>
            <w:noWrap/>
            <w:vAlign w:val="center"/>
            <w:hideMark/>
          </w:tcPr>
          <w:p w14:paraId="246BD571" w14:textId="1718DD6D"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94.063.975 </w:t>
            </w:r>
          </w:p>
        </w:tc>
        <w:tc>
          <w:tcPr>
            <w:tcW w:w="1275" w:type="dxa"/>
            <w:tcBorders>
              <w:top w:val="nil"/>
              <w:left w:val="nil"/>
              <w:bottom w:val="single" w:sz="4" w:space="0" w:color="auto"/>
              <w:right w:val="single" w:sz="8" w:space="0" w:color="auto"/>
            </w:tcBorders>
            <w:vAlign w:val="center"/>
          </w:tcPr>
          <w:p w14:paraId="3AEFB16B" w14:textId="070B3957"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12.484.434,93</w:t>
            </w:r>
          </w:p>
        </w:tc>
      </w:tr>
      <w:tr w:rsidR="00FE33B9" w:rsidRPr="00747CFD" w14:paraId="048B37DB" w14:textId="18762440"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7B51FE69"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Grad Zagreb</w:t>
            </w:r>
          </w:p>
        </w:tc>
        <w:tc>
          <w:tcPr>
            <w:tcW w:w="993" w:type="dxa"/>
            <w:tcBorders>
              <w:top w:val="nil"/>
              <w:left w:val="nil"/>
              <w:bottom w:val="single" w:sz="4" w:space="0" w:color="auto"/>
              <w:right w:val="single" w:sz="4" w:space="0" w:color="auto"/>
            </w:tcBorders>
            <w:shd w:val="clear" w:color="auto" w:fill="auto"/>
            <w:noWrap/>
            <w:vAlign w:val="center"/>
            <w:hideMark/>
          </w:tcPr>
          <w:p w14:paraId="1399F264"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19,8%</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13F49DB4"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2A52BEC9"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150.724</w:t>
            </w:r>
          </w:p>
        </w:tc>
        <w:tc>
          <w:tcPr>
            <w:tcW w:w="1134" w:type="dxa"/>
            <w:tcBorders>
              <w:top w:val="nil"/>
              <w:left w:val="nil"/>
              <w:bottom w:val="single" w:sz="4" w:space="0" w:color="auto"/>
              <w:right w:val="single" w:sz="4" w:space="0" w:color="auto"/>
            </w:tcBorders>
            <w:shd w:val="clear" w:color="auto" w:fill="auto"/>
            <w:noWrap/>
            <w:vAlign w:val="center"/>
            <w:hideMark/>
          </w:tcPr>
          <w:p w14:paraId="436DE7EE"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62.900</w:t>
            </w:r>
          </w:p>
        </w:tc>
        <w:tc>
          <w:tcPr>
            <w:tcW w:w="1134" w:type="dxa"/>
            <w:tcBorders>
              <w:top w:val="nil"/>
              <w:left w:val="nil"/>
              <w:bottom w:val="single" w:sz="4" w:space="0" w:color="auto"/>
              <w:right w:val="single" w:sz="4" w:space="0" w:color="auto"/>
            </w:tcBorders>
            <w:shd w:val="clear" w:color="auto" w:fill="auto"/>
            <w:noWrap/>
            <w:vAlign w:val="center"/>
            <w:hideMark/>
          </w:tcPr>
          <w:p w14:paraId="6A67772A"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87.824</w:t>
            </w:r>
          </w:p>
        </w:tc>
        <w:tc>
          <w:tcPr>
            <w:tcW w:w="1418" w:type="dxa"/>
            <w:tcBorders>
              <w:top w:val="nil"/>
              <w:left w:val="nil"/>
              <w:bottom w:val="single" w:sz="4" w:space="0" w:color="auto"/>
              <w:right w:val="single" w:sz="8" w:space="0" w:color="auto"/>
            </w:tcBorders>
            <w:shd w:val="clear" w:color="auto" w:fill="auto"/>
            <w:noWrap/>
            <w:vAlign w:val="center"/>
            <w:hideMark/>
          </w:tcPr>
          <w:p w14:paraId="1E538111" w14:textId="2FF34D5B"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307.382.444 </w:t>
            </w:r>
          </w:p>
        </w:tc>
        <w:tc>
          <w:tcPr>
            <w:tcW w:w="1275" w:type="dxa"/>
            <w:tcBorders>
              <w:top w:val="nil"/>
              <w:left w:val="nil"/>
              <w:bottom w:val="single" w:sz="4" w:space="0" w:color="auto"/>
              <w:right w:val="single" w:sz="8" w:space="0" w:color="auto"/>
            </w:tcBorders>
            <w:vAlign w:val="center"/>
          </w:tcPr>
          <w:p w14:paraId="07595E94" w14:textId="54A36C3C"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40.796.661,23</w:t>
            </w:r>
          </w:p>
        </w:tc>
      </w:tr>
      <w:tr w:rsidR="00FE33B9" w:rsidRPr="00747CFD" w14:paraId="647D8A10" w14:textId="0A8E1781"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6BEA7564"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Istarska </w:t>
            </w:r>
          </w:p>
        </w:tc>
        <w:tc>
          <w:tcPr>
            <w:tcW w:w="993" w:type="dxa"/>
            <w:tcBorders>
              <w:top w:val="nil"/>
              <w:left w:val="nil"/>
              <w:bottom w:val="single" w:sz="4" w:space="0" w:color="auto"/>
              <w:right w:val="single" w:sz="4" w:space="0" w:color="auto"/>
            </w:tcBorders>
            <w:shd w:val="clear" w:color="auto" w:fill="auto"/>
            <w:noWrap/>
            <w:vAlign w:val="center"/>
            <w:hideMark/>
          </w:tcPr>
          <w:p w14:paraId="1CA67D4F"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7,5%</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3A21FC77"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44DF46FC"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56.867</w:t>
            </w:r>
          </w:p>
        </w:tc>
        <w:tc>
          <w:tcPr>
            <w:tcW w:w="1134" w:type="dxa"/>
            <w:tcBorders>
              <w:top w:val="nil"/>
              <w:left w:val="nil"/>
              <w:bottom w:val="single" w:sz="4" w:space="0" w:color="auto"/>
              <w:right w:val="single" w:sz="4" w:space="0" w:color="auto"/>
            </w:tcBorders>
            <w:shd w:val="clear" w:color="auto" w:fill="auto"/>
            <w:noWrap/>
            <w:vAlign w:val="center"/>
            <w:hideMark/>
          </w:tcPr>
          <w:p w14:paraId="44B2FEA6"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tcBorders>
              <w:top w:val="nil"/>
              <w:left w:val="nil"/>
              <w:bottom w:val="single" w:sz="4" w:space="0" w:color="auto"/>
              <w:right w:val="single" w:sz="4" w:space="0" w:color="auto"/>
            </w:tcBorders>
            <w:shd w:val="clear" w:color="auto" w:fill="auto"/>
            <w:noWrap/>
            <w:vAlign w:val="center"/>
            <w:hideMark/>
          </w:tcPr>
          <w:p w14:paraId="21DFFCA0"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56.867</w:t>
            </w:r>
          </w:p>
        </w:tc>
        <w:tc>
          <w:tcPr>
            <w:tcW w:w="1418" w:type="dxa"/>
            <w:tcBorders>
              <w:top w:val="nil"/>
              <w:left w:val="nil"/>
              <w:bottom w:val="single" w:sz="4" w:space="0" w:color="auto"/>
              <w:right w:val="single" w:sz="8" w:space="0" w:color="auto"/>
            </w:tcBorders>
            <w:shd w:val="clear" w:color="auto" w:fill="auto"/>
            <w:noWrap/>
            <w:vAlign w:val="center"/>
            <w:hideMark/>
          </w:tcPr>
          <w:p w14:paraId="28EB4331" w14:textId="23EB5CB9"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199.034.559 </w:t>
            </w:r>
          </w:p>
        </w:tc>
        <w:tc>
          <w:tcPr>
            <w:tcW w:w="1275" w:type="dxa"/>
            <w:tcBorders>
              <w:top w:val="nil"/>
              <w:left w:val="nil"/>
              <w:bottom w:val="single" w:sz="4" w:space="0" w:color="auto"/>
              <w:right w:val="single" w:sz="8" w:space="0" w:color="auto"/>
            </w:tcBorders>
            <w:vAlign w:val="center"/>
          </w:tcPr>
          <w:p w14:paraId="08286B23" w14:textId="1C7C2B64"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26.416.425,64</w:t>
            </w:r>
          </w:p>
        </w:tc>
      </w:tr>
      <w:tr w:rsidR="00FE33B9" w:rsidRPr="00747CFD" w14:paraId="2D130BE4" w14:textId="11A2C4D5"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3F266ACB"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Karlovačka </w:t>
            </w:r>
          </w:p>
        </w:tc>
        <w:tc>
          <w:tcPr>
            <w:tcW w:w="993" w:type="dxa"/>
            <w:tcBorders>
              <w:top w:val="nil"/>
              <w:left w:val="nil"/>
              <w:bottom w:val="single" w:sz="4" w:space="0" w:color="auto"/>
              <w:right w:val="single" w:sz="4" w:space="0" w:color="auto"/>
            </w:tcBorders>
            <w:shd w:val="clear" w:color="auto" w:fill="auto"/>
            <w:noWrap/>
            <w:vAlign w:val="center"/>
            <w:hideMark/>
          </w:tcPr>
          <w:p w14:paraId="3FDBC590"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2,5%</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6D36FAA7"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713AD499"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18.823</w:t>
            </w:r>
          </w:p>
        </w:tc>
        <w:tc>
          <w:tcPr>
            <w:tcW w:w="1134" w:type="dxa"/>
            <w:tcBorders>
              <w:top w:val="nil"/>
              <w:left w:val="nil"/>
              <w:bottom w:val="single" w:sz="4" w:space="0" w:color="auto"/>
              <w:right w:val="single" w:sz="4" w:space="0" w:color="auto"/>
            </w:tcBorders>
            <w:shd w:val="clear" w:color="auto" w:fill="auto"/>
            <w:noWrap/>
            <w:vAlign w:val="center"/>
            <w:hideMark/>
          </w:tcPr>
          <w:p w14:paraId="78FADC34"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9.100</w:t>
            </w:r>
          </w:p>
        </w:tc>
        <w:tc>
          <w:tcPr>
            <w:tcW w:w="1134" w:type="dxa"/>
            <w:tcBorders>
              <w:top w:val="nil"/>
              <w:left w:val="nil"/>
              <w:bottom w:val="single" w:sz="4" w:space="0" w:color="auto"/>
              <w:right w:val="single" w:sz="4" w:space="0" w:color="auto"/>
            </w:tcBorders>
            <w:shd w:val="clear" w:color="auto" w:fill="auto"/>
            <w:noWrap/>
            <w:vAlign w:val="center"/>
            <w:hideMark/>
          </w:tcPr>
          <w:p w14:paraId="4ADEA303"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9.723</w:t>
            </w:r>
          </w:p>
        </w:tc>
        <w:tc>
          <w:tcPr>
            <w:tcW w:w="1418" w:type="dxa"/>
            <w:tcBorders>
              <w:top w:val="nil"/>
              <w:left w:val="nil"/>
              <w:bottom w:val="single" w:sz="4" w:space="0" w:color="auto"/>
              <w:right w:val="single" w:sz="8" w:space="0" w:color="auto"/>
            </w:tcBorders>
            <w:shd w:val="clear" w:color="auto" w:fill="auto"/>
            <w:noWrap/>
            <w:vAlign w:val="center"/>
            <w:hideMark/>
          </w:tcPr>
          <w:p w14:paraId="5A208820" w14:textId="1750F5AF"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34.031.498 </w:t>
            </w:r>
          </w:p>
        </w:tc>
        <w:tc>
          <w:tcPr>
            <w:tcW w:w="1275" w:type="dxa"/>
            <w:tcBorders>
              <w:top w:val="nil"/>
              <w:left w:val="nil"/>
              <w:bottom w:val="single" w:sz="4" w:space="0" w:color="auto"/>
              <w:right w:val="single" w:sz="8" w:space="0" w:color="auto"/>
            </w:tcBorders>
            <w:vAlign w:val="center"/>
          </w:tcPr>
          <w:p w14:paraId="2C65CBD0" w14:textId="62995CE3"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4.516.755,99</w:t>
            </w:r>
          </w:p>
        </w:tc>
      </w:tr>
      <w:tr w:rsidR="00FE33B9" w:rsidRPr="00747CFD" w14:paraId="3093C6F2" w14:textId="5848B963"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4EBC029E"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Koprivničko-križevačka</w:t>
            </w:r>
          </w:p>
        </w:tc>
        <w:tc>
          <w:tcPr>
            <w:tcW w:w="993" w:type="dxa"/>
            <w:tcBorders>
              <w:top w:val="nil"/>
              <w:left w:val="nil"/>
              <w:bottom w:val="single" w:sz="4" w:space="0" w:color="auto"/>
              <w:right w:val="single" w:sz="4" w:space="0" w:color="auto"/>
            </w:tcBorders>
            <w:shd w:val="clear" w:color="auto" w:fill="auto"/>
            <w:noWrap/>
            <w:vAlign w:val="center"/>
            <w:hideMark/>
          </w:tcPr>
          <w:p w14:paraId="1DBD4A9B"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01E3E2AC"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1E7B831B"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13.094</w:t>
            </w:r>
          </w:p>
        </w:tc>
        <w:tc>
          <w:tcPr>
            <w:tcW w:w="1134" w:type="dxa"/>
            <w:tcBorders>
              <w:top w:val="nil"/>
              <w:left w:val="nil"/>
              <w:bottom w:val="single" w:sz="4" w:space="0" w:color="auto"/>
              <w:right w:val="single" w:sz="4" w:space="0" w:color="auto"/>
            </w:tcBorders>
            <w:shd w:val="clear" w:color="auto" w:fill="auto"/>
            <w:noWrap/>
            <w:vAlign w:val="center"/>
            <w:hideMark/>
          </w:tcPr>
          <w:p w14:paraId="03615325"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3.120</w:t>
            </w:r>
          </w:p>
        </w:tc>
        <w:tc>
          <w:tcPr>
            <w:tcW w:w="1134" w:type="dxa"/>
            <w:tcBorders>
              <w:top w:val="nil"/>
              <w:left w:val="nil"/>
              <w:bottom w:val="single" w:sz="4" w:space="0" w:color="auto"/>
              <w:right w:val="single" w:sz="4" w:space="0" w:color="auto"/>
            </w:tcBorders>
            <w:shd w:val="clear" w:color="auto" w:fill="auto"/>
            <w:noWrap/>
            <w:vAlign w:val="center"/>
            <w:hideMark/>
          </w:tcPr>
          <w:p w14:paraId="47BF5CA0"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9.974</w:t>
            </w:r>
          </w:p>
        </w:tc>
        <w:tc>
          <w:tcPr>
            <w:tcW w:w="1418" w:type="dxa"/>
            <w:tcBorders>
              <w:top w:val="nil"/>
              <w:left w:val="nil"/>
              <w:bottom w:val="single" w:sz="4" w:space="0" w:color="auto"/>
              <w:right w:val="single" w:sz="8" w:space="0" w:color="auto"/>
            </w:tcBorders>
            <w:shd w:val="clear" w:color="auto" w:fill="auto"/>
            <w:noWrap/>
            <w:vAlign w:val="center"/>
            <w:hideMark/>
          </w:tcPr>
          <w:p w14:paraId="13514A15" w14:textId="17EDF133"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34.909.758 </w:t>
            </w:r>
          </w:p>
        </w:tc>
        <w:tc>
          <w:tcPr>
            <w:tcW w:w="1275" w:type="dxa"/>
            <w:tcBorders>
              <w:top w:val="nil"/>
              <w:left w:val="nil"/>
              <w:bottom w:val="single" w:sz="4" w:space="0" w:color="auto"/>
              <w:right w:val="single" w:sz="8" w:space="0" w:color="auto"/>
            </w:tcBorders>
            <w:vAlign w:val="center"/>
          </w:tcPr>
          <w:p w14:paraId="78FCE819" w14:textId="308D6E32"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4.633.321,12</w:t>
            </w:r>
          </w:p>
        </w:tc>
      </w:tr>
      <w:tr w:rsidR="00FE33B9" w:rsidRPr="00747CFD" w14:paraId="7B8B0C75" w14:textId="1960FED2"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3043F80C"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Krapinsko-zagorska </w:t>
            </w:r>
          </w:p>
        </w:tc>
        <w:tc>
          <w:tcPr>
            <w:tcW w:w="993" w:type="dxa"/>
            <w:tcBorders>
              <w:top w:val="nil"/>
              <w:left w:val="nil"/>
              <w:bottom w:val="single" w:sz="4" w:space="0" w:color="auto"/>
              <w:right w:val="single" w:sz="4" w:space="0" w:color="auto"/>
            </w:tcBorders>
            <w:shd w:val="clear" w:color="auto" w:fill="auto"/>
            <w:noWrap/>
            <w:vAlign w:val="center"/>
            <w:hideMark/>
          </w:tcPr>
          <w:p w14:paraId="3A8FBECC"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37977B2A"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495CD90B"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13.209</w:t>
            </w:r>
          </w:p>
        </w:tc>
        <w:tc>
          <w:tcPr>
            <w:tcW w:w="1134" w:type="dxa"/>
            <w:tcBorders>
              <w:top w:val="nil"/>
              <w:left w:val="nil"/>
              <w:bottom w:val="single" w:sz="4" w:space="0" w:color="auto"/>
              <w:right w:val="single" w:sz="4" w:space="0" w:color="auto"/>
            </w:tcBorders>
            <w:shd w:val="clear" w:color="auto" w:fill="auto"/>
            <w:noWrap/>
            <w:vAlign w:val="center"/>
            <w:hideMark/>
          </w:tcPr>
          <w:p w14:paraId="09FF4C39"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40.000</w:t>
            </w:r>
          </w:p>
        </w:tc>
        <w:tc>
          <w:tcPr>
            <w:tcW w:w="1134" w:type="dxa"/>
            <w:tcBorders>
              <w:top w:val="nil"/>
              <w:left w:val="nil"/>
              <w:bottom w:val="single" w:sz="4" w:space="0" w:color="auto"/>
              <w:right w:val="single" w:sz="4" w:space="0" w:color="auto"/>
            </w:tcBorders>
            <w:shd w:val="clear" w:color="auto" w:fill="auto"/>
            <w:noWrap/>
            <w:vAlign w:val="center"/>
            <w:hideMark/>
          </w:tcPr>
          <w:p w14:paraId="221BD64A"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418" w:type="dxa"/>
            <w:tcBorders>
              <w:top w:val="nil"/>
              <w:left w:val="nil"/>
              <w:bottom w:val="single" w:sz="4" w:space="0" w:color="auto"/>
              <w:right w:val="single" w:sz="8" w:space="0" w:color="auto"/>
            </w:tcBorders>
            <w:shd w:val="clear" w:color="auto" w:fill="auto"/>
            <w:noWrap/>
            <w:vAlign w:val="center"/>
            <w:hideMark/>
          </w:tcPr>
          <w:p w14:paraId="20F89579" w14:textId="1E4AF4F7"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0 </w:t>
            </w:r>
          </w:p>
        </w:tc>
        <w:tc>
          <w:tcPr>
            <w:tcW w:w="1275" w:type="dxa"/>
            <w:tcBorders>
              <w:top w:val="nil"/>
              <w:left w:val="nil"/>
              <w:bottom w:val="single" w:sz="4" w:space="0" w:color="auto"/>
              <w:right w:val="single" w:sz="8" w:space="0" w:color="auto"/>
            </w:tcBorders>
            <w:vAlign w:val="center"/>
          </w:tcPr>
          <w:p w14:paraId="391C7BF5" w14:textId="3CC94610"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r>
      <w:tr w:rsidR="00FE33B9" w:rsidRPr="00747CFD" w14:paraId="6A370AE3" w14:textId="14CC2C4A"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2069EBFA"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Ličko-senjska </w:t>
            </w:r>
          </w:p>
        </w:tc>
        <w:tc>
          <w:tcPr>
            <w:tcW w:w="993" w:type="dxa"/>
            <w:tcBorders>
              <w:top w:val="nil"/>
              <w:left w:val="nil"/>
              <w:bottom w:val="single" w:sz="4" w:space="0" w:color="auto"/>
              <w:right w:val="single" w:sz="4" w:space="0" w:color="auto"/>
            </w:tcBorders>
            <w:shd w:val="clear" w:color="auto" w:fill="auto"/>
            <w:noWrap/>
            <w:vAlign w:val="center"/>
            <w:hideMark/>
          </w:tcPr>
          <w:p w14:paraId="1A8E98E2"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6B8BDF61"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70057ECD"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11.336</w:t>
            </w:r>
          </w:p>
        </w:tc>
        <w:tc>
          <w:tcPr>
            <w:tcW w:w="1134" w:type="dxa"/>
            <w:tcBorders>
              <w:top w:val="nil"/>
              <w:left w:val="nil"/>
              <w:bottom w:val="single" w:sz="4" w:space="0" w:color="auto"/>
              <w:right w:val="single" w:sz="4" w:space="0" w:color="auto"/>
            </w:tcBorders>
            <w:shd w:val="clear" w:color="auto" w:fill="auto"/>
            <w:noWrap/>
            <w:vAlign w:val="center"/>
            <w:hideMark/>
          </w:tcPr>
          <w:p w14:paraId="1DDE7456"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380</w:t>
            </w:r>
          </w:p>
        </w:tc>
        <w:tc>
          <w:tcPr>
            <w:tcW w:w="1134" w:type="dxa"/>
            <w:tcBorders>
              <w:top w:val="nil"/>
              <w:left w:val="nil"/>
              <w:bottom w:val="single" w:sz="4" w:space="0" w:color="auto"/>
              <w:right w:val="single" w:sz="4" w:space="0" w:color="auto"/>
            </w:tcBorders>
            <w:shd w:val="clear" w:color="auto" w:fill="auto"/>
            <w:noWrap/>
            <w:vAlign w:val="center"/>
            <w:hideMark/>
          </w:tcPr>
          <w:p w14:paraId="7A21D670"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10.956</w:t>
            </w:r>
          </w:p>
        </w:tc>
        <w:tc>
          <w:tcPr>
            <w:tcW w:w="1418" w:type="dxa"/>
            <w:tcBorders>
              <w:top w:val="nil"/>
              <w:left w:val="nil"/>
              <w:bottom w:val="single" w:sz="4" w:space="0" w:color="auto"/>
              <w:right w:val="single" w:sz="8" w:space="0" w:color="auto"/>
            </w:tcBorders>
            <w:shd w:val="clear" w:color="auto" w:fill="auto"/>
            <w:noWrap/>
            <w:vAlign w:val="center"/>
            <w:hideMark/>
          </w:tcPr>
          <w:p w14:paraId="7F2C86A9" w14:textId="3CA46D7D"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38.345.700 </w:t>
            </w:r>
          </w:p>
        </w:tc>
        <w:tc>
          <w:tcPr>
            <w:tcW w:w="1275" w:type="dxa"/>
            <w:tcBorders>
              <w:top w:val="nil"/>
              <w:left w:val="nil"/>
              <w:bottom w:val="single" w:sz="4" w:space="0" w:color="auto"/>
              <w:right w:val="single" w:sz="8" w:space="0" w:color="auto"/>
            </w:tcBorders>
            <w:vAlign w:val="center"/>
          </w:tcPr>
          <w:p w14:paraId="77CBD4E4" w14:textId="10919BBF"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5.089.348,99</w:t>
            </w:r>
          </w:p>
        </w:tc>
      </w:tr>
      <w:tr w:rsidR="00FE33B9" w:rsidRPr="00747CFD" w14:paraId="57DCB0DE" w14:textId="61B33001"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5CA98C4A"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Međimurska </w:t>
            </w:r>
          </w:p>
        </w:tc>
        <w:tc>
          <w:tcPr>
            <w:tcW w:w="993" w:type="dxa"/>
            <w:tcBorders>
              <w:top w:val="nil"/>
              <w:left w:val="nil"/>
              <w:bottom w:val="single" w:sz="4" w:space="0" w:color="auto"/>
              <w:right w:val="single" w:sz="4" w:space="0" w:color="auto"/>
            </w:tcBorders>
            <w:shd w:val="clear" w:color="auto" w:fill="auto"/>
            <w:noWrap/>
            <w:vAlign w:val="center"/>
            <w:hideMark/>
          </w:tcPr>
          <w:p w14:paraId="6F77ED50"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66D80E9F"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09B5CDA5"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19.993</w:t>
            </w:r>
          </w:p>
        </w:tc>
        <w:tc>
          <w:tcPr>
            <w:tcW w:w="1134" w:type="dxa"/>
            <w:tcBorders>
              <w:top w:val="nil"/>
              <w:left w:val="nil"/>
              <w:bottom w:val="single" w:sz="4" w:space="0" w:color="auto"/>
              <w:right w:val="single" w:sz="4" w:space="0" w:color="auto"/>
            </w:tcBorders>
            <w:shd w:val="clear" w:color="auto" w:fill="auto"/>
            <w:noWrap/>
            <w:vAlign w:val="center"/>
            <w:hideMark/>
          </w:tcPr>
          <w:p w14:paraId="1E9EEB4A"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10.500</w:t>
            </w:r>
          </w:p>
        </w:tc>
        <w:tc>
          <w:tcPr>
            <w:tcW w:w="1134" w:type="dxa"/>
            <w:tcBorders>
              <w:top w:val="nil"/>
              <w:left w:val="nil"/>
              <w:bottom w:val="single" w:sz="4" w:space="0" w:color="auto"/>
              <w:right w:val="single" w:sz="4" w:space="0" w:color="auto"/>
            </w:tcBorders>
            <w:shd w:val="clear" w:color="auto" w:fill="auto"/>
            <w:noWrap/>
            <w:vAlign w:val="center"/>
            <w:hideMark/>
          </w:tcPr>
          <w:p w14:paraId="51B54023"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9.493</w:t>
            </w:r>
          </w:p>
        </w:tc>
        <w:tc>
          <w:tcPr>
            <w:tcW w:w="1418" w:type="dxa"/>
            <w:tcBorders>
              <w:top w:val="nil"/>
              <w:left w:val="nil"/>
              <w:bottom w:val="single" w:sz="4" w:space="0" w:color="auto"/>
              <w:right w:val="single" w:sz="8" w:space="0" w:color="auto"/>
            </w:tcBorders>
            <w:shd w:val="clear" w:color="auto" w:fill="auto"/>
            <w:noWrap/>
            <w:vAlign w:val="center"/>
            <w:hideMark/>
          </w:tcPr>
          <w:p w14:paraId="316A58C8" w14:textId="0B093260"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33.225.250 </w:t>
            </w:r>
          </w:p>
        </w:tc>
        <w:tc>
          <w:tcPr>
            <w:tcW w:w="1275" w:type="dxa"/>
            <w:tcBorders>
              <w:top w:val="nil"/>
              <w:left w:val="nil"/>
              <w:bottom w:val="single" w:sz="4" w:space="0" w:color="auto"/>
              <w:right w:val="single" w:sz="8" w:space="0" w:color="auto"/>
            </w:tcBorders>
            <w:vAlign w:val="center"/>
          </w:tcPr>
          <w:p w14:paraId="324575E6" w14:textId="3D10B040"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4.409.748,49</w:t>
            </w:r>
          </w:p>
        </w:tc>
      </w:tr>
      <w:tr w:rsidR="00FE33B9" w:rsidRPr="00747CFD" w14:paraId="3919AEA5" w14:textId="2DC8C2BC"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487A280A"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Osječko-baranjska </w:t>
            </w:r>
          </w:p>
        </w:tc>
        <w:tc>
          <w:tcPr>
            <w:tcW w:w="993" w:type="dxa"/>
            <w:tcBorders>
              <w:top w:val="nil"/>
              <w:left w:val="nil"/>
              <w:bottom w:val="single" w:sz="4" w:space="0" w:color="auto"/>
              <w:right w:val="single" w:sz="4" w:space="0" w:color="auto"/>
            </w:tcBorders>
            <w:shd w:val="clear" w:color="auto" w:fill="auto"/>
            <w:noWrap/>
            <w:vAlign w:val="center"/>
            <w:hideMark/>
          </w:tcPr>
          <w:p w14:paraId="115ED6FC"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5,1%</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7E6A42BB"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4D8F012F"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38.547</w:t>
            </w:r>
          </w:p>
        </w:tc>
        <w:tc>
          <w:tcPr>
            <w:tcW w:w="1134" w:type="dxa"/>
            <w:tcBorders>
              <w:top w:val="nil"/>
              <w:left w:val="nil"/>
              <w:bottom w:val="single" w:sz="4" w:space="0" w:color="auto"/>
              <w:right w:val="single" w:sz="4" w:space="0" w:color="auto"/>
            </w:tcBorders>
            <w:shd w:val="clear" w:color="auto" w:fill="auto"/>
            <w:noWrap/>
            <w:vAlign w:val="center"/>
            <w:hideMark/>
          </w:tcPr>
          <w:p w14:paraId="022D4EA8"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tcBorders>
              <w:top w:val="nil"/>
              <w:left w:val="nil"/>
              <w:bottom w:val="single" w:sz="4" w:space="0" w:color="auto"/>
              <w:right w:val="single" w:sz="4" w:space="0" w:color="auto"/>
            </w:tcBorders>
            <w:shd w:val="clear" w:color="auto" w:fill="auto"/>
            <w:noWrap/>
            <w:vAlign w:val="center"/>
            <w:hideMark/>
          </w:tcPr>
          <w:p w14:paraId="1F2F29B2"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38.547</w:t>
            </w:r>
          </w:p>
        </w:tc>
        <w:tc>
          <w:tcPr>
            <w:tcW w:w="1418" w:type="dxa"/>
            <w:tcBorders>
              <w:top w:val="nil"/>
              <w:left w:val="nil"/>
              <w:bottom w:val="single" w:sz="4" w:space="0" w:color="auto"/>
              <w:right w:val="single" w:sz="8" w:space="0" w:color="auto"/>
            </w:tcBorders>
            <w:shd w:val="clear" w:color="auto" w:fill="auto"/>
            <w:noWrap/>
            <w:vAlign w:val="center"/>
            <w:hideMark/>
          </w:tcPr>
          <w:p w14:paraId="6F5F6103" w14:textId="7ADE37CE"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134.915.138 </w:t>
            </w:r>
          </w:p>
        </w:tc>
        <w:tc>
          <w:tcPr>
            <w:tcW w:w="1275" w:type="dxa"/>
            <w:tcBorders>
              <w:top w:val="nil"/>
              <w:left w:val="nil"/>
              <w:bottom w:val="single" w:sz="4" w:space="0" w:color="auto"/>
              <w:right w:val="single" w:sz="8" w:space="0" w:color="auto"/>
            </w:tcBorders>
            <w:vAlign w:val="center"/>
          </w:tcPr>
          <w:p w14:paraId="09E37965" w14:textId="44465420"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17.906.316,01</w:t>
            </w:r>
          </w:p>
        </w:tc>
      </w:tr>
      <w:tr w:rsidR="00FE33B9" w:rsidRPr="00747CFD" w14:paraId="1CB1795F" w14:textId="76B4DC06"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294DC1D7"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Požeško-slavonska </w:t>
            </w:r>
          </w:p>
        </w:tc>
        <w:tc>
          <w:tcPr>
            <w:tcW w:w="993" w:type="dxa"/>
            <w:tcBorders>
              <w:top w:val="nil"/>
              <w:left w:val="nil"/>
              <w:bottom w:val="single" w:sz="4" w:space="0" w:color="auto"/>
              <w:right w:val="single" w:sz="4" w:space="0" w:color="auto"/>
            </w:tcBorders>
            <w:shd w:val="clear" w:color="auto" w:fill="auto"/>
            <w:noWrap/>
            <w:vAlign w:val="center"/>
            <w:hideMark/>
          </w:tcPr>
          <w:p w14:paraId="27121D0A"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7CF0CA7E"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3C953704"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7.323</w:t>
            </w:r>
          </w:p>
        </w:tc>
        <w:tc>
          <w:tcPr>
            <w:tcW w:w="1134" w:type="dxa"/>
            <w:tcBorders>
              <w:top w:val="nil"/>
              <w:left w:val="nil"/>
              <w:bottom w:val="single" w:sz="4" w:space="0" w:color="auto"/>
              <w:right w:val="single" w:sz="4" w:space="0" w:color="auto"/>
            </w:tcBorders>
            <w:shd w:val="clear" w:color="auto" w:fill="auto"/>
            <w:noWrap/>
            <w:vAlign w:val="center"/>
            <w:hideMark/>
          </w:tcPr>
          <w:p w14:paraId="436C5604"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tcBorders>
              <w:top w:val="nil"/>
              <w:left w:val="nil"/>
              <w:bottom w:val="single" w:sz="4" w:space="0" w:color="auto"/>
              <w:right w:val="single" w:sz="4" w:space="0" w:color="auto"/>
            </w:tcBorders>
            <w:shd w:val="clear" w:color="auto" w:fill="auto"/>
            <w:noWrap/>
            <w:vAlign w:val="center"/>
            <w:hideMark/>
          </w:tcPr>
          <w:p w14:paraId="2E2CAED2"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7.323</w:t>
            </w:r>
          </w:p>
        </w:tc>
        <w:tc>
          <w:tcPr>
            <w:tcW w:w="1418" w:type="dxa"/>
            <w:tcBorders>
              <w:top w:val="nil"/>
              <w:left w:val="nil"/>
              <w:bottom w:val="single" w:sz="4" w:space="0" w:color="auto"/>
              <w:right w:val="single" w:sz="8" w:space="0" w:color="auto"/>
            </w:tcBorders>
            <w:shd w:val="clear" w:color="auto" w:fill="auto"/>
            <w:noWrap/>
            <w:vAlign w:val="center"/>
            <w:hideMark/>
          </w:tcPr>
          <w:p w14:paraId="033B8031" w14:textId="3A0FDD1C"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25.631.925 </w:t>
            </w:r>
          </w:p>
        </w:tc>
        <w:tc>
          <w:tcPr>
            <w:tcW w:w="1275" w:type="dxa"/>
            <w:tcBorders>
              <w:top w:val="nil"/>
              <w:left w:val="nil"/>
              <w:bottom w:val="single" w:sz="4" w:space="0" w:color="auto"/>
              <w:right w:val="single" w:sz="8" w:space="0" w:color="auto"/>
            </w:tcBorders>
            <w:vAlign w:val="center"/>
          </w:tcPr>
          <w:p w14:paraId="1369C533" w14:textId="59163766"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3.401.941,07</w:t>
            </w:r>
          </w:p>
        </w:tc>
      </w:tr>
      <w:tr w:rsidR="00FE33B9" w:rsidRPr="00747CFD" w14:paraId="270E29D1" w14:textId="5BBEE21C"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5F89F360"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Primorsko-goranska </w:t>
            </w:r>
          </w:p>
        </w:tc>
        <w:tc>
          <w:tcPr>
            <w:tcW w:w="993" w:type="dxa"/>
            <w:tcBorders>
              <w:top w:val="nil"/>
              <w:left w:val="nil"/>
              <w:bottom w:val="single" w:sz="4" w:space="0" w:color="auto"/>
              <w:right w:val="single" w:sz="4" w:space="0" w:color="auto"/>
            </w:tcBorders>
            <w:shd w:val="clear" w:color="auto" w:fill="auto"/>
            <w:noWrap/>
            <w:vAlign w:val="center"/>
            <w:hideMark/>
          </w:tcPr>
          <w:p w14:paraId="4A4A8DC1"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9,7%</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292D03D3"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3EF87FE8"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74.226</w:t>
            </w:r>
          </w:p>
        </w:tc>
        <w:tc>
          <w:tcPr>
            <w:tcW w:w="1134" w:type="dxa"/>
            <w:tcBorders>
              <w:top w:val="nil"/>
              <w:left w:val="nil"/>
              <w:bottom w:val="single" w:sz="4" w:space="0" w:color="auto"/>
              <w:right w:val="single" w:sz="4" w:space="0" w:color="auto"/>
            </w:tcBorders>
            <w:shd w:val="clear" w:color="auto" w:fill="auto"/>
            <w:noWrap/>
            <w:vAlign w:val="center"/>
            <w:hideMark/>
          </w:tcPr>
          <w:p w14:paraId="5E4FC158"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10.200</w:t>
            </w:r>
          </w:p>
        </w:tc>
        <w:tc>
          <w:tcPr>
            <w:tcW w:w="1134" w:type="dxa"/>
            <w:tcBorders>
              <w:top w:val="nil"/>
              <w:left w:val="nil"/>
              <w:bottom w:val="single" w:sz="4" w:space="0" w:color="auto"/>
              <w:right w:val="single" w:sz="4" w:space="0" w:color="auto"/>
            </w:tcBorders>
            <w:shd w:val="clear" w:color="auto" w:fill="auto"/>
            <w:noWrap/>
            <w:vAlign w:val="center"/>
            <w:hideMark/>
          </w:tcPr>
          <w:p w14:paraId="34B9338C"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64.026</w:t>
            </w:r>
          </w:p>
        </w:tc>
        <w:tc>
          <w:tcPr>
            <w:tcW w:w="1418" w:type="dxa"/>
            <w:tcBorders>
              <w:top w:val="nil"/>
              <w:left w:val="nil"/>
              <w:bottom w:val="single" w:sz="4" w:space="0" w:color="auto"/>
              <w:right w:val="single" w:sz="8" w:space="0" w:color="auto"/>
            </w:tcBorders>
            <w:shd w:val="clear" w:color="auto" w:fill="auto"/>
            <w:noWrap/>
            <w:vAlign w:val="center"/>
            <w:hideMark/>
          </w:tcPr>
          <w:p w14:paraId="3FFB4EE3" w14:textId="0DA25E01"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224.089.716 </w:t>
            </w:r>
          </w:p>
        </w:tc>
        <w:tc>
          <w:tcPr>
            <w:tcW w:w="1275" w:type="dxa"/>
            <w:tcBorders>
              <w:top w:val="nil"/>
              <w:left w:val="nil"/>
              <w:bottom w:val="single" w:sz="4" w:space="0" w:color="auto"/>
              <w:right w:val="single" w:sz="8" w:space="0" w:color="auto"/>
            </w:tcBorders>
            <w:vAlign w:val="center"/>
          </w:tcPr>
          <w:p w14:paraId="44F528EF" w14:textId="06C9E5F9"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29.741.816,44</w:t>
            </w:r>
          </w:p>
        </w:tc>
      </w:tr>
      <w:tr w:rsidR="00FE33B9" w:rsidRPr="00747CFD" w14:paraId="486BCDC8" w14:textId="0C302DB9"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6566F81D"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Sisačko-moslavačka </w:t>
            </w:r>
          </w:p>
        </w:tc>
        <w:tc>
          <w:tcPr>
            <w:tcW w:w="993" w:type="dxa"/>
            <w:tcBorders>
              <w:top w:val="nil"/>
              <w:left w:val="nil"/>
              <w:bottom w:val="single" w:sz="4" w:space="0" w:color="auto"/>
              <w:right w:val="single" w:sz="4" w:space="0" w:color="auto"/>
            </w:tcBorders>
            <w:shd w:val="clear" w:color="auto" w:fill="auto"/>
            <w:noWrap/>
            <w:vAlign w:val="center"/>
            <w:hideMark/>
          </w:tcPr>
          <w:p w14:paraId="3A494B6D"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28DF54BD"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1AC29CB9"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20.805</w:t>
            </w:r>
          </w:p>
        </w:tc>
        <w:tc>
          <w:tcPr>
            <w:tcW w:w="1134" w:type="dxa"/>
            <w:tcBorders>
              <w:top w:val="nil"/>
              <w:left w:val="nil"/>
              <w:bottom w:val="single" w:sz="4" w:space="0" w:color="auto"/>
              <w:right w:val="single" w:sz="4" w:space="0" w:color="auto"/>
            </w:tcBorders>
            <w:shd w:val="clear" w:color="auto" w:fill="auto"/>
            <w:noWrap/>
            <w:vAlign w:val="center"/>
            <w:hideMark/>
          </w:tcPr>
          <w:p w14:paraId="37031251"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5.800</w:t>
            </w:r>
          </w:p>
        </w:tc>
        <w:tc>
          <w:tcPr>
            <w:tcW w:w="1134" w:type="dxa"/>
            <w:tcBorders>
              <w:top w:val="nil"/>
              <w:left w:val="nil"/>
              <w:bottom w:val="single" w:sz="4" w:space="0" w:color="auto"/>
              <w:right w:val="single" w:sz="4" w:space="0" w:color="auto"/>
            </w:tcBorders>
            <w:shd w:val="clear" w:color="auto" w:fill="auto"/>
            <w:noWrap/>
            <w:vAlign w:val="center"/>
            <w:hideMark/>
          </w:tcPr>
          <w:p w14:paraId="0BE26E3E"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15.005</w:t>
            </w:r>
          </w:p>
        </w:tc>
        <w:tc>
          <w:tcPr>
            <w:tcW w:w="1418" w:type="dxa"/>
            <w:tcBorders>
              <w:top w:val="nil"/>
              <w:left w:val="nil"/>
              <w:bottom w:val="single" w:sz="4" w:space="0" w:color="auto"/>
              <w:right w:val="single" w:sz="8" w:space="0" w:color="auto"/>
            </w:tcBorders>
            <w:shd w:val="clear" w:color="auto" w:fill="auto"/>
            <w:noWrap/>
            <w:vAlign w:val="center"/>
            <w:hideMark/>
          </w:tcPr>
          <w:p w14:paraId="08ABF893" w14:textId="28FD163F"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52.518.362 </w:t>
            </w:r>
          </w:p>
        </w:tc>
        <w:tc>
          <w:tcPr>
            <w:tcW w:w="1275" w:type="dxa"/>
            <w:tcBorders>
              <w:top w:val="nil"/>
              <w:left w:val="nil"/>
              <w:bottom w:val="single" w:sz="4" w:space="0" w:color="auto"/>
              <w:right w:val="single" w:sz="8" w:space="0" w:color="auto"/>
            </w:tcBorders>
            <w:vAlign w:val="center"/>
          </w:tcPr>
          <w:p w14:paraId="2F56BDF7" w14:textId="0A8848A4"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6.970.384,50</w:t>
            </w:r>
          </w:p>
        </w:tc>
      </w:tr>
      <w:tr w:rsidR="00FE33B9" w:rsidRPr="00747CFD" w14:paraId="0DA081E2" w14:textId="2DC28991"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6AC25C34"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Splitsko-dalmatinska </w:t>
            </w:r>
          </w:p>
        </w:tc>
        <w:tc>
          <w:tcPr>
            <w:tcW w:w="993" w:type="dxa"/>
            <w:tcBorders>
              <w:top w:val="nil"/>
              <w:left w:val="nil"/>
              <w:bottom w:val="single" w:sz="4" w:space="0" w:color="auto"/>
              <w:right w:val="single" w:sz="4" w:space="0" w:color="auto"/>
            </w:tcBorders>
            <w:shd w:val="clear" w:color="auto" w:fill="auto"/>
            <w:noWrap/>
            <w:vAlign w:val="center"/>
            <w:hideMark/>
          </w:tcPr>
          <w:p w14:paraId="3D581BF8"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14,3%</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7835D434"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441ACA4C"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108.926</w:t>
            </w:r>
          </w:p>
        </w:tc>
        <w:tc>
          <w:tcPr>
            <w:tcW w:w="1134" w:type="dxa"/>
            <w:tcBorders>
              <w:top w:val="nil"/>
              <w:left w:val="nil"/>
              <w:bottom w:val="single" w:sz="4" w:space="0" w:color="auto"/>
              <w:right w:val="single" w:sz="4" w:space="0" w:color="auto"/>
            </w:tcBorders>
            <w:shd w:val="clear" w:color="auto" w:fill="auto"/>
            <w:noWrap/>
            <w:vAlign w:val="center"/>
            <w:hideMark/>
          </w:tcPr>
          <w:p w14:paraId="52CFA5BE"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200</w:t>
            </w:r>
          </w:p>
        </w:tc>
        <w:tc>
          <w:tcPr>
            <w:tcW w:w="1134" w:type="dxa"/>
            <w:tcBorders>
              <w:top w:val="nil"/>
              <w:left w:val="nil"/>
              <w:bottom w:val="single" w:sz="4" w:space="0" w:color="auto"/>
              <w:right w:val="single" w:sz="4" w:space="0" w:color="auto"/>
            </w:tcBorders>
            <w:shd w:val="clear" w:color="auto" w:fill="auto"/>
            <w:noWrap/>
            <w:vAlign w:val="center"/>
            <w:hideMark/>
          </w:tcPr>
          <w:p w14:paraId="03164597"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108.726</w:t>
            </w:r>
          </w:p>
        </w:tc>
        <w:tc>
          <w:tcPr>
            <w:tcW w:w="1418" w:type="dxa"/>
            <w:tcBorders>
              <w:top w:val="nil"/>
              <w:left w:val="nil"/>
              <w:bottom w:val="single" w:sz="4" w:space="0" w:color="auto"/>
              <w:right w:val="single" w:sz="8" w:space="0" w:color="auto"/>
            </w:tcBorders>
            <w:shd w:val="clear" w:color="auto" w:fill="auto"/>
            <w:noWrap/>
            <w:vAlign w:val="center"/>
            <w:hideMark/>
          </w:tcPr>
          <w:p w14:paraId="087863FC" w14:textId="104B261D"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380.539.911 </w:t>
            </w:r>
          </w:p>
        </w:tc>
        <w:tc>
          <w:tcPr>
            <w:tcW w:w="1275" w:type="dxa"/>
            <w:tcBorders>
              <w:top w:val="nil"/>
              <w:left w:val="nil"/>
              <w:bottom w:val="single" w:sz="4" w:space="0" w:color="auto"/>
              <w:right w:val="single" w:sz="8" w:space="0" w:color="auto"/>
            </w:tcBorders>
            <w:vAlign w:val="center"/>
          </w:tcPr>
          <w:p w14:paraId="1B245B8A" w14:textId="2957847C"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50.506.325,70</w:t>
            </w:r>
          </w:p>
        </w:tc>
      </w:tr>
      <w:tr w:rsidR="00FE33B9" w:rsidRPr="00747CFD" w14:paraId="030FC37A" w14:textId="5CD88B22"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61A38292"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Šibensko-kninska</w:t>
            </w:r>
          </w:p>
        </w:tc>
        <w:tc>
          <w:tcPr>
            <w:tcW w:w="993" w:type="dxa"/>
            <w:tcBorders>
              <w:top w:val="nil"/>
              <w:left w:val="nil"/>
              <w:bottom w:val="single" w:sz="4" w:space="0" w:color="auto"/>
              <w:right w:val="single" w:sz="4" w:space="0" w:color="auto"/>
            </w:tcBorders>
            <w:shd w:val="clear" w:color="auto" w:fill="auto"/>
            <w:noWrap/>
            <w:vAlign w:val="center"/>
            <w:hideMark/>
          </w:tcPr>
          <w:p w14:paraId="58D516EF"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3,2%</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01DDA299"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2EB37DE8"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24.749</w:t>
            </w:r>
          </w:p>
        </w:tc>
        <w:tc>
          <w:tcPr>
            <w:tcW w:w="1134" w:type="dxa"/>
            <w:tcBorders>
              <w:top w:val="nil"/>
              <w:left w:val="nil"/>
              <w:bottom w:val="single" w:sz="4" w:space="0" w:color="auto"/>
              <w:right w:val="single" w:sz="4" w:space="0" w:color="auto"/>
            </w:tcBorders>
            <w:shd w:val="clear" w:color="auto" w:fill="auto"/>
            <w:noWrap/>
            <w:vAlign w:val="center"/>
            <w:hideMark/>
          </w:tcPr>
          <w:p w14:paraId="36F1FB36"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tcBorders>
              <w:top w:val="nil"/>
              <w:left w:val="nil"/>
              <w:bottom w:val="single" w:sz="4" w:space="0" w:color="auto"/>
              <w:right w:val="single" w:sz="4" w:space="0" w:color="auto"/>
            </w:tcBorders>
            <w:shd w:val="clear" w:color="auto" w:fill="auto"/>
            <w:noWrap/>
            <w:vAlign w:val="center"/>
            <w:hideMark/>
          </w:tcPr>
          <w:p w14:paraId="7C3F0D7F"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24.749</w:t>
            </w:r>
          </w:p>
        </w:tc>
        <w:tc>
          <w:tcPr>
            <w:tcW w:w="1418" w:type="dxa"/>
            <w:tcBorders>
              <w:top w:val="nil"/>
              <w:left w:val="nil"/>
              <w:bottom w:val="single" w:sz="4" w:space="0" w:color="auto"/>
              <w:right w:val="single" w:sz="8" w:space="0" w:color="auto"/>
            </w:tcBorders>
            <w:shd w:val="clear" w:color="auto" w:fill="auto"/>
            <w:noWrap/>
            <w:vAlign w:val="center"/>
            <w:hideMark/>
          </w:tcPr>
          <w:p w14:paraId="19F5BAE6" w14:textId="2E01D4FE"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86.619.901 </w:t>
            </w:r>
          </w:p>
        </w:tc>
        <w:tc>
          <w:tcPr>
            <w:tcW w:w="1275" w:type="dxa"/>
            <w:tcBorders>
              <w:top w:val="nil"/>
              <w:left w:val="nil"/>
              <w:bottom w:val="single" w:sz="4" w:space="0" w:color="auto"/>
              <w:right w:val="single" w:sz="8" w:space="0" w:color="auto"/>
            </w:tcBorders>
            <w:vAlign w:val="center"/>
          </w:tcPr>
          <w:p w14:paraId="7A5E748F" w14:textId="1D8258C6"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11.496.436,53</w:t>
            </w:r>
          </w:p>
        </w:tc>
      </w:tr>
      <w:tr w:rsidR="00FE33B9" w:rsidRPr="00747CFD" w14:paraId="540ED558" w14:textId="14AA90A8"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0ECAE276"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Varaždinska </w:t>
            </w:r>
          </w:p>
        </w:tc>
        <w:tc>
          <w:tcPr>
            <w:tcW w:w="993" w:type="dxa"/>
            <w:tcBorders>
              <w:top w:val="nil"/>
              <w:left w:val="nil"/>
              <w:bottom w:val="single" w:sz="4" w:space="0" w:color="auto"/>
              <w:right w:val="single" w:sz="4" w:space="0" w:color="auto"/>
            </w:tcBorders>
            <w:shd w:val="clear" w:color="auto" w:fill="auto"/>
            <w:noWrap/>
            <w:vAlign w:val="center"/>
            <w:hideMark/>
          </w:tcPr>
          <w:p w14:paraId="185E72C2"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7A653532"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17B6AC43"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19.478</w:t>
            </w:r>
          </w:p>
        </w:tc>
        <w:tc>
          <w:tcPr>
            <w:tcW w:w="1134" w:type="dxa"/>
            <w:tcBorders>
              <w:top w:val="nil"/>
              <w:left w:val="nil"/>
              <w:bottom w:val="single" w:sz="4" w:space="0" w:color="auto"/>
              <w:right w:val="single" w:sz="4" w:space="0" w:color="auto"/>
            </w:tcBorders>
            <w:shd w:val="clear" w:color="auto" w:fill="auto"/>
            <w:noWrap/>
            <w:vAlign w:val="center"/>
            <w:hideMark/>
          </w:tcPr>
          <w:p w14:paraId="55FB4BCC"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7.000</w:t>
            </w:r>
          </w:p>
        </w:tc>
        <w:tc>
          <w:tcPr>
            <w:tcW w:w="1134" w:type="dxa"/>
            <w:tcBorders>
              <w:top w:val="nil"/>
              <w:left w:val="nil"/>
              <w:bottom w:val="single" w:sz="4" w:space="0" w:color="auto"/>
              <w:right w:val="single" w:sz="4" w:space="0" w:color="auto"/>
            </w:tcBorders>
            <w:shd w:val="clear" w:color="auto" w:fill="auto"/>
            <w:noWrap/>
            <w:vAlign w:val="center"/>
            <w:hideMark/>
          </w:tcPr>
          <w:p w14:paraId="2497B990"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12.478</w:t>
            </w:r>
          </w:p>
        </w:tc>
        <w:tc>
          <w:tcPr>
            <w:tcW w:w="1418" w:type="dxa"/>
            <w:tcBorders>
              <w:top w:val="nil"/>
              <w:left w:val="nil"/>
              <w:bottom w:val="single" w:sz="4" w:space="0" w:color="auto"/>
              <w:right w:val="single" w:sz="8" w:space="0" w:color="auto"/>
            </w:tcBorders>
            <w:shd w:val="clear" w:color="auto" w:fill="auto"/>
            <w:noWrap/>
            <w:vAlign w:val="center"/>
            <w:hideMark/>
          </w:tcPr>
          <w:p w14:paraId="6BB684BA" w14:textId="1754DF6E"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43.673.311 </w:t>
            </w:r>
          </w:p>
        </w:tc>
        <w:tc>
          <w:tcPr>
            <w:tcW w:w="1275" w:type="dxa"/>
            <w:tcBorders>
              <w:top w:val="nil"/>
              <w:left w:val="nil"/>
              <w:bottom w:val="single" w:sz="4" w:space="0" w:color="auto"/>
              <w:right w:val="single" w:sz="8" w:space="0" w:color="auto"/>
            </w:tcBorders>
            <w:vAlign w:val="center"/>
          </w:tcPr>
          <w:p w14:paraId="6E7C3680" w14:textId="2C946199"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5.796.444,49</w:t>
            </w:r>
          </w:p>
        </w:tc>
      </w:tr>
      <w:tr w:rsidR="00FE33B9" w:rsidRPr="00747CFD" w14:paraId="6781DDB3" w14:textId="2E43B28E"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581B81E2"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Virovitičko-podravska</w:t>
            </w:r>
          </w:p>
        </w:tc>
        <w:tc>
          <w:tcPr>
            <w:tcW w:w="993" w:type="dxa"/>
            <w:tcBorders>
              <w:top w:val="nil"/>
              <w:left w:val="nil"/>
              <w:bottom w:val="single" w:sz="4" w:space="0" w:color="auto"/>
              <w:right w:val="single" w:sz="4" w:space="0" w:color="auto"/>
            </w:tcBorders>
            <w:shd w:val="clear" w:color="auto" w:fill="auto"/>
            <w:noWrap/>
            <w:vAlign w:val="center"/>
            <w:hideMark/>
          </w:tcPr>
          <w:p w14:paraId="3252B10A"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295EA2BA"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2E958819"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9.996</w:t>
            </w:r>
          </w:p>
        </w:tc>
        <w:tc>
          <w:tcPr>
            <w:tcW w:w="1134" w:type="dxa"/>
            <w:tcBorders>
              <w:top w:val="nil"/>
              <w:left w:val="nil"/>
              <w:bottom w:val="single" w:sz="4" w:space="0" w:color="auto"/>
              <w:right w:val="single" w:sz="4" w:space="0" w:color="auto"/>
            </w:tcBorders>
            <w:shd w:val="clear" w:color="auto" w:fill="auto"/>
            <w:noWrap/>
            <w:vAlign w:val="center"/>
            <w:hideMark/>
          </w:tcPr>
          <w:p w14:paraId="3992E858"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tcBorders>
              <w:top w:val="nil"/>
              <w:left w:val="nil"/>
              <w:bottom w:val="single" w:sz="4" w:space="0" w:color="auto"/>
              <w:right w:val="single" w:sz="4" w:space="0" w:color="auto"/>
            </w:tcBorders>
            <w:shd w:val="clear" w:color="auto" w:fill="auto"/>
            <w:noWrap/>
            <w:vAlign w:val="center"/>
            <w:hideMark/>
          </w:tcPr>
          <w:p w14:paraId="53E859D3"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9.996</w:t>
            </w:r>
          </w:p>
        </w:tc>
        <w:tc>
          <w:tcPr>
            <w:tcW w:w="1418" w:type="dxa"/>
            <w:tcBorders>
              <w:top w:val="nil"/>
              <w:left w:val="nil"/>
              <w:bottom w:val="single" w:sz="4" w:space="0" w:color="auto"/>
              <w:right w:val="single" w:sz="8" w:space="0" w:color="auto"/>
            </w:tcBorders>
            <w:shd w:val="clear" w:color="auto" w:fill="auto"/>
            <w:noWrap/>
            <w:vAlign w:val="center"/>
            <w:hideMark/>
          </w:tcPr>
          <w:p w14:paraId="13CAD609" w14:textId="2E0C398E"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34.986.729 </w:t>
            </w:r>
          </w:p>
        </w:tc>
        <w:tc>
          <w:tcPr>
            <w:tcW w:w="1275" w:type="dxa"/>
            <w:tcBorders>
              <w:top w:val="nil"/>
              <w:left w:val="nil"/>
              <w:bottom w:val="single" w:sz="4" w:space="0" w:color="auto"/>
              <w:right w:val="single" w:sz="8" w:space="0" w:color="auto"/>
            </w:tcBorders>
            <w:vAlign w:val="center"/>
          </w:tcPr>
          <w:p w14:paraId="7625B458" w14:textId="021E26A0" w:rsidR="00AD0869"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4.643.536,93</w:t>
            </w:r>
          </w:p>
        </w:tc>
      </w:tr>
      <w:tr w:rsidR="00FE33B9" w:rsidRPr="00747CFD" w14:paraId="4BBF0F49" w14:textId="1F848E1B"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7C231256"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Vukovarsko-srijemska </w:t>
            </w:r>
          </w:p>
        </w:tc>
        <w:tc>
          <w:tcPr>
            <w:tcW w:w="993" w:type="dxa"/>
            <w:tcBorders>
              <w:top w:val="nil"/>
              <w:left w:val="nil"/>
              <w:bottom w:val="single" w:sz="4" w:space="0" w:color="auto"/>
              <w:right w:val="single" w:sz="4" w:space="0" w:color="auto"/>
            </w:tcBorders>
            <w:shd w:val="clear" w:color="auto" w:fill="auto"/>
            <w:noWrap/>
            <w:vAlign w:val="center"/>
            <w:hideMark/>
          </w:tcPr>
          <w:p w14:paraId="6883662D"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2,9%</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13F3ACC9"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063845BC"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22.039</w:t>
            </w:r>
          </w:p>
        </w:tc>
        <w:tc>
          <w:tcPr>
            <w:tcW w:w="1134" w:type="dxa"/>
            <w:tcBorders>
              <w:top w:val="nil"/>
              <w:left w:val="nil"/>
              <w:bottom w:val="single" w:sz="4" w:space="0" w:color="auto"/>
              <w:right w:val="single" w:sz="4" w:space="0" w:color="auto"/>
            </w:tcBorders>
            <w:shd w:val="clear" w:color="auto" w:fill="auto"/>
            <w:noWrap/>
            <w:vAlign w:val="center"/>
            <w:hideMark/>
          </w:tcPr>
          <w:p w14:paraId="37D7DEF1"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tcBorders>
              <w:top w:val="nil"/>
              <w:left w:val="nil"/>
              <w:bottom w:val="single" w:sz="4" w:space="0" w:color="auto"/>
              <w:right w:val="single" w:sz="4" w:space="0" w:color="auto"/>
            </w:tcBorders>
            <w:shd w:val="clear" w:color="auto" w:fill="auto"/>
            <w:noWrap/>
            <w:vAlign w:val="center"/>
            <w:hideMark/>
          </w:tcPr>
          <w:p w14:paraId="6F908C61"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22.039</w:t>
            </w:r>
          </w:p>
        </w:tc>
        <w:tc>
          <w:tcPr>
            <w:tcW w:w="1418" w:type="dxa"/>
            <w:tcBorders>
              <w:top w:val="nil"/>
              <w:left w:val="nil"/>
              <w:bottom w:val="single" w:sz="4" w:space="0" w:color="auto"/>
              <w:right w:val="single" w:sz="8" w:space="0" w:color="auto"/>
            </w:tcBorders>
            <w:shd w:val="clear" w:color="auto" w:fill="auto"/>
            <w:noWrap/>
            <w:vAlign w:val="center"/>
            <w:hideMark/>
          </w:tcPr>
          <w:p w14:paraId="1766545C" w14:textId="2608D813"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77.136.555 </w:t>
            </w:r>
          </w:p>
        </w:tc>
        <w:tc>
          <w:tcPr>
            <w:tcW w:w="1275" w:type="dxa"/>
            <w:tcBorders>
              <w:top w:val="nil"/>
              <w:left w:val="nil"/>
              <w:bottom w:val="single" w:sz="4" w:space="0" w:color="auto"/>
              <w:right w:val="single" w:sz="8" w:space="0" w:color="auto"/>
            </w:tcBorders>
            <w:vAlign w:val="center"/>
          </w:tcPr>
          <w:p w14:paraId="3B4C5848" w14:textId="59BC70A9" w:rsidR="00AD0869"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10.237.780,21</w:t>
            </w:r>
          </w:p>
        </w:tc>
      </w:tr>
      <w:tr w:rsidR="00FE33B9" w:rsidRPr="00747CFD" w14:paraId="71FAC0E7" w14:textId="7AE39E04"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7BBA3065"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Zadarska </w:t>
            </w:r>
          </w:p>
        </w:tc>
        <w:tc>
          <w:tcPr>
            <w:tcW w:w="993" w:type="dxa"/>
            <w:tcBorders>
              <w:top w:val="nil"/>
              <w:left w:val="nil"/>
              <w:bottom w:val="single" w:sz="4" w:space="0" w:color="auto"/>
              <w:right w:val="single" w:sz="4" w:space="0" w:color="auto"/>
            </w:tcBorders>
            <w:shd w:val="clear" w:color="auto" w:fill="auto"/>
            <w:noWrap/>
            <w:vAlign w:val="center"/>
            <w:hideMark/>
          </w:tcPr>
          <w:p w14:paraId="30DF7A78"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6,1%</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086A171A"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6904FB30"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46.576</w:t>
            </w:r>
          </w:p>
        </w:tc>
        <w:tc>
          <w:tcPr>
            <w:tcW w:w="1134" w:type="dxa"/>
            <w:tcBorders>
              <w:top w:val="nil"/>
              <w:left w:val="nil"/>
              <w:bottom w:val="single" w:sz="4" w:space="0" w:color="auto"/>
              <w:right w:val="single" w:sz="4" w:space="0" w:color="auto"/>
            </w:tcBorders>
            <w:shd w:val="clear" w:color="auto" w:fill="auto"/>
            <w:noWrap/>
            <w:vAlign w:val="center"/>
            <w:hideMark/>
          </w:tcPr>
          <w:p w14:paraId="7F2549DC"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tcBorders>
              <w:top w:val="nil"/>
              <w:left w:val="nil"/>
              <w:bottom w:val="single" w:sz="4" w:space="0" w:color="auto"/>
              <w:right w:val="single" w:sz="4" w:space="0" w:color="auto"/>
            </w:tcBorders>
            <w:shd w:val="clear" w:color="auto" w:fill="auto"/>
            <w:noWrap/>
            <w:vAlign w:val="center"/>
            <w:hideMark/>
          </w:tcPr>
          <w:p w14:paraId="548F6C90"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46.576</w:t>
            </w:r>
          </w:p>
        </w:tc>
        <w:tc>
          <w:tcPr>
            <w:tcW w:w="1418" w:type="dxa"/>
            <w:tcBorders>
              <w:top w:val="nil"/>
              <w:left w:val="nil"/>
              <w:bottom w:val="single" w:sz="4" w:space="0" w:color="auto"/>
              <w:right w:val="single" w:sz="8" w:space="0" w:color="auto"/>
            </w:tcBorders>
            <w:shd w:val="clear" w:color="auto" w:fill="auto"/>
            <w:noWrap/>
            <w:vAlign w:val="center"/>
            <w:hideMark/>
          </w:tcPr>
          <w:p w14:paraId="1D44C308" w14:textId="3C56226D"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163.014.908 </w:t>
            </w:r>
          </w:p>
        </w:tc>
        <w:tc>
          <w:tcPr>
            <w:tcW w:w="1275" w:type="dxa"/>
            <w:tcBorders>
              <w:top w:val="nil"/>
              <w:left w:val="nil"/>
              <w:bottom w:val="single" w:sz="4" w:space="0" w:color="auto"/>
              <w:right w:val="single" w:sz="8" w:space="0" w:color="auto"/>
            </w:tcBorders>
            <w:vAlign w:val="center"/>
          </w:tcPr>
          <w:p w14:paraId="0931F3D2" w14:textId="47CFFDC1" w:rsidR="00AD0869"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21.635.796,40</w:t>
            </w:r>
          </w:p>
        </w:tc>
      </w:tr>
      <w:tr w:rsidR="00FE33B9" w:rsidRPr="00747CFD" w14:paraId="55BE5F94" w14:textId="5C637636" w:rsidTr="00A82100">
        <w:trPr>
          <w:trHeight w:val="170"/>
        </w:trPr>
        <w:tc>
          <w:tcPr>
            <w:tcW w:w="1691" w:type="dxa"/>
            <w:tcBorders>
              <w:top w:val="nil"/>
              <w:left w:val="single" w:sz="8" w:space="0" w:color="auto"/>
              <w:bottom w:val="nil"/>
              <w:right w:val="single" w:sz="4" w:space="0" w:color="auto"/>
            </w:tcBorders>
            <w:shd w:val="clear" w:color="auto" w:fill="auto"/>
            <w:noWrap/>
            <w:vAlign w:val="center"/>
            <w:hideMark/>
          </w:tcPr>
          <w:p w14:paraId="3BC74432"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Zagrebačka </w:t>
            </w:r>
          </w:p>
        </w:tc>
        <w:tc>
          <w:tcPr>
            <w:tcW w:w="993" w:type="dxa"/>
            <w:tcBorders>
              <w:top w:val="nil"/>
              <w:left w:val="nil"/>
              <w:bottom w:val="nil"/>
              <w:right w:val="single" w:sz="4" w:space="0" w:color="auto"/>
            </w:tcBorders>
            <w:shd w:val="clear" w:color="auto" w:fill="auto"/>
            <w:noWrap/>
            <w:vAlign w:val="center"/>
            <w:hideMark/>
          </w:tcPr>
          <w:p w14:paraId="669009C1"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6,4%</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3ED317EA"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single" w:sz="4" w:space="0" w:color="auto"/>
            </w:tcBorders>
            <w:shd w:val="clear" w:color="auto" w:fill="auto"/>
            <w:noWrap/>
            <w:vAlign w:val="center"/>
            <w:hideMark/>
          </w:tcPr>
          <w:p w14:paraId="43494DF0"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48.864</w:t>
            </w:r>
          </w:p>
        </w:tc>
        <w:tc>
          <w:tcPr>
            <w:tcW w:w="1134" w:type="dxa"/>
            <w:tcBorders>
              <w:top w:val="nil"/>
              <w:left w:val="nil"/>
              <w:bottom w:val="nil"/>
              <w:right w:val="single" w:sz="4" w:space="0" w:color="auto"/>
            </w:tcBorders>
            <w:shd w:val="clear" w:color="auto" w:fill="auto"/>
            <w:noWrap/>
            <w:vAlign w:val="center"/>
            <w:hideMark/>
          </w:tcPr>
          <w:p w14:paraId="6E3FD989"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57.600</w:t>
            </w:r>
          </w:p>
        </w:tc>
        <w:tc>
          <w:tcPr>
            <w:tcW w:w="1134" w:type="dxa"/>
            <w:tcBorders>
              <w:top w:val="nil"/>
              <w:left w:val="nil"/>
              <w:bottom w:val="single" w:sz="8" w:space="0" w:color="auto"/>
              <w:right w:val="single" w:sz="4" w:space="0" w:color="auto"/>
            </w:tcBorders>
            <w:shd w:val="clear" w:color="auto" w:fill="auto"/>
            <w:noWrap/>
            <w:vAlign w:val="center"/>
            <w:hideMark/>
          </w:tcPr>
          <w:p w14:paraId="22894572"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418" w:type="dxa"/>
            <w:tcBorders>
              <w:top w:val="nil"/>
              <w:left w:val="nil"/>
              <w:bottom w:val="nil"/>
              <w:right w:val="single" w:sz="8" w:space="0" w:color="auto"/>
            </w:tcBorders>
            <w:shd w:val="clear" w:color="auto" w:fill="auto"/>
            <w:noWrap/>
            <w:vAlign w:val="center"/>
            <w:hideMark/>
          </w:tcPr>
          <w:p w14:paraId="0739F6D1" w14:textId="4F737B0D"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0 </w:t>
            </w:r>
          </w:p>
        </w:tc>
        <w:tc>
          <w:tcPr>
            <w:tcW w:w="1275" w:type="dxa"/>
            <w:tcBorders>
              <w:top w:val="nil"/>
              <w:left w:val="nil"/>
              <w:bottom w:val="nil"/>
              <w:right w:val="single" w:sz="8" w:space="0" w:color="auto"/>
            </w:tcBorders>
            <w:vAlign w:val="center"/>
          </w:tcPr>
          <w:p w14:paraId="6EBAD4EC" w14:textId="2D3AE781" w:rsidR="00AD0869"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r>
      <w:tr w:rsidR="00AD0869" w:rsidRPr="00747CFD" w14:paraId="5DD58F51" w14:textId="108763BD" w:rsidTr="00BB2706">
        <w:trPr>
          <w:trHeight w:val="170"/>
        </w:trPr>
        <w:tc>
          <w:tcPr>
            <w:tcW w:w="3534" w:type="dxa"/>
            <w:gridSpan w:val="3"/>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03659EB0" w14:textId="77777777" w:rsidR="00AD0869" w:rsidRPr="00747CFD" w:rsidRDefault="00AD0869" w:rsidP="00CC41BC">
            <w:pPr>
              <w:spacing w:after="0" w:line="240" w:lineRule="auto"/>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Ukupno</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6C858B52" w14:textId="77777777" w:rsidR="00AD0869" w:rsidRPr="00747CFD" w:rsidRDefault="00AD0869" w:rsidP="00CC41BC">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763.149</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5A3EAA45" w14:textId="77777777" w:rsidR="00AD0869" w:rsidRPr="00747CFD" w:rsidRDefault="00AD0869" w:rsidP="00CC41BC">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211.800</w:t>
            </w:r>
          </w:p>
        </w:tc>
        <w:tc>
          <w:tcPr>
            <w:tcW w:w="1134" w:type="dxa"/>
            <w:tcBorders>
              <w:top w:val="nil"/>
              <w:left w:val="nil"/>
              <w:bottom w:val="single" w:sz="8" w:space="0" w:color="auto"/>
              <w:right w:val="single" w:sz="4" w:space="0" w:color="auto"/>
            </w:tcBorders>
            <w:shd w:val="clear" w:color="auto" w:fill="auto"/>
            <w:noWrap/>
            <w:vAlign w:val="center"/>
            <w:hideMark/>
          </w:tcPr>
          <w:p w14:paraId="3116FF0C" w14:textId="77777777" w:rsidR="00AD0869" w:rsidRPr="00747CFD" w:rsidRDefault="00AD0869" w:rsidP="00CC41BC">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586.876</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5A432B00" w14:textId="1C447831" w:rsidR="00AD0869" w:rsidRPr="00747CFD" w:rsidRDefault="00AD0869" w:rsidP="00CC41BC">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xml:space="preserve">2.054.065.991,5 </w:t>
            </w:r>
          </w:p>
        </w:tc>
        <w:tc>
          <w:tcPr>
            <w:tcW w:w="1275" w:type="dxa"/>
            <w:tcBorders>
              <w:top w:val="single" w:sz="8" w:space="0" w:color="auto"/>
              <w:left w:val="nil"/>
              <w:bottom w:val="single" w:sz="8" w:space="0" w:color="auto"/>
              <w:right w:val="single" w:sz="8" w:space="0" w:color="auto"/>
            </w:tcBorders>
            <w:vAlign w:val="center"/>
          </w:tcPr>
          <w:p w14:paraId="350A02D5" w14:textId="1146B04E" w:rsidR="00AD0869" w:rsidRPr="00747CFD" w:rsidRDefault="00DD3A6B" w:rsidP="00A82100">
            <w:pPr>
              <w:spacing w:after="0" w:line="240" w:lineRule="auto"/>
              <w:jc w:val="right"/>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272.621.407,06</w:t>
            </w:r>
          </w:p>
        </w:tc>
      </w:tr>
    </w:tbl>
    <w:p w14:paraId="34CEA8B0" w14:textId="77777777" w:rsidR="00CC41BC" w:rsidRDefault="00CC41BC" w:rsidP="004B4A81"/>
    <w:p w14:paraId="0AEE1482" w14:textId="3C469784" w:rsidR="00D52AD6" w:rsidRDefault="00D52AD6" w:rsidP="00E25425"/>
    <w:p w14:paraId="0C3F11EF" w14:textId="78C1E7CC" w:rsidR="00D52AD6" w:rsidRDefault="00D52AD6" w:rsidP="004B4A81">
      <w:pPr>
        <w:pStyle w:val="Slika"/>
      </w:pPr>
      <w:bookmarkStart w:id="233" w:name="_Ref116284370"/>
      <w:bookmarkStart w:id="234" w:name="_Toc125363971"/>
      <w:r w:rsidRPr="007A3BF2">
        <w:lastRenderedPageBreak/>
        <w:t xml:space="preserve">Slika </w:t>
      </w:r>
      <w:fldSimple w:instr=" SEQ Slika \* ARABIC ">
        <w:r w:rsidR="00F37B62">
          <w:rPr>
            <w:noProof/>
          </w:rPr>
          <w:t>63</w:t>
        </w:r>
      </w:fldSimple>
      <w:bookmarkEnd w:id="233"/>
      <w:r w:rsidRPr="007A3BF2">
        <w:t xml:space="preserve">. </w:t>
      </w:r>
      <w:r w:rsidRPr="007A3BF2">
        <w:rPr>
          <w:b w:val="0"/>
          <w:bCs/>
        </w:rPr>
        <w:t xml:space="preserve">Ukupni potrebni kapaciteti </w:t>
      </w:r>
      <w:proofErr w:type="spellStart"/>
      <w:r w:rsidRPr="007A3BF2">
        <w:rPr>
          <w:b w:val="0"/>
          <w:bCs/>
        </w:rPr>
        <w:t>sortirnica</w:t>
      </w:r>
      <w:proofErr w:type="spellEnd"/>
      <w:r w:rsidRPr="007A3BF2">
        <w:rPr>
          <w:b w:val="0"/>
          <w:bCs/>
        </w:rPr>
        <w:t xml:space="preserve"> u 2028. godini – SCENARIJ 1</w:t>
      </w:r>
      <w:bookmarkEnd w:id="234"/>
    </w:p>
    <w:p w14:paraId="5D14484C" w14:textId="7EAF8A11" w:rsidR="00A52DE5" w:rsidRDefault="00DB7B8A" w:rsidP="00E25425">
      <w:pPr>
        <w:pStyle w:val="Tablica"/>
      </w:pPr>
      <w:bookmarkStart w:id="235" w:name="_Ref116284355"/>
      <w:bookmarkStart w:id="236" w:name="_Toc125364422"/>
      <w:r w:rsidRPr="00A02E56">
        <w:t xml:space="preserve">Tablica </w:t>
      </w:r>
      <w:fldSimple w:instr=" SEQ Tablica \* ARABIC ">
        <w:r w:rsidR="00F37B62">
          <w:rPr>
            <w:noProof/>
          </w:rPr>
          <w:t>33</w:t>
        </w:r>
      </w:fldSimple>
      <w:bookmarkEnd w:id="235"/>
      <w:r w:rsidRPr="00A02E56">
        <w:t xml:space="preserve">. </w:t>
      </w:r>
      <w:r w:rsidR="00D52AD6" w:rsidRPr="00A02E56">
        <w:rPr>
          <w:b w:val="0"/>
          <w:bCs/>
        </w:rPr>
        <w:t xml:space="preserve">Ukupni potrebni kapaciteti </w:t>
      </w:r>
      <w:proofErr w:type="spellStart"/>
      <w:r w:rsidR="00D52AD6" w:rsidRPr="00A02E56">
        <w:rPr>
          <w:b w:val="0"/>
          <w:bCs/>
        </w:rPr>
        <w:t>sortirnica</w:t>
      </w:r>
      <w:proofErr w:type="spellEnd"/>
      <w:r w:rsidR="00D52AD6" w:rsidRPr="00A02E56">
        <w:rPr>
          <w:b w:val="0"/>
          <w:bCs/>
        </w:rPr>
        <w:t xml:space="preserve"> u 2028. godini – SCENARIJ 2</w:t>
      </w:r>
      <w:bookmarkEnd w:id="236"/>
    </w:p>
    <w:tbl>
      <w:tblPr>
        <w:tblW w:w="94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91"/>
        <w:gridCol w:w="902"/>
        <w:gridCol w:w="799"/>
        <w:gridCol w:w="1276"/>
        <w:gridCol w:w="1134"/>
        <w:gridCol w:w="1134"/>
        <w:gridCol w:w="1359"/>
        <w:gridCol w:w="1235"/>
      </w:tblGrid>
      <w:tr w:rsidR="00DD3A6B" w:rsidRPr="00747CFD" w14:paraId="409D8121" w14:textId="394FD136" w:rsidTr="00BB2706">
        <w:trPr>
          <w:trHeight w:val="270"/>
          <w:tblHeader/>
        </w:trPr>
        <w:tc>
          <w:tcPr>
            <w:tcW w:w="9488" w:type="dxa"/>
            <w:gridSpan w:val="8"/>
            <w:shd w:val="clear" w:color="auto" w:fill="auto"/>
            <w:noWrap/>
            <w:vAlign w:val="center"/>
            <w:hideMark/>
          </w:tcPr>
          <w:p w14:paraId="4619E0DB" w14:textId="1E99ACD8" w:rsidR="00DD3A6B" w:rsidRPr="00747CFD" w:rsidRDefault="00DD3A6B" w:rsidP="00CC41BC">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xml:space="preserve">2028.- </w:t>
            </w:r>
            <w:proofErr w:type="spellStart"/>
            <w:r w:rsidRPr="00747CFD">
              <w:rPr>
                <w:rFonts w:ascii="Calibri" w:eastAsia="Times New Roman" w:hAnsi="Calibri" w:cs="Calibri"/>
                <w:b/>
                <w:bCs/>
                <w:color w:val="000000"/>
                <w:sz w:val="16"/>
                <w:szCs w:val="16"/>
                <w:lang w:eastAsia="hr-HR"/>
              </w:rPr>
              <w:t>Sortirnice</w:t>
            </w:r>
            <w:proofErr w:type="spellEnd"/>
          </w:p>
        </w:tc>
      </w:tr>
      <w:tr w:rsidR="00DD3A6B" w:rsidRPr="00747CFD" w14:paraId="3D387B12" w14:textId="69D3FC09" w:rsidTr="00BB2706">
        <w:trPr>
          <w:trHeight w:val="1350"/>
          <w:tblHeader/>
        </w:trPr>
        <w:tc>
          <w:tcPr>
            <w:tcW w:w="1691" w:type="dxa"/>
            <w:shd w:val="clear" w:color="auto" w:fill="002060"/>
            <w:noWrap/>
            <w:vAlign w:val="center"/>
            <w:hideMark/>
          </w:tcPr>
          <w:p w14:paraId="756FAA53" w14:textId="77777777" w:rsidR="00DD3A6B" w:rsidRPr="00747CFD" w:rsidRDefault="00DD3A6B"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Županija</w:t>
            </w:r>
          </w:p>
        </w:tc>
        <w:tc>
          <w:tcPr>
            <w:tcW w:w="902" w:type="dxa"/>
            <w:shd w:val="clear" w:color="auto" w:fill="002060"/>
            <w:vAlign w:val="center"/>
            <w:hideMark/>
          </w:tcPr>
          <w:p w14:paraId="57E61C1A" w14:textId="77777777" w:rsidR="00DD3A6B" w:rsidRPr="00747CFD" w:rsidRDefault="00DD3A6B"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Udio županije u ukupno skupljenoj količini KO</w:t>
            </w:r>
          </w:p>
        </w:tc>
        <w:tc>
          <w:tcPr>
            <w:tcW w:w="799" w:type="dxa"/>
            <w:shd w:val="clear" w:color="auto" w:fill="002060"/>
            <w:vAlign w:val="center"/>
            <w:hideMark/>
          </w:tcPr>
          <w:p w14:paraId="31D0E54B" w14:textId="77777777" w:rsidR="00DD3A6B" w:rsidRPr="00747CFD" w:rsidRDefault="00DD3A6B"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xml:space="preserve">Ulaz u sustav obrade suhih </w:t>
            </w:r>
            <w:proofErr w:type="spellStart"/>
            <w:r w:rsidRPr="00747CFD">
              <w:rPr>
                <w:rFonts w:ascii="Calibri" w:eastAsia="Times New Roman" w:hAnsi="Calibri" w:cs="Calibri"/>
                <w:b/>
                <w:color w:val="FFFFFF" w:themeColor="background1"/>
                <w:sz w:val="16"/>
                <w:szCs w:val="16"/>
                <w:lang w:eastAsia="hr-HR"/>
              </w:rPr>
              <w:t>reciklata</w:t>
            </w:r>
            <w:proofErr w:type="spellEnd"/>
            <w:r w:rsidRPr="00747CFD">
              <w:rPr>
                <w:rFonts w:ascii="Calibri" w:eastAsia="Times New Roman" w:hAnsi="Calibri" w:cs="Calibri"/>
                <w:b/>
                <w:color w:val="FFFFFF" w:themeColor="background1"/>
                <w:sz w:val="16"/>
                <w:szCs w:val="16"/>
                <w:lang w:eastAsia="hr-HR"/>
              </w:rPr>
              <w:br/>
              <w:t>(t/god)</w:t>
            </w:r>
          </w:p>
        </w:tc>
        <w:tc>
          <w:tcPr>
            <w:tcW w:w="1276" w:type="dxa"/>
            <w:shd w:val="clear" w:color="auto" w:fill="002060"/>
            <w:vAlign w:val="center"/>
            <w:hideMark/>
          </w:tcPr>
          <w:p w14:paraId="35F92B8A" w14:textId="77777777" w:rsidR="00DD3A6B" w:rsidRPr="00747CFD" w:rsidRDefault="00DD3A6B"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xml:space="preserve">Ukupni potrebni kapacitet </w:t>
            </w:r>
            <w:proofErr w:type="spellStart"/>
            <w:r w:rsidRPr="00747CFD">
              <w:rPr>
                <w:rFonts w:ascii="Calibri" w:eastAsia="Times New Roman" w:hAnsi="Calibri" w:cs="Calibri"/>
                <w:b/>
                <w:color w:val="FFFFFF" w:themeColor="background1"/>
                <w:sz w:val="16"/>
                <w:szCs w:val="16"/>
                <w:lang w:eastAsia="hr-HR"/>
              </w:rPr>
              <w:t>sortirnica</w:t>
            </w:r>
            <w:proofErr w:type="spellEnd"/>
            <w:r w:rsidRPr="00747CFD">
              <w:rPr>
                <w:rFonts w:ascii="Calibri" w:eastAsia="Times New Roman" w:hAnsi="Calibri" w:cs="Calibri"/>
                <w:b/>
                <w:color w:val="FFFFFF" w:themeColor="background1"/>
                <w:sz w:val="16"/>
                <w:szCs w:val="16"/>
                <w:lang w:eastAsia="hr-HR"/>
              </w:rPr>
              <w:t xml:space="preserve"> za obradu suhih </w:t>
            </w:r>
            <w:proofErr w:type="spellStart"/>
            <w:r w:rsidRPr="00747CFD">
              <w:rPr>
                <w:rFonts w:ascii="Calibri" w:eastAsia="Times New Roman" w:hAnsi="Calibri" w:cs="Calibri"/>
                <w:b/>
                <w:color w:val="FFFFFF" w:themeColor="background1"/>
                <w:sz w:val="16"/>
                <w:szCs w:val="16"/>
                <w:lang w:eastAsia="hr-HR"/>
              </w:rPr>
              <w:t>reciklata</w:t>
            </w:r>
            <w:proofErr w:type="spellEnd"/>
            <w:r w:rsidRPr="00747CFD">
              <w:rPr>
                <w:rFonts w:ascii="Calibri" w:eastAsia="Times New Roman" w:hAnsi="Calibri" w:cs="Calibri"/>
                <w:b/>
                <w:color w:val="FFFFFF" w:themeColor="background1"/>
                <w:sz w:val="16"/>
                <w:szCs w:val="16"/>
                <w:lang w:eastAsia="hr-HR"/>
              </w:rPr>
              <w:br/>
              <w:t>(t/god)</w:t>
            </w:r>
          </w:p>
        </w:tc>
        <w:tc>
          <w:tcPr>
            <w:tcW w:w="1134" w:type="dxa"/>
            <w:shd w:val="clear" w:color="auto" w:fill="002060"/>
            <w:vAlign w:val="center"/>
            <w:hideMark/>
          </w:tcPr>
          <w:p w14:paraId="330816F0" w14:textId="77777777" w:rsidR="00DD3A6B" w:rsidRPr="00747CFD" w:rsidRDefault="00DD3A6B"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xml:space="preserve">Kapacitet postojećih </w:t>
            </w:r>
            <w:proofErr w:type="spellStart"/>
            <w:r w:rsidRPr="00747CFD">
              <w:rPr>
                <w:rFonts w:ascii="Calibri" w:eastAsia="Times New Roman" w:hAnsi="Calibri" w:cs="Calibri"/>
                <w:b/>
                <w:color w:val="FFFFFF" w:themeColor="background1"/>
                <w:sz w:val="16"/>
                <w:szCs w:val="16"/>
                <w:lang w:eastAsia="hr-HR"/>
              </w:rPr>
              <w:t>sortirnica</w:t>
            </w:r>
            <w:proofErr w:type="spellEnd"/>
            <w:r w:rsidRPr="00747CFD">
              <w:rPr>
                <w:rFonts w:ascii="Calibri" w:eastAsia="Times New Roman" w:hAnsi="Calibri" w:cs="Calibri"/>
                <w:b/>
                <w:color w:val="FFFFFF" w:themeColor="background1"/>
                <w:sz w:val="16"/>
                <w:szCs w:val="16"/>
                <w:lang w:eastAsia="hr-HR"/>
              </w:rPr>
              <w:t xml:space="preserve"> za obradu suhih </w:t>
            </w:r>
            <w:proofErr w:type="spellStart"/>
            <w:r w:rsidRPr="00747CFD">
              <w:rPr>
                <w:rFonts w:ascii="Calibri" w:eastAsia="Times New Roman" w:hAnsi="Calibri" w:cs="Calibri"/>
                <w:b/>
                <w:color w:val="FFFFFF" w:themeColor="background1"/>
                <w:sz w:val="16"/>
                <w:szCs w:val="16"/>
                <w:lang w:eastAsia="hr-HR"/>
              </w:rPr>
              <w:t>reciklata</w:t>
            </w:r>
            <w:proofErr w:type="spellEnd"/>
            <w:r w:rsidRPr="00747CFD">
              <w:rPr>
                <w:rFonts w:ascii="Calibri" w:eastAsia="Times New Roman" w:hAnsi="Calibri" w:cs="Calibri"/>
                <w:b/>
                <w:color w:val="FFFFFF" w:themeColor="background1"/>
                <w:sz w:val="16"/>
                <w:szCs w:val="16"/>
                <w:lang w:eastAsia="hr-HR"/>
              </w:rPr>
              <w:t xml:space="preserve"> (R12)</w:t>
            </w:r>
            <w:r w:rsidRPr="00747CFD">
              <w:rPr>
                <w:rFonts w:ascii="Calibri" w:eastAsia="Times New Roman" w:hAnsi="Calibri" w:cs="Calibri"/>
                <w:b/>
                <w:color w:val="FFFFFF" w:themeColor="background1"/>
                <w:sz w:val="16"/>
                <w:szCs w:val="16"/>
                <w:lang w:eastAsia="hr-HR"/>
              </w:rPr>
              <w:br/>
              <w:t>(t/god)</w:t>
            </w:r>
          </w:p>
        </w:tc>
        <w:tc>
          <w:tcPr>
            <w:tcW w:w="1134" w:type="dxa"/>
            <w:shd w:val="clear" w:color="auto" w:fill="002060"/>
            <w:vAlign w:val="center"/>
            <w:hideMark/>
          </w:tcPr>
          <w:p w14:paraId="5864CBCE" w14:textId="77777777" w:rsidR="00DD3A6B" w:rsidRPr="00747CFD" w:rsidRDefault="00DD3A6B"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xml:space="preserve">Potrebni dodatni kapacitet </w:t>
            </w:r>
            <w:proofErr w:type="spellStart"/>
            <w:r w:rsidRPr="00747CFD">
              <w:rPr>
                <w:rFonts w:ascii="Calibri" w:eastAsia="Times New Roman" w:hAnsi="Calibri" w:cs="Calibri"/>
                <w:b/>
                <w:color w:val="FFFFFF" w:themeColor="background1"/>
                <w:sz w:val="16"/>
                <w:szCs w:val="16"/>
                <w:lang w:eastAsia="hr-HR"/>
              </w:rPr>
              <w:t>sortirnica</w:t>
            </w:r>
            <w:proofErr w:type="spellEnd"/>
            <w:r w:rsidRPr="00747CFD">
              <w:rPr>
                <w:rFonts w:ascii="Calibri" w:eastAsia="Times New Roman" w:hAnsi="Calibri" w:cs="Calibri"/>
                <w:b/>
                <w:color w:val="FFFFFF" w:themeColor="background1"/>
                <w:sz w:val="16"/>
                <w:szCs w:val="16"/>
                <w:lang w:eastAsia="hr-HR"/>
              </w:rPr>
              <w:t xml:space="preserve"> za obradu suhih </w:t>
            </w:r>
            <w:proofErr w:type="spellStart"/>
            <w:r w:rsidRPr="00747CFD">
              <w:rPr>
                <w:rFonts w:ascii="Calibri" w:eastAsia="Times New Roman" w:hAnsi="Calibri" w:cs="Calibri"/>
                <w:b/>
                <w:color w:val="FFFFFF" w:themeColor="background1"/>
                <w:sz w:val="16"/>
                <w:szCs w:val="16"/>
                <w:lang w:eastAsia="hr-HR"/>
              </w:rPr>
              <w:t>reciklata</w:t>
            </w:r>
            <w:proofErr w:type="spellEnd"/>
            <w:r w:rsidRPr="00747CFD">
              <w:rPr>
                <w:rFonts w:ascii="Calibri" w:eastAsia="Times New Roman" w:hAnsi="Calibri" w:cs="Calibri"/>
                <w:b/>
                <w:color w:val="FFFFFF" w:themeColor="background1"/>
                <w:sz w:val="16"/>
                <w:szCs w:val="16"/>
                <w:lang w:eastAsia="hr-HR"/>
              </w:rPr>
              <w:br/>
              <w:t>(t/god)</w:t>
            </w:r>
          </w:p>
        </w:tc>
        <w:tc>
          <w:tcPr>
            <w:tcW w:w="1134" w:type="dxa"/>
            <w:shd w:val="clear" w:color="auto" w:fill="002060"/>
            <w:vAlign w:val="center"/>
            <w:hideMark/>
          </w:tcPr>
          <w:p w14:paraId="2DEB76C7" w14:textId="06008D56" w:rsidR="00DD3A6B" w:rsidRPr="00747CFD" w:rsidRDefault="00DD3A6B"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xml:space="preserve">Procjena troškova izgradnje novih </w:t>
            </w:r>
            <w:proofErr w:type="spellStart"/>
            <w:r w:rsidRPr="00747CFD">
              <w:rPr>
                <w:rFonts w:ascii="Calibri" w:eastAsia="Times New Roman" w:hAnsi="Calibri" w:cs="Calibri"/>
                <w:b/>
                <w:color w:val="FFFFFF" w:themeColor="background1"/>
                <w:sz w:val="16"/>
                <w:szCs w:val="16"/>
                <w:lang w:eastAsia="hr-HR"/>
              </w:rPr>
              <w:t>sortirnica</w:t>
            </w:r>
            <w:proofErr w:type="spellEnd"/>
            <w:r>
              <w:rPr>
                <w:rFonts w:ascii="Calibri" w:eastAsia="Times New Roman" w:hAnsi="Calibri" w:cs="Calibri"/>
                <w:b/>
                <w:color w:val="FFFFFF" w:themeColor="background1"/>
                <w:sz w:val="16"/>
                <w:szCs w:val="16"/>
                <w:lang w:eastAsia="hr-HR"/>
              </w:rPr>
              <w:t xml:space="preserve"> </w:t>
            </w:r>
            <w:r>
              <w:rPr>
                <w:rFonts w:ascii="Calibri" w:eastAsia="Times New Roman" w:hAnsi="Calibri" w:cs="Calibri"/>
                <w:b/>
                <w:color w:val="FFFFFF" w:themeColor="background1"/>
                <w:sz w:val="16"/>
                <w:szCs w:val="16"/>
                <w:lang w:eastAsia="hr-HR"/>
              </w:rPr>
              <w:br/>
              <w:t>(kn)</w:t>
            </w:r>
          </w:p>
        </w:tc>
        <w:tc>
          <w:tcPr>
            <w:tcW w:w="1418" w:type="dxa"/>
            <w:shd w:val="clear" w:color="auto" w:fill="002060"/>
          </w:tcPr>
          <w:p w14:paraId="0478D43E" w14:textId="4CB13FCB" w:rsidR="00DD3A6B" w:rsidRPr="00747CFD" w:rsidRDefault="00DD3A6B"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xml:space="preserve">Procjena troškova izgradnje novih </w:t>
            </w:r>
            <w:proofErr w:type="spellStart"/>
            <w:r w:rsidRPr="00747CFD">
              <w:rPr>
                <w:rFonts w:ascii="Calibri" w:eastAsia="Times New Roman" w:hAnsi="Calibri" w:cs="Calibri"/>
                <w:b/>
                <w:color w:val="FFFFFF" w:themeColor="background1"/>
                <w:sz w:val="16"/>
                <w:szCs w:val="16"/>
                <w:lang w:eastAsia="hr-HR"/>
              </w:rPr>
              <w:t>sortirnica</w:t>
            </w:r>
            <w:proofErr w:type="spellEnd"/>
            <w:r>
              <w:rPr>
                <w:rFonts w:ascii="Calibri" w:eastAsia="Times New Roman" w:hAnsi="Calibri" w:cs="Calibri"/>
                <w:b/>
                <w:color w:val="FFFFFF" w:themeColor="background1"/>
                <w:sz w:val="16"/>
                <w:szCs w:val="16"/>
                <w:lang w:eastAsia="hr-HR"/>
              </w:rPr>
              <w:t xml:space="preserve"> </w:t>
            </w:r>
            <w:r>
              <w:rPr>
                <w:rFonts w:ascii="Calibri" w:eastAsia="Times New Roman" w:hAnsi="Calibri" w:cs="Calibri"/>
                <w:b/>
                <w:color w:val="FFFFFF" w:themeColor="background1"/>
                <w:sz w:val="16"/>
                <w:szCs w:val="16"/>
                <w:lang w:eastAsia="hr-HR"/>
              </w:rPr>
              <w:br/>
              <w:t>(EUR)</w:t>
            </w:r>
          </w:p>
        </w:tc>
      </w:tr>
      <w:tr w:rsidR="00DD3A6B" w:rsidRPr="00747CFD" w14:paraId="2607E672" w14:textId="2A730260" w:rsidTr="00BB2706">
        <w:trPr>
          <w:trHeight w:val="170"/>
        </w:trPr>
        <w:tc>
          <w:tcPr>
            <w:tcW w:w="1691" w:type="dxa"/>
            <w:shd w:val="clear" w:color="auto" w:fill="auto"/>
            <w:noWrap/>
            <w:vAlign w:val="center"/>
            <w:hideMark/>
          </w:tcPr>
          <w:p w14:paraId="3AD64605"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Bjelovarsko-bilogorska</w:t>
            </w:r>
          </w:p>
        </w:tc>
        <w:tc>
          <w:tcPr>
            <w:tcW w:w="902" w:type="dxa"/>
            <w:shd w:val="clear" w:color="auto" w:fill="auto"/>
            <w:noWrap/>
            <w:vAlign w:val="center"/>
            <w:hideMark/>
          </w:tcPr>
          <w:p w14:paraId="4948F78C"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w:t>
            </w:r>
          </w:p>
        </w:tc>
        <w:tc>
          <w:tcPr>
            <w:tcW w:w="799" w:type="dxa"/>
            <w:vMerge w:val="restart"/>
            <w:shd w:val="clear" w:color="auto" w:fill="auto"/>
            <w:vAlign w:val="center"/>
            <w:hideMark/>
          </w:tcPr>
          <w:p w14:paraId="0F4D8583"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691.401</w:t>
            </w:r>
          </w:p>
        </w:tc>
        <w:tc>
          <w:tcPr>
            <w:tcW w:w="1276" w:type="dxa"/>
            <w:shd w:val="clear" w:color="auto" w:fill="auto"/>
            <w:noWrap/>
            <w:vAlign w:val="center"/>
            <w:hideMark/>
          </w:tcPr>
          <w:p w14:paraId="2C07A94A"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11.036</w:t>
            </w:r>
          </w:p>
        </w:tc>
        <w:tc>
          <w:tcPr>
            <w:tcW w:w="1134" w:type="dxa"/>
            <w:shd w:val="clear" w:color="auto" w:fill="auto"/>
            <w:noWrap/>
            <w:vAlign w:val="center"/>
            <w:hideMark/>
          </w:tcPr>
          <w:p w14:paraId="3CF6464A"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2.100</w:t>
            </w:r>
          </w:p>
        </w:tc>
        <w:tc>
          <w:tcPr>
            <w:tcW w:w="1134" w:type="dxa"/>
            <w:shd w:val="clear" w:color="auto" w:fill="auto"/>
            <w:noWrap/>
            <w:vAlign w:val="center"/>
            <w:hideMark/>
          </w:tcPr>
          <w:p w14:paraId="4EF34685"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8.936</w:t>
            </w:r>
          </w:p>
        </w:tc>
        <w:tc>
          <w:tcPr>
            <w:tcW w:w="1134" w:type="dxa"/>
            <w:shd w:val="clear" w:color="auto" w:fill="auto"/>
            <w:noWrap/>
            <w:vAlign w:val="center"/>
            <w:hideMark/>
          </w:tcPr>
          <w:p w14:paraId="65E53AA6" w14:textId="09C3BACF"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31.276.955 </w:t>
            </w:r>
          </w:p>
        </w:tc>
        <w:tc>
          <w:tcPr>
            <w:tcW w:w="1418" w:type="dxa"/>
            <w:vAlign w:val="center"/>
          </w:tcPr>
          <w:p w14:paraId="192EEB07" w14:textId="4F299DDA" w:rsidR="00DD3A6B"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4.151.165,31</w:t>
            </w:r>
          </w:p>
        </w:tc>
      </w:tr>
      <w:tr w:rsidR="00DD3A6B" w:rsidRPr="00747CFD" w14:paraId="36B3DCA0" w14:textId="37FB3054" w:rsidTr="00BB2706">
        <w:trPr>
          <w:trHeight w:val="170"/>
        </w:trPr>
        <w:tc>
          <w:tcPr>
            <w:tcW w:w="1691" w:type="dxa"/>
            <w:shd w:val="clear" w:color="auto" w:fill="auto"/>
            <w:noWrap/>
            <w:vAlign w:val="center"/>
            <w:hideMark/>
          </w:tcPr>
          <w:p w14:paraId="18206BB9"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Brodsko-posavska</w:t>
            </w:r>
          </w:p>
        </w:tc>
        <w:tc>
          <w:tcPr>
            <w:tcW w:w="902" w:type="dxa"/>
            <w:shd w:val="clear" w:color="auto" w:fill="auto"/>
            <w:noWrap/>
            <w:vAlign w:val="center"/>
            <w:hideMark/>
          </w:tcPr>
          <w:p w14:paraId="2ED1568C"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2,0%</w:t>
            </w:r>
          </w:p>
        </w:tc>
        <w:tc>
          <w:tcPr>
            <w:tcW w:w="799" w:type="dxa"/>
            <w:vMerge/>
            <w:shd w:val="clear" w:color="auto" w:fill="auto"/>
            <w:vAlign w:val="center"/>
            <w:hideMark/>
          </w:tcPr>
          <w:p w14:paraId="2FF2177F"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757C266B"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14.149</w:t>
            </w:r>
          </w:p>
        </w:tc>
        <w:tc>
          <w:tcPr>
            <w:tcW w:w="1134" w:type="dxa"/>
            <w:shd w:val="clear" w:color="auto" w:fill="auto"/>
            <w:noWrap/>
            <w:vAlign w:val="center"/>
            <w:hideMark/>
          </w:tcPr>
          <w:p w14:paraId="36DADB6C"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05207E27"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14.149</w:t>
            </w:r>
          </w:p>
        </w:tc>
        <w:tc>
          <w:tcPr>
            <w:tcW w:w="1134" w:type="dxa"/>
            <w:shd w:val="clear" w:color="auto" w:fill="auto"/>
            <w:noWrap/>
            <w:vAlign w:val="center"/>
            <w:hideMark/>
          </w:tcPr>
          <w:p w14:paraId="4A944F52" w14:textId="34E243DC"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49.522.043 </w:t>
            </w:r>
          </w:p>
        </w:tc>
        <w:tc>
          <w:tcPr>
            <w:tcW w:w="1418" w:type="dxa"/>
            <w:vAlign w:val="center"/>
          </w:tcPr>
          <w:p w14:paraId="3A79D69D" w14:textId="0A999D19" w:rsidR="00DD3A6B"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6.572.704,63</w:t>
            </w:r>
          </w:p>
        </w:tc>
      </w:tr>
      <w:tr w:rsidR="00DD3A6B" w:rsidRPr="00747CFD" w14:paraId="28CD1B29" w14:textId="6F2B258A" w:rsidTr="00BB2706">
        <w:trPr>
          <w:trHeight w:val="170"/>
        </w:trPr>
        <w:tc>
          <w:tcPr>
            <w:tcW w:w="1691" w:type="dxa"/>
            <w:shd w:val="clear" w:color="auto" w:fill="auto"/>
            <w:noWrap/>
            <w:vAlign w:val="center"/>
            <w:hideMark/>
          </w:tcPr>
          <w:p w14:paraId="2D23A5D1"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Dubrovačko-neretvanska</w:t>
            </w:r>
          </w:p>
        </w:tc>
        <w:tc>
          <w:tcPr>
            <w:tcW w:w="902" w:type="dxa"/>
            <w:shd w:val="clear" w:color="auto" w:fill="auto"/>
            <w:noWrap/>
            <w:vAlign w:val="center"/>
            <w:hideMark/>
          </w:tcPr>
          <w:p w14:paraId="4B9D0589"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3,9%</w:t>
            </w:r>
          </w:p>
        </w:tc>
        <w:tc>
          <w:tcPr>
            <w:tcW w:w="799" w:type="dxa"/>
            <w:vMerge/>
            <w:shd w:val="clear" w:color="auto" w:fill="auto"/>
            <w:vAlign w:val="center"/>
            <w:hideMark/>
          </w:tcPr>
          <w:p w14:paraId="61EA44F7"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73649CA8"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26.976</w:t>
            </w:r>
          </w:p>
        </w:tc>
        <w:tc>
          <w:tcPr>
            <w:tcW w:w="1134" w:type="dxa"/>
            <w:shd w:val="clear" w:color="auto" w:fill="auto"/>
            <w:noWrap/>
            <w:vAlign w:val="center"/>
            <w:hideMark/>
          </w:tcPr>
          <w:p w14:paraId="75DACC91"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2.900</w:t>
            </w:r>
          </w:p>
        </w:tc>
        <w:tc>
          <w:tcPr>
            <w:tcW w:w="1134" w:type="dxa"/>
            <w:shd w:val="clear" w:color="auto" w:fill="auto"/>
            <w:noWrap/>
            <w:vAlign w:val="center"/>
            <w:hideMark/>
          </w:tcPr>
          <w:p w14:paraId="65E6DA79"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24.076</w:t>
            </w:r>
          </w:p>
        </w:tc>
        <w:tc>
          <w:tcPr>
            <w:tcW w:w="1134" w:type="dxa"/>
            <w:shd w:val="clear" w:color="auto" w:fill="auto"/>
            <w:noWrap/>
            <w:vAlign w:val="center"/>
            <w:hideMark/>
          </w:tcPr>
          <w:p w14:paraId="64584147" w14:textId="67520C49"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84.266.258 </w:t>
            </w:r>
          </w:p>
        </w:tc>
        <w:tc>
          <w:tcPr>
            <w:tcW w:w="1418" w:type="dxa"/>
            <w:vAlign w:val="center"/>
          </w:tcPr>
          <w:p w14:paraId="654C1D89" w14:textId="422C86F2" w:rsidR="00DD3A6B"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11.184.054,42</w:t>
            </w:r>
          </w:p>
        </w:tc>
      </w:tr>
      <w:tr w:rsidR="00DD3A6B" w:rsidRPr="00747CFD" w14:paraId="750279D0" w14:textId="3415FB18" w:rsidTr="00BB2706">
        <w:trPr>
          <w:trHeight w:val="170"/>
        </w:trPr>
        <w:tc>
          <w:tcPr>
            <w:tcW w:w="1691" w:type="dxa"/>
            <w:shd w:val="clear" w:color="auto" w:fill="auto"/>
            <w:noWrap/>
            <w:vAlign w:val="center"/>
            <w:hideMark/>
          </w:tcPr>
          <w:p w14:paraId="5F97A99E"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Grad Zagreb</w:t>
            </w:r>
          </w:p>
        </w:tc>
        <w:tc>
          <w:tcPr>
            <w:tcW w:w="902" w:type="dxa"/>
            <w:shd w:val="clear" w:color="auto" w:fill="auto"/>
            <w:noWrap/>
            <w:vAlign w:val="center"/>
            <w:hideMark/>
          </w:tcPr>
          <w:p w14:paraId="5852F54D"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19,8%</w:t>
            </w:r>
          </w:p>
        </w:tc>
        <w:tc>
          <w:tcPr>
            <w:tcW w:w="799" w:type="dxa"/>
            <w:vMerge/>
            <w:shd w:val="clear" w:color="auto" w:fill="auto"/>
            <w:vAlign w:val="center"/>
            <w:hideMark/>
          </w:tcPr>
          <w:p w14:paraId="01998230"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79241E89"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136.553</w:t>
            </w:r>
          </w:p>
        </w:tc>
        <w:tc>
          <w:tcPr>
            <w:tcW w:w="1134" w:type="dxa"/>
            <w:shd w:val="clear" w:color="auto" w:fill="auto"/>
            <w:noWrap/>
            <w:vAlign w:val="center"/>
            <w:hideMark/>
          </w:tcPr>
          <w:p w14:paraId="79B46953"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62.900</w:t>
            </w:r>
          </w:p>
        </w:tc>
        <w:tc>
          <w:tcPr>
            <w:tcW w:w="1134" w:type="dxa"/>
            <w:shd w:val="clear" w:color="auto" w:fill="auto"/>
            <w:noWrap/>
            <w:vAlign w:val="center"/>
            <w:hideMark/>
          </w:tcPr>
          <w:p w14:paraId="19398EC3"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73.653</w:t>
            </w:r>
          </w:p>
        </w:tc>
        <w:tc>
          <w:tcPr>
            <w:tcW w:w="1134" w:type="dxa"/>
            <w:shd w:val="clear" w:color="auto" w:fill="auto"/>
            <w:noWrap/>
            <w:vAlign w:val="center"/>
            <w:hideMark/>
          </w:tcPr>
          <w:p w14:paraId="5026A12F" w14:textId="51AE43A8"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257.786.280 </w:t>
            </w:r>
          </w:p>
        </w:tc>
        <w:tc>
          <w:tcPr>
            <w:tcW w:w="1418" w:type="dxa"/>
            <w:vAlign w:val="center"/>
          </w:tcPr>
          <w:p w14:paraId="4A4E97E4" w14:textId="4141DAF7" w:rsidR="00DD3A6B"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34.214.119,05</w:t>
            </w:r>
          </w:p>
        </w:tc>
      </w:tr>
      <w:tr w:rsidR="00DD3A6B" w:rsidRPr="00747CFD" w14:paraId="6E41B5FA" w14:textId="4425ED4E" w:rsidTr="00BB2706">
        <w:trPr>
          <w:trHeight w:val="170"/>
        </w:trPr>
        <w:tc>
          <w:tcPr>
            <w:tcW w:w="1691" w:type="dxa"/>
            <w:shd w:val="clear" w:color="auto" w:fill="auto"/>
            <w:noWrap/>
            <w:vAlign w:val="center"/>
            <w:hideMark/>
          </w:tcPr>
          <w:p w14:paraId="7B08166C"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Istarska </w:t>
            </w:r>
          </w:p>
        </w:tc>
        <w:tc>
          <w:tcPr>
            <w:tcW w:w="902" w:type="dxa"/>
            <w:shd w:val="clear" w:color="auto" w:fill="auto"/>
            <w:noWrap/>
            <w:vAlign w:val="center"/>
            <w:hideMark/>
          </w:tcPr>
          <w:p w14:paraId="005122CD"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7,5%</w:t>
            </w:r>
          </w:p>
        </w:tc>
        <w:tc>
          <w:tcPr>
            <w:tcW w:w="799" w:type="dxa"/>
            <w:vMerge/>
            <w:shd w:val="clear" w:color="auto" w:fill="auto"/>
            <w:vAlign w:val="center"/>
            <w:hideMark/>
          </w:tcPr>
          <w:p w14:paraId="43B0C5CC"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6FA10D35"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51.521</w:t>
            </w:r>
          </w:p>
        </w:tc>
        <w:tc>
          <w:tcPr>
            <w:tcW w:w="1134" w:type="dxa"/>
            <w:shd w:val="clear" w:color="auto" w:fill="auto"/>
            <w:noWrap/>
            <w:vAlign w:val="center"/>
            <w:hideMark/>
          </w:tcPr>
          <w:p w14:paraId="10849A46"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4A1F382F"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51.521</w:t>
            </w:r>
          </w:p>
        </w:tc>
        <w:tc>
          <w:tcPr>
            <w:tcW w:w="1134" w:type="dxa"/>
            <w:shd w:val="clear" w:color="auto" w:fill="auto"/>
            <w:noWrap/>
            <w:vAlign w:val="center"/>
            <w:hideMark/>
          </w:tcPr>
          <w:p w14:paraId="2ABB4B3A" w14:textId="25665687"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180.322.249 </w:t>
            </w:r>
          </w:p>
        </w:tc>
        <w:tc>
          <w:tcPr>
            <w:tcW w:w="1418" w:type="dxa"/>
            <w:vAlign w:val="center"/>
          </w:tcPr>
          <w:p w14:paraId="7E0D9D41" w14:textId="167A0289" w:rsidR="00DD3A6B"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23.932.875,31</w:t>
            </w:r>
          </w:p>
        </w:tc>
      </w:tr>
      <w:tr w:rsidR="00DD3A6B" w:rsidRPr="00747CFD" w14:paraId="6044719B" w14:textId="6B56B13C" w:rsidTr="00BB2706">
        <w:trPr>
          <w:trHeight w:val="170"/>
        </w:trPr>
        <w:tc>
          <w:tcPr>
            <w:tcW w:w="1691" w:type="dxa"/>
            <w:shd w:val="clear" w:color="auto" w:fill="auto"/>
            <w:noWrap/>
            <w:vAlign w:val="center"/>
            <w:hideMark/>
          </w:tcPr>
          <w:p w14:paraId="69EF23B7"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Karlovačka </w:t>
            </w:r>
          </w:p>
        </w:tc>
        <w:tc>
          <w:tcPr>
            <w:tcW w:w="902" w:type="dxa"/>
            <w:shd w:val="clear" w:color="auto" w:fill="auto"/>
            <w:noWrap/>
            <w:vAlign w:val="center"/>
            <w:hideMark/>
          </w:tcPr>
          <w:p w14:paraId="163A12E7"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2,5%</w:t>
            </w:r>
          </w:p>
        </w:tc>
        <w:tc>
          <w:tcPr>
            <w:tcW w:w="799" w:type="dxa"/>
            <w:vMerge/>
            <w:shd w:val="clear" w:color="auto" w:fill="auto"/>
            <w:vAlign w:val="center"/>
            <w:hideMark/>
          </w:tcPr>
          <w:p w14:paraId="4CF3DF37"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42C71CC5"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17.054</w:t>
            </w:r>
          </w:p>
        </w:tc>
        <w:tc>
          <w:tcPr>
            <w:tcW w:w="1134" w:type="dxa"/>
            <w:shd w:val="clear" w:color="auto" w:fill="auto"/>
            <w:noWrap/>
            <w:vAlign w:val="center"/>
            <w:hideMark/>
          </w:tcPr>
          <w:p w14:paraId="6BA77899"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9.100</w:t>
            </w:r>
          </w:p>
        </w:tc>
        <w:tc>
          <w:tcPr>
            <w:tcW w:w="1134" w:type="dxa"/>
            <w:shd w:val="clear" w:color="auto" w:fill="auto"/>
            <w:noWrap/>
            <w:vAlign w:val="center"/>
            <w:hideMark/>
          </w:tcPr>
          <w:p w14:paraId="12CA66EB"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7.954</w:t>
            </w:r>
          </w:p>
        </w:tc>
        <w:tc>
          <w:tcPr>
            <w:tcW w:w="1134" w:type="dxa"/>
            <w:shd w:val="clear" w:color="auto" w:fill="auto"/>
            <w:noWrap/>
            <w:vAlign w:val="center"/>
            <w:hideMark/>
          </w:tcPr>
          <w:p w14:paraId="79DAF70C" w14:textId="6212525B"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27.837.624 </w:t>
            </w:r>
          </w:p>
        </w:tc>
        <w:tc>
          <w:tcPr>
            <w:tcW w:w="1418" w:type="dxa"/>
            <w:vAlign w:val="center"/>
          </w:tcPr>
          <w:p w14:paraId="77DA36EA" w14:textId="61BFFC36" w:rsidR="00DD3A6B"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3.694.687,64</w:t>
            </w:r>
          </w:p>
        </w:tc>
      </w:tr>
      <w:tr w:rsidR="00DD3A6B" w:rsidRPr="00747CFD" w14:paraId="7EA846F5" w14:textId="0979B369" w:rsidTr="00BB2706">
        <w:trPr>
          <w:trHeight w:val="170"/>
        </w:trPr>
        <w:tc>
          <w:tcPr>
            <w:tcW w:w="1691" w:type="dxa"/>
            <w:shd w:val="clear" w:color="auto" w:fill="auto"/>
            <w:noWrap/>
            <w:vAlign w:val="center"/>
            <w:hideMark/>
          </w:tcPr>
          <w:p w14:paraId="3CC73707"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Koprivničko-križevačka</w:t>
            </w:r>
          </w:p>
        </w:tc>
        <w:tc>
          <w:tcPr>
            <w:tcW w:w="902" w:type="dxa"/>
            <w:shd w:val="clear" w:color="auto" w:fill="auto"/>
            <w:noWrap/>
            <w:vAlign w:val="center"/>
            <w:hideMark/>
          </w:tcPr>
          <w:p w14:paraId="4196DAB7"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w:t>
            </w:r>
          </w:p>
        </w:tc>
        <w:tc>
          <w:tcPr>
            <w:tcW w:w="799" w:type="dxa"/>
            <w:vMerge/>
            <w:shd w:val="clear" w:color="auto" w:fill="auto"/>
            <w:vAlign w:val="center"/>
            <w:hideMark/>
          </w:tcPr>
          <w:p w14:paraId="535169C8"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75540C8C"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11.863</w:t>
            </w:r>
          </w:p>
        </w:tc>
        <w:tc>
          <w:tcPr>
            <w:tcW w:w="1134" w:type="dxa"/>
            <w:shd w:val="clear" w:color="auto" w:fill="auto"/>
            <w:noWrap/>
            <w:vAlign w:val="center"/>
            <w:hideMark/>
          </w:tcPr>
          <w:p w14:paraId="34725078"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3.120</w:t>
            </w:r>
          </w:p>
        </w:tc>
        <w:tc>
          <w:tcPr>
            <w:tcW w:w="1134" w:type="dxa"/>
            <w:shd w:val="clear" w:color="auto" w:fill="auto"/>
            <w:noWrap/>
            <w:vAlign w:val="center"/>
            <w:hideMark/>
          </w:tcPr>
          <w:p w14:paraId="2085DDF1"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8.743</w:t>
            </w:r>
          </w:p>
        </w:tc>
        <w:tc>
          <w:tcPr>
            <w:tcW w:w="1134" w:type="dxa"/>
            <w:shd w:val="clear" w:color="auto" w:fill="auto"/>
            <w:noWrap/>
            <w:vAlign w:val="center"/>
            <w:hideMark/>
          </w:tcPr>
          <w:p w14:paraId="4AA031EE" w14:textId="73EE5AAD"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30.601.056 </w:t>
            </w:r>
          </w:p>
        </w:tc>
        <w:tc>
          <w:tcPr>
            <w:tcW w:w="1418" w:type="dxa"/>
            <w:vAlign w:val="center"/>
          </w:tcPr>
          <w:p w14:paraId="1CE47520" w14:textId="1D3B9789" w:rsidR="00DD3A6B"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4.061.458,09</w:t>
            </w:r>
          </w:p>
        </w:tc>
      </w:tr>
      <w:tr w:rsidR="00DD3A6B" w:rsidRPr="00747CFD" w14:paraId="0F3014BF" w14:textId="036E0606" w:rsidTr="00BB2706">
        <w:trPr>
          <w:trHeight w:val="170"/>
        </w:trPr>
        <w:tc>
          <w:tcPr>
            <w:tcW w:w="1691" w:type="dxa"/>
            <w:shd w:val="clear" w:color="auto" w:fill="auto"/>
            <w:noWrap/>
            <w:vAlign w:val="center"/>
            <w:hideMark/>
          </w:tcPr>
          <w:p w14:paraId="18B71A7F"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Krapinsko-zagorska </w:t>
            </w:r>
          </w:p>
        </w:tc>
        <w:tc>
          <w:tcPr>
            <w:tcW w:w="902" w:type="dxa"/>
            <w:shd w:val="clear" w:color="auto" w:fill="auto"/>
            <w:noWrap/>
            <w:vAlign w:val="center"/>
            <w:hideMark/>
          </w:tcPr>
          <w:p w14:paraId="4380266B"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w:t>
            </w:r>
          </w:p>
        </w:tc>
        <w:tc>
          <w:tcPr>
            <w:tcW w:w="799" w:type="dxa"/>
            <w:vMerge/>
            <w:shd w:val="clear" w:color="auto" w:fill="auto"/>
            <w:vAlign w:val="center"/>
            <w:hideMark/>
          </w:tcPr>
          <w:p w14:paraId="264EBE20"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35E090A4"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11.967</w:t>
            </w:r>
          </w:p>
        </w:tc>
        <w:tc>
          <w:tcPr>
            <w:tcW w:w="1134" w:type="dxa"/>
            <w:shd w:val="clear" w:color="auto" w:fill="auto"/>
            <w:noWrap/>
            <w:vAlign w:val="center"/>
            <w:hideMark/>
          </w:tcPr>
          <w:p w14:paraId="0319B434"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40.000</w:t>
            </w:r>
          </w:p>
        </w:tc>
        <w:tc>
          <w:tcPr>
            <w:tcW w:w="1134" w:type="dxa"/>
            <w:shd w:val="clear" w:color="auto" w:fill="auto"/>
            <w:noWrap/>
            <w:vAlign w:val="center"/>
            <w:hideMark/>
          </w:tcPr>
          <w:p w14:paraId="0C22F374"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33E26456" w14:textId="1A199516"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0 </w:t>
            </w:r>
          </w:p>
        </w:tc>
        <w:tc>
          <w:tcPr>
            <w:tcW w:w="1418" w:type="dxa"/>
            <w:vAlign w:val="center"/>
          </w:tcPr>
          <w:p w14:paraId="2EE9CCE7" w14:textId="1231162C" w:rsidR="00DD3A6B"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r>
      <w:tr w:rsidR="00DD3A6B" w:rsidRPr="00747CFD" w14:paraId="36923FAE" w14:textId="5A6680A6" w:rsidTr="00BB2706">
        <w:trPr>
          <w:trHeight w:val="170"/>
        </w:trPr>
        <w:tc>
          <w:tcPr>
            <w:tcW w:w="1691" w:type="dxa"/>
            <w:shd w:val="clear" w:color="auto" w:fill="auto"/>
            <w:noWrap/>
            <w:vAlign w:val="center"/>
            <w:hideMark/>
          </w:tcPr>
          <w:p w14:paraId="4298A1FD"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Ličko-senjska </w:t>
            </w:r>
          </w:p>
        </w:tc>
        <w:tc>
          <w:tcPr>
            <w:tcW w:w="902" w:type="dxa"/>
            <w:shd w:val="clear" w:color="auto" w:fill="auto"/>
            <w:noWrap/>
            <w:vAlign w:val="center"/>
            <w:hideMark/>
          </w:tcPr>
          <w:p w14:paraId="748B4AC0"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w:t>
            </w:r>
          </w:p>
        </w:tc>
        <w:tc>
          <w:tcPr>
            <w:tcW w:w="799" w:type="dxa"/>
            <w:vMerge/>
            <w:shd w:val="clear" w:color="auto" w:fill="auto"/>
            <w:vAlign w:val="center"/>
            <w:hideMark/>
          </w:tcPr>
          <w:p w14:paraId="1EBF9632"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36F1CC1D"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10.270</w:t>
            </w:r>
          </w:p>
        </w:tc>
        <w:tc>
          <w:tcPr>
            <w:tcW w:w="1134" w:type="dxa"/>
            <w:shd w:val="clear" w:color="auto" w:fill="auto"/>
            <w:noWrap/>
            <w:vAlign w:val="center"/>
            <w:hideMark/>
          </w:tcPr>
          <w:p w14:paraId="7530471A"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380</w:t>
            </w:r>
          </w:p>
        </w:tc>
        <w:tc>
          <w:tcPr>
            <w:tcW w:w="1134" w:type="dxa"/>
            <w:shd w:val="clear" w:color="auto" w:fill="auto"/>
            <w:noWrap/>
            <w:vAlign w:val="center"/>
            <w:hideMark/>
          </w:tcPr>
          <w:p w14:paraId="5824B717"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9.890</w:t>
            </w:r>
          </w:p>
        </w:tc>
        <w:tc>
          <w:tcPr>
            <w:tcW w:w="1134" w:type="dxa"/>
            <w:shd w:val="clear" w:color="auto" w:fill="auto"/>
            <w:noWrap/>
            <w:vAlign w:val="center"/>
            <w:hideMark/>
          </w:tcPr>
          <w:p w14:paraId="1390D6EF" w14:textId="627938BE"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34.615.574 </w:t>
            </w:r>
          </w:p>
        </w:tc>
        <w:tc>
          <w:tcPr>
            <w:tcW w:w="1418" w:type="dxa"/>
            <w:vAlign w:val="center"/>
          </w:tcPr>
          <w:p w14:paraId="29624C21" w14:textId="002C60B1" w:rsidR="00DD3A6B"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4.594.276,20</w:t>
            </w:r>
          </w:p>
        </w:tc>
      </w:tr>
      <w:tr w:rsidR="00DD3A6B" w:rsidRPr="00747CFD" w14:paraId="33091AEE" w14:textId="3B0F5013" w:rsidTr="00BB2706">
        <w:trPr>
          <w:trHeight w:val="170"/>
        </w:trPr>
        <w:tc>
          <w:tcPr>
            <w:tcW w:w="1691" w:type="dxa"/>
            <w:shd w:val="clear" w:color="auto" w:fill="auto"/>
            <w:noWrap/>
            <w:vAlign w:val="center"/>
            <w:hideMark/>
          </w:tcPr>
          <w:p w14:paraId="23A1BA2C"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Međimurska </w:t>
            </w:r>
          </w:p>
        </w:tc>
        <w:tc>
          <w:tcPr>
            <w:tcW w:w="902" w:type="dxa"/>
            <w:shd w:val="clear" w:color="auto" w:fill="auto"/>
            <w:noWrap/>
            <w:vAlign w:val="center"/>
            <w:hideMark/>
          </w:tcPr>
          <w:p w14:paraId="0E6FFA29"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w:t>
            </w:r>
          </w:p>
        </w:tc>
        <w:tc>
          <w:tcPr>
            <w:tcW w:w="799" w:type="dxa"/>
            <w:vMerge/>
            <w:shd w:val="clear" w:color="auto" w:fill="auto"/>
            <w:vAlign w:val="center"/>
            <w:hideMark/>
          </w:tcPr>
          <w:p w14:paraId="78DCB801"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468BF8A5"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18.113</w:t>
            </w:r>
          </w:p>
        </w:tc>
        <w:tc>
          <w:tcPr>
            <w:tcW w:w="1134" w:type="dxa"/>
            <w:shd w:val="clear" w:color="auto" w:fill="auto"/>
            <w:noWrap/>
            <w:vAlign w:val="center"/>
            <w:hideMark/>
          </w:tcPr>
          <w:p w14:paraId="02CEBC92"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10.500</w:t>
            </w:r>
          </w:p>
        </w:tc>
        <w:tc>
          <w:tcPr>
            <w:tcW w:w="1134" w:type="dxa"/>
            <w:shd w:val="clear" w:color="auto" w:fill="auto"/>
            <w:noWrap/>
            <w:vAlign w:val="center"/>
            <w:hideMark/>
          </w:tcPr>
          <w:p w14:paraId="5024CC5C"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7.613</w:t>
            </w:r>
          </w:p>
        </w:tc>
        <w:tc>
          <w:tcPr>
            <w:tcW w:w="1134" w:type="dxa"/>
            <w:shd w:val="clear" w:color="auto" w:fill="auto"/>
            <w:noWrap/>
            <w:vAlign w:val="center"/>
            <w:hideMark/>
          </w:tcPr>
          <w:p w14:paraId="2EC0BC6B" w14:textId="5F82C35D"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26.646.500 </w:t>
            </w:r>
          </w:p>
        </w:tc>
        <w:tc>
          <w:tcPr>
            <w:tcW w:w="1418" w:type="dxa"/>
            <w:vAlign w:val="center"/>
          </w:tcPr>
          <w:p w14:paraId="557FCAAF" w14:textId="41861D73" w:rsidR="00DD3A6B"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3.536.598,31</w:t>
            </w:r>
          </w:p>
        </w:tc>
      </w:tr>
      <w:tr w:rsidR="00DD3A6B" w:rsidRPr="00747CFD" w14:paraId="3619FD2B" w14:textId="228F76FD" w:rsidTr="00BB2706">
        <w:trPr>
          <w:trHeight w:val="170"/>
        </w:trPr>
        <w:tc>
          <w:tcPr>
            <w:tcW w:w="1691" w:type="dxa"/>
            <w:shd w:val="clear" w:color="auto" w:fill="auto"/>
            <w:noWrap/>
            <w:vAlign w:val="center"/>
            <w:hideMark/>
          </w:tcPr>
          <w:p w14:paraId="7F5AEFED"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Osječko-baranjska </w:t>
            </w:r>
          </w:p>
        </w:tc>
        <w:tc>
          <w:tcPr>
            <w:tcW w:w="902" w:type="dxa"/>
            <w:shd w:val="clear" w:color="auto" w:fill="auto"/>
            <w:noWrap/>
            <w:vAlign w:val="center"/>
            <w:hideMark/>
          </w:tcPr>
          <w:p w14:paraId="5EB364A3"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5,1%</w:t>
            </w:r>
          </w:p>
        </w:tc>
        <w:tc>
          <w:tcPr>
            <w:tcW w:w="799" w:type="dxa"/>
            <w:vMerge/>
            <w:shd w:val="clear" w:color="auto" w:fill="auto"/>
            <w:vAlign w:val="center"/>
            <w:hideMark/>
          </w:tcPr>
          <w:p w14:paraId="23289FB4"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688371BD"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34.923</w:t>
            </w:r>
          </w:p>
        </w:tc>
        <w:tc>
          <w:tcPr>
            <w:tcW w:w="1134" w:type="dxa"/>
            <w:shd w:val="clear" w:color="auto" w:fill="auto"/>
            <w:noWrap/>
            <w:vAlign w:val="center"/>
            <w:hideMark/>
          </w:tcPr>
          <w:p w14:paraId="15AF4617"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00209F73"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34.923</w:t>
            </w:r>
          </w:p>
        </w:tc>
        <w:tc>
          <w:tcPr>
            <w:tcW w:w="1134" w:type="dxa"/>
            <w:shd w:val="clear" w:color="auto" w:fill="auto"/>
            <w:noWrap/>
            <w:vAlign w:val="center"/>
            <w:hideMark/>
          </w:tcPr>
          <w:p w14:paraId="7E91B000" w14:textId="368DA7AB"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122.231.040 </w:t>
            </w:r>
          </w:p>
        </w:tc>
        <w:tc>
          <w:tcPr>
            <w:tcW w:w="1418" w:type="dxa"/>
            <w:vAlign w:val="center"/>
          </w:tcPr>
          <w:p w14:paraId="74D49276" w14:textId="512492A1" w:rsidR="00DD3A6B"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16.222.846,90</w:t>
            </w:r>
          </w:p>
        </w:tc>
      </w:tr>
      <w:tr w:rsidR="00DD3A6B" w:rsidRPr="00747CFD" w14:paraId="2614ADD3" w14:textId="1A03AECF" w:rsidTr="00BB2706">
        <w:trPr>
          <w:trHeight w:val="170"/>
        </w:trPr>
        <w:tc>
          <w:tcPr>
            <w:tcW w:w="1691" w:type="dxa"/>
            <w:shd w:val="clear" w:color="auto" w:fill="auto"/>
            <w:noWrap/>
            <w:vAlign w:val="center"/>
            <w:hideMark/>
          </w:tcPr>
          <w:p w14:paraId="1E122494"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Požeško-slavonska </w:t>
            </w:r>
          </w:p>
        </w:tc>
        <w:tc>
          <w:tcPr>
            <w:tcW w:w="902" w:type="dxa"/>
            <w:shd w:val="clear" w:color="auto" w:fill="auto"/>
            <w:noWrap/>
            <w:vAlign w:val="center"/>
            <w:hideMark/>
          </w:tcPr>
          <w:p w14:paraId="3911FFF5"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w:t>
            </w:r>
          </w:p>
        </w:tc>
        <w:tc>
          <w:tcPr>
            <w:tcW w:w="799" w:type="dxa"/>
            <w:vMerge/>
            <w:shd w:val="clear" w:color="auto" w:fill="auto"/>
            <w:vAlign w:val="center"/>
            <w:hideMark/>
          </w:tcPr>
          <w:p w14:paraId="02952AB5"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2F9406EB"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6.635</w:t>
            </w:r>
          </w:p>
        </w:tc>
        <w:tc>
          <w:tcPr>
            <w:tcW w:w="1134" w:type="dxa"/>
            <w:shd w:val="clear" w:color="auto" w:fill="auto"/>
            <w:noWrap/>
            <w:vAlign w:val="center"/>
            <w:hideMark/>
          </w:tcPr>
          <w:p w14:paraId="5CDA42CF"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3C41DD16"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6.635</w:t>
            </w:r>
          </w:p>
        </w:tc>
        <w:tc>
          <w:tcPr>
            <w:tcW w:w="1134" w:type="dxa"/>
            <w:shd w:val="clear" w:color="auto" w:fill="auto"/>
            <w:noWrap/>
            <w:vAlign w:val="center"/>
            <w:hideMark/>
          </w:tcPr>
          <w:p w14:paraId="45CB5F52" w14:textId="73661FA3"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23.222.130 </w:t>
            </w:r>
          </w:p>
        </w:tc>
        <w:tc>
          <w:tcPr>
            <w:tcW w:w="1418" w:type="dxa"/>
            <w:vAlign w:val="center"/>
          </w:tcPr>
          <w:p w14:paraId="1A55EB15" w14:textId="2DACB03C" w:rsidR="00DD3A6B" w:rsidRPr="00747CFD" w:rsidRDefault="000A30CC"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3.082.106,31</w:t>
            </w:r>
          </w:p>
        </w:tc>
      </w:tr>
      <w:tr w:rsidR="00DD3A6B" w:rsidRPr="00747CFD" w14:paraId="5050DAA0" w14:textId="6D283ABA" w:rsidTr="00BB2706">
        <w:trPr>
          <w:trHeight w:val="170"/>
        </w:trPr>
        <w:tc>
          <w:tcPr>
            <w:tcW w:w="1691" w:type="dxa"/>
            <w:shd w:val="clear" w:color="auto" w:fill="auto"/>
            <w:noWrap/>
            <w:vAlign w:val="center"/>
            <w:hideMark/>
          </w:tcPr>
          <w:p w14:paraId="025D33C0"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Primorsko-goranska </w:t>
            </w:r>
          </w:p>
        </w:tc>
        <w:tc>
          <w:tcPr>
            <w:tcW w:w="902" w:type="dxa"/>
            <w:shd w:val="clear" w:color="auto" w:fill="auto"/>
            <w:noWrap/>
            <w:vAlign w:val="center"/>
            <w:hideMark/>
          </w:tcPr>
          <w:p w14:paraId="4C96F3CA"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9,7%</w:t>
            </w:r>
          </w:p>
        </w:tc>
        <w:tc>
          <w:tcPr>
            <w:tcW w:w="799" w:type="dxa"/>
            <w:vMerge/>
            <w:shd w:val="clear" w:color="auto" w:fill="auto"/>
            <w:vAlign w:val="center"/>
            <w:hideMark/>
          </w:tcPr>
          <w:p w14:paraId="56135836"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3F2BF991"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67.247</w:t>
            </w:r>
          </w:p>
        </w:tc>
        <w:tc>
          <w:tcPr>
            <w:tcW w:w="1134" w:type="dxa"/>
            <w:shd w:val="clear" w:color="auto" w:fill="auto"/>
            <w:noWrap/>
            <w:vAlign w:val="center"/>
            <w:hideMark/>
          </w:tcPr>
          <w:p w14:paraId="15120360"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10.200</w:t>
            </w:r>
          </w:p>
        </w:tc>
        <w:tc>
          <w:tcPr>
            <w:tcW w:w="1134" w:type="dxa"/>
            <w:shd w:val="clear" w:color="auto" w:fill="auto"/>
            <w:noWrap/>
            <w:vAlign w:val="center"/>
            <w:hideMark/>
          </w:tcPr>
          <w:p w14:paraId="6F18293A"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57.047</w:t>
            </w:r>
          </w:p>
        </w:tc>
        <w:tc>
          <w:tcPr>
            <w:tcW w:w="1134" w:type="dxa"/>
            <w:shd w:val="clear" w:color="auto" w:fill="auto"/>
            <w:noWrap/>
            <w:vAlign w:val="center"/>
            <w:hideMark/>
          </w:tcPr>
          <w:p w14:paraId="0CF28E7C" w14:textId="2FD8AC39"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199.665.487 </w:t>
            </w:r>
          </w:p>
        </w:tc>
        <w:tc>
          <w:tcPr>
            <w:tcW w:w="1418" w:type="dxa"/>
            <w:vAlign w:val="center"/>
          </w:tcPr>
          <w:p w14:paraId="3B61D0F4" w14:textId="54F1C47D" w:rsidR="00DD3A6B" w:rsidRPr="00747CFD" w:rsidRDefault="000A30CC"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26.500.164,18</w:t>
            </w:r>
          </w:p>
        </w:tc>
      </w:tr>
      <w:tr w:rsidR="00DD3A6B" w:rsidRPr="00747CFD" w14:paraId="505F1936" w14:textId="329A0353" w:rsidTr="00BB2706">
        <w:trPr>
          <w:trHeight w:val="170"/>
        </w:trPr>
        <w:tc>
          <w:tcPr>
            <w:tcW w:w="1691" w:type="dxa"/>
            <w:shd w:val="clear" w:color="auto" w:fill="auto"/>
            <w:noWrap/>
            <w:vAlign w:val="center"/>
            <w:hideMark/>
          </w:tcPr>
          <w:p w14:paraId="48E01314"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Sisačko-moslavačka </w:t>
            </w:r>
          </w:p>
        </w:tc>
        <w:tc>
          <w:tcPr>
            <w:tcW w:w="902" w:type="dxa"/>
            <w:shd w:val="clear" w:color="auto" w:fill="auto"/>
            <w:noWrap/>
            <w:vAlign w:val="center"/>
            <w:hideMark/>
          </w:tcPr>
          <w:p w14:paraId="5748AFC5"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w:t>
            </w:r>
          </w:p>
        </w:tc>
        <w:tc>
          <w:tcPr>
            <w:tcW w:w="799" w:type="dxa"/>
            <w:vMerge/>
            <w:shd w:val="clear" w:color="auto" w:fill="auto"/>
            <w:vAlign w:val="center"/>
            <w:hideMark/>
          </w:tcPr>
          <w:p w14:paraId="1A8BF9AD"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06F624EA"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18.849</w:t>
            </w:r>
          </w:p>
        </w:tc>
        <w:tc>
          <w:tcPr>
            <w:tcW w:w="1134" w:type="dxa"/>
            <w:shd w:val="clear" w:color="auto" w:fill="auto"/>
            <w:noWrap/>
            <w:vAlign w:val="center"/>
            <w:hideMark/>
          </w:tcPr>
          <w:p w14:paraId="2BF2C7ED"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5.800</w:t>
            </w:r>
          </w:p>
        </w:tc>
        <w:tc>
          <w:tcPr>
            <w:tcW w:w="1134" w:type="dxa"/>
            <w:shd w:val="clear" w:color="auto" w:fill="auto"/>
            <w:noWrap/>
            <w:vAlign w:val="center"/>
            <w:hideMark/>
          </w:tcPr>
          <w:p w14:paraId="1BEC9B4D"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13.049</w:t>
            </w:r>
          </w:p>
        </w:tc>
        <w:tc>
          <w:tcPr>
            <w:tcW w:w="1134" w:type="dxa"/>
            <w:shd w:val="clear" w:color="auto" w:fill="auto"/>
            <w:noWrap/>
            <w:vAlign w:val="center"/>
            <w:hideMark/>
          </w:tcPr>
          <w:p w14:paraId="5F0EA865" w14:textId="2653D1DD"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45.672.316 </w:t>
            </w:r>
          </w:p>
        </w:tc>
        <w:tc>
          <w:tcPr>
            <w:tcW w:w="1418" w:type="dxa"/>
            <w:vAlign w:val="center"/>
          </w:tcPr>
          <w:p w14:paraId="597E4318" w14:textId="1BD8D044" w:rsidR="00DD3A6B" w:rsidRPr="00747CFD" w:rsidRDefault="000A30CC"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6.061.758,05</w:t>
            </w:r>
          </w:p>
        </w:tc>
      </w:tr>
      <w:tr w:rsidR="00DD3A6B" w:rsidRPr="00747CFD" w14:paraId="3D756110" w14:textId="5BE0D58B" w:rsidTr="00BB2706">
        <w:trPr>
          <w:trHeight w:val="170"/>
        </w:trPr>
        <w:tc>
          <w:tcPr>
            <w:tcW w:w="1691" w:type="dxa"/>
            <w:shd w:val="clear" w:color="auto" w:fill="auto"/>
            <w:noWrap/>
            <w:vAlign w:val="center"/>
            <w:hideMark/>
          </w:tcPr>
          <w:p w14:paraId="6B570362"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Splitsko-dalmatinska </w:t>
            </w:r>
          </w:p>
        </w:tc>
        <w:tc>
          <w:tcPr>
            <w:tcW w:w="902" w:type="dxa"/>
            <w:shd w:val="clear" w:color="auto" w:fill="auto"/>
            <w:noWrap/>
            <w:vAlign w:val="center"/>
            <w:hideMark/>
          </w:tcPr>
          <w:p w14:paraId="0429AD7B"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14,3%</w:t>
            </w:r>
          </w:p>
        </w:tc>
        <w:tc>
          <w:tcPr>
            <w:tcW w:w="799" w:type="dxa"/>
            <w:vMerge/>
            <w:shd w:val="clear" w:color="auto" w:fill="auto"/>
            <w:vAlign w:val="center"/>
            <w:hideMark/>
          </w:tcPr>
          <w:p w14:paraId="4DF10A4B"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3324CB72"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98.685</w:t>
            </w:r>
          </w:p>
        </w:tc>
        <w:tc>
          <w:tcPr>
            <w:tcW w:w="1134" w:type="dxa"/>
            <w:shd w:val="clear" w:color="auto" w:fill="auto"/>
            <w:noWrap/>
            <w:vAlign w:val="center"/>
            <w:hideMark/>
          </w:tcPr>
          <w:p w14:paraId="259D92FB"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200</w:t>
            </w:r>
          </w:p>
        </w:tc>
        <w:tc>
          <w:tcPr>
            <w:tcW w:w="1134" w:type="dxa"/>
            <w:shd w:val="clear" w:color="auto" w:fill="auto"/>
            <w:noWrap/>
            <w:vAlign w:val="center"/>
            <w:hideMark/>
          </w:tcPr>
          <w:p w14:paraId="291C745D"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98.485</w:t>
            </w:r>
          </w:p>
        </w:tc>
        <w:tc>
          <w:tcPr>
            <w:tcW w:w="1134" w:type="dxa"/>
            <w:shd w:val="clear" w:color="auto" w:fill="auto"/>
            <w:noWrap/>
            <w:vAlign w:val="center"/>
            <w:hideMark/>
          </w:tcPr>
          <w:p w14:paraId="43A8CAB5" w14:textId="78A6C5E0"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344.697.496 </w:t>
            </w:r>
          </w:p>
        </w:tc>
        <w:tc>
          <w:tcPr>
            <w:tcW w:w="1418" w:type="dxa"/>
            <w:vAlign w:val="center"/>
          </w:tcPr>
          <w:p w14:paraId="5B6D2FED" w14:textId="38878A46" w:rsidR="00DD3A6B" w:rsidRPr="00747CFD" w:rsidRDefault="000A30CC"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45.749.219,72</w:t>
            </w:r>
          </w:p>
        </w:tc>
      </w:tr>
      <w:tr w:rsidR="00DD3A6B" w:rsidRPr="00747CFD" w14:paraId="531ADD80" w14:textId="06D48FA9" w:rsidTr="00BB2706">
        <w:trPr>
          <w:trHeight w:val="170"/>
        </w:trPr>
        <w:tc>
          <w:tcPr>
            <w:tcW w:w="1691" w:type="dxa"/>
            <w:shd w:val="clear" w:color="auto" w:fill="auto"/>
            <w:noWrap/>
            <w:vAlign w:val="center"/>
            <w:hideMark/>
          </w:tcPr>
          <w:p w14:paraId="5B197E73"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Šibensko-kninska</w:t>
            </w:r>
          </w:p>
        </w:tc>
        <w:tc>
          <w:tcPr>
            <w:tcW w:w="902" w:type="dxa"/>
            <w:shd w:val="clear" w:color="auto" w:fill="auto"/>
            <w:noWrap/>
            <w:vAlign w:val="center"/>
            <w:hideMark/>
          </w:tcPr>
          <w:p w14:paraId="7C14E13C"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3,2%</w:t>
            </w:r>
          </w:p>
        </w:tc>
        <w:tc>
          <w:tcPr>
            <w:tcW w:w="799" w:type="dxa"/>
            <w:vMerge/>
            <w:shd w:val="clear" w:color="auto" w:fill="auto"/>
            <w:vAlign w:val="center"/>
            <w:hideMark/>
          </w:tcPr>
          <w:p w14:paraId="4811A45F"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67DBA7CD"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22.422</w:t>
            </w:r>
          </w:p>
        </w:tc>
        <w:tc>
          <w:tcPr>
            <w:tcW w:w="1134" w:type="dxa"/>
            <w:shd w:val="clear" w:color="auto" w:fill="auto"/>
            <w:noWrap/>
            <w:vAlign w:val="center"/>
            <w:hideMark/>
          </w:tcPr>
          <w:p w14:paraId="70C154C3"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43DDAF41"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22.422</w:t>
            </w:r>
          </w:p>
        </w:tc>
        <w:tc>
          <w:tcPr>
            <w:tcW w:w="1134" w:type="dxa"/>
            <w:shd w:val="clear" w:color="auto" w:fill="auto"/>
            <w:noWrap/>
            <w:vAlign w:val="center"/>
            <w:hideMark/>
          </w:tcPr>
          <w:p w14:paraId="2A99388A" w14:textId="3102243A"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78.476.298 </w:t>
            </w:r>
          </w:p>
        </w:tc>
        <w:tc>
          <w:tcPr>
            <w:tcW w:w="1418" w:type="dxa"/>
            <w:vAlign w:val="center"/>
          </w:tcPr>
          <w:p w14:paraId="239803D6" w14:textId="42D080D6" w:rsidR="00DD3A6B" w:rsidRPr="00747CFD" w:rsidRDefault="000A30CC"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10.415.594,66</w:t>
            </w:r>
          </w:p>
        </w:tc>
      </w:tr>
      <w:tr w:rsidR="00DD3A6B" w:rsidRPr="00747CFD" w14:paraId="3F8318B2" w14:textId="19D8007C" w:rsidTr="00BB2706">
        <w:trPr>
          <w:trHeight w:val="170"/>
        </w:trPr>
        <w:tc>
          <w:tcPr>
            <w:tcW w:w="1691" w:type="dxa"/>
            <w:shd w:val="clear" w:color="auto" w:fill="auto"/>
            <w:noWrap/>
            <w:vAlign w:val="center"/>
            <w:hideMark/>
          </w:tcPr>
          <w:p w14:paraId="48B04965"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Varaždinska </w:t>
            </w:r>
          </w:p>
        </w:tc>
        <w:tc>
          <w:tcPr>
            <w:tcW w:w="902" w:type="dxa"/>
            <w:shd w:val="clear" w:color="auto" w:fill="auto"/>
            <w:noWrap/>
            <w:vAlign w:val="center"/>
            <w:hideMark/>
          </w:tcPr>
          <w:p w14:paraId="2DFC95FD"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w:t>
            </w:r>
          </w:p>
        </w:tc>
        <w:tc>
          <w:tcPr>
            <w:tcW w:w="799" w:type="dxa"/>
            <w:vMerge/>
            <w:shd w:val="clear" w:color="auto" w:fill="auto"/>
            <w:vAlign w:val="center"/>
            <w:hideMark/>
          </w:tcPr>
          <w:p w14:paraId="4E12CCC6"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424694CE"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17.647</w:t>
            </w:r>
          </w:p>
        </w:tc>
        <w:tc>
          <w:tcPr>
            <w:tcW w:w="1134" w:type="dxa"/>
            <w:shd w:val="clear" w:color="auto" w:fill="auto"/>
            <w:noWrap/>
            <w:vAlign w:val="center"/>
            <w:hideMark/>
          </w:tcPr>
          <w:p w14:paraId="28C78A9D"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7.000</w:t>
            </w:r>
          </w:p>
        </w:tc>
        <w:tc>
          <w:tcPr>
            <w:tcW w:w="1134" w:type="dxa"/>
            <w:shd w:val="clear" w:color="auto" w:fill="auto"/>
            <w:noWrap/>
            <w:vAlign w:val="center"/>
            <w:hideMark/>
          </w:tcPr>
          <w:p w14:paraId="0A1D7278"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10.647</w:t>
            </w:r>
          </w:p>
        </w:tc>
        <w:tc>
          <w:tcPr>
            <w:tcW w:w="1134" w:type="dxa"/>
            <w:shd w:val="clear" w:color="auto" w:fill="auto"/>
            <w:noWrap/>
            <w:vAlign w:val="center"/>
            <w:hideMark/>
          </w:tcPr>
          <w:p w14:paraId="26BD195F" w14:textId="3A3496AB"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37.263.972 </w:t>
            </w:r>
          </w:p>
        </w:tc>
        <w:tc>
          <w:tcPr>
            <w:tcW w:w="1418" w:type="dxa"/>
            <w:vAlign w:val="center"/>
          </w:tcPr>
          <w:p w14:paraId="0E97636D" w14:textId="53EB70AD" w:rsidR="00DD3A6B" w:rsidRPr="00747CFD" w:rsidRDefault="000A30CC"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4.945.779,02</w:t>
            </w:r>
          </w:p>
        </w:tc>
      </w:tr>
      <w:tr w:rsidR="00DD3A6B" w:rsidRPr="00747CFD" w14:paraId="520B7471" w14:textId="60CDFFEC" w:rsidTr="00BB2706">
        <w:trPr>
          <w:trHeight w:val="170"/>
        </w:trPr>
        <w:tc>
          <w:tcPr>
            <w:tcW w:w="1691" w:type="dxa"/>
            <w:shd w:val="clear" w:color="auto" w:fill="auto"/>
            <w:noWrap/>
            <w:vAlign w:val="center"/>
            <w:hideMark/>
          </w:tcPr>
          <w:p w14:paraId="23572D92"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Virovitičko-podravska</w:t>
            </w:r>
          </w:p>
        </w:tc>
        <w:tc>
          <w:tcPr>
            <w:tcW w:w="902" w:type="dxa"/>
            <w:shd w:val="clear" w:color="auto" w:fill="auto"/>
            <w:noWrap/>
            <w:vAlign w:val="center"/>
            <w:hideMark/>
          </w:tcPr>
          <w:p w14:paraId="627C09C3"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w:t>
            </w:r>
          </w:p>
        </w:tc>
        <w:tc>
          <w:tcPr>
            <w:tcW w:w="799" w:type="dxa"/>
            <w:vMerge/>
            <w:shd w:val="clear" w:color="auto" w:fill="auto"/>
            <w:vAlign w:val="center"/>
            <w:hideMark/>
          </w:tcPr>
          <w:p w14:paraId="4B8F61DE"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56AA6E4B"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9.056</w:t>
            </w:r>
          </w:p>
        </w:tc>
        <w:tc>
          <w:tcPr>
            <w:tcW w:w="1134" w:type="dxa"/>
            <w:shd w:val="clear" w:color="auto" w:fill="auto"/>
            <w:noWrap/>
            <w:vAlign w:val="center"/>
            <w:hideMark/>
          </w:tcPr>
          <w:p w14:paraId="63561B9F"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796E7D92"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9.056</w:t>
            </w:r>
          </w:p>
        </w:tc>
        <w:tc>
          <w:tcPr>
            <w:tcW w:w="1134" w:type="dxa"/>
            <w:shd w:val="clear" w:color="auto" w:fill="auto"/>
            <w:noWrap/>
            <w:vAlign w:val="center"/>
            <w:hideMark/>
          </w:tcPr>
          <w:p w14:paraId="1ED44FF0" w14:textId="0E84F08C"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31.697.438 </w:t>
            </w:r>
          </w:p>
        </w:tc>
        <w:tc>
          <w:tcPr>
            <w:tcW w:w="1418" w:type="dxa"/>
            <w:vAlign w:val="center"/>
          </w:tcPr>
          <w:p w14:paraId="59DFEAD5" w14:textId="6DE70B4C" w:rsidR="00DD3A6B" w:rsidRPr="00747CFD" w:rsidRDefault="000A30CC"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4.206.972,99</w:t>
            </w:r>
          </w:p>
        </w:tc>
      </w:tr>
      <w:tr w:rsidR="00DD3A6B" w:rsidRPr="00747CFD" w14:paraId="32A5DEC0" w14:textId="7E40CF02" w:rsidTr="00BB2706">
        <w:trPr>
          <w:trHeight w:val="170"/>
        </w:trPr>
        <w:tc>
          <w:tcPr>
            <w:tcW w:w="1691" w:type="dxa"/>
            <w:shd w:val="clear" w:color="auto" w:fill="auto"/>
            <w:noWrap/>
            <w:vAlign w:val="center"/>
            <w:hideMark/>
          </w:tcPr>
          <w:p w14:paraId="1C7EED1E"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Vukovarsko-srijemska </w:t>
            </w:r>
          </w:p>
        </w:tc>
        <w:tc>
          <w:tcPr>
            <w:tcW w:w="902" w:type="dxa"/>
            <w:shd w:val="clear" w:color="auto" w:fill="auto"/>
            <w:noWrap/>
            <w:vAlign w:val="center"/>
            <w:hideMark/>
          </w:tcPr>
          <w:p w14:paraId="4C5B581D"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2,9%</w:t>
            </w:r>
          </w:p>
        </w:tc>
        <w:tc>
          <w:tcPr>
            <w:tcW w:w="799" w:type="dxa"/>
            <w:vMerge/>
            <w:shd w:val="clear" w:color="auto" w:fill="auto"/>
            <w:vAlign w:val="center"/>
            <w:hideMark/>
          </w:tcPr>
          <w:p w14:paraId="67501D8F"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078AECAA"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19.967</w:t>
            </w:r>
          </w:p>
        </w:tc>
        <w:tc>
          <w:tcPr>
            <w:tcW w:w="1134" w:type="dxa"/>
            <w:shd w:val="clear" w:color="auto" w:fill="auto"/>
            <w:noWrap/>
            <w:vAlign w:val="center"/>
            <w:hideMark/>
          </w:tcPr>
          <w:p w14:paraId="77A5F6F1"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34FF7CCE"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19.967</w:t>
            </w:r>
          </w:p>
        </w:tc>
        <w:tc>
          <w:tcPr>
            <w:tcW w:w="1134" w:type="dxa"/>
            <w:shd w:val="clear" w:color="auto" w:fill="auto"/>
            <w:noWrap/>
            <w:vAlign w:val="center"/>
            <w:hideMark/>
          </w:tcPr>
          <w:p w14:paraId="4863AB0D" w14:textId="1D0CD6D8"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69.884.532 </w:t>
            </w:r>
          </w:p>
        </w:tc>
        <w:tc>
          <w:tcPr>
            <w:tcW w:w="1418" w:type="dxa"/>
            <w:vAlign w:val="center"/>
          </w:tcPr>
          <w:p w14:paraId="17527392" w14:textId="53A94B6F" w:rsidR="00DD3A6B" w:rsidRPr="00747CFD" w:rsidRDefault="000A30CC"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9.275.271,35</w:t>
            </w:r>
          </w:p>
        </w:tc>
      </w:tr>
      <w:tr w:rsidR="00DD3A6B" w:rsidRPr="00747CFD" w14:paraId="106891C0" w14:textId="5128549F" w:rsidTr="00BB2706">
        <w:trPr>
          <w:trHeight w:val="170"/>
        </w:trPr>
        <w:tc>
          <w:tcPr>
            <w:tcW w:w="1691" w:type="dxa"/>
            <w:shd w:val="clear" w:color="auto" w:fill="auto"/>
            <w:noWrap/>
            <w:vAlign w:val="center"/>
            <w:hideMark/>
          </w:tcPr>
          <w:p w14:paraId="205F3B1A"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Zadarska </w:t>
            </w:r>
          </w:p>
        </w:tc>
        <w:tc>
          <w:tcPr>
            <w:tcW w:w="902" w:type="dxa"/>
            <w:shd w:val="clear" w:color="auto" w:fill="auto"/>
            <w:noWrap/>
            <w:vAlign w:val="center"/>
            <w:hideMark/>
          </w:tcPr>
          <w:p w14:paraId="006B15A3"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6,1%</w:t>
            </w:r>
          </w:p>
        </w:tc>
        <w:tc>
          <w:tcPr>
            <w:tcW w:w="799" w:type="dxa"/>
            <w:vMerge/>
            <w:shd w:val="clear" w:color="auto" w:fill="auto"/>
            <w:vAlign w:val="center"/>
            <w:hideMark/>
          </w:tcPr>
          <w:p w14:paraId="2729C2BE"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0820B32B"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42.197</w:t>
            </w:r>
          </w:p>
        </w:tc>
        <w:tc>
          <w:tcPr>
            <w:tcW w:w="1134" w:type="dxa"/>
            <w:shd w:val="clear" w:color="auto" w:fill="auto"/>
            <w:noWrap/>
            <w:vAlign w:val="center"/>
            <w:hideMark/>
          </w:tcPr>
          <w:p w14:paraId="698623D1"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5A18EB0B"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42.197</w:t>
            </w:r>
          </w:p>
        </w:tc>
        <w:tc>
          <w:tcPr>
            <w:tcW w:w="1134" w:type="dxa"/>
            <w:shd w:val="clear" w:color="auto" w:fill="auto"/>
            <w:noWrap/>
            <w:vAlign w:val="center"/>
            <w:hideMark/>
          </w:tcPr>
          <w:p w14:paraId="08FDEC8D" w14:textId="109AE7DA"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147.688.999 </w:t>
            </w:r>
          </w:p>
        </w:tc>
        <w:tc>
          <w:tcPr>
            <w:tcW w:w="1418" w:type="dxa"/>
          </w:tcPr>
          <w:p w14:paraId="13433487" w14:textId="20BFBFA9" w:rsidR="00DD3A6B" w:rsidRPr="00747CFD" w:rsidRDefault="000A30CC" w:rsidP="00CC41BC">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19.601.698,72</w:t>
            </w:r>
          </w:p>
        </w:tc>
      </w:tr>
      <w:tr w:rsidR="00DD3A6B" w:rsidRPr="00747CFD" w14:paraId="4A345E2B" w14:textId="1442CD94" w:rsidTr="00BB2706">
        <w:trPr>
          <w:trHeight w:val="170"/>
        </w:trPr>
        <w:tc>
          <w:tcPr>
            <w:tcW w:w="1691" w:type="dxa"/>
            <w:shd w:val="clear" w:color="auto" w:fill="auto"/>
            <w:noWrap/>
            <w:vAlign w:val="center"/>
            <w:hideMark/>
          </w:tcPr>
          <w:p w14:paraId="16AC32E4"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Zagrebačka </w:t>
            </w:r>
          </w:p>
        </w:tc>
        <w:tc>
          <w:tcPr>
            <w:tcW w:w="902" w:type="dxa"/>
            <w:shd w:val="clear" w:color="auto" w:fill="auto"/>
            <w:noWrap/>
            <w:vAlign w:val="center"/>
            <w:hideMark/>
          </w:tcPr>
          <w:p w14:paraId="67291AE2"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6,4%</w:t>
            </w:r>
          </w:p>
        </w:tc>
        <w:tc>
          <w:tcPr>
            <w:tcW w:w="799" w:type="dxa"/>
            <w:vMerge/>
            <w:shd w:val="clear" w:color="auto" w:fill="auto"/>
            <w:vAlign w:val="center"/>
            <w:hideMark/>
          </w:tcPr>
          <w:p w14:paraId="2EF949F0"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2C963D01"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44.270</w:t>
            </w:r>
          </w:p>
        </w:tc>
        <w:tc>
          <w:tcPr>
            <w:tcW w:w="1134" w:type="dxa"/>
            <w:shd w:val="clear" w:color="auto" w:fill="auto"/>
            <w:noWrap/>
            <w:vAlign w:val="center"/>
            <w:hideMark/>
          </w:tcPr>
          <w:p w14:paraId="1AAF076A"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57.600</w:t>
            </w:r>
          </w:p>
        </w:tc>
        <w:tc>
          <w:tcPr>
            <w:tcW w:w="1134" w:type="dxa"/>
            <w:shd w:val="clear" w:color="auto" w:fill="auto"/>
            <w:noWrap/>
            <w:vAlign w:val="center"/>
            <w:hideMark/>
          </w:tcPr>
          <w:p w14:paraId="47BC1BE3"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1686BE04" w14:textId="21BD3F55"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0 </w:t>
            </w:r>
          </w:p>
        </w:tc>
        <w:tc>
          <w:tcPr>
            <w:tcW w:w="1418" w:type="dxa"/>
          </w:tcPr>
          <w:p w14:paraId="61D55286" w14:textId="7728842B" w:rsidR="00DD3A6B" w:rsidRPr="00747CFD" w:rsidRDefault="000A30CC" w:rsidP="00CC41BC">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r>
      <w:tr w:rsidR="00DD3A6B" w:rsidRPr="00747CFD" w14:paraId="4A1F18A8" w14:textId="4FCBBB84" w:rsidTr="00BB2706">
        <w:trPr>
          <w:trHeight w:val="170"/>
        </w:trPr>
        <w:tc>
          <w:tcPr>
            <w:tcW w:w="3392" w:type="dxa"/>
            <w:gridSpan w:val="3"/>
            <w:shd w:val="clear" w:color="auto" w:fill="auto"/>
            <w:noWrap/>
            <w:vAlign w:val="center"/>
            <w:hideMark/>
          </w:tcPr>
          <w:p w14:paraId="560D72BC" w14:textId="77777777" w:rsidR="00DD3A6B" w:rsidRPr="00747CFD" w:rsidRDefault="00DD3A6B" w:rsidP="00CC41BC">
            <w:pPr>
              <w:spacing w:after="0" w:line="240" w:lineRule="auto"/>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Ukupno</w:t>
            </w:r>
          </w:p>
        </w:tc>
        <w:tc>
          <w:tcPr>
            <w:tcW w:w="1276" w:type="dxa"/>
            <w:shd w:val="clear" w:color="auto" w:fill="auto"/>
            <w:noWrap/>
            <w:vAlign w:val="center"/>
            <w:hideMark/>
          </w:tcPr>
          <w:p w14:paraId="5CF76B57" w14:textId="77777777" w:rsidR="00DD3A6B" w:rsidRPr="00747CFD" w:rsidRDefault="00DD3A6B" w:rsidP="00CC41BC">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691.401</w:t>
            </w:r>
          </w:p>
        </w:tc>
        <w:tc>
          <w:tcPr>
            <w:tcW w:w="1134" w:type="dxa"/>
            <w:shd w:val="clear" w:color="auto" w:fill="auto"/>
            <w:noWrap/>
            <w:vAlign w:val="center"/>
            <w:hideMark/>
          </w:tcPr>
          <w:p w14:paraId="1ADDC8AB" w14:textId="77777777" w:rsidR="00DD3A6B" w:rsidRPr="00747CFD" w:rsidRDefault="00DD3A6B" w:rsidP="00CC41BC">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211.800</w:t>
            </w:r>
          </w:p>
        </w:tc>
        <w:tc>
          <w:tcPr>
            <w:tcW w:w="1134" w:type="dxa"/>
            <w:shd w:val="clear" w:color="auto" w:fill="auto"/>
            <w:noWrap/>
            <w:vAlign w:val="center"/>
            <w:hideMark/>
          </w:tcPr>
          <w:p w14:paraId="4967F65A" w14:textId="77777777" w:rsidR="00DD3A6B" w:rsidRPr="00747CFD" w:rsidRDefault="00DD3A6B" w:rsidP="00CC41BC">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520.964</w:t>
            </w:r>
          </w:p>
        </w:tc>
        <w:tc>
          <w:tcPr>
            <w:tcW w:w="1134" w:type="dxa"/>
            <w:shd w:val="clear" w:color="auto" w:fill="auto"/>
            <w:noWrap/>
            <w:vAlign w:val="center"/>
            <w:hideMark/>
          </w:tcPr>
          <w:p w14:paraId="3462B74F" w14:textId="74336F00" w:rsidR="00DD3A6B" w:rsidRPr="00747CFD" w:rsidRDefault="00DD3A6B" w:rsidP="00A82100">
            <w:pPr>
              <w:spacing w:after="0" w:line="240" w:lineRule="auto"/>
              <w:jc w:val="right"/>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xml:space="preserve">1.823.374.246,95 </w:t>
            </w:r>
          </w:p>
        </w:tc>
        <w:tc>
          <w:tcPr>
            <w:tcW w:w="1418" w:type="dxa"/>
            <w:vAlign w:val="center"/>
          </w:tcPr>
          <w:p w14:paraId="55E592D0" w14:textId="6863544A" w:rsidR="00DD3A6B" w:rsidRPr="00747CFD" w:rsidRDefault="000A30CC" w:rsidP="00A82100">
            <w:pPr>
              <w:spacing w:after="0" w:line="240" w:lineRule="auto"/>
              <w:jc w:val="right"/>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242.003.350,85</w:t>
            </w:r>
          </w:p>
        </w:tc>
      </w:tr>
    </w:tbl>
    <w:p w14:paraId="1D73C02A" w14:textId="77777777" w:rsidR="00CC41BC" w:rsidRDefault="00CC41BC" w:rsidP="004B4A81"/>
    <w:p w14:paraId="05C36E64" w14:textId="6D37688F" w:rsidR="00D52AD6" w:rsidRDefault="00D52AD6" w:rsidP="008B6994">
      <w:pPr>
        <w:jc w:val="center"/>
      </w:pPr>
    </w:p>
    <w:p w14:paraId="356E9FE3" w14:textId="5A3D2F31" w:rsidR="00D52AD6" w:rsidRDefault="00D52AD6" w:rsidP="00D52AD6">
      <w:pPr>
        <w:pStyle w:val="Slika"/>
      </w:pPr>
      <w:bookmarkStart w:id="237" w:name="_Ref116284377"/>
      <w:bookmarkStart w:id="238" w:name="_Toc125363972"/>
      <w:r w:rsidRPr="00D52AD6">
        <w:t xml:space="preserve">Slika </w:t>
      </w:r>
      <w:fldSimple w:instr=" SEQ Slika \* ARABIC ">
        <w:r w:rsidR="00F37B62">
          <w:rPr>
            <w:noProof/>
          </w:rPr>
          <w:t>64</w:t>
        </w:r>
      </w:fldSimple>
      <w:bookmarkEnd w:id="237"/>
      <w:r w:rsidRPr="00D52AD6">
        <w:t xml:space="preserve">. </w:t>
      </w:r>
      <w:r w:rsidRPr="004B4A81">
        <w:rPr>
          <w:b w:val="0"/>
          <w:bCs/>
        </w:rPr>
        <w:t xml:space="preserve">Ukupni potrebni kapaciteti </w:t>
      </w:r>
      <w:proofErr w:type="spellStart"/>
      <w:r w:rsidRPr="004B4A81">
        <w:rPr>
          <w:b w:val="0"/>
          <w:bCs/>
        </w:rPr>
        <w:t>sortirnica</w:t>
      </w:r>
      <w:proofErr w:type="spellEnd"/>
      <w:r w:rsidRPr="004B4A81">
        <w:rPr>
          <w:b w:val="0"/>
          <w:bCs/>
        </w:rPr>
        <w:t xml:space="preserve"> u 2028. godini – SCENARIJ </w:t>
      </w:r>
      <w:r w:rsidRPr="00D52AD6">
        <w:rPr>
          <w:b w:val="0"/>
          <w:bCs/>
        </w:rPr>
        <w:t>2</w:t>
      </w:r>
      <w:bookmarkEnd w:id="238"/>
    </w:p>
    <w:p w14:paraId="4FE11C13" w14:textId="5D2274FF" w:rsidR="00A41D37" w:rsidRDefault="00A41D37" w:rsidP="0018450E">
      <w:pPr>
        <w:pStyle w:val="IRNaslov3"/>
        <w:pageBreakBefore/>
        <w:numPr>
          <w:ilvl w:val="2"/>
          <w:numId w:val="22"/>
        </w:numPr>
      </w:pPr>
      <w:bookmarkStart w:id="239" w:name="_Toc123211665"/>
      <w:r>
        <w:lastRenderedPageBreak/>
        <w:t>Postrojenja za oporabu odvojeno prikupljenog biootpada</w:t>
      </w:r>
      <w:bookmarkEnd w:id="239"/>
    </w:p>
    <w:p w14:paraId="4AA34982" w14:textId="77777777" w:rsidR="008A4098" w:rsidRDefault="008A4098" w:rsidP="008A4098">
      <w:r>
        <w:t xml:space="preserve">Potrebni novi kapaciteti postrojenja oporabu odvojeno prikupljenog biootpada (postupak oporabe R 3) su određeni kao razlika postojećih kapaciteta po županijama i Gradu Zagrebu prema podacima dostupnim u Registru onečišćavanja okoliša (ROO) i količina otpada koji je potrebno odvojeno prikupiti kao bi se ispunili ciljevi Scenarija 1 ili Scenarija 2 uzimajući u obzir prosječni udio nečistoća u odvojeno prikupljenom otpadu u iznosu od 13 %. </w:t>
      </w:r>
    </w:p>
    <w:p w14:paraId="71C8E017" w14:textId="73AA10A5" w:rsidR="00DB7B8A" w:rsidRDefault="008A4098" w:rsidP="008E74F7">
      <w:r w:rsidRPr="0010715D">
        <w:rPr>
          <w:highlight w:val="yellow"/>
        </w:rPr>
        <w:t xml:space="preserve">Ukupni potrebni kapaciteti novih </w:t>
      </w:r>
      <w:proofErr w:type="spellStart"/>
      <w:r w:rsidRPr="0010715D">
        <w:rPr>
          <w:b/>
          <w:bCs/>
          <w:highlight w:val="yellow"/>
        </w:rPr>
        <w:t>kompostana</w:t>
      </w:r>
      <w:proofErr w:type="spellEnd"/>
      <w:r w:rsidRPr="0010715D">
        <w:rPr>
          <w:b/>
          <w:bCs/>
          <w:highlight w:val="yellow"/>
        </w:rPr>
        <w:t xml:space="preserve"> i bioplinskih postrojenja</w:t>
      </w:r>
      <w:r w:rsidRPr="0010715D">
        <w:rPr>
          <w:highlight w:val="yellow"/>
        </w:rPr>
        <w:t xml:space="preserve"> (ili nadograđenih postojećih pogona kojima će se povećati kapacitet ili efikasnost oporabe) proizlaze iz postojećih kapaciteta i projekcija kretanja određenih ključnih kategorija otpada te su navedeni u </w:t>
      </w:r>
      <w:r w:rsidR="00D46BBF" w:rsidRPr="0010715D">
        <w:rPr>
          <w:highlight w:val="yellow"/>
        </w:rPr>
        <w:t>tablicama i grafičkim prikazima u nastavku (</w:t>
      </w:r>
      <w:r w:rsidR="00E02C0D" w:rsidRPr="0010715D">
        <w:rPr>
          <w:highlight w:val="yellow"/>
        </w:rPr>
        <w:fldChar w:fldCharType="begin"/>
      </w:r>
      <w:r w:rsidR="00E02C0D" w:rsidRPr="0010715D">
        <w:rPr>
          <w:highlight w:val="yellow"/>
        </w:rPr>
        <w:instrText xml:space="preserve"> REF _Ref116284641 \h </w:instrText>
      </w:r>
      <w:r w:rsidR="00E02C0D" w:rsidRPr="0010715D">
        <w:rPr>
          <w:highlight w:val="yellow"/>
        </w:rPr>
      </w:r>
      <w:r w:rsidR="0010715D">
        <w:rPr>
          <w:highlight w:val="yellow"/>
        </w:rPr>
        <w:instrText xml:space="preserve"> \* MERGEFORMAT </w:instrText>
      </w:r>
      <w:r w:rsidR="00E02C0D" w:rsidRPr="0010715D">
        <w:rPr>
          <w:highlight w:val="yellow"/>
        </w:rPr>
        <w:fldChar w:fldCharType="separate"/>
      </w:r>
      <w:r w:rsidR="00F37B62" w:rsidRPr="0010715D">
        <w:rPr>
          <w:b/>
          <w:bCs/>
          <w:highlight w:val="yellow"/>
        </w:rPr>
        <w:t>Pogreška! Izvor reference nije pronađen.</w:t>
      </w:r>
      <w:r w:rsidR="00E02C0D" w:rsidRPr="0010715D">
        <w:rPr>
          <w:highlight w:val="yellow"/>
        </w:rPr>
        <w:fldChar w:fldCharType="end"/>
      </w:r>
      <w:r w:rsidR="00E02C0D" w:rsidRPr="0010715D">
        <w:rPr>
          <w:highlight w:val="yellow"/>
        </w:rPr>
        <w:t xml:space="preserve"> i </w:t>
      </w:r>
      <w:r w:rsidR="00E02C0D" w:rsidRPr="0010715D">
        <w:rPr>
          <w:highlight w:val="yellow"/>
        </w:rPr>
        <w:fldChar w:fldCharType="begin"/>
      </w:r>
      <w:r w:rsidR="00E02C0D" w:rsidRPr="0010715D">
        <w:rPr>
          <w:highlight w:val="yellow"/>
        </w:rPr>
        <w:instrText xml:space="preserve"> REF _Ref116284623 \h </w:instrText>
      </w:r>
      <w:r w:rsidR="00E02C0D" w:rsidRPr="0010715D">
        <w:rPr>
          <w:highlight w:val="yellow"/>
        </w:rPr>
      </w:r>
      <w:r w:rsidR="0010715D">
        <w:rPr>
          <w:highlight w:val="yellow"/>
        </w:rPr>
        <w:instrText xml:space="preserve"> \* MERGEFORMAT </w:instrText>
      </w:r>
      <w:r w:rsidR="00E02C0D" w:rsidRPr="0010715D">
        <w:rPr>
          <w:highlight w:val="yellow"/>
        </w:rPr>
        <w:fldChar w:fldCharType="separate"/>
      </w:r>
      <w:r w:rsidR="00F37B62" w:rsidRPr="0010715D">
        <w:rPr>
          <w:highlight w:val="yellow"/>
        </w:rPr>
        <w:t xml:space="preserve">Slika </w:t>
      </w:r>
      <w:r w:rsidR="00F37B62" w:rsidRPr="0010715D">
        <w:rPr>
          <w:noProof/>
          <w:highlight w:val="yellow"/>
        </w:rPr>
        <w:t>65</w:t>
      </w:r>
      <w:r w:rsidR="00E02C0D" w:rsidRPr="0010715D">
        <w:rPr>
          <w:highlight w:val="yellow"/>
        </w:rPr>
        <w:fldChar w:fldCharType="end"/>
      </w:r>
      <w:r w:rsidR="00D46BBF" w:rsidRPr="0010715D">
        <w:rPr>
          <w:highlight w:val="yellow"/>
        </w:rPr>
        <w:t xml:space="preserve"> za Scenarij 1, </w:t>
      </w:r>
      <w:r w:rsidR="00E02C0D" w:rsidRPr="0010715D">
        <w:rPr>
          <w:highlight w:val="yellow"/>
        </w:rPr>
        <w:fldChar w:fldCharType="begin"/>
      </w:r>
      <w:r w:rsidR="00E02C0D" w:rsidRPr="0010715D">
        <w:rPr>
          <w:highlight w:val="yellow"/>
        </w:rPr>
        <w:instrText xml:space="preserve"> REF _Ref115435283 \h </w:instrText>
      </w:r>
      <w:r w:rsidR="00E02C0D" w:rsidRPr="0010715D">
        <w:rPr>
          <w:highlight w:val="yellow"/>
        </w:rPr>
      </w:r>
      <w:r w:rsidR="0010715D">
        <w:rPr>
          <w:highlight w:val="yellow"/>
        </w:rPr>
        <w:instrText xml:space="preserve"> \* MERGEFORMAT </w:instrText>
      </w:r>
      <w:r w:rsidR="00E02C0D" w:rsidRPr="0010715D">
        <w:rPr>
          <w:highlight w:val="yellow"/>
        </w:rPr>
        <w:fldChar w:fldCharType="separate"/>
      </w:r>
      <w:r w:rsidR="00F37B62" w:rsidRPr="0010715D">
        <w:rPr>
          <w:highlight w:val="yellow"/>
        </w:rPr>
        <w:t xml:space="preserve">Tablica </w:t>
      </w:r>
      <w:r w:rsidR="00F37B62" w:rsidRPr="0010715D">
        <w:rPr>
          <w:noProof/>
          <w:highlight w:val="yellow"/>
        </w:rPr>
        <w:t>35</w:t>
      </w:r>
      <w:r w:rsidR="00E02C0D" w:rsidRPr="0010715D">
        <w:rPr>
          <w:highlight w:val="yellow"/>
        </w:rPr>
        <w:fldChar w:fldCharType="end"/>
      </w:r>
      <w:r w:rsidR="00E02C0D" w:rsidRPr="0010715D">
        <w:rPr>
          <w:highlight w:val="yellow"/>
        </w:rPr>
        <w:t xml:space="preserve"> i </w:t>
      </w:r>
      <w:r w:rsidR="00E02C0D" w:rsidRPr="0010715D">
        <w:rPr>
          <w:highlight w:val="yellow"/>
        </w:rPr>
        <w:fldChar w:fldCharType="begin"/>
      </w:r>
      <w:r w:rsidR="00E02C0D" w:rsidRPr="0010715D">
        <w:rPr>
          <w:highlight w:val="yellow"/>
        </w:rPr>
        <w:instrText xml:space="preserve"> REF _Ref116284628 \h </w:instrText>
      </w:r>
      <w:r w:rsidR="00E02C0D" w:rsidRPr="0010715D">
        <w:rPr>
          <w:highlight w:val="yellow"/>
        </w:rPr>
      </w:r>
      <w:r w:rsidR="0010715D">
        <w:rPr>
          <w:highlight w:val="yellow"/>
        </w:rPr>
        <w:instrText xml:space="preserve"> \* MERGEFORMAT </w:instrText>
      </w:r>
      <w:r w:rsidR="00E02C0D" w:rsidRPr="0010715D">
        <w:rPr>
          <w:highlight w:val="yellow"/>
        </w:rPr>
        <w:fldChar w:fldCharType="separate"/>
      </w:r>
      <w:r w:rsidR="00F37B62" w:rsidRPr="0010715D">
        <w:rPr>
          <w:highlight w:val="yellow"/>
        </w:rPr>
        <w:t xml:space="preserve">Slika </w:t>
      </w:r>
      <w:r w:rsidR="00F37B62" w:rsidRPr="0010715D">
        <w:rPr>
          <w:b/>
          <w:i/>
          <w:iCs/>
          <w:noProof/>
          <w:highlight w:val="yellow"/>
        </w:rPr>
        <w:t>66</w:t>
      </w:r>
      <w:r w:rsidR="00E02C0D" w:rsidRPr="0010715D">
        <w:rPr>
          <w:highlight w:val="yellow"/>
        </w:rPr>
        <w:fldChar w:fldCharType="end"/>
      </w:r>
      <w:r w:rsidR="00E02C0D" w:rsidRPr="0010715D">
        <w:rPr>
          <w:highlight w:val="yellow"/>
        </w:rPr>
        <w:t xml:space="preserve"> </w:t>
      </w:r>
      <w:r w:rsidR="00D46BBF" w:rsidRPr="0010715D">
        <w:rPr>
          <w:highlight w:val="yellow"/>
        </w:rPr>
        <w:t xml:space="preserve">za Scenarij </w:t>
      </w:r>
      <w:commentRangeStart w:id="240"/>
      <w:r w:rsidR="00D46BBF" w:rsidRPr="0010715D">
        <w:rPr>
          <w:highlight w:val="yellow"/>
        </w:rPr>
        <w:t>2</w:t>
      </w:r>
      <w:commentRangeEnd w:id="240"/>
      <w:r w:rsidR="0010715D">
        <w:rPr>
          <w:rStyle w:val="Referencakomentara"/>
        </w:rPr>
        <w:commentReference w:id="240"/>
      </w:r>
      <w:r w:rsidR="00D46BBF" w:rsidRPr="0010715D">
        <w:rPr>
          <w:highlight w:val="yellow"/>
        </w:rPr>
        <w:t>)</w:t>
      </w:r>
      <w:r w:rsidRPr="0010715D">
        <w:rPr>
          <w:highlight w:val="yellow"/>
        </w:rPr>
        <w:t>.</w:t>
      </w:r>
    </w:p>
    <w:p w14:paraId="4216CF42" w14:textId="392D3F70" w:rsidR="00B13E16" w:rsidRDefault="00F135C4" w:rsidP="008D6E1F">
      <w:r>
        <w:t>U</w:t>
      </w:r>
      <w:r w:rsidR="00B13E16">
        <w:t xml:space="preserve">zimajući u obzir odredbe </w:t>
      </w:r>
      <w:r w:rsidR="00B13E16" w:rsidRPr="00223644">
        <w:t>Provedben</w:t>
      </w:r>
      <w:r w:rsidR="00B13E16">
        <w:t>e</w:t>
      </w:r>
      <w:r w:rsidR="00B13E16" w:rsidRPr="00223644">
        <w:t xml:space="preserve"> odluk</w:t>
      </w:r>
      <w:r w:rsidR="00B13E16">
        <w:t>e</w:t>
      </w:r>
      <w:r w:rsidR="00B13E16" w:rsidRPr="00223644">
        <w:t xml:space="preserve"> Komisije (EU) 2019/1004 </w:t>
      </w:r>
      <w:proofErr w:type="spellStart"/>
      <w:r w:rsidR="00B13E16" w:rsidRPr="00223644">
        <w:t>оd</w:t>
      </w:r>
      <w:proofErr w:type="spellEnd"/>
      <w:r w:rsidR="00B13E16" w:rsidRPr="00223644">
        <w:t xml:space="preserve"> 7. lipnja 2019. o utvrđivanju pravila za izračun, provjeru i dostavu podataka o otpadu</w:t>
      </w:r>
      <w:r>
        <w:t>,</w:t>
      </w:r>
      <w:r w:rsidR="00B13E16">
        <w:t xml:space="preserve"> </w:t>
      </w:r>
      <w:r w:rsidR="00B13E16" w:rsidRPr="000A3FC6">
        <w:t>količine recikliranog komunalnog biootpada</w:t>
      </w:r>
      <w:r w:rsidR="00B13E16">
        <w:t xml:space="preserve"> </w:t>
      </w:r>
      <w:r>
        <w:t xml:space="preserve">se određuju </w:t>
      </w:r>
      <w:r w:rsidR="00B13E16">
        <w:t>uzima</w:t>
      </w:r>
      <w:r>
        <w:t>jući</w:t>
      </w:r>
      <w:r w:rsidR="00B13E16">
        <w:t xml:space="preserve"> u obzir i komunalni biootpad </w:t>
      </w:r>
      <w:r w:rsidR="00B13E16" w:rsidRPr="000A3FC6">
        <w:t>odvojen i recikliran na izvoru</w:t>
      </w:r>
      <w:r w:rsidR="00B13E16">
        <w:t xml:space="preserve"> – „kućno kompostiranje“</w:t>
      </w:r>
      <w:r>
        <w:t xml:space="preserve">. </w:t>
      </w:r>
    </w:p>
    <w:p w14:paraId="4AF03E46" w14:textId="77777777" w:rsidR="00B13E16" w:rsidRPr="008E74F7" w:rsidRDefault="00B13E16" w:rsidP="008E74F7"/>
    <w:p w14:paraId="20A00193" w14:textId="2CE0B09F" w:rsidR="00C262BD" w:rsidRDefault="00C262BD" w:rsidP="007A3BF2">
      <w:pPr>
        <w:rPr>
          <w:sz w:val="20"/>
          <w:szCs w:val="20"/>
        </w:rPr>
      </w:pPr>
    </w:p>
    <w:p w14:paraId="42E4A192" w14:textId="77777777" w:rsidR="00C262BD" w:rsidRDefault="00C262BD">
      <w:pPr>
        <w:jc w:val="left"/>
        <w:rPr>
          <w:sz w:val="20"/>
          <w:szCs w:val="20"/>
        </w:rPr>
      </w:pPr>
      <w:r>
        <w:rPr>
          <w:sz w:val="20"/>
          <w:szCs w:val="20"/>
        </w:rPr>
        <w:br w:type="page"/>
      </w:r>
    </w:p>
    <w:p w14:paraId="5241E5F6" w14:textId="77777777" w:rsidR="00C262BD" w:rsidRDefault="00C262BD" w:rsidP="007A3BF2">
      <w:pPr>
        <w:rPr>
          <w:sz w:val="20"/>
          <w:szCs w:val="20"/>
        </w:rPr>
        <w:sectPr w:rsidR="00C262BD" w:rsidSect="00C259A4">
          <w:footerReference w:type="default" r:id="rId19"/>
          <w:pgSz w:w="11906" w:h="16838" w:code="9"/>
          <w:pgMar w:top="1440" w:right="1416" w:bottom="1440" w:left="1440" w:header="709" w:footer="709" w:gutter="0"/>
          <w:cols w:space="708"/>
          <w:docGrid w:linePitch="360"/>
        </w:sectPr>
      </w:pPr>
    </w:p>
    <w:p w14:paraId="4E79ACA2" w14:textId="1492793D" w:rsidR="00A52DE5" w:rsidRDefault="00A52DE5" w:rsidP="007A3BF2">
      <w:pPr>
        <w:rPr>
          <w:sz w:val="20"/>
          <w:szCs w:val="20"/>
        </w:rPr>
      </w:pPr>
    </w:p>
    <w:p w14:paraId="7B247F32" w14:textId="7DAC5040" w:rsidR="008E74F7" w:rsidRPr="00BB2706" w:rsidRDefault="008E74F7" w:rsidP="00BB2706">
      <w:pPr>
        <w:pStyle w:val="Tablica"/>
        <w:rPr>
          <w:b w:val="0"/>
        </w:rPr>
      </w:pPr>
      <w:bookmarkStart w:id="241" w:name="_Toc125364423"/>
      <w:r w:rsidRPr="008E74F7">
        <w:t xml:space="preserve">Tablica </w:t>
      </w:r>
      <w:fldSimple w:instr=" SEQ Tablica \* ARABIC ">
        <w:r w:rsidR="00F37B62">
          <w:rPr>
            <w:noProof/>
          </w:rPr>
          <w:t>34</w:t>
        </w:r>
      </w:fldSimple>
      <w:r>
        <w:t>.</w:t>
      </w:r>
      <w:r w:rsidRPr="008E74F7">
        <w:t xml:space="preserve"> </w:t>
      </w:r>
      <w:r w:rsidRPr="00BB2706">
        <w:rPr>
          <w:b w:val="0"/>
        </w:rPr>
        <w:t xml:space="preserve">Ukupni potrebni kapaciteti </w:t>
      </w:r>
      <w:proofErr w:type="spellStart"/>
      <w:r w:rsidRPr="00BB2706">
        <w:rPr>
          <w:b w:val="0"/>
        </w:rPr>
        <w:t>kompostana</w:t>
      </w:r>
      <w:proofErr w:type="spellEnd"/>
      <w:r w:rsidRPr="00BB2706">
        <w:rPr>
          <w:b w:val="0"/>
        </w:rPr>
        <w:t xml:space="preserve"> i bioplinskih postrojenja u 2028. godini – SCENARIJ 1</w:t>
      </w:r>
      <w:bookmarkEnd w:id="241"/>
    </w:p>
    <w:tbl>
      <w:tblPr>
        <w:tblW w:w="15492" w:type="dxa"/>
        <w:tblInd w:w="-450" w:type="dxa"/>
        <w:tblLook w:val="04A0" w:firstRow="1" w:lastRow="0" w:firstColumn="1" w:lastColumn="0" w:noHBand="0" w:noVBand="1"/>
      </w:tblPr>
      <w:tblGrid>
        <w:gridCol w:w="1711"/>
        <w:gridCol w:w="951"/>
        <w:gridCol w:w="774"/>
        <w:gridCol w:w="1089"/>
        <w:gridCol w:w="1002"/>
        <w:gridCol w:w="730"/>
        <w:gridCol w:w="978"/>
        <w:gridCol w:w="1044"/>
        <w:gridCol w:w="1044"/>
        <w:gridCol w:w="1052"/>
        <w:gridCol w:w="1359"/>
        <w:gridCol w:w="1235"/>
        <w:gridCol w:w="1235"/>
        <w:gridCol w:w="1288"/>
      </w:tblGrid>
      <w:tr w:rsidR="00FF7D8D" w:rsidRPr="00315732" w14:paraId="4DA62B2A" w14:textId="2A2FE550" w:rsidTr="00BB2706">
        <w:trPr>
          <w:trHeight w:val="270"/>
        </w:trPr>
        <w:tc>
          <w:tcPr>
            <w:tcW w:w="15492" w:type="dxa"/>
            <w:gridSpan w:val="14"/>
            <w:tcBorders>
              <w:top w:val="single" w:sz="8" w:space="0" w:color="auto"/>
              <w:left w:val="single" w:sz="8" w:space="0" w:color="auto"/>
              <w:bottom w:val="single" w:sz="8" w:space="0" w:color="auto"/>
              <w:right w:val="single" w:sz="8" w:space="0" w:color="000000"/>
            </w:tcBorders>
          </w:tcPr>
          <w:p w14:paraId="0A7CE4EA" w14:textId="1EE72A5D" w:rsidR="00FF7D8D" w:rsidRPr="00315732" w:rsidRDefault="00FF7D8D" w:rsidP="00CC41BC">
            <w:pPr>
              <w:spacing w:after="0" w:line="240" w:lineRule="auto"/>
              <w:jc w:val="center"/>
              <w:rPr>
                <w:rFonts w:ascii="Calibri" w:eastAsia="Times New Roman" w:hAnsi="Calibri" w:cs="Calibri"/>
                <w:b/>
                <w:bCs/>
                <w:color w:val="000000"/>
                <w:sz w:val="16"/>
                <w:szCs w:val="16"/>
                <w:lang w:eastAsia="hr-HR"/>
              </w:rPr>
            </w:pPr>
            <w:r w:rsidRPr="00315732">
              <w:rPr>
                <w:rFonts w:ascii="Calibri" w:eastAsia="Times New Roman" w:hAnsi="Calibri" w:cs="Calibri"/>
                <w:b/>
                <w:bCs/>
                <w:color w:val="000000"/>
                <w:sz w:val="16"/>
                <w:szCs w:val="16"/>
                <w:lang w:eastAsia="hr-HR"/>
              </w:rPr>
              <w:t xml:space="preserve">2028. - </w:t>
            </w:r>
            <w:proofErr w:type="spellStart"/>
            <w:r w:rsidRPr="00315732">
              <w:rPr>
                <w:rFonts w:ascii="Calibri" w:eastAsia="Times New Roman" w:hAnsi="Calibri" w:cs="Calibri"/>
                <w:b/>
                <w:bCs/>
                <w:color w:val="000000"/>
                <w:sz w:val="16"/>
                <w:szCs w:val="16"/>
                <w:lang w:eastAsia="hr-HR"/>
              </w:rPr>
              <w:t>Kompostane</w:t>
            </w:r>
            <w:proofErr w:type="spellEnd"/>
            <w:r w:rsidRPr="00315732">
              <w:rPr>
                <w:rFonts w:ascii="Calibri" w:eastAsia="Times New Roman" w:hAnsi="Calibri" w:cs="Calibri"/>
                <w:b/>
                <w:bCs/>
                <w:color w:val="000000"/>
                <w:sz w:val="16"/>
                <w:szCs w:val="16"/>
                <w:lang w:eastAsia="hr-HR"/>
              </w:rPr>
              <w:t xml:space="preserve"> i bioplinska postrojenja</w:t>
            </w:r>
          </w:p>
        </w:tc>
      </w:tr>
      <w:tr w:rsidR="00280EDD" w:rsidRPr="00315732" w14:paraId="2D69B5A8" w14:textId="746696FB" w:rsidTr="005D4437">
        <w:trPr>
          <w:trHeight w:val="1350"/>
        </w:trPr>
        <w:tc>
          <w:tcPr>
            <w:tcW w:w="1711" w:type="dxa"/>
            <w:tcBorders>
              <w:top w:val="nil"/>
              <w:left w:val="single" w:sz="8" w:space="0" w:color="auto"/>
              <w:bottom w:val="nil"/>
              <w:right w:val="single" w:sz="4" w:space="0" w:color="auto"/>
            </w:tcBorders>
            <w:shd w:val="clear" w:color="auto" w:fill="002060"/>
            <w:noWrap/>
            <w:vAlign w:val="center"/>
            <w:hideMark/>
          </w:tcPr>
          <w:p w14:paraId="7AD2D70D" w14:textId="77777777" w:rsidR="00FF7D8D" w:rsidRPr="00315732" w:rsidRDefault="00FF7D8D" w:rsidP="00CC41BC">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Županija</w:t>
            </w:r>
          </w:p>
        </w:tc>
        <w:tc>
          <w:tcPr>
            <w:tcW w:w="951" w:type="dxa"/>
            <w:tcBorders>
              <w:top w:val="nil"/>
              <w:left w:val="nil"/>
              <w:bottom w:val="nil"/>
              <w:right w:val="single" w:sz="4" w:space="0" w:color="auto"/>
            </w:tcBorders>
            <w:shd w:val="clear" w:color="auto" w:fill="002060"/>
            <w:vAlign w:val="center"/>
            <w:hideMark/>
          </w:tcPr>
          <w:p w14:paraId="0591040A" w14:textId="77777777" w:rsidR="00FF7D8D" w:rsidRPr="00315732" w:rsidRDefault="00FF7D8D" w:rsidP="00CC41BC">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Udio županije u ukupno skupljenoj količini KO</w:t>
            </w:r>
          </w:p>
        </w:tc>
        <w:tc>
          <w:tcPr>
            <w:tcW w:w="774" w:type="dxa"/>
            <w:tcBorders>
              <w:top w:val="nil"/>
              <w:left w:val="nil"/>
              <w:bottom w:val="nil"/>
              <w:right w:val="single" w:sz="4" w:space="0" w:color="auto"/>
            </w:tcBorders>
            <w:shd w:val="clear" w:color="auto" w:fill="002060"/>
            <w:vAlign w:val="center"/>
            <w:hideMark/>
          </w:tcPr>
          <w:p w14:paraId="27549FEB" w14:textId="77777777" w:rsidR="00FF7D8D" w:rsidRPr="00315732" w:rsidRDefault="00FF7D8D" w:rsidP="00CC41BC">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Ulaz u sustav biološke obrade</w:t>
            </w:r>
            <w:r w:rsidRPr="00315732">
              <w:rPr>
                <w:rFonts w:ascii="Calibri" w:eastAsia="Times New Roman" w:hAnsi="Calibri" w:cs="Calibri"/>
                <w:b/>
                <w:color w:val="FFFFFF" w:themeColor="background1"/>
                <w:sz w:val="16"/>
                <w:szCs w:val="16"/>
                <w:lang w:eastAsia="hr-HR"/>
              </w:rPr>
              <w:br/>
              <w:t>(t/god)</w:t>
            </w:r>
          </w:p>
        </w:tc>
        <w:tc>
          <w:tcPr>
            <w:tcW w:w="1089" w:type="dxa"/>
            <w:tcBorders>
              <w:top w:val="nil"/>
              <w:left w:val="nil"/>
              <w:bottom w:val="nil"/>
              <w:right w:val="single" w:sz="4" w:space="0" w:color="auto"/>
            </w:tcBorders>
            <w:shd w:val="clear" w:color="auto" w:fill="002060"/>
            <w:vAlign w:val="center"/>
            <w:hideMark/>
          </w:tcPr>
          <w:p w14:paraId="7487BB42" w14:textId="77777777" w:rsidR="00FF7D8D" w:rsidRPr="00315732" w:rsidRDefault="00FF7D8D" w:rsidP="00CC41BC">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 xml:space="preserve">Ukupni potrebni kapacitet </w:t>
            </w:r>
            <w:proofErr w:type="spellStart"/>
            <w:r w:rsidRPr="00315732">
              <w:rPr>
                <w:rFonts w:ascii="Calibri" w:eastAsia="Times New Roman" w:hAnsi="Calibri" w:cs="Calibri"/>
                <w:b/>
                <w:color w:val="FFFFFF" w:themeColor="background1"/>
                <w:sz w:val="16"/>
                <w:szCs w:val="16"/>
                <w:lang w:eastAsia="hr-HR"/>
              </w:rPr>
              <w:t>kompostana</w:t>
            </w:r>
            <w:proofErr w:type="spellEnd"/>
            <w:r w:rsidRPr="00315732">
              <w:rPr>
                <w:rFonts w:ascii="Calibri" w:eastAsia="Times New Roman" w:hAnsi="Calibri" w:cs="Calibri"/>
                <w:b/>
                <w:color w:val="FFFFFF" w:themeColor="background1"/>
                <w:sz w:val="16"/>
                <w:szCs w:val="16"/>
                <w:lang w:eastAsia="hr-HR"/>
              </w:rPr>
              <w:t xml:space="preserve"> i bioplinskih postrojenja za biološku obradu</w:t>
            </w:r>
            <w:r w:rsidRPr="00315732">
              <w:rPr>
                <w:rFonts w:ascii="Calibri" w:eastAsia="Times New Roman" w:hAnsi="Calibri" w:cs="Calibri"/>
                <w:b/>
                <w:color w:val="FFFFFF" w:themeColor="background1"/>
                <w:sz w:val="16"/>
                <w:szCs w:val="16"/>
                <w:lang w:eastAsia="hr-HR"/>
              </w:rPr>
              <w:br/>
              <w:t>(t/god)</w:t>
            </w:r>
          </w:p>
        </w:tc>
        <w:tc>
          <w:tcPr>
            <w:tcW w:w="1002" w:type="dxa"/>
            <w:tcBorders>
              <w:top w:val="nil"/>
              <w:left w:val="nil"/>
              <w:bottom w:val="nil"/>
              <w:right w:val="nil"/>
            </w:tcBorders>
            <w:shd w:val="clear" w:color="auto" w:fill="002060"/>
            <w:vAlign w:val="center"/>
            <w:hideMark/>
          </w:tcPr>
          <w:p w14:paraId="1627B85C" w14:textId="77777777" w:rsidR="00FF7D8D" w:rsidRPr="00315732" w:rsidRDefault="00FF7D8D" w:rsidP="00CC41BC">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Broj bioplinskih postrojenja</w:t>
            </w:r>
          </w:p>
        </w:tc>
        <w:tc>
          <w:tcPr>
            <w:tcW w:w="730" w:type="dxa"/>
            <w:tcBorders>
              <w:top w:val="nil"/>
              <w:left w:val="single" w:sz="4" w:space="0" w:color="auto"/>
              <w:bottom w:val="nil"/>
              <w:right w:val="nil"/>
            </w:tcBorders>
            <w:shd w:val="clear" w:color="auto" w:fill="002060"/>
            <w:vAlign w:val="center"/>
            <w:hideMark/>
          </w:tcPr>
          <w:p w14:paraId="0CD84BC3" w14:textId="75BBC15E" w:rsidR="00FF7D8D" w:rsidRPr="00315732" w:rsidRDefault="00FF7D8D" w:rsidP="00CC41BC">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Broj kompo</w:t>
            </w:r>
            <w:r>
              <w:rPr>
                <w:rFonts w:ascii="Calibri" w:eastAsia="Times New Roman" w:hAnsi="Calibri" w:cs="Calibri"/>
                <w:b/>
                <w:color w:val="FFFFFF" w:themeColor="background1"/>
                <w:sz w:val="16"/>
                <w:szCs w:val="16"/>
                <w:lang w:eastAsia="hr-HR"/>
              </w:rPr>
              <w:t>-</w:t>
            </w:r>
            <w:r w:rsidRPr="00315732">
              <w:rPr>
                <w:rFonts w:ascii="Calibri" w:eastAsia="Times New Roman" w:hAnsi="Calibri" w:cs="Calibri"/>
                <w:b/>
                <w:color w:val="FFFFFF" w:themeColor="background1"/>
                <w:sz w:val="16"/>
                <w:szCs w:val="16"/>
                <w:lang w:eastAsia="hr-HR"/>
              </w:rPr>
              <w:t>stana</w:t>
            </w:r>
          </w:p>
        </w:tc>
        <w:tc>
          <w:tcPr>
            <w:tcW w:w="978" w:type="dxa"/>
            <w:tcBorders>
              <w:top w:val="nil"/>
              <w:left w:val="single" w:sz="4" w:space="0" w:color="auto"/>
              <w:bottom w:val="nil"/>
              <w:right w:val="nil"/>
            </w:tcBorders>
            <w:shd w:val="clear" w:color="auto" w:fill="002060"/>
            <w:vAlign w:val="center"/>
            <w:hideMark/>
          </w:tcPr>
          <w:p w14:paraId="60DF1D01" w14:textId="77777777" w:rsidR="00FF7D8D" w:rsidRPr="00315732" w:rsidRDefault="00FF7D8D" w:rsidP="00CC41BC">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Kapacitet postojećih bioplinskih postrojenja za biološku obradu (t/god)</w:t>
            </w:r>
          </w:p>
        </w:tc>
        <w:tc>
          <w:tcPr>
            <w:tcW w:w="1044" w:type="dxa"/>
            <w:tcBorders>
              <w:top w:val="nil"/>
              <w:left w:val="single" w:sz="4" w:space="0" w:color="auto"/>
              <w:bottom w:val="nil"/>
              <w:right w:val="nil"/>
            </w:tcBorders>
            <w:shd w:val="clear" w:color="auto" w:fill="002060"/>
            <w:vAlign w:val="center"/>
            <w:hideMark/>
          </w:tcPr>
          <w:p w14:paraId="6A688CCC" w14:textId="77777777" w:rsidR="00FF7D8D" w:rsidRPr="00315732" w:rsidRDefault="00FF7D8D" w:rsidP="00CC41BC">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 xml:space="preserve">Kapacitet postojećih </w:t>
            </w:r>
            <w:proofErr w:type="spellStart"/>
            <w:r w:rsidRPr="00315732">
              <w:rPr>
                <w:rFonts w:ascii="Calibri" w:eastAsia="Times New Roman" w:hAnsi="Calibri" w:cs="Calibri"/>
                <w:b/>
                <w:color w:val="FFFFFF" w:themeColor="background1"/>
                <w:sz w:val="16"/>
                <w:szCs w:val="16"/>
                <w:lang w:eastAsia="hr-HR"/>
              </w:rPr>
              <w:t>kompostana</w:t>
            </w:r>
            <w:proofErr w:type="spellEnd"/>
            <w:r w:rsidRPr="00315732">
              <w:rPr>
                <w:rFonts w:ascii="Calibri" w:eastAsia="Times New Roman" w:hAnsi="Calibri" w:cs="Calibri"/>
                <w:b/>
                <w:color w:val="FFFFFF" w:themeColor="background1"/>
                <w:sz w:val="16"/>
                <w:szCs w:val="16"/>
                <w:lang w:eastAsia="hr-HR"/>
              </w:rPr>
              <w:t xml:space="preserve"> za biološku obradu (t/god)</w:t>
            </w:r>
          </w:p>
        </w:tc>
        <w:tc>
          <w:tcPr>
            <w:tcW w:w="1044" w:type="dxa"/>
            <w:tcBorders>
              <w:top w:val="nil"/>
              <w:left w:val="single" w:sz="4" w:space="0" w:color="auto"/>
              <w:bottom w:val="nil"/>
              <w:right w:val="nil"/>
            </w:tcBorders>
            <w:shd w:val="clear" w:color="auto" w:fill="002060"/>
            <w:vAlign w:val="center"/>
            <w:hideMark/>
          </w:tcPr>
          <w:p w14:paraId="47EE5B5B" w14:textId="77777777" w:rsidR="00FF7D8D" w:rsidRPr="00315732" w:rsidRDefault="00FF7D8D" w:rsidP="00CC41BC">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 xml:space="preserve">Ukupni postojeći kapacitet bioplinskih postrojenja i </w:t>
            </w:r>
            <w:proofErr w:type="spellStart"/>
            <w:r w:rsidRPr="00315732">
              <w:rPr>
                <w:rFonts w:ascii="Calibri" w:eastAsia="Times New Roman" w:hAnsi="Calibri" w:cs="Calibri"/>
                <w:b/>
                <w:color w:val="FFFFFF" w:themeColor="background1"/>
                <w:sz w:val="16"/>
                <w:szCs w:val="16"/>
                <w:lang w:eastAsia="hr-HR"/>
              </w:rPr>
              <w:t>kompostana</w:t>
            </w:r>
            <w:proofErr w:type="spellEnd"/>
            <w:r w:rsidRPr="00315732">
              <w:rPr>
                <w:rFonts w:ascii="Calibri" w:eastAsia="Times New Roman" w:hAnsi="Calibri" w:cs="Calibri"/>
                <w:b/>
                <w:color w:val="FFFFFF" w:themeColor="background1"/>
                <w:sz w:val="16"/>
                <w:szCs w:val="16"/>
                <w:lang w:eastAsia="hr-HR"/>
              </w:rPr>
              <w:t xml:space="preserve"> za biološku obradu</w:t>
            </w:r>
            <w:r w:rsidRPr="00315732">
              <w:rPr>
                <w:rFonts w:ascii="Calibri" w:eastAsia="Times New Roman" w:hAnsi="Calibri" w:cs="Calibri"/>
                <w:b/>
                <w:color w:val="FFFFFF" w:themeColor="background1"/>
                <w:sz w:val="16"/>
                <w:szCs w:val="16"/>
                <w:lang w:eastAsia="hr-HR"/>
              </w:rPr>
              <w:br/>
              <w:t>(t/god)</w:t>
            </w:r>
          </w:p>
        </w:tc>
        <w:tc>
          <w:tcPr>
            <w:tcW w:w="1052" w:type="dxa"/>
            <w:tcBorders>
              <w:top w:val="nil"/>
              <w:left w:val="single" w:sz="4" w:space="0" w:color="auto"/>
              <w:bottom w:val="nil"/>
              <w:right w:val="nil"/>
            </w:tcBorders>
            <w:shd w:val="clear" w:color="auto" w:fill="002060"/>
            <w:vAlign w:val="center"/>
            <w:hideMark/>
          </w:tcPr>
          <w:p w14:paraId="1E338575" w14:textId="77777777" w:rsidR="00FF7D8D" w:rsidRPr="00315732" w:rsidRDefault="00FF7D8D" w:rsidP="00CC41BC">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 xml:space="preserve">Potrebni dodatni kapacitet  </w:t>
            </w:r>
            <w:proofErr w:type="spellStart"/>
            <w:r w:rsidRPr="00315732">
              <w:rPr>
                <w:rFonts w:ascii="Calibri" w:eastAsia="Times New Roman" w:hAnsi="Calibri" w:cs="Calibri"/>
                <w:b/>
                <w:color w:val="FFFFFF" w:themeColor="background1"/>
                <w:sz w:val="16"/>
                <w:szCs w:val="16"/>
                <w:lang w:eastAsia="hr-HR"/>
              </w:rPr>
              <w:t>kompostana</w:t>
            </w:r>
            <w:proofErr w:type="spellEnd"/>
            <w:r w:rsidRPr="00315732">
              <w:rPr>
                <w:rFonts w:ascii="Calibri" w:eastAsia="Times New Roman" w:hAnsi="Calibri" w:cs="Calibri"/>
                <w:b/>
                <w:color w:val="FFFFFF" w:themeColor="background1"/>
                <w:sz w:val="16"/>
                <w:szCs w:val="16"/>
                <w:lang w:eastAsia="hr-HR"/>
              </w:rPr>
              <w:t xml:space="preserve"> i bioplinskih </w:t>
            </w:r>
            <w:proofErr w:type="spellStart"/>
            <w:r w:rsidRPr="00315732">
              <w:rPr>
                <w:rFonts w:ascii="Calibri" w:eastAsia="Times New Roman" w:hAnsi="Calibri" w:cs="Calibri"/>
                <w:b/>
                <w:color w:val="FFFFFF" w:themeColor="background1"/>
                <w:sz w:val="16"/>
                <w:szCs w:val="16"/>
                <w:lang w:eastAsia="hr-HR"/>
              </w:rPr>
              <w:t>postojenja</w:t>
            </w:r>
            <w:proofErr w:type="spellEnd"/>
            <w:r w:rsidRPr="00315732">
              <w:rPr>
                <w:rFonts w:ascii="Calibri" w:eastAsia="Times New Roman" w:hAnsi="Calibri" w:cs="Calibri"/>
                <w:b/>
                <w:color w:val="FFFFFF" w:themeColor="background1"/>
                <w:sz w:val="16"/>
                <w:szCs w:val="16"/>
                <w:lang w:eastAsia="hr-HR"/>
              </w:rPr>
              <w:t xml:space="preserve"> za biološku obradu</w:t>
            </w:r>
            <w:r w:rsidRPr="00315732">
              <w:rPr>
                <w:rFonts w:ascii="Calibri" w:eastAsia="Times New Roman" w:hAnsi="Calibri" w:cs="Calibri"/>
                <w:b/>
                <w:color w:val="FFFFFF" w:themeColor="background1"/>
                <w:sz w:val="16"/>
                <w:szCs w:val="16"/>
                <w:lang w:eastAsia="hr-HR"/>
              </w:rPr>
              <w:br/>
              <w:t>(t/god)</w:t>
            </w:r>
          </w:p>
        </w:tc>
        <w:tc>
          <w:tcPr>
            <w:tcW w:w="1359" w:type="dxa"/>
            <w:tcBorders>
              <w:top w:val="nil"/>
              <w:left w:val="single" w:sz="4" w:space="0" w:color="auto"/>
              <w:bottom w:val="nil"/>
              <w:right w:val="single" w:sz="4" w:space="0" w:color="auto"/>
            </w:tcBorders>
            <w:shd w:val="clear" w:color="auto" w:fill="002060"/>
            <w:vAlign w:val="center"/>
            <w:hideMark/>
          </w:tcPr>
          <w:p w14:paraId="39939359" w14:textId="387772DA" w:rsidR="00FF7D8D" w:rsidRPr="00315732" w:rsidRDefault="00FF7D8D" w:rsidP="00CC41BC">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 xml:space="preserve">Procjena troškova izgradnje </w:t>
            </w:r>
            <w:r>
              <w:rPr>
                <w:rFonts w:ascii="Calibri" w:eastAsia="Times New Roman" w:hAnsi="Calibri" w:cs="Calibri"/>
                <w:b/>
                <w:color w:val="FFFFFF" w:themeColor="background1"/>
                <w:sz w:val="16"/>
                <w:szCs w:val="16"/>
                <w:lang w:eastAsia="hr-HR"/>
              </w:rPr>
              <w:br/>
            </w:r>
            <w:r w:rsidRPr="00315732">
              <w:rPr>
                <w:rFonts w:ascii="Calibri" w:eastAsia="Times New Roman" w:hAnsi="Calibri" w:cs="Calibri"/>
                <w:b/>
                <w:color w:val="FFFFFF" w:themeColor="background1"/>
                <w:sz w:val="16"/>
                <w:szCs w:val="16"/>
                <w:lang w:eastAsia="hr-HR"/>
              </w:rPr>
              <w:t xml:space="preserve">novih </w:t>
            </w:r>
            <w:proofErr w:type="spellStart"/>
            <w:r w:rsidRPr="00315732">
              <w:rPr>
                <w:rFonts w:ascii="Calibri" w:eastAsia="Times New Roman" w:hAnsi="Calibri" w:cs="Calibri"/>
                <w:b/>
                <w:color w:val="FFFFFF" w:themeColor="background1"/>
                <w:sz w:val="16"/>
                <w:szCs w:val="16"/>
                <w:lang w:eastAsia="hr-HR"/>
              </w:rPr>
              <w:t>kompostana</w:t>
            </w:r>
            <w:proofErr w:type="spellEnd"/>
            <w:r w:rsidRPr="00315732">
              <w:rPr>
                <w:rFonts w:ascii="Calibri" w:eastAsia="Times New Roman" w:hAnsi="Calibri" w:cs="Calibri"/>
                <w:b/>
                <w:color w:val="FFFFFF" w:themeColor="background1"/>
                <w:sz w:val="16"/>
                <w:szCs w:val="16"/>
                <w:lang w:eastAsia="hr-HR"/>
              </w:rPr>
              <w:t xml:space="preserve"> i bioplinskih postrojenja</w:t>
            </w:r>
            <w:r>
              <w:rPr>
                <w:rFonts w:ascii="Calibri" w:eastAsia="Times New Roman" w:hAnsi="Calibri" w:cs="Calibri"/>
                <w:b/>
                <w:color w:val="FFFFFF" w:themeColor="background1"/>
                <w:sz w:val="16"/>
                <w:szCs w:val="16"/>
                <w:lang w:eastAsia="hr-HR"/>
              </w:rPr>
              <w:br/>
              <w:t>(kn)</w:t>
            </w:r>
          </w:p>
        </w:tc>
        <w:tc>
          <w:tcPr>
            <w:tcW w:w="1235" w:type="dxa"/>
            <w:tcBorders>
              <w:top w:val="single" w:sz="4" w:space="0" w:color="auto"/>
              <w:left w:val="nil"/>
              <w:bottom w:val="single" w:sz="4" w:space="0" w:color="auto"/>
              <w:right w:val="single" w:sz="4" w:space="0" w:color="auto"/>
            </w:tcBorders>
            <w:shd w:val="clear" w:color="auto" w:fill="002060"/>
            <w:vAlign w:val="center"/>
          </w:tcPr>
          <w:p w14:paraId="1FF98E69" w14:textId="3842B844" w:rsidR="00FF7D8D" w:rsidRPr="00315732" w:rsidRDefault="00FF7D8D" w:rsidP="00FF7D8D">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 xml:space="preserve">Procjena troškova izgradnje </w:t>
            </w:r>
            <w:r>
              <w:rPr>
                <w:rFonts w:ascii="Calibri" w:eastAsia="Times New Roman" w:hAnsi="Calibri" w:cs="Calibri"/>
                <w:b/>
                <w:color w:val="FFFFFF" w:themeColor="background1"/>
                <w:sz w:val="16"/>
                <w:szCs w:val="16"/>
                <w:lang w:eastAsia="hr-HR"/>
              </w:rPr>
              <w:br/>
            </w:r>
            <w:r w:rsidRPr="00315732">
              <w:rPr>
                <w:rFonts w:ascii="Calibri" w:eastAsia="Times New Roman" w:hAnsi="Calibri" w:cs="Calibri"/>
                <w:b/>
                <w:color w:val="FFFFFF" w:themeColor="background1"/>
                <w:sz w:val="16"/>
                <w:szCs w:val="16"/>
                <w:lang w:eastAsia="hr-HR"/>
              </w:rPr>
              <w:t xml:space="preserve">novih </w:t>
            </w:r>
            <w:proofErr w:type="spellStart"/>
            <w:r w:rsidRPr="00315732">
              <w:rPr>
                <w:rFonts w:ascii="Calibri" w:eastAsia="Times New Roman" w:hAnsi="Calibri" w:cs="Calibri"/>
                <w:b/>
                <w:color w:val="FFFFFF" w:themeColor="background1"/>
                <w:sz w:val="16"/>
                <w:szCs w:val="16"/>
                <w:lang w:eastAsia="hr-HR"/>
              </w:rPr>
              <w:t>kompostana</w:t>
            </w:r>
            <w:proofErr w:type="spellEnd"/>
            <w:r w:rsidRPr="00315732">
              <w:rPr>
                <w:rFonts w:ascii="Calibri" w:eastAsia="Times New Roman" w:hAnsi="Calibri" w:cs="Calibri"/>
                <w:b/>
                <w:color w:val="FFFFFF" w:themeColor="background1"/>
                <w:sz w:val="16"/>
                <w:szCs w:val="16"/>
                <w:lang w:eastAsia="hr-HR"/>
              </w:rPr>
              <w:t xml:space="preserve"> i bioplinskih postrojenja</w:t>
            </w:r>
            <w:r>
              <w:rPr>
                <w:rFonts w:ascii="Calibri" w:eastAsia="Times New Roman" w:hAnsi="Calibri" w:cs="Calibri"/>
                <w:b/>
                <w:color w:val="FFFFFF" w:themeColor="background1"/>
                <w:sz w:val="16"/>
                <w:szCs w:val="16"/>
                <w:lang w:eastAsia="hr-HR"/>
              </w:rPr>
              <w:br/>
              <w:t>(EUR)</w:t>
            </w:r>
          </w:p>
        </w:tc>
        <w:tc>
          <w:tcPr>
            <w:tcW w:w="1235" w:type="dxa"/>
            <w:tcBorders>
              <w:top w:val="nil"/>
              <w:left w:val="single" w:sz="4" w:space="0" w:color="auto"/>
              <w:bottom w:val="nil"/>
              <w:right w:val="single" w:sz="8" w:space="0" w:color="auto"/>
            </w:tcBorders>
            <w:shd w:val="clear" w:color="auto" w:fill="002060"/>
            <w:vAlign w:val="center"/>
            <w:hideMark/>
          </w:tcPr>
          <w:p w14:paraId="6D889FDC" w14:textId="6763DB46" w:rsidR="00FF7D8D" w:rsidRPr="00315732" w:rsidRDefault="00FF7D8D" w:rsidP="00CC41BC">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Procjena troškova nadogradnje postojećih bioplinskih postrojenja</w:t>
            </w:r>
            <w:r>
              <w:rPr>
                <w:rFonts w:ascii="Calibri" w:eastAsia="Times New Roman" w:hAnsi="Calibri" w:cs="Calibri"/>
                <w:b/>
                <w:color w:val="FFFFFF" w:themeColor="background1"/>
                <w:sz w:val="16"/>
                <w:szCs w:val="16"/>
                <w:lang w:eastAsia="hr-HR"/>
              </w:rPr>
              <w:br/>
              <w:t>(kn)</w:t>
            </w:r>
          </w:p>
        </w:tc>
        <w:tc>
          <w:tcPr>
            <w:tcW w:w="1288" w:type="dxa"/>
            <w:tcBorders>
              <w:top w:val="nil"/>
              <w:left w:val="single" w:sz="4" w:space="0" w:color="auto"/>
              <w:bottom w:val="nil"/>
              <w:right w:val="single" w:sz="8" w:space="0" w:color="auto"/>
            </w:tcBorders>
            <w:shd w:val="clear" w:color="auto" w:fill="002060"/>
            <w:vAlign w:val="center"/>
          </w:tcPr>
          <w:p w14:paraId="1EBB214F" w14:textId="719E9394" w:rsidR="00FF7D8D" w:rsidRPr="00315732" w:rsidRDefault="00FF7D8D" w:rsidP="00FF7D8D">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Procjena troškova nadogradnje postojećih bioplinskih postrojenja</w:t>
            </w:r>
            <w:r>
              <w:rPr>
                <w:rFonts w:ascii="Calibri" w:eastAsia="Times New Roman" w:hAnsi="Calibri" w:cs="Calibri"/>
                <w:b/>
                <w:color w:val="FFFFFF" w:themeColor="background1"/>
                <w:sz w:val="16"/>
                <w:szCs w:val="16"/>
                <w:lang w:eastAsia="hr-HR"/>
              </w:rPr>
              <w:br/>
              <w:t>(EUR)</w:t>
            </w:r>
          </w:p>
        </w:tc>
      </w:tr>
      <w:tr w:rsidR="005D4437" w:rsidRPr="00315732" w14:paraId="646DD5FA" w14:textId="0BF98C93" w:rsidTr="00BB2706">
        <w:trPr>
          <w:trHeight w:val="170"/>
        </w:trPr>
        <w:tc>
          <w:tcPr>
            <w:tcW w:w="171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B6AB5E3"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Bjelovarsko-bilogorska</w:t>
            </w:r>
          </w:p>
        </w:tc>
        <w:tc>
          <w:tcPr>
            <w:tcW w:w="951" w:type="dxa"/>
            <w:tcBorders>
              <w:top w:val="single" w:sz="8" w:space="0" w:color="auto"/>
              <w:left w:val="nil"/>
              <w:bottom w:val="single" w:sz="4" w:space="0" w:color="auto"/>
              <w:right w:val="single" w:sz="4" w:space="0" w:color="auto"/>
            </w:tcBorders>
            <w:shd w:val="clear" w:color="auto" w:fill="auto"/>
            <w:noWrap/>
            <w:vAlign w:val="center"/>
            <w:hideMark/>
          </w:tcPr>
          <w:p w14:paraId="57D0A6B8"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1,6%</w:t>
            </w:r>
          </w:p>
        </w:tc>
        <w:tc>
          <w:tcPr>
            <w:tcW w:w="77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A98D834"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447.984</w:t>
            </w:r>
          </w:p>
        </w:tc>
        <w:tc>
          <w:tcPr>
            <w:tcW w:w="1089" w:type="dxa"/>
            <w:tcBorders>
              <w:top w:val="single" w:sz="8" w:space="0" w:color="auto"/>
              <w:left w:val="nil"/>
              <w:bottom w:val="single" w:sz="4" w:space="0" w:color="auto"/>
              <w:right w:val="single" w:sz="4" w:space="0" w:color="auto"/>
            </w:tcBorders>
            <w:shd w:val="clear" w:color="auto" w:fill="auto"/>
            <w:noWrap/>
            <w:vAlign w:val="center"/>
            <w:hideMark/>
          </w:tcPr>
          <w:p w14:paraId="54AB2A4A"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7.151</w:t>
            </w:r>
          </w:p>
        </w:tc>
        <w:tc>
          <w:tcPr>
            <w:tcW w:w="1002" w:type="dxa"/>
            <w:tcBorders>
              <w:top w:val="single" w:sz="8" w:space="0" w:color="auto"/>
              <w:left w:val="nil"/>
              <w:bottom w:val="single" w:sz="4" w:space="0" w:color="auto"/>
              <w:right w:val="single" w:sz="4" w:space="0" w:color="auto"/>
            </w:tcBorders>
            <w:shd w:val="clear" w:color="auto" w:fill="auto"/>
            <w:noWrap/>
            <w:vAlign w:val="center"/>
            <w:hideMark/>
          </w:tcPr>
          <w:p w14:paraId="45824C33"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5</w:t>
            </w:r>
          </w:p>
        </w:tc>
        <w:tc>
          <w:tcPr>
            <w:tcW w:w="730" w:type="dxa"/>
            <w:tcBorders>
              <w:top w:val="single" w:sz="8" w:space="0" w:color="auto"/>
              <w:left w:val="nil"/>
              <w:bottom w:val="single" w:sz="4" w:space="0" w:color="auto"/>
              <w:right w:val="single" w:sz="4" w:space="0" w:color="auto"/>
            </w:tcBorders>
            <w:shd w:val="clear" w:color="auto" w:fill="auto"/>
            <w:noWrap/>
            <w:vAlign w:val="center"/>
            <w:hideMark/>
          </w:tcPr>
          <w:p w14:paraId="32B208E9"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w:t>
            </w:r>
          </w:p>
        </w:tc>
        <w:tc>
          <w:tcPr>
            <w:tcW w:w="978" w:type="dxa"/>
            <w:tcBorders>
              <w:top w:val="single" w:sz="8" w:space="0" w:color="auto"/>
              <w:left w:val="nil"/>
              <w:bottom w:val="single" w:sz="4" w:space="0" w:color="auto"/>
              <w:right w:val="single" w:sz="4" w:space="0" w:color="auto"/>
            </w:tcBorders>
            <w:shd w:val="clear" w:color="auto" w:fill="auto"/>
            <w:noWrap/>
            <w:vAlign w:val="center"/>
            <w:hideMark/>
          </w:tcPr>
          <w:p w14:paraId="730C97F3"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85.200</w:t>
            </w:r>
          </w:p>
        </w:tc>
        <w:tc>
          <w:tcPr>
            <w:tcW w:w="1044" w:type="dxa"/>
            <w:tcBorders>
              <w:top w:val="single" w:sz="8" w:space="0" w:color="auto"/>
              <w:left w:val="nil"/>
              <w:bottom w:val="single" w:sz="4" w:space="0" w:color="auto"/>
              <w:right w:val="single" w:sz="4" w:space="0" w:color="auto"/>
            </w:tcBorders>
            <w:shd w:val="clear" w:color="auto" w:fill="auto"/>
            <w:noWrap/>
            <w:vAlign w:val="center"/>
            <w:hideMark/>
          </w:tcPr>
          <w:p w14:paraId="452E4627"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4.000</w:t>
            </w:r>
          </w:p>
        </w:tc>
        <w:tc>
          <w:tcPr>
            <w:tcW w:w="1044" w:type="dxa"/>
            <w:tcBorders>
              <w:top w:val="single" w:sz="8" w:space="0" w:color="auto"/>
              <w:left w:val="nil"/>
              <w:bottom w:val="single" w:sz="4" w:space="0" w:color="auto"/>
              <w:right w:val="single" w:sz="4" w:space="0" w:color="auto"/>
            </w:tcBorders>
            <w:shd w:val="clear" w:color="auto" w:fill="auto"/>
            <w:noWrap/>
            <w:vAlign w:val="center"/>
            <w:hideMark/>
          </w:tcPr>
          <w:p w14:paraId="1B463032"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89.200</w:t>
            </w:r>
          </w:p>
        </w:tc>
        <w:tc>
          <w:tcPr>
            <w:tcW w:w="1052" w:type="dxa"/>
            <w:tcBorders>
              <w:top w:val="single" w:sz="8" w:space="0" w:color="auto"/>
              <w:left w:val="nil"/>
              <w:bottom w:val="single" w:sz="4" w:space="0" w:color="auto"/>
              <w:right w:val="single" w:sz="4" w:space="0" w:color="auto"/>
            </w:tcBorders>
            <w:shd w:val="clear" w:color="auto" w:fill="auto"/>
            <w:noWrap/>
            <w:vAlign w:val="center"/>
            <w:hideMark/>
          </w:tcPr>
          <w:p w14:paraId="6EB3A276"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359" w:type="dxa"/>
            <w:tcBorders>
              <w:top w:val="single" w:sz="8" w:space="0" w:color="auto"/>
              <w:left w:val="nil"/>
              <w:bottom w:val="single" w:sz="4" w:space="0" w:color="auto"/>
              <w:right w:val="single" w:sz="4" w:space="0" w:color="auto"/>
            </w:tcBorders>
            <w:shd w:val="clear" w:color="auto" w:fill="auto"/>
            <w:noWrap/>
            <w:vAlign w:val="center"/>
            <w:hideMark/>
          </w:tcPr>
          <w:p w14:paraId="7C6C80D3" w14:textId="0F28D666"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796F7FB" w14:textId="29261DEC"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235"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69971782" w14:textId="43D904B9"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18.750.000</w:t>
            </w:r>
          </w:p>
        </w:tc>
        <w:tc>
          <w:tcPr>
            <w:tcW w:w="1288" w:type="dxa"/>
            <w:tcBorders>
              <w:top w:val="single" w:sz="8" w:space="0" w:color="auto"/>
              <w:left w:val="nil"/>
              <w:bottom w:val="single" w:sz="8" w:space="0" w:color="auto"/>
              <w:right w:val="single" w:sz="8" w:space="0" w:color="auto"/>
            </w:tcBorders>
            <w:shd w:val="clear" w:color="auto" w:fill="auto"/>
            <w:vAlign w:val="center"/>
          </w:tcPr>
          <w:p w14:paraId="7F9291B4" w14:textId="0612395D"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2.488.552,66   </w:t>
            </w:r>
          </w:p>
        </w:tc>
      </w:tr>
      <w:tr w:rsidR="005D4437" w:rsidRPr="00315732" w14:paraId="159A1870" w14:textId="34ECB056"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64B6CC68"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Brodsko-posavska</w:t>
            </w:r>
          </w:p>
        </w:tc>
        <w:tc>
          <w:tcPr>
            <w:tcW w:w="951" w:type="dxa"/>
            <w:tcBorders>
              <w:top w:val="nil"/>
              <w:left w:val="nil"/>
              <w:bottom w:val="single" w:sz="4" w:space="0" w:color="auto"/>
              <w:right w:val="single" w:sz="4" w:space="0" w:color="auto"/>
            </w:tcBorders>
            <w:shd w:val="clear" w:color="auto" w:fill="auto"/>
            <w:noWrap/>
            <w:vAlign w:val="center"/>
            <w:hideMark/>
          </w:tcPr>
          <w:p w14:paraId="53CCA3E5"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2,0%</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6CB87A88"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7C419449"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9.168</w:t>
            </w:r>
          </w:p>
        </w:tc>
        <w:tc>
          <w:tcPr>
            <w:tcW w:w="1002" w:type="dxa"/>
            <w:tcBorders>
              <w:top w:val="nil"/>
              <w:left w:val="nil"/>
              <w:bottom w:val="single" w:sz="4" w:space="0" w:color="auto"/>
              <w:right w:val="single" w:sz="4" w:space="0" w:color="auto"/>
            </w:tcBorders>
            <w:shd w:val="clear" w:color="auto" w:fill="auto"/>
            <w:noWrap/>
            <w:vAlign w:val="center"/>
            <w:hideMark/>
          </w:tcPr>
          <w:p w14:paraId="7AE2AF79"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730" w:type="dxa"/>
            <w:tcBorders>
              <w:top w:val="nil"/>
              <w:left w:val="nil"/>
              <w:bottom w:val="single" w:sz="4" w:space="0" w:color="auto"/>
              <w:right w:val="single" w:sz="4" w:space="0" w:color="auto"/>
            </w:tcBorders>
            <w:shd w:val="clear" w:color="auto" w:fill="auto"/>
            <w:noWrap/>
            <w:vAlign w:val="center"/>
            <w:hideMark/>
          </w:tcPr>
          <w:p w14:paraId="6572B801"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978" w:type="dxa"/>
            <w:tcBorders>
              <w:top w:val="nil"/>
              <w:left w:val="nil"/>
              <w:bottom w:val="single" w:sz="4" w:space="0" w:color="auto"/>
              <w:right w:val="single" w:sz="4" w:space="0" w:color="auto"/>
            </w:tcBorders>
            <w:shd w:val="clear" w:color="auto" w:fill="auto"/>
            <w:noWrap/>
            <w:vAlign w:val="center"/>
            <w:hideMark/>
          </w:tcPr>
          <w:p w14:paraId="7D09F2B9"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01B1A6C9"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17581F0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52" w:type="dxa"/>
            <w:tcBorders>
              <w:top w:val="nil"/>
              <w:left w:val="nil"/>
              <w:bottom w:val="single" w:sz="4" w:space="0" w:color="auto"/>
              <w:right w:val="single" w:sz="4" w:space="0" w:color="auto"/>
            </w:tcBorders>
            <w:shd w:val="clear" w:color="auto" w:fill="auto"/>
            <w:noWrap/>
            <w:vAlign w:val="center"/>
            <w:hideMark/>
          </w:tcPr>
          <w:p w14:paraId="2AA9FC66"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9.168</w:t>
            </w:r>
          </w:p>
        </w:tc>
        <w:tc>
          <w:tcPr>
            <w:tcW w:w="1359" w:type="dxa"/>
            <w:tcBorders>
              <w:top w:val="nil"/>
              <w:left w:val="nil"/>
              <w:bottom w:val="single" w:sz="4" w:space="0" w:color="auto"/>
              <w:right w:val="single" w:sz="4" w:space="0" w:color="auto"/>
            </w:tcBorders>
            <w:shd w:val="clear" w:color="auto" w:fill="auto"/>
            <w:noWrap/>
            <w:vAlign w:val="center"/>
            <w:hideMark/>
          </w:tcPr>
          <w:p w14:paraId="5644A4C7" w14:textId="66DE732B"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45.838.745</w:t>
            </w:r>
          </w:p>
        </w:tc>
        <w:tc>
          <w:tcPr>
            <w:tcW w:w="1235" w:type="dxa"/>
            <w:tcBorders>
              <w:top w:val="nil"/>
              <w:left w:val="single" w:sz="4" w:space="0" w:color="auto"/>
              <w:bottom w:val="single" w:sz="4" w:space="0" w:color="auto"/>
              <w:right w:val="single" w:sz="4" w:space="0" w:color="auto"/>
            </w:tcBorders>
            <w:shd w:val="clear" w:color="auto" w:fill="auto"/>
            <w:vAlign w:val="center"/>
          </w:tcPr>
          <w:p w14:paraId="2447CD59" w14:textId="209B2D1C"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6.083.846,97</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22724A53" w14:textId="75B46306"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88" w:type="dxa"/>
            <w:tcBorders>
              <w:top w:val="nil"/>
              <w:left w:val="nil"/>
              <w:bottom w:val="single" w:sz="8" w:space="0" w:color="auto"/>
              <w:right w:val="single" w:sz="8" w:space="0" w:color="auto"/>
            </w:tcBorders>
            <w:shd w:val="clear" w:color="auto" w:fill="auto"/>
            <w:vAlign w:val="center"/>
          </w:tcPr>
          <w:p w14:paraId="77359626" w14:textId="042F6381"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0,00   </w:t>
            </w:r>
          </w:p>
        </w:tc>
      </w:tr>
      <w:tr w:rsidR="005D4437" w:rsidRPr="00315732" w14:paraId="138B186F" w14:textId="5DCE37DF"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53A842B3"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Dubrovačko-neretvanska</w:t>
            </w:r>
          </w:p>
        </w:tc>
        <w:tc>
          <w:tcPr>
            <w:tcW w:w="951" w:type="dxa"/>
            <w:tcBorders>
              <w:top w:val="nil"/>
              <w:left w:val="nil"/>
              <w:bottom w:val="single" w:sz="4" w:space="0" w:color="auto"/>
              <w:right w:val="single" w:sz="4" w:space="0" w:color="auto"/>
            </w:tcBorders>
            <w:shd w:val="clear" w:color="auto" w:fill="auto"/>
            <w:noWrap/>
            <w:vAlign w:val="center"/>
            <w:hideMark/>
          </w:tcPr>
          <w:p w14:paraId="7913A7D6"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3,9%</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021AC2A5"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57A9D7D5"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17.479</w:t>
            </w:r>
          </w:p>
        </w:tc>
        <w:tc>
          <w:tcPr>
            <w:tcW w:w="1002" w:type="dxa"/>
            <w:tcBorders>
              <w:top w:val="nil"/>
              <w:left w:val="nil"/>
              <w:bottom w:val="single" w:sz="4" w:space="0" w:color="auto"/>
              <w:right w:val="single" w:sz="4" w:space="0" w:color="auto"/>
            </w:tcBorders>
            <w:shd w:val="clear" w:color="auto" w:fill="auto"/>
            <w:noWrap/>
            <w:vAlign w:val="center"/>
            <w:hideMark/>
          </w:tcPr>
          <w:p w14:paraId="29C9E072"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730" w:type="dxa"/>
            <w:tcBorders>
              <w:top w:val="nil"/>
              <w:left w:val="nil"/>
              <w:bottom w:val="single" w:sz="4" w:space="0" w:color="auto"/>
              <w:right w:val="single" w:sz="4" w:space="0" w:color="auto"/>
            </w:tcBorders>
            <w:shd w:val="clear" w:color="auto" w:fill="auto"/>
            <w:noWrap/>
            <w:vAlign w:val="center"/>
            <w:hideMark/>
          </w:tcPr>
          <w:p w14:paraId="40B44CA2"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w:t>
            </w:r>
          </w:p>
        </w:tc>
        <w:tc>
          <w:tcPr>
            <w:tcW w:w="978" w:type="dxa"/>
            <w:tcBorders>
              <w:top w:val="nil"/>
              <w:left w:val="nil"/>
              <w:bottom w:val="single" w:sz="4" w:space="0" w:color="auto"/>
              <w:right w:val="single" w:sz="4" w:space="0" w:color="auto"/>
            </w:tcBorders>
            <w:shd w:val="clear" w:color="auto" w:fill="auto"/>
            <w:noWrap/>
            <w:vAlign w:val="center"/>
            <w:hideMark/>
          </w:tcPr>
          <w:p w14:paraId="5FECA6CF"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14C849BD"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5.720</w:t>
            </w:r>
          </w:p>
        </w:tc>
        <w:tc>
          <w:tcPr>
            <w:tcW w:w="1044" w:type="dxa"/>
            <w:tcBorders>
              <w:top w:val="nil"/>
              <w:left w:val="nil"/>
              <w:bottom w:val="single" w:sz="4" w:space="0" w:color="auto"/>
              <w:right w:val="single" w:sz="4" w:space="0" w:color="auto"/>
            </w:tcBorders>
            <w:shd w:val="clear" w:color="auto" w:fill="auto"/>
            <w:noWrap/>
            <w:vAlign w:val="center"/>
            <w:hideMark/>
          </w:tcPr>
          <w:p w14:paraId="62C198C5"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5.720</w:t>
            </w:r>
          </w:p>
        </w:tc>
        <w:tc>
          <w:tcPr>
            <w:tcW w:w="1052" w:type="dxa"/>
            <w:tcBorders>
              <w:top w:val="nil"/>
              <w:left w:val="nil"/>
              <w:bottom w:val="single" w:sz="4" w:space="0" w:color="auto"/>
              <w:right w:val="single" w:sz="4" w:space="0" w:color="auto"/>
            </w:tcBorders>
            <w:shd w:val="clear" w:color="auto" w:fill="auto"/>
            <w:noWrap/>
            <w:vAlign w:val="center"/>
            <w:hideMark/>
          </w:tcPr>
          <w:p w14:paraId="380EB7DA"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11.759</w:t>
            </w:r>
          </w:p>
        </w:tc>
        <w:tc>
          <w:tcPr>
            <w:tcW w:w="1359" w:type="dxa"/>
            <w:tcBorders>
              <w:top w:val="nil"/>
              <w:left w:val="nil"/>
              <w:bottom w:val="single" w:sz="4" w:space="0" w:color="auto"/>
              <w:right w:val="single" w:sz="4" w:space="0" w:color="auto"/>
            </w:tcBorders>
            <w:shd w:val="clear" w:color="auto" w:fill="auto"/>
            <w:noWrap/>
            <w:vAlign w:val="center"/>
            <w:hideMark/>
          </w:tcPr>
          <w:p w14:paraId="27AFEA75" w14:textId="1B7BA2E9"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58.7</w:t>
            </w:r>
            <w:r>
              <w:rPr>
                <w:rFonts w:ascii="Calibri" w:eastAsia="Times New Roman" w:hAnsi="Calibri" w:cs="Calibri"/>
                <w:color w:val="000000"/>
                <w:sz w:val="16"/>
                <w:szCs w:val="16"/>
                <w:lang w:eastAsia="hr-HR"/>
              </w:rPr>
              <w:t>93.865</w:t>
            </w:r>
          </w:p>
        </w:tc>
        <w:tc>
          <w:tcPr>
            <w:tcW w:w="1235" w:type="dxa"/>
            <w:tcBorders>
              <w:top w:val="nil"/>
              <w:left w:val="single" w:sz="4" w:space="0" w:color="auto"/>
              <w:bottom w:val="single" w:sz="4" w:space="0" w:color="auto"/>
              <w:right w:val="single" w:sz="4" w:space="0" w:color="auto"/>
            </w:tcBorders>
            <w:shd w:val="clear" w:color="auto" w:fill="auto"/>
            <w:vAlign w:val="center"/>
          </w:tcPr>
          <w:p w14:paraId="47F71416" w14:textId="7C1E5C77"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7.803.286,88</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22C25030" w14:textId="719DA605"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88" w:type="dxa"/>
            <w:tcBorders>
              <w:top w:val="nil"/>
              <w:left w:val="nil"/>
              <w:bottom w:val="single" w:sz="8" w:space="0" w:color="auto"/>
              <w:right w:val="single" w:sz="8" w:space="0" w:color="auto"/>
            </w:tcBorders>
            <w:shd w:val="clear" w:color="auto" w:fill="auto"/>
            <w:vAlign w:val="center"/>
          </w:tcPr>
          <w:p w14:paraId="4B4260D2" w14:textId="2909009D"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0,00   </w:t>
            </w:r>
          </w:p>
        </w:tc>
      </w:tr>
      <w:tr w:rsidR="005D4437" w:rsidRPr="00315732" w14:paraId="35D989F8" w14:textId="4C8926F7"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5A350961"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Grad Zagreb</w:t>
            </w:r>
          </w:p>
        </w:tc>
        <w:tc>
          <w:tcPr>
            <w:tcW w:w="951" w:type="dxa"/>
            <w:tcBorders>
              <w:top w:val="nil"/>
              <w:left w:val="nil"/>
              <w:bottom w:val="single" w:sz="4" w:space="0" w:color="auto"/>
              <w:right w:val="single" w:sz="4" w:space="0" w:color="auto"/>
            </w:tcBorders>
            <w:shd w:val="clear" w:color="auto" w:fill="auto"/>
            <w:noWrap/>
            <w:vAlign w:val="center"/>
            <w:hideMark/>
          </w:tcPr>
          <w:p w14:paraId="3FB5AAC6"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19,8%</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37655448"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455F2CA4"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88.478</w:t>
            </w:r>
          </w:p>
        </w:tc>
        <w:tc>
          <w:tcPr>
            <w:tcW w:w="1002" w:type="dxa"/>
            <w:tcBorders>
              <w:top w:val="nil"/>
              <w:left w:val="nil"/>
              <w:bottom w:val="single" w:sz="4" w:space="0" w:color="auto"/>
              <w:right w:val="single" w:sz="4" w:space="0" w:color="auto"/>
            </w:tcBorders>
            <w:shd w:val="clear" w:color="auto" w:fill="auto"/>
            <w:noWrap/>
            <w:vAlign w:val="center"/>
            <w:hideMark/>
          </w:tcPr>
          <w:p w14:paraId="6F406B4A"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w:t>
            </w:r>
          </w:p>
        </w:tc>
        <w:tc>
          <w:tcPr>
            <w:tcW w:w="730" w:type="dxa"/>
            <w:tcBorders>
              <w:top w:val="nil"/>
              <w:left w:val="nil"/>
              <w:bottom w:val="single" w:sz="4" w:space="0" w:color="auto"/>
              <w:right w:val="single" w:sz="4" w:space="0" w:color="auto"/>
            </w:tcBorders>
            <w:shd w:val="clear" w:color="auto" w:fill="auto"/>
            <w:noWrap/>
            <w:vAlign w:val="center"/>
            <w:hideMark/>
          </w:tcPr>
          <w:p w14:paraId="1560DC5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w:t>
            </w:r>
          </w:p>
        </w:tc>
        <w:tc>
          <w:tcPr>
            <w:tcW w:w="978" w:type="dxa"/>
            <w:tcBorders>
              <w:top w:val="nil"/>
              <w:left w:val="nil"/>
              <w:bottom w:val="single" w:sz="4" w:space="0" w:color="auto"/>
              <w:right w:val="single" w:sz="4" w:space="0" w:color="auto"/>
            </w:tcBorders>
            <w:shd w:val="clear" w:color="auto" w:fill="auto"/>
            <w:noWrap/>
            <w:vAlign w:val="center"/>
            <w:hideMark/>
          </w:tcPr>
          <w:p w14:paraId="3FF0A83A"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27.033</w:t>
            </w:r>
          </w:p>
        </w:tc>
        <w:tc>
          <w:tcPr>
            <w:tcW w:w="1044" w:type="dxa"/>
            <w:tcBorders>
              <w:top w:val="nil"/>
              <w:left w:val="nil"/>
              <w:bottom w:val="single" w:sz="4" w:space="0" w:color="auto"/>
              <w:right w:val="single" w:sz="4" w:space="0" w:color="auto"/>
            </w:tcBorders>
            <w:shd w:val="clear" w:color="auto" w:fill="auto"/>
            <w:noWrap/>
            <w:vAlign w:val="center"/>
            <w:hideMark/>
          </w:tcPr>
          <w:p w14:paraId="0E7297A2"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42.038</w:t>
            </w:r>
          </w:p>
        </w:tc>
        <w:tc>
          <w:tcPr>
            <w:tcW w:w="1044" w:type="dxa"/>
            <w:tcBorders>
              <w:top w:val="nil"/>
              <w:left w:val="nil"/>
              <w:bottom w:val="single" w:sz="4" w:space="0" w:color="auto"/>
              <w:right w:val="single" w:sz="4" w:space="0" w:color="auto"/>
            </w:tcBorders>
            <w:shd w:val="clear" w:color="auto" w:fill="auto"/>
            <w:noWrap/>
            <w:vAlign w:val="center"/>
            <w:hideMark/>
          </w:tcPr>
          <w:p w14:paraId="5D2FDE2B"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69.071</w:t>
            </w:r>
          </w:p>
        </w:tc>
        <w:tc>
          <w:tcPr>
            <w:tcW w:w="1052" w:type="dxa"/>
            <w:tcBorders>
              <w:top w:val="nil"/>
              <w:left w:val="nil"/>
              <w:bottom w:val="single" w:sz="4" w:space="0" w:color="auto"/>
              <w:right w:val="single" w:sz="4" w:space="0" w:color="auto"/>
            </w:tcBorders>
            <w:shd w:val="clear" w:color="auto" w:fill="auto"/>
            <w:noWrap/>
            <w:vAlign w:val="center"/>
            <w:hideMark/>
          </w:tcPr>
          <w:p w14:paraId="106AF9EE"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19.407</w:t>
            </w:r>
          </w:p>
        </w:tc>
        <w:tc>
          <w:tcPr>
            <w:tcW w:w="1359" w:type="dxa"/>
            <w:tcBorders>
              <w:top w:val="nil"/>
              <w:left w:val="nil"/>
              <w:bottom w:val="single" w:sz="4" w:space="0" w:color="auto"/>
              <w:right w:val="single" w:sz="4" w:space="0" w:color="auto"/>
            </w:tcBorders>
            <w:shd w:val="clear" w:color="auto" w:fill="auto"/>
            <w:noWrap/>
            <w:vAlign w:val="center"/>
            <w:hideMark/>
          </w:tcPr>
          <w:p w14:paraId="7302DEEC" w14:textId="493E23BD"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97.033.836</w:t>
            </w:r>
          </w:p>
        </w:tc>
        <w:tc>
          <w:tcPr>
            <w:tcW w:w="1235" w:type="dxa"/>
            <w:tcBorders>
              <w:top w:val="nil"/>
              <w:left w:val="single" w:sz="4" w:space="0" w:color="auto"/>
              <w:bottom w:val="single" w:sz="4" w:space="0" w:color="auto"/>
              <w:right w:val="single" w:sz="4" w:space="0" w:color="auto"/>
            </w:tcBorders>
            <w:shd w:val="clear" w:color="auto" w:fill="auto"/>
            <w:vAlign w:val="center"/>
          </w:tcPr>
          <w:p w14:paraId="2F2AC0F2" w14:textId="33CE4482"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12.878.603,23</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502EFE2B" w14:textId="6CCA7D03"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w:t>
            </w:r>
          </w:p>
        </w:tc>
        <w:tc>
          <w:tcPr>
            <w:tcW w:w="1288" w:type="dxa"/>
            <w:tcBorders>
              <w:top w:val="nil"/>
              <w:left w:val="nil"/>
              <w:bottom w:val="single" w:sz="8" w:space="0" w:color="auto"/>
              <w:right w:val="single" w:sz="8" w:space="0" w:color="auto"/>
            </w:tcBorders>
            <w:shd w:val="clear" w:color="auto" w:fill="auto"/>
            <w:vAlign w:val="center"/>
          </w:tcPr>
          <w:p w14:paraId="44A8A0EE" w14:textId="59695C14"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995.421,06   </w:t>
            </w:r>
          </w:p>
        </w:tc>
      </w:tr>
      <w:tr w:rsidR="005D4437" w:rsidRPr="00315732" w14:paraId="61734B33" w14:textId="1432A414"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758EBA78"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Istarska </w:t>
            </w:r>
          </w:p>
        </w:tc>
        <w:tc>
          <w:tcPr>
            <w:tcW w:w="951" w:type="dxa"/>
            <w:tcBorders>
              <w:top w:val="nil"/>
              <w:left w:val="nil"/>
              <w:bottom w:val="single" w:sz="4" w:space="0" w:color="auto"/>
              <w:right w:val="single" w:sz="4" w:space="0" w:color="auto"/>
            </w:tcBorders>
            <w:shd w:val="clear" w:color="auto" w:fill="auto"/>
            <w:noWrap/>
            <w:vAlign w:val="center"/>
            <w:hideMark/>
          </w:tcPr>
          <w:p w14:paraId="7F948374"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7,5%</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7F83EEB3"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03694915"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33.382</w:t>
            </w:r>
          </w:p>
        </w:tc>
        <w:tc>
          <w:tcPr>
            <w:tcW w:w="1002" w:type="dxa"/>
            <w:tcBorders>
              <w:top w:val="nil"/>
              <w:left w:val="nil"/>
              <w:bottom w:val="single" w:sz="4" w:space="0" w:color="auto"/>
              <w:right w:val="single" w:sz="4" w:space="0" w:color="auto"/>
            </w:tcBorders>
            <w:shd w:val="clear" w:color="auto" w:fill="auto"/>
            <w:noWrap/>
            <w:vAlign w:val="center"/>
            <w:hideMark/>
          </w:tcPr>
          <w:p w14:paraId="79256E7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730" w:type="dxa"/>
            <w:tcBorders>
              <w:top w:val="nil"/>
              <w:left w:val="nil"/>
              <w:bottom w:val="single" w:sz="4" w:space="0" w:color="auto"/>
              <w:right w:val="single" w:sz="4" w:space="0" w:color="auto"/>
            </w:tcBorders>
            <w:shd w:val="clear" w:color="auto" w:fill="auto"/>
            <w:noWrap/>
            <w:vAlign w:val="center"/>
            <w:hideMark/>
          </w:tcPr>
          <w:p w14:paraId="2C0AA74A"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978" w:type="dxa"/>
            <w:tcBorders>
              <w:top w:val="nil"/>
              <w:left w:val="nil"/>
              <w:bottom w:val="single" w:sz="4" w:space="0" w:color="auto"/>
              <w:right w:val="single" w:sz="4" w:space="0" w:color="auto"/>
            </w:tcBorders>
            <w:shd w:val="clear" w:color="auto" w:fill="auto"/>
            <w:noWrap/>
            <w:vAlign w:val="center"/>
            <w:hideMark/>
          </w:tcPr>
          <w:p w14:paraId="2FC08B3D"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08AA7656"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0E8A662F"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52" w:type="dxa"/>
            <w:tcBorders>
              <w:top w:val="nil"/>
              <w:left w:val="nil"/>
              <w:bottom w:val="single" w:sz="4" w:space="0" w:color="auto"/>
              <w:right w:val="single" w:sz="4" w:space="0" w:color="auto"/>
            </w:tcBorders>
            <w:shd w:val="clear" w:color="auto" w:fill="auto"/>
            <w:noWrap/>
            <w:vAlign w:val="center"/>
            <w:hideMark/>
          </w:tcPr>
          <w:p w14:paraId="6E7EE19A"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33.382</w:t>
            </w:r>
          </w:p>
        </w:tc>
        <w:tc>
          <w:tcPr>
            <w:tcW w:w="1359" w:type="dxa"/>
            <w:tcBorders>
              <w:top w:val="nil"/>
              <w:left w:val="nil"/>
              <w:bottom w:val="single" w:sz="4" w:space="0" w:color="auto"/>
              <w:right w:val="single" w:sz="4" w:space="0" w:color="auto"/>
            </w:tcBorders>
            <w:shd w:val="clear" w:color="auto" w:fill="auto"/>
            <w:noWrap/>
            <w:vAlign w:val="center"/>
            <w:hideMark/>
          </w:tcPr>
          <w:p w14:paraId="14A1CA8F" w14:textId="14DE6FEF"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166.910.430</w:t>
            </w:r>
          </w:p>
        </w:tc>
        <w:tc>
          <w:tcPr>
            <w:tcW w:w="1235" w:type="dxa"/>
            <w:tcBorders>
              <w:top w:val="nil"/>
              <w:left w:val="single" w:sz="4" w:space="0" w:color="auto"/>
              <w:bottom w:val="single" w:sz="4" w:space="0" w:color="auto"/>
              <w:right w:val="single" w:sz="4" w:space="0" w:color="auto"/>
            </w:tcBorders>
            <w:shd w:val="clear" w:color="auto" w:fill="auto"/>
            <w:vAlign w:val="center"/>
          </w:tcPr>
          <w:p w14:paraId="1BB4A86A" w14:textId="0B26EBB2"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22.152.821,02</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1DE47BEF" w14:textId="1638CA46"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88" w:type="dxa"/>
            <w:tcBorders>
              <w:top w:val="nil"/>
              <w:left w:val="nil"/>
              <w:bottom w:val="single" w:sz="8" w:space="0" w:color="auto"/>
              <w:right w:val="single" w:sz="8" w:space="0" w:color="auto"/>
            </w:tcBorders>
            <w:shd w:val="clear" w:color="auto" w:fill="auto"/>
            <w:vAlign w:val="center"/>
          </w:tcPr>
          <w:p w14:paraId="75CD5008" w14:textId="39FE4B53"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0,00   </w:t>
            </w:r>
          </w:p>
        </w:tc>
      </w:tr>
      <w:tr w:rsidR="005D4437" w:rsidRPr="00315732" w14:paraId="32BB3567" w14:textId="608428A8"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1F18D964"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Karlovačka </w:t>
            </w:r>
          </w:p>
        </w:tc>
        <w:tc>
          <w:tcPr>
            <w:tcW w:w="951" w:type="dxa"/>
            <w:tcBorders>
              <w:top w:val="nil"/>
              <w:left w:val="nil"/>
              <w:bottom w:val="single" w:sz="4" w:space="0" w:color="auto"/>
              <w:right w:val="single" w:sz="4" w:space="0" w:color="auto"/>
            </w:tcBorders>
            <w:shd w:val="clear" w:color="auto" w:fill="auto"/>
            <w:noWrap/>
            <w:vAlign w:val="center"/>
            <w:hideMark/>
          </w:tcPr>
          <w:p w14:paraId="1758A075"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2,5%</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3E1054C9"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13918A46"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11.050</w:t>
            </w:r>
          </w:p>
        </w:tc>
        <w:tc>
          <w:tcPr>
            <w:tcW w:w="1002" w:type="dxa"/>
            <w:tcBorders>
              <w:top w:val="nil"/>
              <w:left w:val="nil"/>
              <w:bottom w:val="single" w:sz="4" w:space="0" w:color="auto"/>
              <w:right w:val="single" w:sz="4" w:space="0" w:color="auto"/>
            </w:tcBorders>
            <w:shd w:val="clear" w:color="auto" w:fill="auto"/>
            <w:noWrap/>
            <w:vAlign w:val="center"/>
            <w:hideMark/>
          </w:tcPr>
          <w:p w14:paraId="51725E72"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730" w:type="dxa"/>
            <w:tcBorders>
              <w:top w:val="nil"/>
              <w:left w:val="nil"/>
              <w:bottom w:val="single" w:sz="4" w:space="0" w:color="auto"/>
              <w:right w:val="single" w:sz="4" w:space="0" w:color="auto"/>
            </w:tcBorders>
            <w:shd w:val="clear" w:color="auto" w:fill="auto"/>
            <w:noWrap/>
            <w:vAlign w:val="center"/>
            <w:hideMark/>
          </w:tcPr>
          <w:p w14:paraId="2B9E0C0A"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978" w:type="dxa"/>
            <w:tcBorders>
              <w:top w:val="nil"/>
              <w:left w:val="nil"/>
              <w:bottom w:val="single" w:sz="4" w:space="0" w:color="auto"/>
              <w:right w:val="single" w:sz="4" w:space="0" w:color="auto"/>
            </w:tcBorders>
            <w:shd w:val="clear" w:color="auto" w:fill="auto"/>
            <w:noWrap/>
            <w:vAlign w:val="center"/>
            <w:hideMark/>
          </w:tcPr>
          <w:p w14:paraId="6940A031"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6F4E595B"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2BC6E4EE"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52" w:type="dxa"/>
            <w:tcBorders>
              <w:top w:val="nil"/>
              <w:left w:val="nil"/>
              <w:bottom w:val="single" w:sz="4" w:space="0" w:color="auto"/>
              <w:right w:val="single" w:sz="4" w:space="0" w:color="auto"/>
            </w:tcBorders>
            <w:shd w:val="clear" w:color="auto" w:fill="auto"/>
            <w:noWrap/>
            <w:vAlign w:val="center"/>
            <w:hideMark/>
          </w:tcPr>
          <w:p w14:paraId="08495575"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11.050</w:t>
            </w:r>
          </w:p>
        </w:tc>
        <w:tc>
          <w:tcPr>
            <w:tcW w:w="1359" w:type="dxa"/>
            <w:tcBorders>
              <w:top w:val="nil"/>
              <w:left w:val="nil"/>
              <w:bottom w:val="single" w:sz="4" w:space="0" w:color="auto"/>
              <w:right w:val="single" w:sz="4" w:space="0" w:color="auto"/>
            </w:tcBorders>
            <w:shd w:val="clear" w:color="auto" w:fill="auto"/>
            <w:noWrap/>
            <w:vAlign w:val="center"/>
            <w:hideMark/>
          </w:tcPr>
          <w:p w14:paraId="00601890" w14:textId="1AC5F833"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55.248.241</w:t>
            </w:r>
          </w:p>
        </w:tc>
        <w:tc>
          <w:tcPr>
            <w:tcW w:w="1235" w:type="dxa"/>
            <w:tcBorders>
              <w:top w:val="nil"/>
              <w:left w:val="single" w:sz="4" w:space="0" w:color="auto"/>
              <w:bottom w:val="single" w:sz="4" w:space="0" w:color="auto"/>
              <w:right w:val="single" w:sz="4" w:space="0" w:color="auto"/>
            </w:tcBorders>
            <w:shd w:val="clear" w:color="auto" w:fill="auto"/>
            <w:vAlign w:val="center"/>
          </w:tcPr>
          <w:p w14:paraId="2B19E3A7" w14:textId="6F2CD58A"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7.332.701,71</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019B027D" w14:textId="7CAD9AD5"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88" w:type="dxa"/>
            <w:tcBorders>
              <w:top w:val="nil"/>
              <w:left w:val="nil"/>
              <w:bottom w:val="single" w:sz="8" w:space="0" w:color="auto"/>
              <w:right w:val="single" w:sz="8" w:space="0" w:color="auto"/>
            </w:tcBorders>
            <w:shd w:val="clear" w:color="auto" w:fill="auto"/>
            <w:vAlign w:val="center"/>
          </w:tcPr>
          <w:p w14:paraId="4918A8A5" w14:textId="6B9C83BE"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0,00   </w:t>
            </w:r>
          </w:p>
        </w:tc>
      </w:tr>
      <w:tr w:rsidR="005D4437" w:rsidRPr="00315732" w14:paraId="1218A8DB" w14:textId="520AA632"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52FC76E9"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Koprivničko-križevačka</w:t>
            </w:r>
          </w:p>
        </w:tc>
        <w:tc>
          <w:tcPr>
            <w:tcW w:w="951" w:type="dxa"/>
            <w:tcBorders>
              <w:top w:val="nil"/>
              <w:left w:val="nil"/>
              <w:bottom w:val="single" w:sz="4" w:space="0" w:color="auto"/>
              <w:right w:val="single" w:sz="4" w:space="0" w:color="auto"/>
            </w:tcBorders>
            <w:shd w:val="clear" w:color="auto" w:fill="auto"/>
            <w:noWrap/>
            <w:vAlign w:val="center"/>
            <w:hideMark/>
          </w:tcPr>
          <w:p w14:paraId="3A6ABA89"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1,7%</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2B82F735"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5A527323"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7.687</w:t>
            </w:r>
          </w:p>
        </w:tc>
        <w:tc>
          <w:tcPr>
            <w:tcW w:w="1002" w:type="dxa"/>
            <w:tcBorders>
              <w:top w:val="nil"/>
              <w:left w:val="nil"/>
              <w:bottom w:val="single" w:sz="4" w:space="0" w:color="auto"/>
              <w:right w:val="single" w:sz="4" w:space="0" w:color="auto"/>
            </w:tcBorders>
            <w:shd w:val="clear" w:color="auto" w:fill="auto"/>
            <w:noWrap/>
            <w:vAlign w:val="center"/>
            <w:hideMark/>
          </w:tcPr>
          <w:p w14:paraId="2817D91D"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w:t>
            </w:r>
          </w:p>
        </w:tc>
        <w:tc>
          <w:tcPr>
            <w:tcW w:w="730" w:type="dxa"/>
            <w:tcBorders>
              <w:top w:val="nil"/>
              <w:left w:val="nil"/>
              <w:bottom w:val="single" w:sz="4" w:space="0" w:color="auto"/>
              <w:right w:val="single" w:sz="4" w:space="0" w:color="auto"/>
            </w:tcBorders>
            <w:shd w:val="clear" w:color="auto" w:fill="auto"/>
            <w:noWrap/>
            <w:vAlign w:val="center"/>
            <w:hideMark/>
          </w:tcPr>
          <w:p w14:paraId="35F0E761"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w:t>
            </w:r>
          </w:p>
        </w:tc>
        <w:tc>
          <w:tcPr>
            <w:tcW w:w="978" w:type="dxa"/>
            <w:tcBorders>
              <w:top w:val="nil"/>
              <w:left w:val="nil"/>
              <w:bottom w:val="single" w:sz="4" w:space="0" w:color="auto"/>
              <w:right w:val="single" w:sz="4" w:space="0" w:color="auto"/>
            </w:tcBorders>
            <w:shd w:val="clear" w:color="auto" w:fill="auto"/>
            <w:noWrap/>
            <w:vAlign w:val="center"/>
            <w:hideMark/>
          </w:tcPr>
          <w:p w14:paraId="75E956C4"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108.000</w:t>
            </w:r>
          </w:p>
        </w:tc>
        <w:tc>
          <w:tcPr>
            <w:tcW w:w="1044" w:type="dxa"/>
            <w:tcBorders>
              <w:top w:val="nil"/>
              <w:left w:val="nil"/>
              <w:bottom w:val="single" w:sz="4" w:space="0" w:color="auto"/>
              <w:right w:val="single" w:sz="4" w:space="0" w:color="auto"/>
            </w:tcBorders>
            <w:shd w:val="clear" w:color="auto" w:fill="auto"/>
            <w:noWrap/>
            <w:vAlign w:val="center"/>
            <w:hideMark/>
          </w:tcPr>
          <w:p w14:paraId="13B297F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28.763</w:t>
            </w:r>
          </w:p>
        </w:tc>
        <w:tc>
          <w:tcPr>
            <w:tcW w:w="1044" w:type="dxa"/>
            <w:tcBorders>
              <w:top w:val="nil"/>
              <w:left w:val="nil"/>
              <w:bottom w:val="single" w:sz="4" w:space="0" w:color="auto"/>
              <w:right w:val="single" w:sz="4" w:space="0" w:color="auto"/>
            </w:tcBorders>
            <w:shd w:val="clear" w:color="auto" w:fill="auto"/>
            <w:noWrap/>
            <w:vAlign w:val="center"/>
            <w:hideMark/>
          </w:tcPr>
          <w:p w14:paraId="457B9A0B"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136.763</w:t>
            </w:r>
          </w:p>
        </w:tc>
        <w:tc>
          <w:tcPr>
            <w:tcW w:w="1052" w:type="dxa"/>
            <w:tcBorders>
              <w:top w:val="nil"/>
              <w:left w:val="nil"/>
              <w:bottom w:val="single" w:sz="4" w:space="0" w:color="auto"/>
              <w:right w:val="single" w:sz="4" w:space="0" w:color="auto"/>
            </w:tcBorders>
            <w:shd w:val="clear" w:color="auto" w:fill="auto"/>
            <w:noWrap/>
            <w:vAlign w:val="center"/>
            <w:hideMark/>
          </w:tcPr>
          <w:p w14:paraId="31D17941"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center"/>
            <w:hideMark/>
          </w:tcPr>
          <w:p w14:paraId="4C25839C" w14:textId="539F1B1E"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4" w:space="0" w:color="auto"/>
              <w:bottom w:val="single" w:sz="4" w:space="0" w:color="auto"/>
              <w:right w:val="single" w:sz="4" w:space="0" w:color="auto"/>
            </w:tcBorders>
            <w:shd w:val="clear" w:color="auto" w:fill="auto"/>
            <w:vAlign w:val="center"/>
          </w:tcPr>
          <w:p w14:paraId="652D0901" w14:textId="37BC695F"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5636DF12" w14:textId="1B3F4454"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11.250.000</w:t>
            </w:r>
          </w:p>
        </w:tc>
        <w:tc>
          <w:tcPr>
            <w:tcW w:w="1288" w:type="dxa"/>
            <w:tcBorders>
              <w:top w:val="nil"/>
              <w:left w:val="nil"/>
              <w:bottom w:val="single" w:sz="8" w:space="0" w:color="auto"/>
              <w:right w:val="single" w:sz="8" w:space="0" w:color="auto"/>
            </w:tcBorders>
            <w:shd w:val="clear" w:color="auto" w:fill="auto"/>
            <w:vAlign w:val="center"/>
          </w:tcPr>
          <w:p w14:paraId="7D96A759" w14:textId="6E7712FF"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1.493.131,59   </w:t>
            </w:r>
          </w:p>
        </w:tc>
      </w:tr>
      <w:tr w:rsidR="005D4437" w:rsidRPr="00315732" w14:paraId="557DBBBD" w14:textId="179F03B6"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5712A1F0"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Krapinsko-zagorska </w:t>
            </w:r>
          </w:p>
        </w:tc>
        <w:tc>
          <w:tcPr>
            <w:tcW w:w="951" w:type="dxa"/>
            <w:tcBorders>
              <w:top w:val="nil"/>
              <w:left w:val="nil"/>
              <w:bottom w:val="single" w:sz="4" w:space="0" w:color="auto"/>
              <w:right w:val="single" w:sz="4" w:space="0" w:color="auto"/>
            </w:tcBorders>
            <w:shd w:val="clear" w:color="auto" w:fill="auto"/>
            <w:noWrap/>
            <w:vAlign w:val="center"/>
            <w:hideMark/>
          </w:tcPr>
          <w:p w14:paraId="00DB5FDD"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1,7%</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7AF9556F"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4A4F6D59"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7.754</w:t>
            </w:r>
          </w:p>
        </w:tc>
        <w:tc>
          <w:tcPr>
            <w:tcW w:w="1002" w:type="dxa"/>
            <w:tcBorders>
              <w:top w:val="nil"/>
              <w:left w:val="nil"/>
              <w:bottom w:val="single" w:sz="4" w:space="0" w:color="auto"/>
              <w:right w:val="single" w:sz="4" w:space="0" w:color="auto"/>
            </w:tcBorders>
            <w:shd w:val="clear" w:color="auto" w:fill="auto"/>
            <w:noWrap/>
            <w:vAlign w:val="center"/>
            <w:hideMark/>
          </w:tcPr>
          <w:p w14:paraId="6422D59B"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730" w:type="dxa"/>
            <w:tcBorders>
              <w:top w:val="nil"/>
              <w:left w:val="nil"/>
              <w:bottom w:val="single" w:sz="4" w:space="0" w:color="auto"/>
              <w:right w:val="single" w:sz="4" w:space="0" w:color="auto"/>
            </w:tcBorders>
            <w:shd w:val="clear" w:color="auto" w:fill="auto"/>
            <w:noWrap/>
            <w:vAlign w:val="center"/>
            <w:hideMark/>
          </w:tcPr>
          <w:p w14:paraId="27699931"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978" w:type="dxa"/>
            <w:tcBorders>
              <w:top w:val="nil"/>
              <w:left w:val="nil"/>
              <w:bottom w:val="single" w:sz="4" w:space="0" w:color="auto"/>
              <w:right w:val="single" w:sz="4" w:space="0" w:color="auto"/>
            </w:tcBorders>
            <w:shd w:val="clear" w:color="auto" w:fill="auto"/>
            <w:noWrap/>
            <w:vAlign w:val="center"/>
            <w:hideMark/>
          </w:tcPr>
          <w:p w14:paraId="1926A646"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7AC58B1E"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0776E6E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52" w:type="dxa"/>
            <w:tcBorders>
              <w:top w:val="nil"/>
              <w:left w:val="nil"/>
              <w:bottom w:val="single" w:sz="4" w:space="0" w:color="auto"/>
              <w:right w:val="single" w:sz="4" w:space="0" w:color="auto"/>
            </w:tcBorders>
            <w:shd w:val="clear" w:color="auto" w:fill="auto"/>
            <w:noWrap/>
            <w:vAlign w:val="center"/>
            <w:hideMark/>
          </w:tcPr>
          <w:p w14:paraId="7783E548"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7.754</w:t>
            </w:r>
          </w:p>
        </w:tc>
        <w:tc>
          <w:tcPr>
            <w:tcW w:w="1359" w:type="dxa"/>
            <w:tcBorders>
              <w:top w:val="nil"/>
              <w:left w:val="nil"/>
              <w:bottom w:val="single" w:sz="4" w:space="0" w:color="auto"/>
              <w:right w:val="single" w:sz="4" w:space="0" w:color="auto"/>
            </w:tcBorders>
            <w:shd w:val="clear" w:color="auto" w:fill="auto"/>
            <w:noWrap/>
            <w:vAlign w:val="center"/>
            <w:hideMark/>
          </w:tcPr>
          <w:p w14:paraId="19FFE70E" w14:textId="2DA0D5AC"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38.770.599</w:t>
            </w:r>
          </w:p>
        </w:tc>
        <w:tc>
          <w:tcPr>
            <w:tcW w:w="1235" w:type="dxa"/>
            <w:tcBorders>
              <w:top w:val="nil"/>
              <w:left w:val="single" w:sz="4" w:space="0" w:color="auto"/>
              <w:bottom w:val="single" w:sz="4" w:space="0" w:color="auto"/>
              <w:right w:val="single" w:sz="4" w:space="0" w:color="auto"/>
            </w:tcBorders>
            <w:shd w:val="clear" w:color="auto" w:fill="auto"/>
            <w:vAlign w:val="center"/>
          </w:tcPr>
          <w:p w14:paraId="469D4D3B" w14:textId="452DE186"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5.145.742,78</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094FCD25" w14:textId="0BBF57F0"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88" w:type="dxa"/>
            <w:tcBorders>
              <w:top w:val="nil"/>
              <w:left w:val="nil"/>
              <w:bottom w:val="single" w:sz="8" w:space="0" w:color="auto"/>
              <w:right w:val="single" w:sz="8" w:space="0" w:color="auto"/>
            </w:tcBorders>
            <w:shd w:val="clear" w:color="auto" w:fill="auto"/>
            <w:vAlign w:val="center"/>
          </w:tcPr>
          <w:p w14:paraId="4A5E12B1" w14:textId="6920ADF4"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0,00   </w:t>
            </w:r>
          </w:p>
        </w:tc>
      </w:tr>
      <w:tr w:rsidR="005D4437" w:rsidRPr="00315732" w14:paraId="1F6359BB" w14:textId="15FFE546"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53981D72"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Ličko-senjska </w:t>
            </w:r>
          </w:p>
        </w:tc>
        <w:tc>
          <w:tcPr>
            <w:tcW w:w="951" w:type="dxa"/>
            <w:tcBorders>
              <w:top w:val="nil"/>
              <w:left w:val="nil"/>
              <w:bottom w:val="single" w:sz="4" w:space="0" w:color="auto"/>
              <w:right w:val="single" w:sz="4" w:space="0" w:color="auto"/>
            </w:tcBorders>
            <w:shd w:val="clear" w:color="auto" w:fill="auto"/>
            <w:noWrap/>
            <w:vAlign w:val="center"/>
            <w:hideMark/>
          </w:tcPr>
          <w:p w14:paraId="0DAE8BD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1,5%</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7C366587"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4DE1EA5F"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6.654</w:t>
            </w:r>
          </w:p>
        </w:tc>
        <w:tc>
          <w:tcPr>
            <w:tcW w:w="1002" w:type="dxa"/>
            <w:tcBorders>
              <w:top w:val="nil"/>
              <w:left w:val="nil"/>
              <w:bottom w:val="single" w:sz="4" w:space="0" w:color="auto"/>
              <w:right w:val="single" w:sz="4" w:space="0" w:color="auto"/>
            </w:tcBorders>
            <w:shd w:val="clear" w:color="auto" w:fill="auto"/>
            <w:noWrap/>
            <w:vAlign w:val="center"/>
            <w:hideMark/>
          </w:tcPr>
          <w:p w14:paraId="6EE921F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730" w:type="dxa"/>
            <w:tcBorders>
              <w:top w:val="nil"/>
              <w:left w:val="nil"/>
              <w:bottom w:val="single" w:sz="4" w:space="0" w:color="auto"/>
              <w:right w:val="single" w:sz="4" w:space="0" w:color="auto"/>
            </w:tcBorders>
            <w:shd w:val="clear" w:color="auto" w:fill="auto"/>
            <w:noWrap/>
            <w:vAlign w:val="center"/>
            <w:hideMark/>
          </w:tcPr>
          <w:p w14:paraId="00C7F5D1"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978" w:type="dxa"/>
            <w:tcBorders>
              <w:top w:val="nil"/>
              <w:left w:val="nil"/>
              <w:bottom w:val="single" w:sz="4" w:space="0" w:color="auto"/>
              <w:right w:val="single" w:sz="4" w:space="0" w:color="auto"/>
            </w:tcBorders>
            <w:shd w:val="clear" w:color="auto" w:fill="auto"/>
            <w:noWrap/>
            <w:vAlign w:val="center"/>
            <w:hideMark/>
          </w:tcPr>
          <w:p w14:paraId="122E0FB2"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0C1CDF0F"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4AA5F4B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52" w:type="dxa"/>
            <w:tcBorders>
              <w:top w:val="nil"/>
              <w:left w:val="nil"/>
              <w:bottom w:val="single" w:sz="4" w:space="0" w:color="auto"/>
              <w:right w:val="single" w:sz="4" w:space="0" w:color="auto"/>
            </w:tcBorders>
            <w:shd w:val="clear" w:color="auto" w:fill="auto"/>
            <w:noWrap/>
            <w:vAlign w:val="center"/>
            <w:hideMark/>
          </w:tcPr>
          <w:p w14:paraId="5BA8E8E7"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6.654</w:t>
            </w:r>
          </w:p>
        </w:tc>
        <w:tc>
          <w:tcPr>
            <w:tcW w:w="1359" w:type="dxa"/>
            <w:tcBorders>
              <w:top w:val="nil"/>
              <w:left w:val="nil"/>
              <w:bottom w:val="single" w:sz="4" w:space="0" w:color="auto"/>
              <w:right w:val="single" w:sz="4" w:space="0" w:color="auto"/>
            </w:tcBorders>
            <w:shd w:val="clear" w:color="auto" w:fill="auto"/>
            <w:noWrap/>
            <w:vAlign w:val="center"/>
            <w:hideMark/>
          </w:tcPr>
          <w:p w14:paraId="79FBC9B8" w14:textId="2DE2B06A"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33.272.051</w:t>
            </w:r>
          </w:p>
        </w:tc>
        <w:tc>
          <w:tcPr>
            <w:tcW w:w="1235" w:type="dxa"/>
            <w:tcBorders>
              <w:top w:val="nil"/>
              <w:left w:val="single" w:sz="4" w:space="0" w:color="auto"/>
              <w:bottom w:val="single" w:sz="4" w:space="0" w:color="auto"/>
              <w:right w:val="single" w:sz="4" w:space="0" w:color="auto"/>
            </w:tcBorders>
            <w:shd w:val="clear" w:color="auto" w:fill="auto"/>
            <w:vAlign w:val="center"/>
          </w:tcPr>
          <w:p w14:paraId="315C884F" w14:textId="0C31A3CE"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4.415.960,05</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4B7695F3" w14:textId="1BA8AF5F"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88" w:type="dxa"/>
            <w:tcBorders>
              <w:top w:val="nil"/>
              <w:left w:val="nil"/>
              <w:bottom w:val="single" w:sz="8" w:space="0" w:color="auto"/>
              <w:right w:val="single" w:sz="8" w:space="0" w:color="auto"/>
            </w:tcBorders>
            <w:shd w:val="clear" w:color="auto" w:fill="auto"/>
            <w:vAlign w:val="center"/>
          </w:tcPr>
          <w:p w14:paraId="150B6129" w14:textId="25BE6A72"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0,00   </w:t>
            </w:r>
          </w:p>
        </w:tc>
      </w:tr>
      <w:tr w:rsidR="005D4437" w:rsidRPr="00315732" w14:paraId="42D9DC6D" w14:textId="709B143E"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4176153A"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Međimurska </w:t>
            </w:r>
          </w:p>
        </w:tc>
        <w:tc>
          <w:tcPr>
            <w:tcW w:w="951" w:type="dxa"/>
            <w:tcBorders>
              <w:top w:val="nil"/>
              <w:left w:val="nil"/>
              <w:bottom w:val="single" w:sz="4" w:space="0" w:color="auto"/>
              <w:right w:val="single" w:sz="4" w:space="0" w:color="auto"/>
            </w:tcBorders>
            <w:shd w:val="clear" w:color="auto" w:fill="auto"/>
            <w:noWrap/>
            <w:vAlign w:val="center"/>
            <w:hideMark/>
          </w:tcPr>
          <w:p w14:paraId="6A19380C"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2,6%</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6488065D"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51690E1A"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12.951</w:t>
            </w:r>
          </w:p>
        </w:tc>
        <w:tc>
          <w:tcPr>
            <w:tcW w:w="1002" w:type="dxa"/>
            <w:tcBorders>
              <w:top w:val="nil"/>
              <w:left w:val="nil"/>
              <w:bottom w:val="single" w:sz="4" w:space="0" w:color="auto"/>
              <w:right w:val="single" w:sz="4" w:space="0" w:color="auto"/>
            </w:tcBorders>
            <w:shd w:val="clear" w:color="auto" w:fill="auto"/>
            <w:noWrap/>
            <w:vAlign w:val="center"/>
            <w:hideMark/>
          </w:tcPr>
          <w:p w14:paraId="464EE00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730" w:type="dxa"/>
            <w:tcBorders>
              <w:top w:val="nil"/>
              <w:left w:val="nil"/>
              <w:bottom w:val="single" w:sz="4" w:space="0" w:color="auto"/>
              <w:right w:val="single" w:sz="4" w:space="0" w:color="auto"/>
            </w:tcBorders>
            <w:shd w:val="clear" w:color="auto" w:fill="auto"/>
            <w:noWrap/>
            <w:vAlign w:val="center"/>
            <w:hideMark/>
          </w:tcPr>
          <w:p w14:paraId="5AF430B2"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w:t>
            </w:r>
          </w:p>
        </w:tc>
        <w:tc>
          <w:tcPr>
            <w:tcW w:w="978" w:type="dxa"/>
            <w:tcBorders>
              <w:top w:val="nil"/>
              <w:left w:val="nil"/>
              <w:bottom w:val="single" w:sz="4" w:space="0" w:color="auto"/>
              <w:right w:val="single" w:sz="4" w:space="0" w:color="auto"/>
            </w:tcBorders>
            <w:shd w:val="clear" w:color="auto" w:fill="auto"/>
            <w:noWrap/>
            <w:vAlign w:val="center"/>
            <w:hideMark/>
          </w:tcPr>
          <w:p w14:paraId="64FD0E8E"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5B243B05"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16.780</w:t>
            </w:r>
          </w:p>
        </w:tc>
        <w:tc>
          <w:tcPr>
            <w:tcW w:w="1044" w:type="dxa"/>
            <w:tcBorders>
              <w:top w:val="nil"/>
              <w:left w:val="nil"/>
              <w:bottom w:val="single" w:sz="4" w:space="0" w:color="auto"/>
              <w:right w:val="single" w:sz="4" w:space="0" w:color="auto"/>
            </w:tcBorders>
            <w:shd w:val="clear" w:color="auto" w:fill="auto"/>
            <w:noWrap/>
            <w:vAlign w:val="center"/>
            <w:hideMark/>
          </w:tcPr>
          <w:p w14:paraId="17F91C11"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16.780</w:t>
            </w:r>
          </w:p>
        </w:tc>
        <w:tc>
          <w:tcPr>
            <w:tcW w:w="1052" w:type="dxa"/>
            <w:tcBorders>
              <w:top w:val="nil"/>
              <w:left w:val="nil"/>
              <w:bottom w:val="single" w:sz="4" w:space="0" w:color="auto"/>
              <w:right w:val="single" w:sz="4" w:space="0" w:color="auto"/>
            </w:tcBorders>
            <w:shd w:val="clear" w:color="auto" w:fill="auto"/>
            <w:noWrap/>
            <w:vAlign w:val="center"/>
            <w:hideMark/>
          </w:tcPr>
          <w:p w14:paraId="4AB66535"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center"/>
            <w:hideMark/>
          </w:tcPr>
          <w:p w14:paraId="52558276" w14:textId="4B803FDE"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4" w:space="0" w:color="auto"/>
              <w:bottom w:val="single" w:sz="4" w:space="0" w:color="auto"/>
              <w:right w:val="single" w:sz="4" w:space="0" w:color="auto"/>
            </w:tcBorders>
            <w:shd w:val="clear" w:color="auto" w:fill="auto"/>
            <w:vAlign w:val="center"/>
          </w:tcPr>
          <w:p w14:paraId="25768CC2" w14:textId="29EB5CED"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357ACB66" w14:textId="45E60C66"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88" w:type="dxa"/>
            <w:tcBorders>
              <w:top w:val="nil"/>
              <w:left w:val="nil"/>
              <w:bottom w:val="single" w:sz="8" w:space="0" w:color="auto"/>
              <w:right w:val="single" w:sz="8" w:space="0" w:color="auto"/>
            </w:tcBorders>
            <w:shd w:val="clear" w:color="auto" w:fill="auto"/>
            <w:vAlign w:val="center"/>
          </w:tcPr>
          <w:p w14:paraId="08649121" w14:textId="1506541C"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0,00   </w:t>
            </w:r>
          </w:p>
        </w:tc>
      </w:tr>
      <w:tr w:rsidR="005D4437" w:rsidRPr="00315732" w14:paraId="3B092C29" w14:textId="1520432E"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3AEA094E"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Osječko-baranjska </w:t>
            </w:r>
          </w:p>
        </w:tc>
        <w:tc>
          <w:tcPr>
            <w:tcW w:w="951" w:type="dxa"/>
            <w:tcBorders>
              <w:top w:val="nil"/>
              <w:left w:val="nil"/>
              <w:bottom w:val="single" w:sz="4" w:space="0" w:color="auto"/>
              <w:right w:val="single" w:sz="4" w:space="0" w:color="auto"/>
            </w:tcBorders>
            <w:shd w:val="clear" w:color="auto" w:fill="auto"/>
            <w:noWrap/>
            <w:vAlign w:val="center"/>
            <w:hideMark/>
          </w:tcPr>
          <w:p w14:paraId="3F73C8A8"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5,1%</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57E5AE45"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215B73B8"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22.628</w:t>
            </w:r>
          </w:p>
        </w:tc>
        <w:tc>
          <w:tcPr>
            <w:tcW w:w="1002" w:type="dxa"/>
            <w:tcBorders>
              <w:top w:val="nil"/>
              <w:left w:val="nil"/>
              <w:bottom w:val="single" w:sz="4" w:space="0" w:color="auto"/>
              <w:right w:val="single" w:sz="4" w:space="0" w:color="auto"/>
            </w:tcBorders>
            <w:shd w:val="clear" w:color="auto" w:fill="auto"/>
            <w:noWrap/>
            <w:vAlign w:val="center"/>
            <w:hideMark/>
          </w:tcPr>
          <w:p w14:paraId="4C732DD7"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13</w:t>
            </w:r>
          </w:p>
        </w:tc>
        <w:tc>
          <w:tcPr>
            <w:tcW w:w="730" w:type="dxa"/>
            <w:tcBorders>
              <w:top w:val="nil"/>
              <w:left w:val="nil"/>
              <w:bottom w:val="single" w:sz="4" w:space="0" w:color="auto"/>
              <w:right w:val="single" w:sz="4" w:space="0" w:color="auto"/>
            </w:tcBorders>
            <w:shd w:val="clear" w:color="auto" w:fill="auto"/>
            <w:noWrap/>
            <w:vAlign w:val="center"/>
            <w:hideMark/>
          </w:tcPr>
          <w:p w14:paraId="79B25C55"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w:t>
            </w:r>
          </w:p>
        </w:tc>
        <w:tc>
          <w:tcPr>
            <w:tcW w:w="978" w:type="dxa"/>
            <w:tcBorders>
              <w:top w:val="nil"/>
              <w:left w:val="nil"/>
              <w:bottom w:val="single" w:sz="4" w:space="0" w:color="auto"/>
              <w:right w:val="single" w:sz="4" w:space="0" w:color="auto"/>
            </w:tcBorders>
            <w:shd w:val="clear" w:color="auto" w:fill="auto"/>
            <w:noWrap/>
            <w:vAlign w:val="center"/>
            <w:hideMark/>
          </w:tcPr>
          <w:p w14:paraId="4A8D10CE"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438.275</w:t>
            </w:r>
          </w:p>
        </w:tc>
        <w:tc>
          <w:tcPr>
            <w:tcW w:w="1044" w:type="dxa"/>
            <w:tcBorders>
              <w:top w:val="nil"/>
              <w:left w:val="nil"/>
              <w:bottom w:val="single" w:sz="4" w:space="0" w:color="auto"/>
              <w:right w:val="single" w:sz="4" w:space="0" w:color="auto"/>
            </w:tcBorders>
            <w:shd w:val="clear" w:color="auto" w:fill="auto"/>
            <w:noWrap/>
            <w:vAlign w:val="center"/>
            <w:hideMark/>
          </w:tcPr>
          <w:p w14:paraId="20CA8648"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4.499</w:t>
            </w:r>
          </w:p>
        </w:tc>
        <w:tc>
          <w:tcPr>
            <w:tcW w:w="1044" w:type="dxa"/>
            <w:tcBorders>
              <w:top w:val="nil"/>
              <w:left w:val="nil"/>
              <w:bottom w:val="single" w:sz="4" w:space="0" w:color="auto"/>
              <w:right w:val="single" w:sz="4" w:space="0" w:color="auto"/>
            </w:tcBorders>
            <w:shd w:val="clear" w:color="auto" w:fill="auto"/>
            <w:noWrap/>
            <w:vAlign w:val="center"/>
            <w:hideMark/>
          </w:tcPr>
          <w:p w14:paraId="148E2AA9"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442.774</w:t>
            </w:r>
          </w:p>
        </w:tc>
        <w:tc>
          <w:tcPr>
            <w:tcW w:w="1052" w:type="dxa"/>
            <w:tcBorders>
              <w:top w:val="nil"/>
              <w:left w:val="nil"/>
              <w:bottom w:val="single" w:sz="4" w:space="0" w:color="auto"/>
              <w:right w:val="single" w:sz="4" w:space="0" w:color="auto"/>
            </w:tcBorders>
            <w:shd w:val="clear" w:color="auto" w:fill="auto"/>
            <w:noWrap/>
            <w:vAlign w:val="center"/>
            <w:hideMark/>
          </w:tcPr>
          <w:p w14:paraId="2D075935"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center"/>
            <w:hideMark/>
          </w:tcPr>
          <w:p w14:paraId="0DF6087E" w14:textId="4DC7A4B5"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4" w:space="0" w:color="auto"/>
              <w:bottom w:val="single" w:sz="4" w:space="0" w:color="auto"/>
              <w:right w:val="single" w:sz="4" w:space="0" w:color="auto"/>
            </w:tcBorders>
            <w:shd w:val="clear" w:color="auto" w:fill="auto"/>
            <w:vAlign w:val="center"/>
          </w:tcPr>
          <w:p w14:paraId="124AC573" w14:textId="75AD42E1"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32B09321" w14:textId="5002B0F0"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48.750.000</w:t>
            </w:r>
          </w:p>
        </w:tc>
        <w:tc>
          <w:tcPr>
            <w:tcW w:w="1288" w:type="dxa"/>
            <w:tcBorders>
              <w:top w:val="nil"/>
              <w:left w:val="nil"/>
              <w:bottom w:val="single" w:sz="8" w:space="0" w:color="auto"/>
              <w:right w:val="single" w:sz="8" w:space="0" w:color="auto"/>
            </w:tcBorders>
            <w:shd w:val="clear" w:color="auto" w:fill="auto"/>
            <w:vAlign w:val="center"/>
          </w:tcPr>
          <w:p w14:paraId="11BE0B4A" w14:textId="2ED56E98"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6.470.236,91   </w:t>
            </w:r>
          </w:p>
        </w:tc>
      </w:tr>
      <w:tr w:rsidR="005D4437" w:rsidRPr="00315732" w14:paraId="6671F7D9" w14:textId="42C3C59D"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69EFEC32"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Požeško-slavonska </w:t>
            </w:r>
          </w:p>
        </w:tc>
        <w:tc>
          <w:tcPr>
            <w:tcW w:w="951" w:type="dxa"/>
            <w:tcBorders>
              <w:top w:val="nil"/>
              <w:left w:val="nil"/>
              <w:bottom w:val="single" w:sz="4" w:space="0" w:color="auto"/>
              <w:right w:val="single" w:sz="4" w:space="0" w:color="auto"/>
            </w:tcBorders>
            <w:shd w:val="clear" w:color="auto" w:fill="auto"/>
            <w:noWrap/>
            <w:vAlign w:val="center"/>
            <w:hideMark/>
          </w:tcPr>
          <w:p w14:paraId="3445290F"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1,0%</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5C44F7B1"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5CDF39EF"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4.299</w:t>
            </w:r>
          </w:p>
        </w:tc>
        <w:tc>
          <w:tcPr>
            <w:tcW w:w="1002" w:type="dxa"/>
            <w:tcBorders>
              <w:top w:val="nil"/>
              <w:left w:val="nil"/>
              <w:bottom w:val="single" w:sz="4" w:space="0" w:color="auto"/>
              <w:right w:val="single" w:sz="4" w:space="0" w:color="auto"/>
            </w:tcBorders>
            <w:shd w:val="clear" w:color="auto" w:fill="auto"/>
            <w:noWrap/>
            <w:vAlign w:val="center"/>
            <w:hideMark/>
          </w:tcPr>
          <w:p w14:paraId="7ABE7098"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730" w:type="dxa"/>
            <w:tcBorders>
              <w:top w:val="nil"/>
              <w:left w:val="nil"/>
              <w:bottom w:val="single" w:sz="4" w:space="0" w:color="auto"/>
              <w:right w:val="single" w:sz="4" w:space="0" w:color="auto"/>
            </w:tcBorders>
            <w:shd w:val="clear" w:color="auto" w:fill="auto"/>
            <w:noWrap/>
            <w:vAlign w:val="center"/>
            <w:hideMark/>
          </w:tcPr>
          <w:p w14:paraId="76F27133"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w:t>
            </w:r>
          </w:p>
        </w:tc>
        <w:tc>
          <w:tcPr>
            <w:tcW w:w="978" w:type="dxa"/>
            <w:tcBorders>
              <w:top w:val="nil"/>
              <w:left w:val="nil"/>
              <w:bottom w:val="single" w:sz="4" w:space="0" w:color="auto"/>
              <w:right w:val="single" w:sz="4" w:space="0" w:color="auto"/>
            </w:tcBorders>
            <w:shd w:val="clear" w:color="auto" w:fill="auto"/>
            <w:noWrap/>
            <w:vAlign w:val="center"/>
            <w:hideMark/>
          </w:tcPr>
          <w:p w14:paraId="4DEDA6A4"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311EB7D2"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1.000</w:t>
            </w:r>
          </w:p>
        </w:tc>
        <w:tc>
          <w:tcPr>
            <w:tcW w:w="1044" w:type="dxa"/>
            <w:tcBorders>
              <w:top w:val="nil"/>
              <w:left w:val="nil"/>
              <w:bottom w:val="single" w:sz="4" w:space="0" w:color="auto"/>
              <w:right w:val="single" w:sz="4" w:space="0" w:color="auto"/>
            </w:tcBorders>
            <w:shd w:val="clear" w:color="auto" w:fill="auto"/>
            <w:noWrap/>
            <w:vAlign w:val="center"/>
            <w:hideMark/>
          </w:tcPr>
          <w:p w14:paraId="027ECFC1"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1.000</w:t>
            </w:r>
          </w:p>
        </w:tc>
        <w:tc>
          <w:tcPr>
            <w:tcW w:w="1052" w:type="dxa"/>
            <w:tcBorders>
              <w:top w:val="nil"/>
              <w:left w:val="nil"/>
              <w:bottom w:val="single" w:sz="4" w:space="0" w:color="auto"/>
              <w:right w:val="single" w:sz="4" w:space="0" w:color="auto"/>
            </w:tcBorders>
            <w:shd w:val="clear" w:color="auto" w:fill="auto"/>
            <w:noWrap/>
            <w:vAlign w:val="center"/>
            <w:hideMark/>
          </w:tcPr>
          <w:p w14:paraId="55F4D822"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3.299</w:t>
            </w:r>
          </w:p>
        </w:tc>
        <w:tc>
          <w:tcPr>
            <w:tcW w:w="1359" w:type="dxa"/>
            <w:tcBorders>
              <w:top w:val="nil"/>
              <w:left w:val="nil"/>
              <w:bottom w:val="single" w:sz="4" w:space="0" w:color="auto"/>
              <w:right w:val="single" w:sz="4" w:space="0" w:color="auto"/>
            </w:tcBorders>
            <w:shd w:val="clear" w:color="auto" w:fill="auto"/>
            <w:noWrap/>
            <w:vAlign w:val="center"/>
            <w:hideMark/>
          </w:tcPr>
          <w:p w14:paraId="2D1472F6" w14:textId="690E7EA5"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16.494.938</w:t>
            </w:r>
          </w:p>
        </w:tc>
        <w:tc>
          <w:tcPr>
            <w:tcW w:w="1235" w:type="dxa"/>
            <w:tcBorders>
              <w:top w:val="nil"/>
              <w:left w:val="single" w:sz="4" w:space="0" w:color="auto"/>
              <w:bottom w:val="single" w:sz="4" w:space="0" w:color="auto"/>
              <w:right w:val="single" w:sz="4" w:space="0" w:color="auto"/>
            </w:tcBorders>
            <w:shd w:val="clear" w:color="auto" w:fill="auto"/>
            <w:vAlign w:val="center"/>
          </w:tcPr>
          <w:p w14:paraId="747BADEB" w14:textId="28103851"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2.189.254,50</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048B1359" w14:textId="59859395"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88" w:type="dxa"/>
            <w:tcBorders>
              <w:top w:val="nil"/>
              <w:left w:val="nil"/>
              <w:bottom w:val="single" w:sz="8" w:space="0" w:color="auto"/>
              <w:right w:val="single" w:sz="8" w:space="0" w:color="auto"/>
            </w:tcBorders>
            <w:shd w:val="clear" w:color="auto" w:fill="auto"/>
            <w:vAlign w:val="center"/>
          </w:tcPr>
          <w:p w14:paraId="6B80E68F" w14:textId="4D008E71"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0,00   </w:t>
            </w:r>
          </w:p>
        </w:tc>
      </w:tr>
      <w:tr w:rsidR="005D4437" w:rsidRPr="00315732" w14:paraId="63A950B8" w14:textId="4B19E393"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3D3E3AB7"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Primorsko-goranska </w:t>
            </w:r>
          </w:p>
        </w:tc>
        <w:tc>
          <w:tcPr>
            <w:tcW w:w="951" w:type="dxa"/>
            <w:tcBorders>
              <w:top w:val="nil"/>
              <w:left w:val="nil"/>
              <w:bottom w:val="single" w:sz="4" w:space="0" w:color="auto"/>
              <w:right w:val="single" w:sz="4" w:space="0" w:color="auto"/>
            </w:tcBorders>
            <w:shd w:val="clear" w:color="auto" w:fill="auto"/>
            <w:noWrap/>
            <w:vAlign w:val="center"/>
            <w:hideMark/>
          </w:tcPr>
          <w:p w14:paraId="175F542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9,7%</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3F2B1AB4"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73AC456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43.572</w:t>
            </w:r>
          </w:p>
        </w:tc>
        <w:tc>
          <w:tcPr>
            <w:tcW w:w="1002" w:type="dxa"/>
            <w:tcBorders>
              <w:top w:val="nil"/>
              <w:left w:val="nil"/>
              <w:bottom w:val="single" w:sz="4" w:space="0" w:color="auto"/>
              <w:right w:val="single" w:sz="4" w:space="0" w:color="auto"/>
            </w:tcBorders>
            <w:shd w:val="clear" w:color="auto" w:fill="auto"/>
            <w:noWrap/>
            <w:vAlign w:val="center"/>
            <w:hideMark/>
          </w:tcPr>
          <w:p w14:paraId="32EE79D9"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730" w:type="dxa"/>
            <w:tcBorders>
              <w:top w:val="nil"/>
              <w:left w:val="nil"/>
              <w:bottom w:val="single" w:sz="4" w:space="0" w:color="auto"/>
              <w:right w:val="single" w:sz="4" w:space="0" w:color="auto"/>
            </w:tcBorders>
            <w:shd w:val="clear" w:color="auto" w:fill="auto"/>
            <w:noWrap/>
            <w:vAlign w:val="center"/>
            <w:hideMark/>
          </w:tcPr>
          <w:p w14:paraId="01C54AFC"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w:t>
            </w:r>
          </w:p>
        </w:tc>
        <w:tc>
          <w:tcPr>
            <w:tcW w:w="978" w:type="dxa"/>
            <w:tcBorders>
              <w:top w:val="nil"/>
              <w:left w:val="nil"/>
              <w:bottom w:val="single" w:sz="4" w:space="0" w:color="auto"/>
              <w:right w:val="single" w:sz="4" w:space="0" w:color="auto"/>
            </w:tcBorders>
            <w:shd w:val="clear" w:color="auto" w:fill="auto"/>
            <w:noWrap/>
            <w:vAlign w:val="center"/>
            <w:hideMark/>
          </w:tcPr>
          <w:p w14:paraId="08DA4E29"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39F53F9B"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2.000</w:t>
            </w:r>
          </w:p>
        </w:tc>
        <w:tc>
          <w:tcPr>
            <w:tcW w:w="1044" w:type="dxa"/>
            <w:tcBorders>
              <w:top w:val="nil"/>
              <w:left w:val="nil"/>
              <w:bottom w:val="single" w:sz="4" w:space="0" w:color="auto"/>
              <w:right w:val="single" w:sz="4" w:space="0" w:color="auto"/>
            </w:tcBorders>
            <w:shd w:val="clear" w:color="auto" w:fill="auto"/>
            <w:noWrap/>
            <w:vAlign w:val="center"/>
            <w:hideMark/>
          </w:tcPr>
          <w:p w14:paraId="1095FD6F"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2.000</w:t>
            </w:r>
          </w:p>
        </w:tc>
        <w:tc>
          <w:tcPr>
            <w:tcW w:w="1052" w:type="dxa"/>
            <w:tcBorders>
              <w:top w:val="nil"/>
              <w:left w:val="nil"/>
              <w:bottom w:val="single" w:sz="4" w:space="0" w:color="auto"/>
              <w:right w:val="single" w:sz="4" w:space="0" w:color="auto"/>
            </w:tcBorders>
            <w:shd w:val="clear" w:color="auto" w:fill="auto"/>
            <w:noWrap/>
            <w:vAlign w:val="center"/>
            <w:hideMark/>
          </w:tcPr>
          <w:p w14:paraId="65285799"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41.572</w:t>
            </w:r>
          </w:p>
        </w:tc>
        <w:tc>
          <w:tcPr>
            <w:tcW w:w="1359" w:type="dxa"/>
            <w:tcBorders>
              <w:top w:val="nil"/>
              <w:left w:val="nil"/>
              <w:bottom w:val="single" w:sz="4" w:space="0" w:color="auto"/>
              <w:right w:val="single" w:sz="4" w:space="0" w:color="auto"/>
            </w:tcBorders>
            <w:shd w:val="clear" w:color="auto" w:fill="auto"/>
            <w:noWrap/>
            <w:vAlign w:val="center"/>
            <w:hideMark/>
          </w:tcPr>
          <w:p w14:paraId="57B58556" w14:textId="7AA960E6"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207.859.719</w:t>
            </w:r>
          </w:p>
        </w:tc>
        <w:tc>
          <w:tcPr>
            <w:tcW w:w="1235" w:type="dxa"/>
            <w:tcBorders>
              <w:top w:val="nil"/>
              <w:left w:val="single" w:sz="4" w:space="0" w:color="auto"/>
              <w:bottom w:val="single" w:sz="4" w:space="0" w:color="auto"/>
              <w:right w:val="single" w:sz="4" w:space="0" w:color="auto"/>
            </w:tcBorders>
            <w:shd w:val="clear" w:color="auto" w:fill="auto"/>
            <w:vAlign w:val="center"/>
          </w:tcPr>
          <w:p w14:paraId="76775941" w14:textId="114D3247"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27.587.725,66</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69C91EA3" w14:textId="47CBF4B3"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88" w:type="dxa"/>
            <w:tcBorders>
              <w:top w:val="nil"/>
              <w:left w:val="nil"/>
              <w:bottom w:val="single" w:sz="8" w:space="0" w:color="auto"/>
              <w:right w:val="single" w:sz="8" w:space="0" w:color="auto"/>
            </w:tcBorders>
            <w:shd w:val="clear" w:color="auto" w:fill="auto"/>
            <w:vAlign w:val="center"/>
          </w:tcPr>
          <w:p w14:paraId="3B3C6056" w14:textId="29655AFF"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0,00   </w:t>
            </w:r>
          </w:p>
        </w:tc>
      </w:tr>
      <w:tr w:rsidR="005D4437" w:rsidRPr="00315732" w14:paraId="5A60AE77" w14:textId="1648863B"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718A8632"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Sisačko-moslavačka </w:t>
            </w:r>
          </w:p>
        </w:tc>
        <w:tc>
          <w:tcPr>
            <w:tcW w:w="951" w:type="dxa"/>
            <w:tcBorders>
              <w:top w:val="nil"/>
              <w:left w:val="nil"/>
              <w:bottom w:val="single" w:sz="4" w:space="0" w:color="auto"/>
              <w:right w:val="single" w:sz="4" w:space="0" w:color="auto"/>
            </w:tcBorders>
            <w:shd w:val="clear" w:color="auto" w:fill="auto"/>
            <w:noWrap/>
            <w:vAlign w:val="center"/>
            <w:hideMark/>
          </w:tcPr>
          <w:p w14:paraId="6A4B26D2"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2,7%</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601D2D77"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5A660CA4"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12.213</w:t>
            </w:r>
          </w:p>
        </w:tc>
        <w:tc>
          <w:tcPr>
            <w:tcW w:w="1002" w:type="dxa"/>
            <w:tcBorders>
              <w:top w:val="nil"/>
              <w:left w:val="nil"/>
              <w:bottom w:val="single" w:sz="4" w:space="0" w:color="auto"/>
              <w:right w:val="single" w:sz="4" w:space="0" w:color="auto"/>
            </w:tcBorders>
            <w:shd w:val="clear" w:color="auto" w:fill="auto"/>
            <w:noWrap/>
            <w:vAlign w:val="center"/>
            <w:hideMark/>
          </w:tcPr>
          <w:p w14:paraId="17FFC453"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730" w:type="dxa"/>
            <w:tcBorders>
              <w:top w:val="nil"/>
              <w:left w:val="nil"/>
              <w:bottom w:val="single" w:sz="4" w:space="0" w:color="auto"/>
              <w:right w:val="single" w:sz="4" w:space="0" w:color="auto"/>
            </w:tcBorders>
            <w:shd w:val="clear" w:color="auto" w:fill="auto"/>
            <w:noWrap/>
            <w:vAlign w:val="center"/>
            <w:hideMark/>
          </w:tcPr>
          <w:p w14:paraId="4A1B6856"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w:t>
            </w:r>
          </w:p>
        </w:tc>
        <w:tc>
          <w:tcPr>
            <w:tcW w:w="978" w:type="dxa"/>
            <w:tcBorders>
              <w:top w:val="nil"/>
              <w:left w:val="nil"/>
              <w:bottom w:val="single" w:sz="4" w:space="0" w:color="auto"/>
              <w:right w:val="single" w:sz="4" w:space="0" w:color="auto"/>
            </w:tcBorders>
            <w:shd w:val="clear" w:color="auto" w:fill="auto"/>
            <w:noWrap/>
            <w:vAlign w:val="center"/>
            <w:hideMark/>
          </w:tcPr>
          <w:p w14:paraId="187E9053"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4A7374E7"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29.700</w:t>
            </w:r>
          </w:p>
        </w:tc>
        <w:tc>
          <w:tcPr>
            <w:tcW w:w="1044" w:type="dxa"/>
            <w:tcBorders>
              <w:top w:val="nil"/>
              <w:left w:val="nil"/>
              <w:bottom w:val="single" w:sz="4" w:space="0" w:color="auto"/>
              <w:right w:val="single" w:sz="4" w:space="0" w:color="auto"/>
            </w:tcBorders>
            <w:shd w:val="clear" w:color="auto" w:fill="auto"/>
            <w:noWrap/>
            <w:vAlign w:val="center"/>
            <w:hideMark/>
          </w:tcPr>
          <w:p w14:paraId="4A5896F6"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29.700</w:t>
            </w:r>
          </w:p>
        </w:tc>
        <w:tc>
          <w:tcPr>
            <w:tcW w:w="1052" w:type="dxa"/>
            <w:tcBorders>
              <w:top w:val="nil"/>
              <w:left w:val="nil"/>
              <w:bottom w:val="single" w:sz="4" w:space="0" w:color="auto"/>
              <w:right w:val="single" w:sz="4" w:space="0" w:color="auto"/>
            </w:tcBorders>
            <w:shd w:val="clear" w:color="auto" w:fill="auto"/>
            <w:noWrap/>
            <w:vAlign w:val="center"/>
            <w:hideMark/>
          </w:tcPr>
          <w:p w14:paraId="43A43B6D"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center"/>
            <w:hideMark/>
          </w:tcPr>
          <w:p w14:paraId="0E889932" w14:textId="391F75A4"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4" w:space="0" w:color="auto"/>
              <w:bottom w:val="single" w:sz="4" w:space="0" w:color="auto"/>
              <w:right w:val="single" w:sz="4" w:space="0" w:color="auto"/>
            </w:tcBorders>
            <w:shd w:val="clear" w:color="auto" w:fill="auto"/>
            <w:vAlign w:val="center"/>
          </w:tcPr>
          <w:p w14:paraId="5AA74515" w14:textId="77443A3A"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2969C96A" w14:textId="5BA817D6"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88" w:type="dxa"/>
            <w:tcBorders>
              <w:top w:val="nil"/>
              <w:left w:val="nil"/>
              <w:bottom w:val="single" w:sz="8" w:space="0" w:color="auto"/>
              <w:right w:val="single" w:sz="8" w:space="0" w:color="auto"/>
            </w:tcBorders>
            <w:shd w:val="clear" w:color="auto" w:fill="auto"/>
            <w:vAlign w:val="center"/>
          </w:tcPr>
          <w:p w14:paraId="775247BE" w14:textId="3060A93A"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0,00   </w:t>
            </w:r>
          </w:p>
        </w:tc>
      </w:tr>
      <w:tr w:rsidR="005D4437" w:rsidRPr="00315732" w14:paraId="08F2B7B2" w14:textId="2A973AB6"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4A11E598"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Splitsko-dalmatinska </w:t>
            </w:r>
          </w:p>
        </w:tc>
        <w:tc>
          <w:tcPr>
            <w:tcW w:w="951" w:type="dxa"/>
            <w:tcBorders>
              <w:top w:val="nil"/>
              <w:left w:val="nil"/>
              <w:bottom w:val="single" w:sz="4" w:space="0" w:color="auto"/>
              <w:right w:val="single" w:sz="4" w:space="0" w:color="auto"/>
            </w:tcBorders>
            <w:shd w:val="clear" w:color="auto" w:fill="auto"/>
            <w:noWrap/>
            <w:vAlign w:val="center"/>
            <w:hideMark/>
          </w:tcPr>
          <w:p w14:paraId="2BA1D44F"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14,3%</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7A5A973D"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0068F66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63.942</w:t>
            </w:r>
          </w:p>
        </w:tc>
        <w:tc>
          <w:tcPr>
            <w:tcW w:w="1002" w:type="dxa"/>
            <w:tcBorders>
              <w:top w:val="nil"/>
              <w:left w:val="nil"/>
              <w:bottom w:val="single" w:sz="4" w:space="0" w:color="auto"/>
              <w:right w:val="single" w:sz="4" w:space="0" w:color="auto"/>
            </w:tcBorders>
            <w:shd w:val="clear" w:color="auto" w:fill="auto"/>
            <w:noWrap/>
            <w:vAlign w:val="center"/>
            <w:hideMark/>
          </w:tcPr>
          <w:p w14:paraId="55C0740D"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730" w:type="dxa"/>
            <w:tcBorders>
              <w:top w:val="nil"/>
              <w:left w:val="nil"/>
              <w:bottom w:val="single" w:sz="4" w:space="0" w:color="auto"/>
              <w:right w:val="single" w:sz="4" w:space="0" w:color="auto"/>
            </w:tcBorders>
            <w:shd w:val="clear" w:color="auto" w:fill="auto"/>
            <w:noWrap/>
            <w:vAlign w:val="center"/>
            <w:hideMark/>
          </w:tcPr>
          <w:p w14:paraId="5330F2E3"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978" w:type="dxa"/>
            <w:tcBorders>
              <w:top w:val="nil"/>
              <w:left w:val="nil"/>
              <w:bottom w:val="single" w:sz="4" w:space="0" w:color="auto"/>
              <w:right w:val="single" w:sz="4" w:space="0" w:color="auto"/>
            </w:tcBorders>
            <w:shd w:val="clear" w:color="auto" w:fill="auto"/>
            <w:noWrap/>
            <w:vAlign w:val="center"/>
            <w:hideMark/>
          </w:tcPr>
          <w:p w14:paraId="17E2C05D"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70FA77B7"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53CF8FB4"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52" w:type="dxa"/>
            <w:tcBorders>
              <w:top w:val="nil"/>
              <w:left w:val="nil"/>
              <w:bottom w:val="single" w:sz="4" w:space="0" w:color="auto"/>
              <w:right w:val="single" w:sz="4" w:space="0" w:color="auto"/>
            </w:tcBorders>
            <w:shd w:val="clear" w:color="auto" w:fill="auto"/>
            <w:noWrap/>
            <w:vAlign w:val="center"/>
            <w:hideMark/>
          </w:tcPr>
          <w:p w14:paraId="5CC8DFB4"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63.942</w:t>
            </w:r>
          </w:p>
        </w:tc>
        <w:tc>
          <w:tcPr>
            <w:tcW w:w="1359" w:type="dxa"/>
            <w:tcBorders>
              <w:top w:val="nil"/>
              <w:left w:val="nil"/>
              <w:bottom w:val="single" w:sz="4" w:space="0" w:color="auto"/>
              <w:right w:val="single" w:sz="4" w:space="0" w:color="auto"/>
            </w:tcBorders>
            <w:shd w:val="clear" w:color="auto" w:fill="auto"/>
            <w:noWrap/>
            <w:vAlign w:val="center"/>
            <w:hideMark/>
          </w:tcPr>
          <w:p w14:paraId="213AEB23" w14:textId="7EAA04C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319.707.883</w:t>
            </w:r>
          </w:p>
        </w:tc>
        <w:tc>
          <w:tcPr>
            <w:tcW w:w="1235" w:type="dxa"/>
            <w:tcBorders>
              <w:top w:val="nil"/>
              <w:left w:val="single" w:sz="4" w:space="0" w:color="auto"/>
              <w:bottom w:val="single" w:sz="4" w:space="0" w:color="auto"/>
              <w:right w:val="single" w:sz="4" w:space="0" w:color="auto"/>
            </w:tcBorders>
            <w:shd w:val="clear" w:color="auto" w:fill="auto"/>
            <w:vAlign w:val="center"/>
          </w:tcPr>
          <w:p w14:paraId="76F1B30C" w14:textId="4AC88853"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42.432.528,10</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6C5B6305" w14:textId="5E121663"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88" w:type="dxa"/>
            <w:tcBorders>
              <w:top w:val="nil"/>
              <w:left w:val="nil"/>
              <w:bottom w:val="single" w:sz="8" w:space="0" w:color="auto"/>
              <w:right w:val="single" w:sz="8" w:space="0" w:color="auto"/>
            </w:tcBorders>
            <w:shd w:val="clear" w:color="auto" w:fill="auto"/>
            <w:vAlign w:val="center"/>
          </w:tcPr>
          <w:p w14:paraId="06B4272C" w14:textId="0748DF94"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0,00   </w:t>
            </w:r>
          </w:p>
        </w:tc>
      </w:tr>
      <w:tr w:rsidR="005D4437" w:rsidRPr="00315732" w14:paraId="3BB8C8C1" w14:textId="484F684C"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627DEB53"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Šibensko-kninska</w:t>
            </w:r>
          </w:p>
        </w:tc>
        <w:tc>
          <w:tcPr>
            <w:tcW w:w="951" w:type="dxa"/>
            <w:tcBorders>
              <w:top w:val="nil"/>
              <w:left w:val="nil"/>
              <w:bottom w:val="single" w:sz="4" w:space="0" w:color="auto"/>
              <w:right w:val="single" w:sz="4" w:space="0" w:color="auto"/>
            </w:tcBorders>
            <w:shd w:val="clear" w:color="auto" w:fill="auto"/>
            <w:noWrap/>
            <w:vAlign w:val="center"/>
            <w:hideMark/>
          </w:tcPr>
          <w:p w14:paraId="13B9A9D2"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3,2%</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54B48886"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2CE64F1A"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14.528</w:t>
            </w:r>
          </w:p>
        </w:tc>
        <w:tc>
          <w:tcPr>
            <w:tcW w:w="1002" w:type="dxa"/>
            <w:tcBorders>
              <w:top w:val="nil"/>
              <w:left w:val="nil"/>
              <w:bottom w:val="single" w:sz="4" w:space="0" w:color="auto"/>
              <w:right w:val="single" w:sz="4" w:space="0" w:color="auto"/>
            </w:tcBorders>
            <w:shd w:val="clear" w:color="auto" w:fill="auto"/>
            <w:noWrap/>
            <w:vAlign w:val="center"/>
            <w:hideMark/>
          </w:tcPr>
          <w:p w14:paraId="1A756ACB"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730" w:type="dxa"/>
            <w:tcBorders>
              <w:top w:val="nil"/>
              <w:left w:val="nil"/>
              <w:bottom w:val="single" w:sz="4" w:space="0" w:color="auto"/>
              <w:right w:val="single" w:sz="4" w:space="0" w:color="auto"/>
            </w:tcBorders>
            <w:shd w:val="clear" w:color="auto" w:fill="auto"/>
            <w:noWrap/>
            <w:vAlign w:val="center"/>
            <w:hideMark/>
          </w:tcPr>
          <w:p w14:paraId="258EB92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978" w:type="dxa"/>
            <w:tcBorders>
              <w:top w:val="nil"/>
              <w:left w:val="nil"/>
              <w:bottom w:val="single" w:sz="4" w:space="0" w:color="auto"/>
              <w:right w:val="single" w:sz="4" w:space="0" w:color="auto"/>
            </w:tcBorders>
            <w:shd w:val="clear" w:color="auto" w:fill="auto"/>
            <w:noWrap/>
            <w:vAlign w:val="center"/>
            <w:hideMark/>
          </w:tcPr>
          <w:p w14:paraId="6F60D01F"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701D2ABF"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29FDDA66"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52" w:type="dxa"/>
            <w:tcBorders>
              <w:top w:val="nil"/>
              <w:left w:val="nil"/>
              <w:bottom w:val="single" w:sz="4" w:space="0" w:color="auto"/>
              <w:right w:val="single" w:sz="4" w:space="0" w:color="auto"/>
            </w:tcBorders>
            <w:shd w:val="clear" w:color="auto" w:fill="auto"/>
            <w:noWrap/>
            <w:vAlign w:val="center"/>
            <w:hideMark/>
          </w:tcPr>
          <w:p w14:paraId="0AB03C05"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14.528</w:t>
            </w:r>
          </w:p>
        </w:tc>
        <w:tc>
          <w:tcPr>
            <w:tcW w:w="1359" w:type="dxa"/>
            <w:tcBorders>
              <w:top w:val="nil"/>
              <w:left w:val="nil"/>
              <w:bottom w:val="single" w:sz="4" w:space="0" w:color="auto"/>
              <w:right w:val="single" w:sz="4" w:space="0" w:color="auto"/>
            </w:tcBorders>
            <w:shd w:val="clear" w:color="auto" w:fill="auto"/>
            <w:noWrap/>
            <w:vAlign w:val="center"/>
            <w:hideMark/>
          </w:tcPr>
          <w:p w14:paraId="25FB51CD" w14:textId="4AB85789"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72.639.470</w:t>
            </w:r>
          </w:p>
        </w:tc>
        <w:tc>
          <w:tcPr>
            <w:tcW w:w="1235" w:type="dxa"/>
            <w:tcBorders>
              <w:top w:val="nil"/>
              <w:left w:val="single" w:sz="4" w:space="0" w:color="auto"/>
              <w:bottom w:val="single" w:sz="4" w:space="0" w:color="auto"/>
              <w:right w:val="single" w:sz="4" w:space="0" w:color="auto"/>
            </w:tcBorders>
            <w:shd w:val="clear" w:color="auto" w:fill="auto"/>
            <w:vAlign w:val="center"/>
          </w:tcPr>
          <w:p w14:paraId="00DA0DF7" w14:textId="0A22B73D"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9.640.914,46</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357DF1FA" w14:textId="316EC075"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88" w:type="dxa"/>
            <w:tcBorders>
              <w:top w:val="nil"/>
              <w:left w:val="nil"/>
              <w:bottom w:val="single" w:sz="8" w:space="0" w:color="auto"/>
              <w:right w:val="single" w:sz="8" w:space="0" w:color="auto"/>
            </w:tcBorders>
            <w:shd w:val="clear" w:color="auto" w:fill="auto"/>
            <w:vAlign w:val="center"/>
          </w:tcPr>
          <w:p w14:paraId="296116FC" w14:textId="11B5EB83"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0,00   </w:t>
            </w:r>
          </w:p>
        </w:tc>
      </w:tr>
      <w:tr w:rsidR="005D4437" w:rsidRPr="00315732" w14:paraId="3B5F6E5A" w14:textId="0CBB8031"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3AFA7226"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Varaždinska </w:t>
            </w:r>
          </w:p>
        </w:tc>
        <w:tc>
          <w:tcPr>
            <w:tcW w:w="951" w:type="dxa"/>
            <w:tcBorders>
              <w:top w:val="nil"/>
              <w:left w:val="nil"/>
              <w:bottom w:val="single" w:sz="4" w:space="0" w:color="auto"/>
              <w:right w:val="single" w:sz="4" w:space="0" w:color="auto"/>
            </w:tcBorders>
            <w:shd w:val="clear" w:color="auto" w:fill="auto"/>
            <w:noWrap/>
            <w:vAlign w:val="center"/>
            <w:hideMark/>
          </w:tcPr>
          <w:p w14:paraId="34F9F412"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2,6%</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74152F54"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6BC58CB8"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11.434</w:t>
            </w:r>
          </w:p>
        </w:tc>
        <w:tc>
          <w:tcPr>
            <w:tcW w:w="1002" w:type="dxa"/>
            <w:tcBorders>
              <w:top w:val="nil"/>
              <w:left w:val="nil"/>
              <w:bottom w:val="single" w:sz="4" w:space="0" w:color="auto"/>
              <w:right w:val="single" w:sz="4" w:space="0" w:color="auto"/>
            </w:tcBorders>
            <w:shd w:val="clear" w:color="auto" w:fill="auto"/>
            <w:noWrap/>
            <w:vAlign w:val="center"/>
            <w:hideMark/>
          </w:tcPr>
          <w:p w14:paraId="14B45B91"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w:t>
            </w:r>
          </w:p>
        </w:tc>
        <w:tc>
          <w:tcPr>
            <w:tcW w:w="730" w:type="dxa"/>
            <w:tcBorders>
              <w:top w:val="nil"/>
              <w:left w:val="nil"/>
              <w:bottom w:val="single" w:sz="4" w:space="0" w:color="auto"/>
              <w:right w:val="single" w:sz="4" w:space="0" w:color="auto"/>
            </w:tcBorders>
            <w:shd w:val="clear" w:color="auto" w:fill="auto"/>
            <w:noWrap/>
            <w:vAlign w:val="center"/>
            <w:hideMark/>
          </w:tcPr>
          <w:p w14:paraId="662992BB"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w:t>
            </w:r>
          </w:p>
        </w:tc>
        <w:tc>
          <w:tcPr>
            <w:tcW w:w="978" w:type="dxa"/>
            <w:tcBorders>
              <w:top w:val="nil"/>
              <w:left w:val="nil"/>
              <w:bottom w:val="single" w:sz="4" w:space="0" w:color="auto"/>
              <w:right w:val="single" w:sz="4" w:space="0" w:color="auto"/>
            </w:tcBorders>
            <w:shd w:val="clear" w:color="auto" w:fill="auto"/>
            <w:noWrap/>
            <w:vAlign w:val="center"/>
            <w:hideMark/>
          </w:tcPr>
          <w:p w14:paraId="63EEED98"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36.000</w:t>
            </w:r>
          </w:p>
        </w:tc>
        <w:tc>
          <w:tcPr>
            <w:tcW w:w="1044" w:type="dxa"/>
            <w:tcBorders>
              <w:top w:val="nil"/>
              <w:left w:val="nil"/>
              <w:bottom w:val="single" w:sz="4" w:space="0" w:color="auto"/>
              <w:right w:val="single" w:sz="4" w:space="0" w:color="auto"/>
            </w:tcBorders>
            <w:shd w:val="clear" w:color="auto" w:fill="auto"/>
            <w:noWrap/>
            <w:vAlign w:val="center"/>
            <w:hideMark/>
          </w:tcPr>
          <w:p w14:paraId="601DBC01"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4.000</w:t>
            </w:r>
          </w:p>
        </w:tc>
        <w:tc>
          <w:tcPr>
            <w:tcW w:w="1044" w:type="dxa"/>
            <w:tcBorders>
              <w:top w:val="nil"/>
              <w:left w:val="nil"/>
              <w:bottom w:val="single" w:sz="4" w:space="0" w:color="auto"/>
              <w:right w:val="single" w:sz="4" w:space="0" w:color="auto"/>
            </w:tcBorders>
            <w:shd w:val="clear" w:color="auto" w:fill="auto"/>
            <w:noWrap/>
            <w:vAlign w:val="center"/>
            <w:hideMark/>
          </w:tcPr>
          <w:p w14:paraId="6FC25FC2"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40.000</w:t>
            </w:r>
          </w:p>
        </w:tc>
        <w:tc>
          <w:tcPr>
            <w:tcW w:w="1052" w:type="dxa"/>
            <w:tcBorders>
              <w:top w:val="nil"/>
              <w:left w:val="nil"/>
              <w:bottom w:val="single" w:sz="4" w:space="0" w:color="auto"/>
              <w:right w:val="single" w:sz="4" w:space="0" w:color="auto"/>
            </w:tcBorders>
            <w:shd w:val="clear" w:color="auto" w:fill="auto"/>
            <w:noWrap/>
            <w:vAlign w:val="center"/>
            <w:hideMark/>
          </w:tcPr>
          <w:p w14:paraId="0EE076D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center"/>
            <w:hideMark/>
          </w:tcPr>
          <w:p w14:paraId="543ABB3D" w14:textId="615BA4EB"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4" w:space="0" w:color="auto"/>
              <w:bottom w:val="single" w:sz="4" w:space="0" w:color="auto"/>
              <w:right w:val="single" w:sz="4" w:space="0" w:color="auto"/>
            </w:tcBorders>
            <w:shd w:val="clear" w:color="auto" w:fill="auto"/>
            <w:vAlign w:val="center"/>
          </w:tcPr>
          <w:p w14:paraId="394BF9B6" w14:textId="707A6A97"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6C2DFD68" w14:textId="48567ED1"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w:t>
            </w:r>
          </w:p>
        </w:tc>
        <w:tc>
          <w:tcPr>
            <w:tcW w:w="1288" w:type="dxa"/>
            <w:tcBorders>
              <w:top w:val="nil"/>
              <w:left w:val="nil"/>
              <w:bottom w:val="single" w:sz="8" w:space="0" w:color="auto"/>
              <w:right w:val="single" w:sz="8" w:space="0" w:color="auto"/>
            </w:tcBorders>
            <w:shd w:val="clear" w:color="auto" w:fill="auto"/>
            <w:vAlign w:val="center"/>
          </w:tcPr>
          <w:p w14:paraId="10318596" w14:textId="0B18C3A7"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995.421,06   </w:t>
            </w:r>
          </w:p>
        </w:tc>
      </w:tr>
      <w:tr w:rsidR="005D4437" w:rsidRPr="00315732" w14:paraId="25D0D75B" w14:textId="56DE7E4B"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57193801"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Virovitičko-podravska</w:t>
            </w:r>
          </w:p>
        </w:tc>
        <w:tc>
          <w:tcPr>
            <w:tcW w:w="951" w:type="dxa"/>
            <w:tcBorders>
              <w:top w:val="nil"/>
              <w:left w:val="nil"/>
              <w:bottom w:val="single" w:sz="4" w:space="0" w:color="auto"/>
              <w:right w:val="single" w:sz="4" w:space="0" w:color="auto"/>
            </w:tcBorders>
            <w:shd w:val="clear" w:color="auto" w:fill="auto"/>
            <w:noWrap/>
            <w:vAlign w:val="center"/>
            <w:hideMark/>
          </w:tcPr>
          <w:p w14:paraId="7D8658E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1,3%</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260C7367"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46B3EACB"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5.868</w:t>
            </w:r>
          </w:p>
        </w:tc>
        <w:tc>
          <w:tcPr>
            <w:tcW w:w="1002" w:type="dxa"/>
            <w:tcBorders>
              <w:top w:val="nil"/>
              <w:left w:val="nil"/>
              <w:bottom w:val="single" w:sz="4" w:space="0" w:color="auto"/>
              <w:right w:val="single" w:sz="4" w:space="0" w:color="auto"/>
            </w:tcBorders>
            <w:shd w:val="clear" w:color="auto" w:fill="auto"/>
            <w:noWrap/>
            <w:vAlign w:val="center"/>
            <w:hideMark/>
          </w:tcPr>
          <w:p w14:paraId="7F43464F"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w:t>
            </w:r>
          </w:p>
        </w:tc>
        <w:tc>
          <w:tcPr>
            <w:tcW w:w="730" w:type="dxa"/>
            <w:tcBorders>
              <w:top w:val="nil"/>
              <w:left w:val="nil"/>
              <w:bottom w:val="single" w:sz="4" w:space="0" w:color="auto"/>
              <w:right w:val="single" w:sz="4" w:space="0" w:color="auto"/>
            </w:tcBorders>
            <w:shd w:val="clear" w:color="auto" w:fill="auto"/>
            <w:noWrap/>
            <w:vAlign w:val="center"/>
            <w:hideMark/>
          </w:tcPr>
          <w:p w14:paraId="52ED395D"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978" w:type="dxa"/>
            <w:tcBorders>
              <w:top w:val="nil"/>
              <w:left w:val="nil"/>
              <w:bottom w:val="single" w:sz="4" w:space="0" w:color="auto"/>
              <w:right w:val="single" w:sz="4" w:space="0" w:color="auto"/>
            </w:tcBorders>
            <w:shd w:val="clear" w:color="auto" w:fill="auto"/>
            <w:noWrap/>
            <w:vAlign w:val="center"/>
            <w:hideMark/>
          </w:tcPr>
          <w:p w14:paraId="71BE7794"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36.500</w:t>
            </w:r>
          </w:p>
        </w:tc>
        <w:tc>
          <w:tcPr>
            <w:tcW w:w="1044" w:type="dxa"/>
            <w:tcBorders>
              <w:top w:val="nil"/>
              <w:left w:val="nil"/>
              <w:bottom w:val="single" w:sz="4" w:space="0" w:color="auto"/>
              <w:right w:val="single" w:sz="4" w:space="0" w:color="auto"/>
            </w:tcBorders>
            <w:shd w:val="clear" w:color="auto" w:fill="auto"/>
            <w:noWrap/>
            <w:vAlign w:val="center"/>
            <w:hideMark/>
          </w:tcPr>
          <w:p w14:paraId="32FE5DF4"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636736C6"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36.500</w:t>
            </w:r>
          </w:p>
        </w:tc>
        <w:tc>
          <w:tcPr>
            <w:tcW w:w="1052" w:type="dxa"/>
            <w:tcBorders>
              <w:top w:val="nil"/>
              <w:left w:val="nil"/>
              <w:bottom w:val="single" w:sz="4" w:space="0" w:color="auto"/>
              <w:right w:val="single" w:sz="4" w:space="0" w:color="auto"/>
            </w:tcBorders>
            <w:shd w:val="clear" w:color="auto" w:fill="auto"/>
            <w:noWrap/>
            <w:vAlign w:val="center"/>
            <w:hideMark/>
          </w:tcPr>
          <w:p w14:paraId="09AD41AB"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center"/>
            <w:hideMark/>
          </w:tcPr>
          <w:p w14:paraId="56BCFAA3" w14:textId="18293FF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4" w:space="0" w:color="auto"/>
              <w:bottom w:val="single" w:sz="4" w:space="0" w:color="auto"/>
              <w:right w:val="single" w:sz="4" w:space="0" w:color="auto"/>
            </w:tcBorders>
            <w:shd w:val="clear" w:color="auto" w:fill="auto"/>
            <w:vAlign w:val="center"/>
          </w:tcPr>
          <w:p w14:paraId="440EB863" w14:textId="4A8D369E"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2AE81DED" w14:textId="32B77BA2"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w:t>
            </w:r>
          </w:p>
        </w:tc>
        <w:tc>
          <w:tcPr>
            <w:tcW w:w="1288" w:type="dxa"/>
            <w:tcBorders>
              <w:top w:val="nil"/>
              <w:left w:val="nil"/>
              <w:bottom w:val="single" w:sz="8" w:space="0" w:color="auto"/>
              <w:right w:val="single" w:sz="8" w:space="0" w:color="auto"/>
            </w:tcBorders>
            <w:shd w:val="clear" w:color="auto" w:fill="auto"/>
            <w:vAlign w:val="center"/>
          </w:tcPr>
          <w:p w14:paraId="309FE2EE" w14:textId="5016A6F2"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995.421,06   </w:t>
            </w:r>
          </w:p>
        </w:tc>
      </w:tr>
      <w:tr w:rsidR="005D4437" w:rsidRPr="00315732" w14:paraId="13C96CA7" w14:textId="00D19C95"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57E271C2"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Vukovarsko-srijemska </w:t>
            </w:r>
          </w:p>
        </w:tc>
        <w:tc>
          <w:tcPr>
            <w:tcW w:w="951" w:type="dxa"/>
            <w:tcBorders>
              <w:top w:val="nil"/>
              <w:left w:val="nil"/>
              <w:bottom w:val="single" w:sz="4" w:space="0" w:color="auto"/>
              <w:right w:val="single" w:sz="4" w:space="0" w:color="auto"/>
            </w:tcBorders>
            <w:shd w:val="clear" w:color="auto" w:fill="auto"/>
            <w:noWrap/>
            <w:vAlign w:val="center"/>
            <w:hideMark/>
          </w:tcPr>
          <w:p w14:paraId="2533060E"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2,9%</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317C141D"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001C6BE3"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12.937</w:t>
            </w:r>
          </w:p>
        </w:tc>
        <w:tc>
          <w:tcPr>
            <w:tcW w:w="1002" w:type="dxa"/>
            <w:tcBorders>
              <w:top w:val="nil"/>
              <w:left w:val="nil"/>
              <w:bottom w:val="single" w:sz="4" w:space="0" w:color="auto"/>
              <w:right w:val="single" w:sz="4" w:space="0" w:color="auto"/>
            </w:tcBorders>
            <w:shd w:val="clear" w:color="auto" w:fill="auto"/>
            <w:noWrap/>
            <w:vAlign w:val="center"/>
            <w:hideMark/>
          </w:tcPr>
          <w:p w14:paraId="5D63A4A7"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6</w:t>
            </w:r>
          </w:p>
        </w:tc>
        <w:tc>
          <w:tcPr>
            <w:tcW w:w="730" w:type="dxa"/>
            <w:tcBorders>
              <w:top w:val="nil"/>
              <w:left w:val="nil"/>
              <w:bottom w:val="single" w:sz="4" w:space="0" w:color="auto"/>
              <w:right w:val="single" w:sz="4" w:space="0" w:color="auto"/>
            </w:tcBorders>
            <w:shd w:val="clear" w:color="auto" w:fill="auto"/>
            <w:noWrap/>
            <w:vAlign w:val="center"/>
            <w:hideMark/>
          </w:tcPr>
          <w:p w14:paraId="52B0758E"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978" w:type="dxa"/>
            <w:tcBorders>
              <w:top w:val="nil"/>
              <w:left w:val="nil"/>
              <w:bottom w:val="single" w:sz="4" w:space="0" w:color="auto"/>
              <w:right w:val="single" w:sz="4" w:space="0" w:color="auto"/>
            </w:tcBorders>
            <w:shd w:val="clear" w:color="auto" w:fill="auto"/>
            <w:noWrap/>
            <w:vAlign w:val="center"/>
            <w:hideMark/>
          </w:tcPr>
          <w:p w14:paraId="569ABD79"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36.300</w:t>
            </w:r>
          </w:p>
        </w:tc>
        <w:tc>
          <w:tcPr>
            <w:tcW w:w="1044" w:type="dxa"/>
            <w:tcBorders>
              <w:top w:val="nil"/>
              <w:left w:val="nil"/>
              <w:bottom w:val="single" w:sz="4" w:space="0" w:color="auto"/>
              <w:right w:val="single" w:sz="4" w:space="0" w:color="auto"/>
            </w:tcBorders>
            <w:shd w:val="clear" w:color="auto" w:fill="auto"/>
            <w:noWrap/>
            <w:vAlign w:val="center"/>
            <w:hideMark/>
          </w:tcPr>
          <w:p w14:paraId="0963B296"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50C6DFFC"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36.300</w:t>
            </w:r>
          </w:p>
        </w:tc>
        <w:tc>
          <w:tcPr>
            <w:tcW w:w="1052" w:type="dxa"/>
            <w:tcBorders>
              <w:top w:val="nil"/>
              <w:left w:val="nil"/>
              <w:bottom w:val="single" w:sz="4" w:space="0" w:color="auto"/>
              <w:right w:val="single" w:sz="4" w:space="0" w:color="auto"/>
            </w:tcBorders>
            <w:shd w:val="clear" w:color="auto" w:fill="auto"/>
            <w:noWrap/>
            <w:vAlign w:val="center"/>
            <w:hideMark/>
          </w:tcPr>
          <w:p w14:paraId="788BA8ED"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center"/>
            <w:hideMark/>
          </w:tcPr>
          <w:p w14:paraId="20DC78E5" w14:textId="4D4FF11A"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4" w:space="0" w:color="auto"/>
              <w:bottom w:val="single" w:sz="4" w:space="0" w:color="auto"/>
              <w:right w:val="single" w:sz="4" w:space="0" w:color="auto"/>
            </w:tcBorders>
            <w:shd w:val="clear" w:color="auto" w:fill="auto"/>
            <w:vAlign w:val="center"/>
          </w:tcPr>
          <w:p w14:paraId="274FA7DA" w14:textId="797B2BCD"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4516B924" w14:textId="03C49332"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22.500.000</w:t>
            </w:r>
          </w:p>
        </w:tc>
        <w:tc>
          <w:tcPr>
            <w:tcW w:w="1288" w:type="dxa"/>
            <w:tcBorders>
              <w:top w:val="nil"/>
              <w:left w:val="nil"/>
              <w:bottom w:val="single" w:sz="8" w:space="0" w:color="auto"/>
              <w:right w:val="single" w:sz="8" w:space="0" w:color="auto"/>
            </w:tcBorders>
            <w:shd w:val="clear" w:color="auto" w:fill="auto"/>
            <w:vAlign w:val="center"/>
          </w:tcPr>
          <w:p w14:paraId="0470A49F" w14:textId="100F847C"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2.986.263,19   </w:t>
            </w:r>
          </w:p>
        </w:tc>
      </w:tr>
      <w:tr w:rsidR="005D4437" w:rsidRPr="00315732" w14:paraId="59C0E1F2" w14:textId="70682CD8"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3159FC97"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Zadarska </w:t>
            </w:r>
          </w:p>
        </w:tc>
        <w:tc>
          <w:tcPr>
            <w:tcW w:w="951" w:type="dxa"/>
            <w:tcBorders>
              <w:top w:val="nil"/>
              <w:left w:val="nil"/>
              <w:bottom w:val="single" w:sz="4" w:space="0" w:color="auto"/>
              <w:right w:val="single" w:sz="4" w:space="0" w:color="auto"/>
            </w:tcBorders>
            <w:shd w:val="clear" w:color="auto" w:fill="auto"/>
            <w:noWrap/>
            <w:vAlign w:val="center"/>
            <w:hideMark/>
          </w:tcPr>
          <w:p w14:paraId="643BEFFD"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6,1%</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6A72B385"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4D5DE3C3"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27.341</w:t>
            </w:r>
          </w:p>
        </w:tc>
        <w:tc>
          <w:tcPr>
            <w:tcW w:w="1002" w:type="dxa"/>
            <w:tcBorders>
              <w:top w:val="nil"/>
              <w:left w:val="nil"/>
              <w:bottom w:val="single" w:sz="4" w:space="0" w:color="auto"/>
              <w:right w:val="single" w:sz="4" w:space="0" w:color="auto"/>
            </w:tcBorders>
            <w:shd w:val="clear" w:color="auto" w:fill="auto"/>
            <w:noWrap/>
            <w:vAlign w:val="center"/>
            <w:hideMark/>
          </w:tcPr>
          <w:p w14:paraId="25F77FA4"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730" w:type="dxa"/>
            <w:tcBorders>
              <w:top w:val="nil"/>
              <w:left w:val="nil"/>
              <w:bottom w:val="single" w:sz="4" w:space="0" w:color="auto"/>
              <w:right w:val="single" w:sz="4" w:space="0" w:color="auto"/>
            </w:tcBorders>
            <w:shd w:val="clear" w:color="auto" w:fill="auto"/>
            <w:noWrap/>
            <w:vAlign w:val="center"/>
            <w:hideMark/>
          </w:tcPr>
          <w:p w14:paraId="22E87B37"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978" w:type="dxa"/>
            <w:tcBorders>
              <w:top w:val="nil"/>
              <w:left w:val="nil"/>
              <w:bottom w:val="single" w:sz="4" w:space="0" w:color="auto"/>
              <w:right w:val="single" w:sz="4" w:space="0" w:color="auto"/>
            </w:tcBorders>
            <w:shd w:val="clear" w:color="auto" w:fill="auto"/>
            <w:noWrap/>
            <w:vAlign w:val="center"/>
            <w:hideMark/>
          </w:tcPr>
          <w:p w14:paraId="4BCBAF24"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600AE0D4"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1C5FFC4F"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52" w:type="dxa"/>
            <w:tcBorders>
              <w:top w:val="nil"/>
              <w:left w:val="nil"/>
              <w:bottom w:val="single" w:sz="4" w:space="0" w:color="auto"/>
              <w:right w:val="single" w:sz="4" w:space="0" w:color="auto"/>
            </w:tcBorders>
            <w:shd w:val="clear" w:color="auto" w:fill="auto"/>
            <w:noWrap/>
            <w:vAlign w:val="center"/>
            <w:hideMark/>
          </w:tcPr>
          <w:p w14:paraId="295F2DA1"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27.341</w:t>
            </w:r>
          </w:p>
        </w:tc>
        <w:tc>
          <w:tcPr>
            <w:tcW w:w="1359" w:type="dxa"/>
            <w:tcBorders>
              <w:top w:val="nil"/>
              <w:left w:val="nil"/>
              <w:bottom w:val="single" w:sz="4" w:space="0" w:color="auto"/>
              <w:right w:val="single" w:sz="4" w:space="0" w:color="auto"/>
            </w:tcBorders>
            <w:shd w:val="clear" w:color="auto" w:fill="auto"/>
            <w:noWrap/>
            <w:vAlign w:val="center"/>
            <w:hideMark/>
          </w:tcPr>
          <w:p w14:paraId="4366458A" w14:textId="14F5719E"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136.704.341</w:t>
            </w:r>
          </w:p>
        </w:tc>
        <w:tc>
          <w:tcPr>
            <w:tcW w:w="1235" w:type="dxa"/>
            <w:tcBorders>
              <w:top w:val="nil"/>
              <w:left w:val="single" w:sz="4" w:space="0" w:color="auto"/>
              <w:bottom w:val="single" w:sz="4" w:space="0" w:color="auto"/>
              <w:right w:val="single" w:sz="4" w:space="0" w:color="auto"/>
            </w:tcBorders>
            <w:shd w:val="clear" w:color="auto" w:fill="auto"/>
            <w:vAlign w:val="center"/>
          </w:tcPr>
          <w:p w14:paraId="7F367171" w14:textId="3B0294C4"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18.143.784,06</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4586A6FC" w14:textId="35E722FF"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88" w:type="dxa"/>
            <w:tcBorders>
              <w:top w:val="nil"/>
              <w:left w:val="nil"/>
              <w:bottom w:val="single" w:sz="8" w:space="0" w:color="auto"/>
              <w:right w:val="single" w:sz="8" w:space="0" w:color="auto"/>
            </w:tcBorders>
            <w:shd w:val="clear" w:color="auto" w:fill="auto"/>
            <w:vAlign w:val="center"/>
          </w:tcPr>
          <w:p w14:paraId="678D51EF" w14:textId="3E5A321C"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0,00   </w:t>
            </w:r>
          </w:p>
        </w:tc>
      </w:tr>
      <w:tr w:rsidR="005D4437" w:rsidRPr="00315732" w14:paraId="122F54A6" w14:textId="338D3B55" w:rsidTr="00BB2706">
        <w:trPr>
          <w:trHeight w:val="170"/>
        </w:trPr>
        <w:tc>
          <w:tcPr>
            <w:tcW w:w="1711" w:type="dxa"/>
            <w:tcBorders>
              <w:top w:val="nil"/>
              <w:left w:val="single" w:sz="8" w:space="0" w:color="auto"/>
              <w:bottom w:val="nil"/>
              <w:right w:val="single" w:sz="4" w:space="0" w:color="auto"/>
            </w:tcBorders>
            <w:shd w:val="clear" w:color="auto" w:fill="auto"/>
            <w:noWrap/>
            <w:vAlign w:val="center"/>
            <w:hideMark/>
          </w:tcPr>
          <w:p w14:paraId="57A8D6EE"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Zagrebačka </w:t>
            </w:r>
          </w:p>
        </w:tc>
        <w:tc>
          <w:tcPr>
            <w:tcW w:w="951" w:type="dxa"/>
            <w:tcBorders>
              <w:top w:val="nil"/>
              <w:left w:val="nil"/>
              <w:bottom w:val="nil"/>
              <w:right w:val="single" w:sz="4" w:space="0" w:color="auto"/>
            </w:tcBorders>
            <w:shd w:val="clear" w:color="auto" w:fill="auto"/>
            <w:noWrap/>
            <w:vAlign w:val="center"/>
            <w:hideMark/>
          </w:tcPr>
          <w:p w14:paraId="034A5663"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6,4%</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55E0B2FC"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nil"/>
              <w:right w:val="single" w:sz="4" w:space="0" w:color="auto"/>
            </w:tcBorders>
            <w:shd w:val="clear" w:color="auto" w:fill="auto"/>
            <w:noWrap/>
            <w:vAlign w:val="center"/>
            <w:hideMark/>
          </w:tcPr>
          <w:p w14:paraId="283F4F08"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28.684</w:t>
            </w:r>
          </w:p>
        </w:tc>
        <w:tc>
          <w:tcPr>
            <w:tcW w:w="1002" w:type="dxa"/>
            <w:tcBorders>
              <w:top w:val="nil"/>
              <w:left w:val="nil"/>
              <w:bottom w:val="nil"/>
              <w:right w:val="single" w:sz="4" w:space="0" w:color="auto"/>
            </w:tcBorders>
            <w:shd w:val="clear" w:color="auto" w:fill="auto"/>
            <w:noWrap/>
            <w:vAlign w:val="center"/>
            <w:hideMark/>
          </w:tcPr>
          <w:p w14:paraId="1FC7BC73"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w:t>
            </w:r>
          </w:p>
        </w:tc>
        <w:tc>
          <w:tcPr>
            <w:tcW w:w="730" w:type="dxa"/>
            <w:tcBorders>
              <w:top w:val="nil"/>
              <w:left w:val="nil"/>
              <w:bottom w:val="nil"/>
              <w:right w:val="single" w:sz="4" w:space="0" w:color="auto"/>
            </w:tcBorders>
            <w:shd w:val="clear" w:color="auto" w:fill="auto"/>
            <w:noWrap/>
            <w:vAlign w:val="center"/>
            <w:hideMark/>
          </w:tcPr>
          <w:p w14:paraId="4C9559C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w:t>
            </w:r>
          </w:p>
        </w:tc>
        <w:tc>
          <w:tcPr>
            <w:tcW w:w="978" w:type="dxa"/>
            <w:tcBorders>
              <w:top w:val="nil"/>
              <w:left w:val="nil"/>
              <w:bottom w:val="nil"/>
              <w:right w:val="single" w:sz="4" w:space="0" w:color="auto"/>
            </w:tcBorders>
            <w:shd w:val="clear" w:color="auto" w:fill="auto"/>
            <w:noWrap/>
            <w:vAlign w:val="center"/>
            <w:hideMark/>
          </w:tcPr>
          <w:p w14:paraId="18A0E9A7"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72.500</w:t>
            </w:r>
          </w:p>
        </w:tc>
        <w:tc>
          <w:tcPr>
            <w:tcW w:w="1044" w:type="dxa"/>
            <w:tcBorders>
              <w:top w:val="nil"/>
              <w:left w:val="nil"/>
              <w:bottom w:val="nil"/>
              <w:right w:val="single" w:sz="4" w:space="0" w:color="auto"/>
            </w:tcBorders>
            <w:shd w:val="clear" w:color="auto" w:fill="auto"/>
            <w:noWrap/>
            <w:vAlign w:val="center"/>
            <w:hideMark/>
          </w:tcPr>
          <w:p w14:paraId="70306968"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30.000</w:t>
            </w:r>
          </w:p>
        </w:tc>
        <w:tc>
          <w:tcPr>
            <w:tcW w:w="1044" w:type="dxa"/>
            <w:tcBorders>
              <w:top w:val="nil"/>
              <w:left w:val="nil"/>
              <w:bottom w:val="nil"/>
              <w:right w:val="single" w:sz="4" w:space="0" w:color="auto"/>
            </w:tcBorders>
            <w:shd w:val="clear" w:color="auto" w:fill="auto"/>
            <w:noWrap/>
            <w:vAlign w:val="center"/>
            <w:hideMark/>
          </w:tcPr>
          <w:p w14:paraId="0C48AE66"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102.500</w:t>
            </w:r>
          </w:p>
        </w:tc>
        <w:tc>
          <w:tcPr>
            <w:tcW w:w="1052" w:type="dxa"/>
            <w:tcBorders>
              <w:top w:val="nil"/>
              <w:left w:val="nil"/>
              <w:bottom w:val="nil"/>
              <w:right w:val="single" w:sz="4" w:space="0" w:color="auto"/>
            </w:tcBorders>
            <w:shd w:val="clear" w:color="auto" w:fill="auto"/>
            <w:noWrap/>
            <w:vAlign w:val="center"/>
            <w:hideMark/>
          </w:tcPr>
          <w:p w14:paraId="5B573D05"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359" w:type="dxa"/>
            <w:tcBorders>
              <w:top w:val="nil"/>
              <w:left w:val="nil"/>
              <w:bottom w:val="nil"/>
              <w:right w:val="single" w:sz="4" w:space="0" w:color="auto"/>
            </w:tcBorders>
            <w:shd w:val="clear" w:color="auto" w:fill="auto"/>
            <w:noWrap/>
            <w:vAlign w:val="center"/>
            <w:hideMark/>
          </w:tcPr>
          <w:p w14:paraId="3CCCCAF9" w14:textId="55BF5C6F"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4" w:space="0" w:color="auto"/>
              <w:bottom w:val="single" w:sz="4" w:space="0" w:color="auto"/>
              <w:right w:val="single" w:sz="4" w:space="0" w:color="auto"/>
            </w:tcBorders>
            <w:shd w:val="clear" w:color="auto" w:fill="auto"/>
            <w:vAlign w:val="center"/>
          </w:tcPr>
          <w:p w14:paraId="46C4B092" w14:textId="5A231851"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235" w:type="dxa"/>
            <w:tcBorders>
              <w:top w:val="nil"/>
              <w:left w:val="single" w:sz="4" w:space="0" w:color="auto"/>
              <w:bottom w:val="nil"/>
              <w:right w:val="single" w:sz="8" w:space="0" w:color="auto"/>
            </w:tcBorders>
            <w:shd w:val="clear" w:color="auto" w:fill="auto"/>
            <w:noWrap/>
            <w:vAlign w:val="center"/>
            <w:hideMark/>
          </w:tcPr>
          <w:p w14:paraId="17938A5A" w14:textId="66AAEFF6"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w:t>
            </w:r>
          </w:p>
        </w:tc>
        <w:tc>
          <w:tcPr>
            <w:tcW w:w="1288" w:type="dxa"/>
            <w:tcBorders>
              <w:top w:val="nil"/>
              <w:left w:val="nil"/>
              <w:bottom w:val="single" w:sz="8" w:space="0" w:color="auto"/>
              <w:right w:val="single" w:sz="8" w:space="0" w:color="auto"/>
            </w:tcBorders>
            <w:shd w:val="clear" w:color="auto" w:fill="auto"/>
            <w:vAlign w:val="center"/>
          </w:tcPr>
          <w:p w14:paraId="4C29E8DF" w14:textId="25412454"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995.421,06   </w:t>
            </w:r>
          </w:p>
        </w:tc>
      </w:tr>
      <w:tr w:rsidR="005D4437" w:rsidRPr="00315732" w14:paraId="23184083" w14:textId="7ED7874D" w:rsidTr="00BB2706">
        <w:trPr>
          <w:trHeight w:val="170"/>
        </w:trPr>
        <w:tc>
          <w:tcPr>
            <w:tcW w:w="3436" w:type="dxa"/>
            <w:gridSpan w:val="3"/>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3CCF0F64" w14:textId="77777777" w:rsidR="005D4437" w:rsidRPr="00315732" w:rsidRDefault="005D4437" w:rsidP="005D4437">
            <w:pPr>
              <w:spacing w:after="0" w:line="240" w:lineRule="auto"/>
              <w:rPr>
                <w:rFonts w:ascii="Calibri" w:eastAsia="Times New Roman" w:hAnsi="Calibri" w:cs="Calibri"/>
                <w:b/>
                <w:bCs/>
                <w:color w:val="000000"/>
                <w:sz w:val="16"/>
                <w:szCs w:val="16"/>
                <w:lang w:eastAsia="hr-HR"/>
              </w:rPr>
            </w:pPr>
            <w:r w:rsidRPr="00315732">
              <w:rPr>
                <w:rFonts w:ascii="Calibri" w:eastAsia="Times New Roman" w:hAnsi="Calibri" w:cs="Calibri"/>
                <w:b/>
                <w:bCs/>
                <w:color w:val="000000"/>
                <w:sz w:val="16"/>
                <w:szCs w:val="16"/>
                <w:lang w:eastAsia="hr-HR"/>
              </w:rPr>
              <w:t>Ukupno</w:t>
            </w:r>
          </w:p>
        </w:tc>
        <w:tc>
          <w:tcPr>
            <w:tcW w:w="1089" w:type="dxa"/>
            <w:tcBorders>
              <w:top w:val="single" w:sz="8" w:space="0" w:color="auto"/>
              <w:left w:val="nil"/>
              <w:bottom w:val="single" w:sz="8" w:space="0" w:color="auto"/>
              <w:right w:val="single" w:sz="4" w:space="0" w:color="auto"/>
            </w:tcBorders>
            <w:shd w:val="clear" w:color="auto" w:fill="auto"/>
            <w:noWrap/>
            <w:vAlign w:val="center"/>
            <w:hideMark/>
          </w:tcPr>
          <w:p w14:paraId="6E8E33CF" w14:textId="77777777" w:rsidR="005D4437" w:rsidRPr="00315732" w:rsidRDefault="005D4437" w:rsidP="005D4437">
            <w:pPr>
              <w:spacing w:after="0" w:line="240" w:lineRule="auto"/>
              <w:jc w:val="center"/>
              <w:rPr>
                <w:rFonts w:ascii="Calibri" w:eastAsia="Times New Roman" w:hAnsi="Calibri" w:cs="Calibri"/>
                <w:b/>
                <w:bCs/>
                <w:color w:val="000000"/>
                <w:sz w:val="16"/>
                <w:szCs w:val="16"/>
                <w:lang w:eastAsia="hr-HR"/>
              </w:rPr>
            </w:pPr>
            <w:r w:rsidRPr="00315732">
              <w:rPr>
                <w:rFonts w:ascii="Calibri" w:eastAsia="Times New Roman" w:hAnsi="Calibri" w:cs="Calibri"/>
                <w:b/>
                <w:bCs/>
                <w:color w:val="000000"/>
                <w:sz w:val="16"/>
                <w:szCs w:val="16"/>
                <w:lang w:eastAsia="hr-HR"/>
              </w:rPr>
              <w:t>449.199</w:t>
            </w:r>
          </w:p>
        </w:tc>
        <w:tc>
          <w:tcPr>
            <w:tcW w:w="1002" w:type="dxa"/>
            <w:tcBorders>
              <w:top w:val="single" w:sz="8" w:space="0" w:color="auto"/>
              <w:left w:val="nil"/>
              <w:bottom w:val="single" w:sz="8" w:space="0" w:color="auto"/>
              <w:right w:val="single" w:sz="4" w:space="0" w:color="auto"/>
            </w:tcBorders>
            <w:shd w:val="clear" w:color="auto" w:fill="auto"/>
            <w:noWrap/>
            <w:vAlign w:val="center"/>
            <w:hideMark/>
          </w:tcPr>
          <w:p w14:paraId="60668D26" w14:textId="77777777" w:rsidR="005D4437" w:rsidRPr="00315732" w:rsidRDefault="005D4437" w:rsidP="005D4437">
            <w:pPr>
              <w:spacing w:after="0" w:line="240" w:lineRule="auto"/>
              <w:jc w:val="center"/>
              <w:rPr>
                <w:rFonts w:ascii="Calibri" w:eastAsia="Times New Roman" w:hAnsi="Calibri" w:cs="Calibri"/>
                <w:b/>
                <w:bCs/>
                <w:color w:val="000000"/>
                <w:sz w:val="16"/>
                <w:szCs w:val="16"/>
                <w:lang w:eastAsia="hr-HR"/>
              </w:rPr>
            </w:pPr>
            <w:r w:rsidRPr="00315732">
              <w:rPr>
                <w:rFonts w:ascii="Calibri" w:eastAsia="Times New Roman" w:hAnsi="Calibri" w:cs="Calibri"/>
                <w:b/>
                <w:bCs/>
                <w:color w:val="000000"/>
                <w:sz w:val="16"/>
                <w:szCs w:val="16"/>
                <w:lang w:eastAsia="hr-HR"/>
              </w:rPr>
              <w:t>35</w:t>
            </w:r>
          </w:p>
        </w:tc>
        <w:tc>
          <w:tcPr>
            <w:tcW w:w="730" w:type="dxa"/>
            <w:tcBorders>
              <w:top w:val="single" w:sz="8" w:space="0" w:color="auto"/>
              <w:left w:val="nil"/>
              <w:bottom w:val="single" w:sz="8" w:space="0" w:color="auto"/>
              <w:right w:val="single" w:sz="4" w:space="0" w:color="auto"/>
            </w:tcBorders>
            <w:shd w:val="clear" w:color="auto" w:fill="auto"/>
            <w:noWrap/>
            <w:vAlign w:val="center"/>
            <w:hideMark/>
          </w:tcPr>
          <w:p w14:paraId="5941DBDF" w14:textId="77777777" w:rsidR="005D4437" w:rsidRPr="00315732" w:rsidRDefault="005D4437" w:rsidP="005D4437">
            <w:pPr>
              <w:spacing w:after="0" w:line="240" w:lineRule="auto"/>
              <w:jc w:val="center"/>
              <w:rPr>
                <w:rFonts w:ascii="Calibri" w:eastAsia="Times New Roman" w:hAnsi="Calibri" w:cs="Calibri"/>
                <w:b/>
                <w:bCs/>
                <w:color w:val="000000"/>
                <w:sz w:val="16"/>
                <w:szCs w:val="16"/>
                <w:lang w:eastAsia="hr-HR"/>
              </w:rPr>
            </w:pPr>
            <w:r w:rsidRPr="00315732">
              <w:rPr>
                <w:rFonts w:ascii="Calibri" w:eastAsia="Times New Roman" w:hAnsi="Calibri" w:cs="Calibri"/>
                <w:b/>
                <w:bCs/>
                <w:color w:val="000000"/>
                <w:sz w:val="16"/>
                <w:szCs w:val="16"/>
                <w:lang w:eastAsia="hr-HR"/>
              </w:rPr>
              <w:t>19</w:t>
            </w:r>
          </w:p>
        </w:tc>
        <w:tc>
          <w:tcPr>
            <w:tcW w:w="978" w:type="dxa"/>
            <w:tcBorders>
              <w:top w:val="single" w:sz="8" w:space="0" w:color="auto"/>
              <w:left w:val="nil"/>
              <w:bottom w:val="single" w:sz="8" w:space="0" w:color="auto"/>
              <w:right w:val="single" w:sz="4" w:space="0" w:color="auto"/>
            </w:tcBorders>
            <w:shd w:val="clear" w:color="auto" w:fill="auto"/>
            <w:noWrap/>
            <w:vAlign w:val="center"/>
            <w:hideMark/>
          </w:tcPr>
          <w:p w14:paraId="4E9CD786" w14:textId="77777777" w:rsidR="005D4437" w:rsidRPr="00315732" w:rsidRDefault="005D4437" w:rsidP="005D4437">
            <w:pPr>
              <w:spacing w:after="0" w:line="240" w:lineRule="auto"/>
              <w:jc w:val="center"/>
              <w:rPr>
                <w:rFonts w:ascii="Calibri" w:eastAsia="Times New Roman" w:hAnsi="Calibri" w:cs="Calibri"/>
                <w:b/>
                <w:bCs/>
                <w:color w:val="000000"/>
                <w:sz w:val="16"/>
                <w:szCs w:val="16"/>
                <w:lang w:eastAsia="hr-HR"/>
              </w:rPr>
            </w:pPr>
            <w:r w:rsidRPr="00315732">
              <w:rPr>
                <w:rFonts w:ascii="Calibri" w:eastAsia="Times New Roman" w:hAnsi="Calibri" w:cs="Calibri"/>
                <w:b/>
                <w:bCs/>
                <w:color w:val="000000"/>
                <w:sz w:val="16"/>
                <w:szCs w:val="16"/>
                <w:lang w:eastAsia="hr-HR"/>
              </w:rPr>
              <w:t>839.808</w:t>
            </w:r>
          </w:p>
        </w:tc>
        <w:tc>
          <w:tcPr>
            <w:tcW w:w="1044" w:type="dxa"/>
            <w:tcBorders>
              <w:top w:val="single" w:sz="8" w:space="0" w:color="auto"/>
              <w:left w:val="nil"/>
              <w:bottom w:val="single" w:sz="8" w:space="0" w:color="auto"/>
              <w:right w:val="single" w:sz="4" w:space="0" w:color="auto"/>
            </w:tcBorders>
            <w:shd w:val="clear" w:color="auto" w:fill="auto"/>
            <w:noWrap/>
            <w:vAlign w:val="center"/>
            <w:hideMark/>
          </w:tcPr>
          <w:p w14:paraId="7204FD87" w14:textId="77777777" w:rsidR="005D4437" w:rsidRPr="00315732" w:rsidRDefault="005D4437" w:rsidP="005D4437">
            <w:pPr>
              <w:spacing w:after="0" w:line="240" w:lineRule="auto"/>
              <w:jc w:val="center"/>
              <w:rPr>
                <w:rFonts w:ascii="Calibri" w:eastAsia="Times New Roman" w:hAnsi="Calibri" w:cs="Calibri"/>
                <w:b/>
                <w:bCs/>
                <w:color w:val="000000"/>
                <w:sz w:val="16"/>
                <w:szCs w:val="16"/>
                <w:lang w:eastAsia="hr-HR"/>
              </w:rPr>
            </w:pPr>
            <w:r w:rsidRPr="00315732">
              <w:rPr>
                <w:rFonts w:ascii="Calibri" w:eastAsia="Times New Roman" w:hAnsi="Calibri" w:cs="Calibri"/>
                <w:b/>
                <w:bCs/>
                <w:color w:val="000000"/>
                <w:sz w:val="16"/>
                <w:szCs w:val="16"/>
                <w:lang w:eastAsia="hr-HR"/>
              </w:rPr>
              <w:t>168.500</w:t>
            </w:r>
          </w:p>
        </w:tc>
        <w:tc>
          <w:tcPr>
            <w:tcW w:w="1044" w:type="dxa"/>
            <w:tcBorders>
              <w:top w:val="single" w:sz="8" w:space="0" w:color="auto"/>
              <w:left w:val="nil"/>
              <w:bottom w:val="single" w:sz="8" w:space="0" w:color="auto"/>
              <w:right w:val="single" w:sz="4" w:space="0" w:color="auto"/>
            </w:tcBorders>
            <w:shd w:val="clear" w:color="auto" w:fill="auto"/>
            <w:noWrap/>
            <w:vAlign w:val="center"/>
            <w:hideMark/>
          </w:tcPr>
          <w:p w14:paraId="447F19AE" w14:textId="77777777" w:rsidR="005D4437" w:rsidRPr="00315732" w:rsidRDefault="005D4437" w:rsidP="005D4437">
            <w:pPr>
              <w:spacing w:after="0" w:line="240" w:lineRule="auto"/>
              <w:jc w:val="center"/>
              <w:rPr>
                <w:rFonts w:ascii="Calibri" w:eastAsia="Times New Roman" w:hAnsi="Calibri" w:cs="Calibri"/>
                <w:b/>
                <w:bCs/>
                <w:color w:val="000000"/>
                <w:sz w:val="16"/>
                <w:szCs w:val="16"/>
                <w:lang w:eastAsia="hr-HR"/>
              </w:rPr>
            </w:pPr>
            <w:r w:rsidRPr="00315732">
              <w:rPr>
                <w:rFonts w:ascii="Calibri" w:eastAsia="Times New Roman" w:hAnsi="Calibri" w:cs="Calibri"/>
                <w:b/>
                <w:bCs/>
                <w:color w:val="000000"/>
                <w:sz w:val="16"/>
                <w:szCs w:val="16"/>
                <w:lang w:eastAsia="hr-HR"/>
              </w:rPr>
              <w:t>1.008.308</w:t>
            </w:r>
          </w:p>
        </w:tc>
        <w:tc>
          <w:tcPr>
            <w:tcW w:w="1052" w:type="dxa"/>
            <w:tcBorders>
              <w:top w:val="single" w:sz="8" w:space="0" w:color="auto"/>
              <w:left w:val="nil"/>
              <w:bottom w:val="single" w:sz="8" w:space="0" w:color="auto"/>
              <w:right w:val="single" w:sz="4" w:space="0" w:color="auto"/>
            </w:tcBorders>
            <w:shd w:val="clear" w:color="auto" w:fill="auto"/>
            <w:noWrap/>
            <w:vAlign w:val="center"/>
            <w:hideMark/>
          </w:tcPr>
          <w:p w14:paraId="5B0908F1" w14:textId="77777777" w:rsidR="005D4437" w:rsidRPr="00315732" w:rsidRDefault="005D4437" w:rsidP="005D4437">
            <w:pPr>
              <w:spacing w:after="0" w:line="240" w:lineRule="auto"/>
              <w:jc w:val="center"/>
              <w:rPr>
                <w:rFonts w:ascii="Calibri" w:eastAsia="Times New Roman" w:hAnsi="Calibri" w:cs="Calibri"/>
                <w:b/>
                <w:bCs/>
                <w:color w:val="000000"/>
                <w:sz w:val="16"/>
                <w:szCs w:val="16"/>
                <w:lang w:eastAsia="hr-HR"/>
              </w:rPr>
            </w:pPr>
            <w:r w:rsidRPr="00315732">
              <w:rPr>
                <w:rFonts w:ascii="Calibri" w:eastAsia="Times New Roman" w:hAnsi="Calibri" w:cs="Calibri"/>
                <w:b/>
                <w:bCs/>
                <w:color w:val="000000"/>
                <w:sz w:val="16"/>
                <w:szCs w:val="16"/>
                <w:lang w:eastAsia="hr-HR"/>
              </w:rPr>
              <w:t>249.855</w:t>
            </w:r>
          </w:p>
        </w:tc>
        <w:tc>
          <w:tcPr>
            <w:tcW w:w="1359" w:type="dxa"/>
            <w:tcBorders>
              <w:top w:val="single" w:sz="8" w:space="0" w:color="auto"/>
              <w:left w:val="nil"/>
              <w:bottom w:val="single" w:sz="8" w:space="0" w:color="auto"/>
              <w:right w:val="single" w:sz="4" w:space="0" w:color="auto"/>
            </w:tcBorders>
            <w:shd w:val="clear" w:color="auto" w:fill="auto"/>
            <w:noWrap/>
            <w:vAlign w:val="center"/>
            <w:hideMark/>
          </w:tcPr>
          <w:p w14:paraId="04A8F280" w14:textId="1525705F" w:rsidR="005D4437" w:rsidRPr="00315732" w:rsidRDefault="005D4437" w:rsidP="005D4437">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1.249.274.118,14</w:t>
            </w:r>
          </w:p>
        </w:tc>
        <w:tc>
          <w:tcPr>
            <w:tcW w:w="1235" w:type="dxa"/>
            <w:tcBorders>
              <w:top w:val="single" w:sz="4" w:space="0" w:color="auto"/>
              <w:left w:val="nil"/>
              <w:bottom w:val="single" w:sz="4" w:space="0" w:color="auto"/>
              <w:right w:val="single" w:sz="4" w:space="0" w:color="auto"/>
            </w:tcBorders>
          </w:tcPr>
          <w:p w14:paraId="338CF982" w14:textId="34E52037" w:rsidR="005D4437" w:rsidRDefault="005D4437" w:rsidP="005D4437">
            <w:pPr>
              <w:spacing w:after="0" w:line="240" w:lineRule="auto"/>
              <w:jc w:val="center"/>
              <w:rPr>
                <w:rFonts w:ascii="Calibri" w:eastAsia="Times New Roman" w:hAnsi="Calibri" w:cs="Calibri"/>
                <w:b/>
                <w:bCs/>
                <w:color w:val="000000"/>
                <w:sz w:val="16"/>
                <w:szCs w:val="16"/>
                <w:lang w:eastAsia="hr-HR"/>
              </w:rPr>
            </w:pPr>
            <w:r w:rsidRPr="00FF7D8D">
              <w:rPr>
                <w:rFonts w:ascii="Calibri" w:eastAsia="Times New Roman" w:hAnsi="Calibri" w:cs="Calibri"/>
                <w:b/>
                <w:bCs/>
                <w:color w:val="000000"/>
                <w:sz w:val="16"/>
                <w:szCs w:val="16"/>
                <w:lang w:eastAsia="hr-HR"/>
              </w:rPr>
              <w:t>165.807.169,44</w:t>
            </w:r>
          </w:p>
        </w:tc>
        <w:tc>
          <w:tcPr>
            <w:tcW w:w="1235"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06BD005" w14:textId="02B6A2B7" w:rsidR="005D4437" w:rsidRPr="00315732" w:rsidRDefault="005D4437" w:rsidP="005D4437">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131.250.000,00</w:t>
            </w:r>
          </w:p>
        </w:tc>
        <w:tc>
          <w:tcPr>
            <w:tcW w:w="1288" w:type="dxa"/>
            <w:tcBorders>
              <w:top w:val="single" w:sz="8" w:space="0" w:color="auto"/>
              <w:left w:val="single" w:sz="4" w:space="0" w:color="auto"/>
              <w:bottom w:val="single" w:sz="8" w:space="0" w:color="auto"/>
              <w:right w:val="single" w:sz="8" w:space="0" w:color="auto"/>
            </w:tcBorders>
          </w:tcPr>
          <w:p w14:paraId="2D6EA270" w14:textId="32632C11" w:rsidR="005D4437" w:rsidRDefault="00A82100" w:rsidP="005D4437">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17.419.868,60</w:t>
            </w:r>
          </w:p>
        </w:tc>
      </w:tr>
      <w:tr w:rsidR="005D4437" w:rsidRPr="00315732" w14:paraId="41578F04" w14:textId="085A7A22" w:rsidTr="00BB2706">
        <w:trPr>
          <w:trHeight w:val="170"/>
        </w:trPr>
        <w:tc>
          <w:tcPr>
            <w:tcW w:w="1711" w:type="dxa"/>
            <w:tcBorders>
              <w:top w:val="nil"/>
              <w:left w:val="nil"/>
              <w:bottom w:val="nil"/>
              <w:right w:val="nil"/>
            </w:tcBorders>
            <w:shd w:val="clear" w:color="auto" w:fill="auto"/>
            <w:noWrap/>
            <w:vAlign w:val="bottom"/>
            <w:hideMark/>
          </w:tcPr>
          <w:p w14:paraId="746F9C41" w14:textId="77777777" w:rsidR="005D4437" w:rsidRPr="00315732" w:rsidRDefault="005D4437" w:rsidP="005D4437">
            <w:pPr>
              <w:spacing w:after="0" w:line="240" w:lineRule="auto"/>
              <w:jc w:val="center"/>
              <w:rPr>
                <w:rFonts w:ascii="Calibri" w:eastAsia="Times New Roman" w:hAnsi="Calibri" w:cs="Calibri"/>
                <w:b/>
                <w:bCs/>
                <w:color w:val="000000"/>
                <w:sz w:val="16"/>
                <w:szCs w:val="16"/>
                <w:lang w:eastAsia="hr-HR"/>
              </w:rPr>
            </w:pPr>
          </w:p>
        </w:tc>
        <w:tc>
          <w:tcPr>
            <w:tcW w:w="951" w:type="dxa"/>
            <w:tcBorders>
              <w:top w:val="nil"/>
              <w:left w:val="nil"/>
              <w:bottom w:val="nil"/>
              <w:right w:val="nil"/>
            </w:tcBorders>
            <w:shd w:val="clear" w:color="auto" w:fill="auto"/>
            <w:noWrap/>
            <w:vAlign w:val="bottom"/>
            <w:hideMark/>
          </w:tcPr>
          <w:p w14:paraId="78CA726E" w14:textId="77777777" w:rsidR="005D4437" w:rsidRPr="00315732" w:rsidRDefault="005D4437" w:rsidP="005D4437">
            <w:pPr>
              <w:spacing w:after="0" w:line="240" w:lineRule="auto"/>
              <w:rPr>
                <w:rFonts w:ascii="Times New Roman" w:eastAsia="Times New Roman" w:hAnsi="Times New Roman" w:cs="Times New Roman"/>
                <w:sz w:val="20"/>
                <w:szCs w:val="20"/>
                <w:lang w:eastAsia="hr-HR"/>
              </w:rPr>
            </w:pPr>
          </w:p>
        </w:tc>
        <w:tc>
          <w:tcPr>
            <w:tcW w:w="774" w:type="dxa"/>
            <w:tcBorders>
              <w:top w:val="nil"/>
              <w:left w:val="nil"/>
              <w:bottom w:val="nil"/>
              <w:right w:val="nil"/>
            </w:tcBorders>
            <w:shd w:val="clear" w:color="auto" w:fill="auto"/>
            <w:noWrap/>
            <w:vAlign w:val="bottom"/>
            <w:hideMark/>
          </w:tcPr>
          <w:p w14:paraId="0994D9E1" w14:textId="77777777" w:rsidR="005D4437" w:rsidRPr="00315732" w:rsidRDefault="005D4437" w:rsidP="005D4437">
            <w:pPr>
              <w:spacing w:after="0" w:line="240" w:lineRule="auto"/>
              <w:rPr>
                <w:rFonts w:ascii="Times New Roman" w:eastAsia="Times New Roman" w:hAnsi="Times New Roman" w:cs="Times New Roman"/>
                <w:sz w:val="20"/>
                <w:szCs w:val="20"/>
                <w:lang w:eastAsia="hr-HR"/>
              </w:rPr>
            </w:pPr>
          </w:p>
        </w:tc>
        <w:tc>
          <w:tcPr>
            <w:tcW w:w="1089" w:type="dxa"/>
            <w:tcBorders>
              <w:top w:val="nil"/>
              <w:left w:val="nil"/>
              <w:bottom w:val="nil"/>
              <w:right w:val="nil"/>
            </w:tcBorders>
            <w:shd w:val="clear" w:color="auto" w:fill="auto"/>
            <w:noWrap/>
            <w:vAlign w:val="bottom"/>
            <w:hideMark/>
          </w:tcPr>
          <w:p w14:paraId="2E774037" w14:textId="77777777" w:rsidR="005D4437" w:rsidRPr="00315732" w:rsidRDefault="005D4437" w:rsidP="005D4437">
            <w:pPr>
              <w:spacing w:after="0" w:line="240" w:lineRule="auto"/>
              <w:rPr>
                <w:rFonts w:ascii="Times New Roman" w:eastAsia="Times New Roman" w:hAnsi="Times New Roman" w:cs="Times New Roman"/>
                <w:sz w:val="20"/>
                <w:szCs w:val="20"/>
                <w:lang w:eastAsia="hr-HR"/>
              </w:rPr>
            </w:pPr>
          </w:p>
        </w:tc>
        <w:tc>
          <w:tcPr>
            <w:tcW w:w="1002" w:type="dxa"/>
            <w:tcBorders>
              <w:top w:val="nil"/>
              <w:left w:val="nil"/>
              <w:bottom w:val="nil"/>
              <w:right w:val="nil"/>
            </w:tcBorders>
            <w:shd w:val="clear" w:color="auto" w:fill="auto"/>
            <w:noWrap/>
            <w:vAlign w:val="bottom"/>
            <w:hideMark/>
          </w:tcPr>
          <w:p w14:paraId="2FE74FA7" w14:textId="77777777" w:rsidR="005D4437" w:rsidRPr="00315732" w:rsidRDefault="005D4437" w:rsidP="005D4437">
            <w:pPr>
              <w:spacing w:after="0" w:line="240" w:lineRule="auto"/>
              <w:rPr>
                <w:rFonts w:ascii="Times New Roman" w:eastAsia="Times New Roman" w:hAnsi="Times New Roman" w:cs="Times New Roman"/>
                <w:sz w:val="20"/>
                <w:szCs w:val="20"/>
                <w:lang w:eastAsia="hr-HR"/>
              </w:rPr>
            </w:pPr>
          </w:p>
        </w:tc>
        <w:tc>
          <w:tcPr>
            <w:tcW w:w="730" w:type="dxa"/>
            <w:tcBorders>
              <w:top w:val="nil"/>
              <w:left w:val="nil"/>
              <w:bottom w:val="nil"/>
              <w:right w:val="nil"/>
            </w:tcBorders>
            <w:shd w:val="clear" w:color="auto" w:fill="auto"/>
            <w:noWrap/>
            <w:vAlign w:val="bottom"/>
            <w:hideMark/>
          </w:tcPr>
          <w:p w14:paraId="57E7930E" w14:textId="77777777" w:rsidR="005D4437" w:rsidRPr="00315732" w:rsidRDefault="005D4437" w:rsidP="005D4437">
            <w:pPr>
              <w:spacing w:after="0" w:line="240" w:lineRule="auto"/>
              <w:jc w:val="center"/>
              <w:rPr>
                <w:rFonts w:ascii="Times New Roman" w:eastAsia="Times New Roman" w:hAnsi="Times New Roman" w:cs="Times New Roman"/>
                <w:sz w:val="20"/>
                <w:szCs w:val="20"/>
                <w:lang w:eastAsia="hr-HR"/>
              </w:rPr>
            </w:pPr>
          </w:p>
        </w:tc>
        <w:tc>
          <w:tcPr>
            <w:tcW w:w="978" w:type="dxa"/>
            <w:tcBorders>
              <w:top w:val="nil"/>
              <w:left w:val="nil"/>
              <w:bottom w:val="nil"/>
              <w:right w:val="nil"/>
            </w:tcBorders>
            <w:shd w:val="clear" w:color="auto" w:fill="auto"/>
            <w:noWrap/>
            <w:vAlign w:val="bottom"/>
            <w:hideMark/>
          </w:tcPr>
          <w:p w14:paraId="6A0174AC" w14:textId="77777777" w:rsidR="005D4437" w:rsidRPr="00315732" w:rsidRDefault="005D4437" w:rsidP="005D4437">
            <w:pPr>
              <w:spacing w:after="0" w:line="240" w:lineRule="auto"/>
              <w:jc w:val="center"/>
              <w:rPr>
                <w:rFonts w:ascii="Times New Roman" w:eastAsia="Times New Roman" w:hAnsi="Times New Roman" w:cs="Times New Roman"/>
                <w:sz w:val="20"/>
                <w:szCs w:val="20"/>
                <w:lang w:eastAsia="hr-HR"/>
              </w:rPr>
            </w:pPr>
          </w:p>
        </w:tc>
        <w:tc>
          <w:tcPr>
            <w:tcW w:w="1044" w:type="dxa"/>
            <w:tcBorders>
              <w:top w:val="nil"/>
              <w:left w:val="nil"/>
              <w:bottom w:val="nil"/>
              <w:right w:val="nil"/>
            </w:tcBorders>
            <w:shd w:val="clear" w:color="auto" w:fill="auto"/>
            <w:noWrap/>
            <w:vAlign w:val="bottom"/>
            <w:hideMark/>
          </w:tcPr>
          <w:p w14:paraId="54E5DC99" w14:textId="77777777" w:rsidR="005D4437" w:rsidRPr="00315732" w:rsidRDefault="005D4437" w:rsidP="005D4437">
            <w:pPr>
              <w:spacing w:after="0" w:line="240" w:lineRule="auto"/>
              <w:jc w:val="center"/>
              <w:rPr>
                <w:rFonts w:ascii="Times New Roman" w:eastAsia="Times New Roman" w:hAnsi="Times New Roman" w:cs="Times New Roman"/>
                <w:sz w:val="20"/>
                <w:szCs w:val="20"/>
                <w:lang w:eastAsia="hr-HR"/>
              </w:rPr>
            </w:pPr>
          </w:p>
        </w:tc>
        <w:tc>
          <w:tcPr>
            <w:tcW w:w="1044" w:type="dxa"/>
            <w:tcBorders>
              <w:top w:val="nil"/>
              <w:left w:val="nil"/>
              <w:bottom w:val="nil"/>
              <w:right w:val="nil"/>
            </w:tcBorders>
            <w:shd w:val="clear" w:color="auto" w:fill="auto"/>
            <w:noWrap/>
            <w:vAlign w:val="bottom"/>
            <w:hideMark/>
          </w:tcPr>
          <w:p w14:paraId="114CCBED" w14:textId="77777777" w:rsidR="005D4437" w:rsidRPr="00315732" w:rsidRDefault="005D4437" w:rsidP="005D4437">
            <w:pPr>
              <w:spacing w:after="0" w:line="240" w:lineRule="auto"/>
              <w:jc w:val="center"/>
              <w:rPr>
                <w:rFonts w:ascii="Times New Roman" w:eastAsia="Times New Roman" w:hAnsi="Times New Roman" w:cs="Times New Roman"/>
                <w:sz w:val="20"/>
                <w:szCs w:val="20"/>
                <w:lang w:eastAsia="hr-HR"/>
              </w:rPr>
            </w:pPr>
          </w:p>
        </w:tc>
        <w:tc>
          <w:tcPr>
            <w:tcW w:w="1052" w:type="dxa"/>
            <w:tcBorders>
              <w:top w:val="nil"/>
              <w:left w:val="nil"/>
              <w:bottom w:val="nil"/>
              <w:right w:val="nil"/>
            </w:tcBorders>
            <w:shd w:val="clear" w:color="auto" w:fill="auto"/>
            <w:noWrap/>
            <w:vAlign w:val="bottom"/>
            <w:hideMark/>
          </w:tcPr>
          <w:p w14:paraId="4A37FD9E" w14:textId="77777777" w:rsidR="005D4437" w:rsidRPr="00315732" w:rsidRDefault="005D4437" w:rsidP="005D4437">
            <w:pPr>
              <w:spacing w:after="0" w:line="240" w:lineRule="auto"/>
              <w:jc w:val="center"/>
              <w:rPr>
                <w:rFonts w:ascii="Times New Roman" w:eastAsia="Times New Roman" w:hAnsi="Times New Roman" w:cs="Times New Roman"/>
                <w:sz w:val="20"/>
                <w:szCs w:val="20"/>
                <w:lang w:eastAsia="hr-HR"/>
              </w:rPr>
            </w:pPr>
          </w:p>
        </w:tc>
        <w:tc>
          <w:tcPr>
            <w:tcW w:w="5117" w:type="dxa"/>
            <w:gridSpan w:val="4"/>
            <w:tcBorders>
              <w:top w:val="single" w:sz="8" w:space="0" w:color="auto"/>
              <w:left w:val="single" w:sz="8" w:space="0" w:color="auto"/>
              <w:bottom w:val="single" w:sz="8" w:space="0" w:color="auto"/>
              <w:right w:val="single" w:sz="8" w:space="0" w:color="000000"/>
            </w:tcBorders>
          </w:tcPr>
          <w:p w14:paraId="120C1CDB" w14:textId="3E7C62BB" w:rsidR="005D4437" w:rsidRDefault="005D4437" w:rsidP="005D4437">
            <w:pPr>
              <w:spacing w:after="0" w:line="240" w:lineRule="auto"/>
              <w:jc w:val="center"/>
              <w:rPr>
                <w:rFonts w:ascii="Calibri" w:eastAsia="Times New Roman" w:hAnsi="Calibri" w:cs="Calibri"/>
                <w:b/>
                <w:bCs/>
                <w:color w:val="000000"/>
                <w:sz w:val="16"/>
                <w:szCs w:val="16"/>
                <w:lang w:eastAsia="hr-HR"/>
              </w:rPr>
            </w:pPr>
            <w:r w:rsidRPr="005D4437">
              <w:rPr>
                <w:rFonts w:ascii="Calibri" w:eastAsia="Times New Roman" w:hAnsi="Calibri" w:cs="Calibri"/>
                <w:b/>
                <w:bCs/>
                <w:color w:val="000000"/>
                <w:sz w:val="16"/>
                <w:szCs w:val="16"/>
                <w:lang w:eastAsia="hr-HR"/>
              </w:rPr>
              <w:t>183.227.038,04</w:t>
            </w:r>
            <w:r>
              <w:rPr>
                <w:rFonts w:ascii="Calibri" w:eastAsia="Times New Roman" w:hAnsi="Calibri" w:cs="Calibri"/>
                <w:b/>
                <w:bCs/>
                <w:color w:val="000000"/>
                <w:sz w:val="16"/>
                <w:szCs w:val="16"/>
                <w:lang w:eastAsia="hr-HR"/>
              </w:rPr>
              <w:t xml:space="preserve"> EUR (1.380.524.118,14 kn)</w:t>
            </w:r>
          </w:p>
        </w:tc>
      </w:tr>
    </w:tbl>
    <w:p w14:paraId="551F1A2E" w14:textId="77777777" w:rsidR="00CC41BC" w:rsidRDefault="00CC41BC" w:rsidP="007A3BF2">
      <w:pPr>
        <w:rPr>
          <w:sz w:val="20"/>
          <w:szCs w:val="20"/>
        </w:rPr>
      </w:pPr>
    </w:p>
    <w:p w14:paraId="1022DA5E" w14:textId="77777777" w:rsidR="00C262BD" w:rsidRDefault="00C262BD" w:rsidP="007A3BF2">
      <w:pPr>
        <w:jc w:val="center"/>
        <w:rPr>
          <w:sz w:val="20"/>
          <w:szCs w:val="20"/>
        </w:rPr>
        <w:sectPr w:rsidR="00C262BD" w:rsidSect="00C262BD">
          <w:pgSz w:w="16838" w:h="11906" w:orient="landscape" w:code="9"/>
          <w:pgMar w:top="1440" w:right="1440" w:bottom="1416" w:left="1440" w:header="709" w:footer="709" w:gutter="0"/>
          <w:cols w:space="708"/>
          <w:docGrid w:linePitch="360"/>
        </w:sectPr>
      </w:pPr>
    </w:p>
    <w:p w14:paraId="45BF0FCC" w14:textId="3CC6CD71" w:rsidR="007A3BF2" w:rsidRDefault="007A3BF2" w:rsidP="007A3BF2">
      <w:pPr>
        <w:jc w:val="center"/>
        <w:rPr>
          <w:sz w:val="20"/>
          <w:szCs w:val="20"/>
        </w:rPr>
      </w:pPr>
    </w:p>
    <w:p w14:paraId="48BAF08E" w14:textId="7D752541" w:rsidR="00E02C0D" w:rsidRDefault="00E02C0D" w:rsidP="00E02C0D">
      <w:pPr>
        <w:pStyle w:val="Slika"/>
      </w:pPr>
      <w:bookmarkStart w:id="242" w:name="_Ref116284623"/>
      <w:bookmarkStart w:id="243" w:name="_Toc125363973"/>
      <w:r w:rsidRPr="007A3BF2">
        <w:t xml:space="preserve">Slika </w:t>
      </w:r>
      <w:fldSimple w:instr=" SEQ Slika \* ARABIC ">
        <w:r w:rsidR="00F37B62">
          <w:rPr>
            <w:noProof/>
          </w:rPr>
          <w:t>65</w:t>
        </w:r>
      </w:fldSimple>
      <w:bookmarkEnd w:id="242"/>
      <w:r w:rsidRPr="007A3BF2">
        <w:t xml:space="preserve">. </w:t>
      </w:r>
      <w:r w:rsidRPr="007A3BF2">
        <w:rPr>
          <w:b w:val="0"/>
          <w:bCs/>
        </w:rPr>
        <w:t xml:space="preserve">Ukupni potrebni kapaciteti </w:t>
      </w:r>
      <w:proofErr w:type="spellStart"/>
      <w:r w:rsidRPr="007A3BF2">
        <w:rPr>
          <w:b w:val="0"/>
          <w:bCs/>
        </w:rPr>
        <w:t>kompostana</w:t>
      </w:r>
      <w:proofErr w:type="spellEnd"/>
      <w:r w:rsidRPr="007A3BF2">
        <w:rPr>
          <w:b w:val="0"/>
          <w:bCs/>
        </w:rPr>
        <w:t xml:space="preserve"> i bioplinskih postrojenja u 2028. godini – SCENARIJ 1</w:t>
      </w:r>
      <w:bookmarkEnd w:id="243"/>
    </w:p>
    <w:p w14:paraId="35729101" w14:textId="05FE1A43" w:rsidR="00DB7B8A" w:rsidRPr="00B96E66" w:rsidRDefault="00DB7B8A" w:rsidP="00DB7B8A">
      <w:pPr>
        <w:pStyle w:val="Tablica"/>
      </w:pPr>
    </w:p>
    <w:p w14:paraId="5507542A" w14:textId="77777777" w:rsidR="006659D6" w:rsidRDefault="006659D6" w:rsidP="004B4A81">
      <w:pPr>
        <w:jc w:val="center"/>
        <w:rPr>
          <w:noProof/>
        </w:rPr>
        <w:sectPr w:rsidR="006659D6" w:rsidSect="009173E5">
          <w:pgSz w:w="11906" w:h="16838" w:code="9"/>
          <w:pgMar w:top="1440" w:right="1418" w:bottom="1440" w:left="1440" w:header="709" w:footer="709" w:gutter="0"/>
          <w:cols w:space="708"/>
          <w:docGrid w:linePitch="360"/>
        </w:sectPr>
      </w:pPr>
    </w:p>
    <w:p w14:paraId="413945D0" w14:textId="56FC02CD" w:rsidR="00E02C0D" w:rsidRPr="009105C7" w:rsidRDefault="009105C7" w:rsidP="00BB2706">
      <w:pPr>
        <w:pStyle w:val="Tablica"/>
        <w:rPr>
          <w:noProof/>
        </w:rPr>
      </w:pPr>
      <w:bookmarkStart w:id="244" w:name="_Ref115435283"/>
      <w:bookmarkStart w:id="245" w:name="_Toc125364424"/>
      <w:r w:rsidRPr="009105C7">
        <w:lastRenderedPageBreak/>
        <w:t xml:space="preserve">Tablica </w:t>
      </w:r>
      <w:fldSimple w:instr=" SEQ Tablica \* ARABIC ">
        <w:r w:rsidR="00F37B62">
          <w:rPr>
            <w:noProof/>
          </w:rPr>
          <w:t>35</w:t>
        </w:r>
      </w:fldSimple>
      <w:bookmarkEnd w:id="244"/>
      <w:r w:rsidRPr="009105C7">
        <w:t xml:space="preserve">. </w:t>
      </w:r>
      <w:r w:rsidRPr="00BB2706">
        <w:rPr>
          <w:b w:val="0"/>
        </w:rPr>
        <w:t xml:space="preserve">Ukupni potrebni kapaciteti </w:t>
      </w:r>
      <w:proofErr w:type="spellStart"/>
      <w:r w:rsidRPr="00BB2706">
        <w:rPr>
          <w:b w:val="0"/>
        </w:rPr>
        <w:t>kompostana</w:t>
      </w:r>
      <w:proofErr w:type="spellEnd"/>
      <w:r w:rsidRPr="00BB2706">
        <w:rPr>
          <w:b w:val="0"/>
        </w:rPr>
        <w:t xml:space="preserve"> i bioplinskih postrojenja u 2028. godini – SCENARIJ 2</w:t>
      </w:r>
      <w:bookmarkEnd w:id="245"/>
    </w:p>
    <w:tbl>
      <w:tblPr>
        <w:tblW w:w="15145" w:type="dxa"/>
        <w:tblInd w:w="-430" w:type="dxa"/>
        <w:tblLook w:val="04A0" w:firstRow="1" w:lastRow="0" w:firstColumn="1" w:lastColumn="0" w:noHBand="0" w:noVBand="1"/>
      </w:tblPr>
      <w:tblGrid>
        <w:gridCol w:w="1598"/>
        <w:gridCol w:w="902"/>
        <w:gridCol w:w="819"/>
        <w:gridCol w:w="1044"/>
        <w:gridCol w:w="978"/>
        <w:gridCol w:w="730"/>
        <w:gridCol w:w="978"/>
        <w:gridCol w:w="1044"/>
        <w:gridCol w:w="1044"/>
        <w:gridCol w:w="1056"/>
        <w:gridCol w:w="1156"/>
        <w:gridCol w:w="1235"/>
        <w:gridCol w:w="1306"/>
        <w:gridCol w:w="1255"/>
      </w:tblGrid>
      <w:tr w:rsidR="00756255" w:rsidRPr="00FB7CFE" w14:paraId="3ABEF392" w14:textId="77777777" w:rsidTr="00756255">
        <w:trPr>
          <w:trHeight w:val="270"/>
        </w:trPr>
        <w:tc>
          <w:tcPr>
            <w:tcW w:w="15145" w:type="dxa"/>
            <w:gridSpan w:val="14"/>
            <w:tcBorders>
              <w:top w:val="single" w:sz="8" w:space="0" w:color="auto"/>
              <w:left w:val="single" w:sz="8" w:space="0" w:color="auto"/>
              <w:bottom w:val="single" w:sz="8" w:space="0" w:color="auto"/>
              <w:right w:val="single" w:sz="8" w:space="0" w:color="000000"/>
            </w:tcBorders>
          </w:tcPr>
          <w:p w14:paraId="63908804" w14:textId="1483E883" w:rsidR="00756255" w:rsidRPr="00FB7CFE" w:rsidRDefault="00756255" w:rsidP="00CC41BC">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 xml:space="preserve">2028.- </w:t>
            </w:r>
            <w:proofErr w:type="spellStart"/>
            <w:r w:rsidRPr="00FB7CFE">
              <w:rPr>
                <w:rFonts w:ascii="Calibri" w:eastAsia="Times New Roman" w:hAnsi="Calibri" w:cs="Calibri"/>
                <w:b/>
                <w:bCs/>
                <w:color w:val="000000"/>
                <w:sz w:val="16"/>
                <w:szCs w:val="16"/>
                <w:lang w:eastAsia="hr-HR"/>
              </w:rPr>
              <w:t>Kompostane</w:t>
            </w:r>
            <w:proofErr w:type="spellEnd"/>
            <w:r w:rsidRPr="00FB7CFE">
              <w:rPr>
                <w:rFonts w:ascii="Calibri" w:eastAsia="Times New Roman" w:hAnsi="Calibri" w:cs="Calibri"/>
                <w:b/>
                <w:bCs/>
                <w:color w:val="000000"/>
                <w:sz w:val="16"/>
                <w:szCs w:val="16"/>
                <w:lang w:eastAsia="hr-HR"/>
              </w:rPr>
              <w:t xml:space="preserve"> i bioplinska postrojenja</w:t>
            </w:r>
          </w:p>
        </w:tc>
      </w:tr>
      <w:tr w:rsidR="00280EDD" w:rsidRPr="00FB7CFE" w14:paraId="7829DE48" w14:textId="5933FC1D" w:rsidTr="00756255">
        <w:trPr>
          <w:trHeight w:val="1350"/>
        </w:trPr>
        <w:tc>
          <w:tcPr>
            <w:tcW w:w="1598" w:type="dxa"/>
            <w:tcBorders>
              <w:top w:val="nil"/>
              <w:left w:val="single" w:sz="8" w:space="0" w:color="auto"/>
              <w:bottom w:val="single" w:sz="8" w:space="0" w:color="auto"/>
              <w:right w:val="single" w:sz="4" w:space="0" w:color="auto"/>
            </w:tcBorders>
            <w:shd w:val="clear" w:color="auto" w:fill="002060"/>
            <w:noWrap/>
            <w:vAlign w:val="center"/>
            <w:hideMark/>
          </w:tcPr>
          <w:p w14:paraId="4A92F404" w14:textId="77777777" w:rsidR="005D4437" w:rsidRPr="00FB7CFE" w:rsidRDefault="005D4437"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Županija</w:t>
            </w:r>
          </w:p>
        </w:tc>
        <w:tc>
          <w:tcPr>
            <w:tcW w:w="902" w:type="dxa"/>
            <w:tcBorders>
              <w:top w:val="nil"/>
              <w:left w:val="nil"/>
              <w:bottom w:val="single" w:sz="8" w:space="0" w:color="auto"/>
              <w:right w:val="single" w:sz="4" w:space="0" w:color="auto"/>
            </w:tcBorders>
            <w:shd w:val="clear" w:color="auto" w:fill="002060"/>
            <w:vAlign w:val="center"/>
            <w:hideMark/>
          </w:tcPr>
          <w:p w14:paraId="02A81E57" w14:textId="77777777" w:rsidR="005D4437" w:rsidRPr="00FB7CFE" w:rsidRDefault="005D4437"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Udio županije u ukupno skupljenoj količini KO</w:t>
            </w:r>
          </w:p>
        </w:tc>
        <w:tc>
          <w:tcPr>
            <w:tcW w:w="819" w:type="dxa"/>
            <w:tcBorders>
              <w:top w:val="nil"/>
              <w:left w:val="nil"/>
              <w:bottom w:val="single" w:sz="8" w:space="0" w:color="auto"/>
              <w:right w:val="single" w:sz="4" w:space="0" w:color="auto"/>
            </w:tcBorders>
            <w:shd w:val="clear" w:color="auto" w:fill="002060"/>
            <w:vAlign w:val="center"/>
            <w:hideMark/>
          </w:tcPr>
          <w:p w14:paraId="06A09DC4" w14:textId="77777777" w:rsidR="005D4437" w:rsidRPr="00FB7CFE" w:rsidRDefault="005D4437"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Ulaz u biološku obradu</w:t>
            </w:r>
            <w:r w:rsidRPr="00FB7CFE">
              <w:rPr>
                <w:rFonts w:ascii="Calibri" w:eastAsia="Times New Roman" w:hAnsi="Calibri" w:cs="Calibri"/>
                <w:b/>
                <w:color w:val="FFFFFF" w:themeColor="background1"/>
                <w:sz w:val="16"/>
                <w:szCs w:val="16"/>
                <w:lang w:eastAsia="hr-HR"/>
              </w:rPr>
              <w:br/>
              <w:t>(t)</w:t>
            </w:r>
          </w:p>
        </w:tc>
        <w:tc>
          <w:tcPr>
            <w:tcW w:w="1044" w:type="dxa"/>
            <w:tcBorders>
              <w:top w:val="nil"/>
              <w:left w:val="nil"/>
              <w:bottom w:val="single" w:sz="8" w:space="0" w:color="auto"/>
              <w:right w:val="single" w:sz="4" w:space="0" w:color="auto"/>
            </w:tcBorders>
            <w:shd w:val="clear" w:color="auto" w:fill="002060"/>
            <w:vAlign w:val="center"/>
            <w:hideMark/>
          </w:tcPr>
          <w:p w14:paraId="5AD1177C" w14:textId="77777777" w:rsidR="005D4437" w:rsidRPr="00FB7CFE" w:rsidRDefault="005D4437"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 xml:space="preserve">Ukupni potrebni kapacitet </w:t>
            </w:r>
            <w:proofErr w:type="spellStart"/>
            <w:r w:rsidRPr="00FB7CFE">
              <w:rPr>
                <w:rFonts w:ascii="Calibri" w:eastAsia="Times New Roman" w:hAnsi="Calibri" w:cs="Calibri"/>
                <w:b/>
                <w:color w:val="FFFFFF" w:themeColor="background1"/>
                <w:sz w:val="16"/>
                <w:szCs w:val="16"/>
                <w:lang w:eastAsia="hr-HR"/>
              </w:rPr>
              <w:t>kompostana</w:t>
            </w:r>
            <w:proofErr w:type="spellEnd"/>
            <w:r w:rsidRPr="00FB7CFE">
              <w:rPr>
                <w:rFonts w:ascii="Calibri" w:eastAsia="Times New Roman" w:hAnsi="Calibri" w:cs="Calibri"/>
                <w:b/>
                <w:color w:val="FFFFFF" w:themeColor="background1"/>
                <w:sz w:val="16"/>
                <w:szCs w:val="16"/>
                <w:lang w:eastAsia="hr-HR"/>
              </w:rPr>
              <w:t xml:space="preserve"> i bioplinskih postrojenja za biološku obradu (t/god)</w:t>
            </w:r>
          </w:p>
        </w:tc>
        <w:tc>
          <w:tcPr>
            <w:tcW w:w="978" w:type="dxa"/>
            <w:tcBorders>
              <w:top w:val="nil"/>
              <w:left w:val="nil"/>
              <w:bottom w:val="single" w:sz="8" w:space="0" w:color="auto"/>
              <w:right w:val="nil"/>
            </w:tcBorders>
            <w:shd w:val="clear" w:color="auto" w:fill="002060"/>
            <w:vAlign w:val="center"/>
            <w:hideMark/>
          </w:tcPr>
          <w:p w14:paraId="227ED21F" w14:textId="77777777" w:rsidR="005D4437" w:rsidRPr="00FB7CFE" w:rsidRDefault="005D4437"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Broj bioplinskih postrojenja</w:t>
            </w:r>
          </w:p>
        </w:tc>
        <w:tc>
          <w:tcPr>
            <w:tcW w:w="730" w:type="dxa"/>
            <w:tcBorders>
              <w:top w:val="nil"/>
              <w:left w:val="single" w:sz="4" w:space="0" w:color="auto"/>
              <w:bottom w:val="single" w:sz="8" w:space="0" w:color="auto"/>
              <w:right w:val="nil"/>
            </w:tcBorders>
            <w:shd w:val="clear" w:color="auto" w:fill="002060"/>
            <w:vAlign w:val="center"/>
            <w:hideMark/>
          </w:tcPr>
          <w:p w14:paraId="764FB0E5" w14:textId="62235431" w:rsidR="005D4437" w:rsidRPr="00FB7CFE" w:rsidRDefault="005D4437"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Broj kompo</w:t>
            </w:r>
            <w:r>
              <w:rPr>
                <w:rFonts w:ascii="Calibri" w:eastAsia="Times New Roman" w:hAnsi="Calibri" w:cs="Calibri"/>
                <w:b/>
                <w:color w:val="FFFFFF" w:themeColor="background1"/>
                <w:sz w:val="16"/>
                <w:szCs w:val="16"/>
                <w:lang w:eastAsia="hr-HR"/>
              </w:rPr>
              <w:t>-</w:t>
            </w:r>
            <w:r w:rsidRPr="00FB7CFE">
              <w:rPr>
                <w:rFonts w:ascii="Calibri" w:eastAsia="Times New Roman" w:hAnsi="Calibri" w:cs="Calibri"/>
                <w:b/>
                <w:color w:val="FFFFFF" w:themeColor="background1"/>
                <w:sz w:val="16"/>
                <w:szCs w:val="16"/>
                <w:lang w:eastAsia="hr-HR"/>
              </w:rPr>
              <w:t>stana</w:t>
            </w:r>
          </w:p>
        </w:tc>
        <w:tc>
          <w:tcPr>
            <w:tcW w:w="978" w:type="dxa"/>
            <w:tcBorders>
              <w:top w:val="nil"/>
              <w:left w:val="single" w:sz="4" w:space="0" w:color="auto"/>
              <w:bottom w:val="nil"/>
              <w:right w:val="nil"/>
            </w:tcBorders>
            <w:shd w:val="clear" w:color="auto" w:fill="002060"/>
            <w:vAlign w:val="center"/>
            <w:hideMark/>
          </w:tcPr>
          <w:p w14:paraId="6A4245E3" w14:textId="77777777" w:rsidR="005D4437" w:rsidRPr="00FB7CFE" w:rsidRDefault="005D4437"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Kapacitet postojećih bioplinskih postrojenja za biološku obradu (t/god)</w:t>
            </w:r>
          </w:p>
        </w:tc>
        <w:tc>
          <w:tcPr>
            <w:tcW w:w="1044" w:type="dxa"/>
            <w:tcBorders>
              <w:top w:val="nil"/>
              <w:left w:val="single" w:sz="4" w:space="0" w:color="auto"/>
              <w:bottom w:val="nil"/>
              <w:right w:val="nil"/>
            </w:tcBorders>
            <w:shd w:val="clear" w:color="auto" w:fill="002060"/>
            <w:vAlign w:val="center"/>
            <w:hideMark/>
          </w:tcPr>
          <w:p w14:paraId="0B8009AF" w14:textId="77777777" w:rsidR="005D4437" w:rsidRPr="00FB7CFE" w:rsidRDefault="005D4437"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 xml:space="preserve">Kapacitet postojećih </w:t>
            </w:r>
            <w:proofErr w:type="spellStart"/>
            <w:r w:rsidRPr="00FB7CFE">
              <w:rPr>
                <w:rFonts w:ascii="Calibri" w:eastAsia="Times New Roman" w:hAnsi="Calibri" w:cs="Calibri"/>
                <w:b/>
                <w:color w:val="FFFFFF" w:themeColor="background1"/>
                <w:sz w:val="16"/>
                <w:szCs w:val="16"/>
                <w:lang w:eastAsia="hr-HR"/>
              </w:rPr>
              <w:t>kompostana</w:t>
            </w:r>
            <w:proofErr w:type="spellEnd"/>
            <w:r w:rsidRPr="00FB7CFE">
              <w:rPr>
                <w:rFonts w:ascii="Calibri" w:eastAsia="Times New Roman" w:hAnsi="Calibri" w:cs="Calibri"/>
                <w:b/>
                <w:color w:val="FFFFFF" w:themeColor="background1"/>
                <w:sz w:val="16"/>
                <w:szCs w:val="16"/>
                <w:lang w:eastAsia="hr-HR"/>
              </w:rPr>
              <w:t xml:space="preserve"> za biološku obradu (t/god)</w:t>
            </w:r>
          </w:p>
        </w:tc>
        <w:tc>
          <w:tcPr>
            <w:tcW w:w="1044" w:type="dxa"/>
            <w:tcBorders>
              <w:top w:val="nil"/>
              <w:left w:val="single" w:sz="4" w:space="0" w:color="auto"/>
              <w:bottom w:val="single" w:sz="8" w:space="0" w:color="auto"/>
              <w:right w:val="nil"/>
            </w:tcBorders>
            <w:shd w:val="clear" w:color="auto" w:fill="002060"/>
            <w:vAlign w:val="center"/>
            <w:hideMark/>
          </w:tcPr>
          <w:p w14:paraId="4A00277C" w14:textId="77777777" w:rsidR="005D4437" w:rsidRPr="00FB7CFE" w:rsidRDefault="005D4437"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 xml:space="preserve">Ukupni postojeći kapacitet bioplinskih postrojenja i </w:t>
            </w:r>
            <w:proofErr w:type="spellStart"/>
            <w:r w:rsidRPr="00FB7CFE">
              <w:rPr>
                <w:rFonts w:ascii="Calibri" w:eastAsia="Times New Roman" w:hAnsi="Calibri" w:cs="Calibri"/>
                <w:b/>
                <w:color w:val="FFFFFF" w:themeColor="background1"/>
                <w:sz w:val="16"/>
                <w:szCs w:val="16"/>
                <w:lang w:eastAsia="hr-HR"/>
              </w:rPr>
              <w:t>kompostana</w:t>
            </w:r>
            <w:proofErr w:type="spellEnd"/>
            <w:r w:rsidRPr="00FB7CFE">
              <w:rPr>
                <w:rFonts w:ascii="Calibri" w:eastAsia="Times New Roman" w:hAnsi="Calibri" w:cs="Calibri"/>
                <w:b/>
                <w:color w:val="FFFFFF" w:themeColor="background1"/>
                <w:sz w:val="16"/>
                <w:szCs w:val="16"/>
                <w:lang w:eastAsia="hr-HR"/>
              </w:rPr>
              <w:t xml:space="preserve"> za biološku obradu</w:t>
            </w:r>
            <w:r w:rsidRPr="00FB7CFE">
              <w:rPr>
                <w:rFonts w:ascii="Calibri" w:eastAsia="Times New Roman" w:hAnsi="Calibri" w:cs="Calibri"/>
                <w:b/>
                <w:color w:val="FFFFFF" w:themeColor="background1"/>
                <w:sz w:val="16"/>
                <w:szCs w:val="16"/>
                <w:lang w:eastAsia="hr-HR"/>
              </w:rPr>
              <w:br/>
              <w:t>(t/god)</w:t>
            </w:r>
          </w:p>
        </w:tc>
        <w:tc>
          <w:tcPr>
            <w:tcW w:w="1056" w:type="dxa"/>
            <w:tcBorders>
              <w:top w:val="nil"/>
              <w:left w:val="single" w:sz="4" w:space="0" w:color="auto"/>
              <w:bottom w:val="single" w:sz="8" w:space="0" w:color="auto"/>
              <w:right w:val="nil"/>
            </w:tcBorders>
            <w:shd w:val="clear" w:color="auto" w:fill="002060"/>
            <w:vAlign w:val="center"/>
            <w:hideMark/>
          </w:tcPr>
          <w:p w14:paraId="02F7A0A2" w14:textId="77777777" w:rsidR="005D4437" w:rsidRPr="00FB7CFE" w:rsidRDefault="005D4437"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 xml:space="preserve">Potrebni dodatni kapacitet  </w:t>
            </w:r>
            <w:proofErr w:type="spellStart"/>
            <w:r w:rsidRPr="00FB7CFE">
              <w:rPr>
                <w:rFonts w:ascii="Calibri" w:eastAsia="Times New Roman" w:hAnsi="Calibri" w:cs="Calibri"/>
                <w:b/>
                <w:color w:val="FFFFFF" w:themeColor="background1"/>
                <w:sz w:val="16"/>
                <w:szCs w:val="16"/>
                <w:lang w:eastAsia="hr-HR"/>
              </w:rPr>
              <w:t>kompostana</w:t>
            </w:r>
            <w:proofErr w:type="spellEnd"/>
            <w:r w:rsidRPr="00FB7CFE">
              <w:rPr>
                <w:rFonts w:ascii="Calibri" w:eastAsia="Times New Roman" w:hAnsi="Calibri" w:cs="Calibri"/>
                <w:b/>
                <w:color w:val="FFFFFF" w:themeColor="background1"/>
                <w:sz w:val="16"/>
                <w:szCs w:val="16"/>
                <w:lang w:eastAsia="hr-HR"/>
              </w:rPr>
              <w:t xml:space="preserve"> i bioplinskih </w:t>
            </w:r>
            <w:proofErr w:type="spellStart"/>
            <w:r w:rsidRPr="00FB7CFE">
              <w:rPr>
                <w:rFonts w:ascii="Calibri" w:eastAsia="Times New Roman" w:hAnsi="Calibri" w:cs="Calibri"/>
                <w:b/>
                <w:color w:val="FFFFFF" w:themeColor="background1"/>
                <w:sz w:val="16"/>
                <w:szCs w:val="16"/>
                <w:lang w:eastAsia="hr-HR"/>
              </w:rPr>
              <w:t>postojenja</w:t>
            </w:r>
            <w:proofErr w:type="spellEnd"/>
            <w:r w:rsidRPr="00FB7CFE">
              <w:rPr>
                <w:rFonts w:ascii="Calibri" w:eastAsia="Times New Roman" w:hAnsi="Calibri" w:cs="Calibri"/>
                <w:b/>
                <w:color w:val="FFFFFF" w:themeColor="background1"/>
                <w:sz w:val="16"/>
                <w:szCs w:val="16"/>
                <w:lang w:eastAsia="hr-HR"/>
              </w:rPr>
              <w:t xml:space="preserve"> za biološku obradu</w:t>
            </w:r>
            <w:r w:rsidRPr="00FB7CFE">
              <w:rPr>
                <w:rFonts w:ascii="Calibri" w:eastAsia="Times New Roman" w:hAnsi="Calibri" w:cs="Calibri"/>
                <w:b/>
                <w:color w:val="FFFFFF" w:themeColor="background1"/>
                <w:sz w:val="16"/>
                <w:szCs w:val="16"/>
                <w:lang w:eastAsia="hr-HR"/>
              </w:rPr>
              <w:br/>
              <w:t>(t/god)</w:t>
            </w:r>
          </w:p>
        </w:tc>
        <w:tc>
          <w:tcPr>
            <w:tcW w:w="1156" w:type="dxa"/>
            <w:tcBorders>
              <w:top w:val="nil"/>
              <w:left w:val="single" w:sz="4" w:space="0" w:color="auto"/>
              <w:bottom w:val="single" w:sz="8" w:space="0" w:color="auto"/>
              <w:right w:val="single" w:sz="4" w:space="0" w:color="auto"/>
            </w:tcBorders>
            <w:shd w:val="clear" w:color="auto" w:fill="002060"/>
            <w:vAlign w:val="center"/>
            <w:hideMark/>
          </w:tcPr>
          <w:p w14:paraId="70DA1F7F" w14:textId="3DE1199B" w:rsidR="005D4437" w:rsidRPr="00FB7CFE" w:rsidRDefault="005D4437"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 xml:space="preserve">Procjena troškova izgradnje novih </w:t>
            </w:r>
            <w:proofErr w:type="spellStart"/>
            <w:r w:rsidRPr="00FB7CFE">
              <w:rPr>
                <w:rFonts w:ascii="Calibri" w:eastAsia="Times New Roman" w:hAnsi="Calibri" w:cs="Calibri"/>
                <w:b/>
                <w:color w:val="FFFFFF" w:themeColor="background1"/>
                <w:sz w:val="16"/>
                <w:szCs w:val="16"/>
                <w:lang w:eastAsia="hr-HR"/>
              </w:rPr>
              <w:t>kompostana</w:t>
            </w:r>
            <w:proofErr w:type="spellEnd"/>
            <w:r w:rsidRPr="00FB7CFE">
              <w:rPr>
                <w:rFonts w:ascii="Calibri" w:eastAsia="Times New Roman" w:hAnsi="Calibri" w:cs="Calibri"/>
                <w:b/>
                <w:color w:val="FFFFFF" w:themeColor="background1"/>
                <w:sz w:val="16"/>
                <w:szCs w:val="16"/>
                <w:lang w:eastAsia="hr-HR"/>
              </w:rPr>
              <w:t xml:space="preserve"> i bioplinskih postrojenja</w:t>
            </w:r>
            <w:r>
              <w:rPr>
                <w:rFonts w:ascii="Calibri" w:eastAsia="Times New Roman" w:hAnsi="Calibri" w:cs="Calibri"/>
                <w:b/>
                <w:color w:val="FFFFFF" w:themeColor="background1"/>
                <w:sz w:val="16"/>
                <w:szCs w:val="16"/>
                <w:lang w:eastAsia="hr-HR"/>
              </w:rPr>
              <w:br/>
              <w:t>(kn)</w:t>
            </w:r>
          </w:p>
        </w:tc>
        <w:tc>
          <w:tcPr>
            <w:tcW w:w="1235" w:type="dxa"/>
            <w:tcBorders>
              <w:top w:val="single" w:sz="4" w:space="0" w:color="auto"/>
              <w:left w:val="nil"/>
              <w:bottom w:val="single" w:sz="4" w:space="0" w:color="auto"/>
              <w:right w:val="single" w:sz="4" w:space="0" w:color="auto"/>
            </w:tcBorders>
            <w:shd w:val="clear" w:color="auto" w:fill="002060"/>
            <w:vAlign w:val="center"/>
          </w:tcPr>
          <w:p w14:paraId="3B056D55" w14:textId="760CFEB3" w:rsidR="005D4437" w:rsidRPr="00FB7CFE" w:rsidRDefault="005D4437" w:rsidP="005D4437">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 xml:space="preserve">Procjena troškova izgradnje novih </w:t>
            </w:r>
            <w:proofErr w:type="spellStart"/>
            <w:r w:rsidRPr="00FB7CFE">
              <w:rPr>
                <w:rFonts w:ascii="Calibri" w:eastAsia="Times New Roman" w:hAnsi="Calibri" w:cs="Calibri"/>
                <w:b/>
                <w:color w:val="FFFFFF" w:themeColor="background1"/>
                <w:sz w:val="16"/>
                <w:szCs w:val="16"/>
                <w:lang w:eastAsia="hr-HR"/>
              </w:rPr>
              <w:t>kompostana</w:t>
            </w:r>
            <w:proofErr w:type="spellEnd"/>
            <w:r w:rsidRPr="00FB7CFE">
              <w:rPr>
                <w:rFonts w:ascii="Calibri" w:eastAsia="Times New Roman" w:hAnsi="Calibri" w:cs="Calibri"/>
                <w:b/>
                <w:color w:val="FFFFFF" w:themeColor="background1"/>
                <w:sz w:val="16"/>
                <w:szCs w:val="16"/>
                <w:lang w:eastAsia="hr-HR"/>
              </w:rPr>
              <w:t xml:space="preserve"> i bioplinskih postrojenja</w:t>
            </w:r>
            <w:r>
              <w:rPr>
                <w:rFonts w:ascii="Calibri" w:eastAsia="Times New Roman" w:hAnsi="Calibri" w:cs="Calibri"/>
                <w:b/>
                <w:color w:val="FFFFFF" w:themeColor="background1"/>
                <w:sz w:val="16"/>
                <w:szCs w:val="16"/>
                <w:lang w:eastAsia="hr-HR"/>
              </w:rPr>
              <w:br/>
              <w:t>(EUR)</w:t>
            </w:r>
          </w:p>
        </w:tc>
        <w:tc>
          <w:tcPr>
            <w:tcW w:w="1306" w:type="dxa"/>
            <w:tcBorders>
              <w:top w:val="nil"/>
              <w:left w:val="single" w:sz="4" w:space="0" w:color="auto"/>
              <w:bottom w:val="single" w:sz="8" w:space="0" w:color="auto"/>
              <w:right w:val="single" w:sz="8" w:space="0" w:color="auto"/>
            </w:tcBorders>
            <w:shd w:val="clear" w:color="auto" w:fill="002060"/>
            <w:vAlign w:val="center"/>
            <w:hideMark/>
          </w:tcPr>
          <w:p w14:paraId="6B9418C7" w14:textId="77777777" w:rsidR="005D4437" w:rsidRDefault="005D4437"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Procjena troškova nadogradnje postojećih bioplinskih postrojenja</w:t>
            </w:r>
          </w:p>
          <w:p w14:paraId="7AF73143" w14:textId="0DE83A4D" w:rsidR="005D4437" w:rsidRPr="00FB7CFE" w:rsidRDefault="005D4437" w:rsidP="00CC41BC">
            <w:pPr>
              <w:spacing w:after="0" w:line="240" w:lineRule="auto"/>
              <w:jc w:val="center"/>
              <w:rPr>
                <w:rFonts w:ascii="Calibri" w:eastAsia="Times New Roman" w:hAnsi="Calibri" w:cs="Calibri"/>
                <w:b/>
                <w:color w:val="FFFFFF" w:themeColor="background1"/>
                <w:sz w:val="16"/>
                <w:szCs w:val="16"/>
                <w:lang w:eastAsia="hr-HR"/>
              </w:rPr>
            </w:pPr>
            <w:r>
              <w:rPr>
                <w:rFonts w:ascii="Calibri" w:eastAsia="Times New Roman" w:hAnsi="Calibri" w:cs="Calibri"/>
                <w:b/>
                <w:color w:val="FFFFFF" w:themeColor="background1"/>
                <w:sz w:val="16"/>
                <w:szCs w:val="16"/>
                <w:lang w:eastAsia="hr-HR"/>
              </w:rPr>
              <w:t>(kn)</w:t>
            </w:r>
          </w:p>
        </w:tc>
        <w:tc>
          <w:tcPr>
            <w:tcW w:w="1255" w:type="dxa"/>
            <w:tcBorders>
              <w:top w:val="nil"/>
              <w:left w:val="single" w:sz="4" w:space="0" w:color="auto"/>
              <w:bottom w:val="single" w:sz="8" w:space="0" w:color="auto"/>
              <w:right w:val="single" w:sz="8" w:space="0" w:color="auto"/>
            </w:tcBorders>
            <w:shd w:val="clear" w:color="auto" w:fill="002060"/>
            <w:vAlign w:val="center"/>
          </w:tcPr>
          <w:p w14:paraId="727C69C4" w14:textId="77777777" w:rsidR="005D4437" w:rsidRDefault="005D4437" w:rsidP="005D4437">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Procjena troškova nadogradnje postojećih bioplinskih postrojenja</w:t>
            </w:r>
          </w:p>
          <w:p w14:paraId="3A5BC126" w14:textId="09642125" w:rsidR="005D4437" w:rsidRPr="00FB7CFE" w:rsidRDefault="005D4437" w:rsidP="005D4437">
            <w:pPr>
              <w:spacing w:after="0" w:line="240" w:lineRule="auto"/>
              <w:jc w:val="center"/>
              <w:rPr>
                <w:rFonts w:ascii="Calibri" w:eastAsia="Times New Roman" w:hAnsi="Calibri" w:cs="Calibri"/>
                <w:b/>
                <w:color w:val="FFFFFF" w:themeColor="background1"/>
                <w:sz w:val="16"/>
                <w:szCs w:val="16"/>
                <w:lang w:eastAsia="hr-HR"/>
              </w:rPr>
            </w:pPr>
            <w:r>
              <w:rPr>
                <w:rFonts w:ascii="Calibri" w:eastAsia="Times New Roman" w:hAnsi="Calibri" w:cs="Calibri"/>
                <w:b/>
                <w:color w:val="FFFFFF" w:themeColor="background1"/>
                <w:sz w:val="16"/>
                <w:szCs w:val="16"/>
                <w:lang w:eastAsia="hr-HR"/>
              </w:rPr>
              <w:t>(EUR)</w:t>
            </w:r>
          </w:p>
        </w:tc>
      </w:tr>
      <w:tr w:rsidR="00280EDD" w:rsidRPr="00FB7CFE" w14:paraId="7DA5FE42" w14:textId="6D0D95C2"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7941759A"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Bjelovarsko-bilogorska</w:t>
            </w:r>
          </w:p>
        </w:tc>
        <w:tc>
          <w:tcPr>
            <w:tcW w:w="902" w:type="dxa"/>
            <w:tcBorders>
              <w:top w:val="nil"/>
              <w:left w:val="nil"/>
              <w:bottom w:val="single" w:sz="4" w:space="0" w:color="auto"/>
              <w:right w:val="single" w:sz="4" w:space="0" w:color="auto"/>
            </w:tcBorders>
            <w:shd w:val="clear" w:color="auto" w:fill="auto"/>
            <w:noWrap/>
            <w:vAlign w:val="center"/>
            <w:hideMark/>
          </w:tcPr>
          <w:p w14:paraId="5F49821D"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1,6%</w:t>
            </w:r>
          </w:p>
        </w:tc>
        <w:tc>
          <w:tcPr>
            <w:tcW w:w="819" w:type="dxa"/>
            <w:vMerge w:val="restart"/>
            <w:tcBorders>
              <w:top w:val="nil"/>
              <w:left w:val="nil"/>
              <w:bottom w:val="nil"/>
              <w:right w:val="single" w:sz="4" w:space="0" w:color="auto"/>
            </w:tcBorders>
            <w:shd w:val="clear" w:color="auto" w:fill="auto"/>
            <w:vAlign w:val="center"/>
            <w:hideMark/>
          </w:tcPr>
          <w:p w14:paraId="22118567"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402.265</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1537855B"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6.421</w:t>
            </w:r>
          </w:p>
        </w:tc>
        <w:tc>
          <w:tcPr>
            <w:tcW w:w="978" w:type="dxa"/>
            <w:tcBorders>
              <w:top w:val="nil"/>
              <w:left w:val="nil"/>
              <w:bottom w:val="single" w:sz="4" w:space="0" w:color="auto"/>
              <w:right w:val="nil"/>
            </w:tcBorders>
            <w:shd w:val="clear" w:color="auto" w:fill="auto"/>
            <w:noWrap/>
            <w:vAlign w:val="center"/>
            <w:hideMark/>
          </w:tcPr>
          <w:p w14:paraId="0E03ABBC"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5</w:t>
            </w:r>
          </w:p>
        </w:tc>
        <w:tc>
          <w:tcPr>
            <w:tcW w:w="730" w:type="dxa"/>
            <w:tcBorders>
              <w:top w:val="nil"/>
              <w:left w:val="single" w:sz="4" w:space="0" w:color="auto"/>
              <w:bottom w:val="single" w:sz="4" w:space="0" w:color="auto"/>
              <w:right w:val="nil"/>
            </w:tcBorders>
            <w:shd w:val="clear" w:color="auto" w:fill="auto"/>
            <w:noWrap/>
            <w:vAlign w:val="center"/>
            <w:hideMark/>
          </w:tcPr>
          <w:p w14:paraId="3DDFFD33"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w:t>
            </w:r>
          </w:p>
        </w:tc>
        <w:tc>
          <w:tcPr>
            <w:tcW w:w="97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5016651"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85.200</w:t>
            </w:r>
          </w:p>
        </w:tc>
        <w:tc>
          <w:tcPr>
            <w:tcW w:w="1044" w:type="dxa"/>
            <w:tcBorders>
              <w:top w:val="single" w:sz="8" w:space="0" w:color="auto"/>
              <w:left w:val="nil"/>
              <w:bottom w:val="single" w:sz="4" w:space="0" w:color="auto"/>
              <w:right w:val="single" w:sz="4" w:space="0" w:color="auto"/>
            </w:tcBorders>
            <w:shd w:val="clear" w:color="auto" w:fill="auto"/>
            <w:noWrap/>
            <w:vAlign w:val="center"/>
            <w:hideMark/>
          </w:tcPr>
          <w:p w14:paraId="31BF14A2"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4.000</w:t>
            </w:r>
          </w:p>
        </w:tc>
        <w:tc>
          <w:tcPr>
            <w:tcW w:w="1044" w:type="dxa"/>
            <w:tcBorders>
              <w:top w:val="nil"/>
              <w:left w:val="nil"/>
              <w:bottom w:val="single" w:sz="4" w:space="0" w:color="auto"/>
              <w:right w:val="nil"/>
            </w:tcBorders>
            <w:shd w:val="clear" w:color="auto" w:fill="auto"/>
            <w:noWrap/>
            <w:vAlign w:val="center"/>
            <w:hideMark/>
          </w:tcPr>
          <w:p w14:paraId="0A875136"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89.200</w:t>
            </w:r>
          </w:p>
        </w:tc>
        <w:tc>
          <w:tcPr>
            <w:tcW w:w="1056" w:type="dxa"/>
            <w:tcBorders>
              <w:top w:val="single" w:sz="4" w:space="0" w:color="auto"/>
              <w:left w:val="single" w:sz="4" w:space="0" w:color="auto"/>
              <w:bottom w:val="single" w:sz="4" w:space="0" w:color="auto"/>
              <w:right w:val="nil"/>
            </w:tcBorders>
            <w:shd w:val="clear" w:color="auto" w:fill="auto"/>
            <w:noWrap/>
            <w:vAlign w:val="center"/>
            <w:hideMark/>
          </w:tcPr>
          <w:p w14:paraId="04434D9A"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504BD47" w14:textId="54D584E1"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8" w:space="0" w:color="auto"/>
              <w:bottom w:val="single" w:sz="8" w:space="0" w:color="auto"/>
              <w:right w:val="single" w:sz="8" w:space="0" w:color="auto"/>
            </w:tcBorders>
            <w:shd w:val="clear" w:color="auto" w:fill="auto"/>
            <w:vAlign w:val="center"/>
          </w:tcPr>
          <w:p w14:paraId="6B177BA7" w14:textId="0A66F35F"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41DE0657" w14:textId="5A402D52"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18.750.000</w:t>
            </w:r>
          </w:p>
        </w:tc>
        <w:tc>
          <w:tcPr>
            <w:tcW w:w="1255" w:type="dxa"/>
            <w:tcBorders>
              <w:top w:val="nil"/>
              <w:left w:val="single" w:sz="8" w:space="0" w:color="auto"/>
              <w:bottom w:val="single" w:sz="8" w:space="0" w:color="auto"/>
              <w:right w:val="single" w:sz="8" w:space="0" w:color="auto"/>
            </w:tcBorders>
            <w:shd w:val="clear" w:color="auto" w:fill="auto"/>
            <w:vAlign w:val="center"/>
          </w:tcPr>
          <w:p w14:paraId="3D373434" w14:textId="77EC1CA7"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2.488.552,66</w:t>
            </w:r>
          </w:p>
        </w:tc>
      </w:tr>
      <w:tr w:rsidR="00280EDD" w:rsidRPr="00FB7CFE" w14:paraId="0EB442CE" w14:textId="09DA8B22"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64183531"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Brodsko-posavska</w:t>
            </w:r>
          </w:p>
        </w:tc>
        <w:tc>
          <w:tcPr>
            <w:tcW w:w="902" w:type="dxa"/>
            <w:tcBorders>
              <w:top w:val="nil"/>
              <w:left w:val="nil"/>
              <w:bottom w:val="single" w:sz="4" w:space="0" w:color="auto"/>
              <w:right w:val="single" w:sz="4" w:space="0" w:color="auto"/>
            </w:tcBorders>
            <w:shd w:val="clear" w:color="auto" w:fill="auto"/>
            <w:noWrap/>
            <w:vAlign w:val="center"/>
            <w:hideMark/>
          </w:tcPr>
          <w:p w14:paraId="0FBD8586"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2,0%</w:t>
            </w:r>
          </w:p>
        </w:tc>
        <w:tc>
          <w:tcPr>
            <w:tcW w:w="819" w:type="dxa"/>
            <w:vMerge/>
            <w:tcBorders>
              <w:top w:val="nil"/>
              <w:left w:val="nil"/>
              <w:bottom w:val="nil"/>
              <w:right w:val="single" w:sz="4" w:space="0" w:color="auto"/>
            </w:tcBorders>
            <w:vAlign w:val="center"/>
            <w:hideMark/>
          </w:tcPr>
          <w:p w14:paraId="74B82EA8"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58E2E016"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8.232</w:t>
            </w:r>
          </w:p>
        </w:tc>
        <w:tc>
          <w:tcPr>
            <w:tcW w:w="978" w:type="dxa"/>
            <w:tcBorders>
              <w:top w:val="nil"/>
              <w:left w:val="nil"/>
              <w:bottom w:val="single" w:sz="4" w:space="0" w:color="auto"/>
              <w:right w:val="nil"/>
            </w:tcBorders>
            <w:shd w:val="clear" w:color="auto" w:fill="auto"/>
            <w:noWrap/>
            <w:vAlign w:val="center"/>
            <w:hideMark/>
          </w:tcPr>
          <w:p w14:paraId="12BB8BFA"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730" w:type="dxa"/>
            <w:tcBorders>
              <w:top w:val="nil"/>
              <w:left w:val="single" w:sz="4" w:space="0" w:color="auto"/>
              <w:bottom w:val="single" w:sz="4" w:space="0" w:color="auto"/>
              <w:right w:val="nil"/>
            </w:tcBorders>
            <w:shd w:val="clear" w:color="auto" w:fill="auto"/>
            <w:noWrap/>
            <w:vAlign w:val="center"/>
            <w:hideMark/>
          </w:tcPr>
          <w:p w14:paraId="3FF5C372"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5257CD25"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0D65F16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nil"/>
            </w:tcBorders>
            <w:shd w:val="clear" w:color="auto" w:fill="auto"/>
            <w:noWrap/>
            <w:vAlign w:val="center"/>
            <w:hideMark/>
          </w:tcPr>
          <w:p w14:paraId="1AEA40DA"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56" w:type="dxa"/>
            <w:tcBorders>
              <w:top w:val="nil"/>
              <w:left w:val="single" w:sz="4" w:space="0" w:color="auto"/>
              <w:bottom w:val="single" w:sz="4" w:space="0" w:color="auto"/>
              <w:right w:val="nil"/>
            </w:tcBorders>
            <w:shd w:val="clear" w:color="auto" w:fill="auto"/>
            <w:noWrap/>
            <w:vAlign w:val="center"/>
            <w:hideMark/>
          </w:tcPr>
          <w:p w14:paraId="27C6B587"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8.232</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0D2EB6B7" w14:textId="1FB1E4AC"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41.160.679</w:t>
            </w:r>
          </w:p>
        </w:tc>
        <w:tc>
          <w:tcPr>
            <w:tcW w:w="1235" w:type="dxa"/>
            <w:tcBorders>
              <w:top w:val="nil"/>
              <w:left w:val="single" w:sz="8" w:space="0" w:color="auto"/>
              <w:bottom w:val="single" w:sz="8" w:space="0" w:color="auto"/>
              <w:right w:val="single" w:sz="8" w:space="0" w:color="auto"/>
            </w:tcBorders>
            <w:shd w:val="clear" w:color="auto" w:fill="auto"/>
            <w:vAlign w:val="center"/>
          </w:tcPr>
          <w:p w14:paraId="49D3E3C8" w14:textId="172CC68B"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5.462.960,91</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54244692" w14:textId="7EEF9FD6"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55" w:type="dxa"/>
            <w:tcBorders>
              <w:top w:val="nil"/>
              <w:left w:val="single" w:sz="8" w:space="0" w:color="auto"/>
              <w:bottom w:val="single" w:sz="8" w:space="0" w:color="auto"/>
              <w:right w:val="single" w:sz="8" w:space="0" w:color="auto"/>
            </w:tcBorders>
            <w:shd w:val="clear" w:color="auto" w:fill="auto"/>
            <w:vAlign w:val="center"/>
          </w:tcPr>
          <w:p w14:paraId="20183B78" w14:textId="56823985"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280EDD" w:rsidRPr="00FB7CFE" w14:paraId="329A9E05" w14:textId="5CAE3333"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3473A4AA"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Dubrovačko-neretvanska</w:t>
            </w:r>
          </w:p>
        </w:tc>
        <w:tc>
          <w:tcPr>
            <w:tcW w:w="902" w:type="dxa"/>
            <w:tcBorders>
              <w:top w:val="nil"/>
              <w:left w:val="nil"/>
              <w:bottom w:val="single" w:sz="4" w:space="0" w:color="auto"/>
              <w:right w:val="single" w:sz="4" w:space="0" w:color="auto"/>
            </w:tcBorders>
            <w:shd w:val="clear" w:color="auto" w:fill="auto"/>
            <w:noWrap/>
            <w:vAlign w:val="center"/>
            <w:hideMark/>
          </w:tcPr>
          <w:p w14:paraId="5380E0B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3,9%</w:t>
            </w:r>
          </w:p>
        </w:tc>
        <w:tc>
          <w:tcPr>
            <w:tcW w:w="819" w:type="dxa"/>
            <w:vMerge/>
            <w:tcBorders>
              <w:top w:val="nil"/>
              <w:left w:val="nil"/>
              <w:bottom w:val="nil"/>
              <w:right w:val="single" w:sz="4" w:space="0" w:color="auto"/>
            </w:tcBorders>
            <w:vAlign w:val="center"/>
            <w:hideMark/>
          </w:tcPr>
          <w:p w14:paraId="12393628"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37DF4B10"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15.695</w:t>
            </w:r>
          </w:p>
        </w:tc>
        <w:tc>
          <w:tcPr>
            <w:tcW w:w="978" w:type="dxa"/>
            <w:tcBorders>
              <w:top w:val="nil"/>
              <w:left w:val="nil"/>
              <w:bottom w:val="single" w:sz="4" w:space="0" w:color="auto"/>
              <w:right w:val="nil"/>
            </w:tcBorders>
            <w:shd w:val="clear" w:color="auto" w:fill="auto"/>
            <w:noWrap/>
            <w:vAlign w:val="center"/>
            <w:hideMark/>
          </w:tcPr>
          <w:p w14:paraId="0C4F76F0"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730" w:type="dxa"/>
            <w:tcBorders>
              <w:top w:val="nil"/>
              <w:left w:val="single" w:sz="4" w:space="0" w:color="auto"/>
              <w:bottom w:val="single" w:sz="4" w:space="0" w:color="auto"/>
              <w:right w:val="nil"/>
            </w:tcBorders>
            <w:shd w:val="clear" w:color="auto" w:fill="auto"/>
            <w:noWrap/>
            <w:vAlign w:val="center"/>
            <w:hideMark/>
          </w:tcPr>
          <w:p w14:paraId="5F928BA9"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1404AE42"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129DE7FB"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5.720</w:t>
            </w:r>
          </w:p>
        </w:tc>
        <w:tc>
          <w:tcPr>
            <w:tcW w:w="1044" w:type="dxa"/>
            <w:tcBorders>
              <w:top w:val="nil"/>
              <w:left w:val="nil"/>
              <w:bottom w:val="single" w:sz="4" w:space="0" w:color="auto"/>
              <w:right w:val="nil"/>
            </w:tcBorders>
            <w:shd w:val="clear" w:color="auto" w:fill="auto"/>
            <w:noWrap/>
            <w:vAlign w:val="center"/>
            <w:hideMark/>
          </w:tcPr>
          <w:p w14:paraId="4ED93F0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5.720</w:t>
            </w:r>
          </w:p>
        </w:tc>
        <w:tc>
          <w:tcPr>
            <w:tcW w:w="1056" w:type="dxa"/>
            <w:tcBorders>
              <w:top w:val="nil"/>
              <w:left w:val="single" w:sz="4" w:space="0" w:color="auto"/>
              <w:bottom w:val="single" w:sz="4" w:space="0" w:color="auto"/>
              <w:right w:val="nil"/>
            </w:tcBorders>
            <w:shd w:val="clear" w:color="auto" w:fill="auto"/>
            <w:noWrap/>
            <w:vAlign w:val="center"/>
            <w:hideMark/>
          </w:tcPr>
          <w:p w14:paraId="7F53EE3E"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9.975</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51E7C6A5" w14:textId="035AF9F2"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49.874.899</w:t>
            </w:r>
          </w:p>
        </w:tc>
        <w:tc>
          <w:tcPr>
            <w:tcW w:w="1235" w:type="dxa"/>
            <w:tcBorders>
              <w:top w:val="nil"/>
              <w:left w:val="single" w:sz="8" w:space="0" w:color="auto"/>
              <w:bottom w:val="single" w:sz="8" w:space="0" w:color="auto"/>
              <w:right w:val="single" w:sz="8" w:space="0" w:color="auto"/>
            </w:tcBorders>
            <w:shd w:val="clear" w:color="auto" w:fill="auto"/>
            <w:vAlign w:val="center"/>
          </w:tcPr>
          <w:p w14:paraId="16642F1B" w14:textId="2BC990A6"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6.619.536,66</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43BC872D" w14:textId="60D6400D"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55" w:type="dxa"/>
            <w:tcBorders>
              <w:top w:val="nil"/>
              <w:left w:val="single" w:sz="8" w:space="0" w:color="auto"/>
              <w:bottom w:val="single" w:sz="8" w:space="0" w:color="auto"/>
              <w:right w:val="single" w:sz="8" w:space="0" w:color="auto"/>
            </w:tcBorders>
            <w:shd w:val="clear" w:color="auto" w:fill="auto"/>
            <w:vAlign w:val="center"/>
          </w:tcPr>
          <w:p w14:paraId="21EF05BE" w14:textId="6D329FDA"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280EDD" w:rsidRPr="00FB7CFE" w14:paraId="61944497" w14:textId="69BC182C"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70ACE308"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Grad Zagreb</w:t>
            </w:r>
          </w:p>
        </w:tc>
        <w:tc>
          <w:tcPr>
            <w:tcW w:w="902" w:type="dxa"/>
            <w:tcBorders>
              <w:top w:val="nil"/>
              <w:left w:val="nil"/>
              <w:bottom w:val="single" w:sz="4" w:space="0" w:color="auto"/>
              <w:right w:val="single" w:sz="4" w:space="0" w:color="auto"/>
            </w:tcBorders>
            <w:shd w:val="clear" w:color="auto" w:fill="auto"/>
            <w:noWrap/>
            <w:vAlign w:val="center"/>
            <w:hideMark/>
          </w:tcPr>
          <w:p w14:paraId="338E931B"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19,8%</w:t>
            </w:r>
          </w:p>
        </w:tc>
        <w:tc>
          <w:tcPr>
            <w:tcW w:w="819" w:type="dxa"/>
            <w:vMerge/>
            <w:tcBorders>
              <w:top w:val="nil"/>
              <w:left w:val="nil"/>
              <w:bottom w:val="nil"/>
              <w:right w:val="single" w:sz="4" w:space="0" w:color="auto"/>
            </w:tcBorders>
            <w:vAlign w:val="center"/>
            <w:hideMark/>
          </w:tcPr>
          <w:p w14:paraId="7FAE4D8B"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5CE1CC6C"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79.448</w:t>
            </w:r>
          </w:p>
        </w:tc>
        <w:tc>
          <w:tcPr>
            <w:tcW w:w="978" w:type="dxa"/>
            <w:tcBorders>
              <w:top w:val="nil"/>
              <w:left w:val="nil"/>
              <w:bottom w:val="single" w:sz="4" w:space="0" w:color="auto"/>
              <w:right w:val="nil"/>
            </w:tcBorders>
            <w:shd w:val="clear" w:color="auto" w:fill="auto"/>
            <w:noWrap/>
            <w:vAlign w:val="center"/>
            <w:hideMark/>
          </w:tcPr>
          <w:p w14:paraId="5D6C400C"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730" w:type="dxa"/>
            <w:tcBorders>
              <w:top w:val="nil"/>
              <w:left w:val="single" w:sz="4" w:space="0" w:color="auto"/>
              <w:bottom w:val="single" w:sz="4" w:space="0" w:color="auto"/>
              <w:right w:val="nil"/>
            </w:tcBorders>
            <w:shd w:val="clear" w:color="auto" w:fill="auto"/>
            <w:noWrap/>
            <w:vAlign w:val="center"/>
            <w:hideMark/>
          </w:tcPr>
          <w:p w14:paraId="1CE1ED05"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224E986F"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27.033</w:t>
            </w:r>
          </w:p>
        </w:tc>
        <w:tc>
          <w:tcPr>
            <w:tcW w:w="1044" w:type="dxa"/>
            <w:tcBorders>
              <w:top w:val="nil"/>
              <w:left w:val="nil"/>
              <w:bottom w:val="single" w:sz="4" w:space="0" w:color="auto"/>
              <w:right w:val="single" w:sz="4" w:space="0" w:color="auto"/>
            </w:tcBorders>
            <w:shd w:val="clear" w:color="auto" w:fill="auto"/>
            <w:noWrap/>
            <w:vAlign w:val="center"/>
            <w:hideMark/>
          </w:tcPr>
          <w:p w14:paraId="3C3A95F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42.038</w:t>
            </w:r>
          </w:p>
        </w:tc>
        <w:tc>
          <w:tcPr>
            <w:tcW w:w="1044" w:type="dxa"/>
            <w:tcBorders>
              <w:top w:val="nil"/>
              <w:left w:val="nil"/>
              <w:bottom w:val="single" w:sz="4" w:space="0" w:color="auto"/>
              <w:right w:val="nil"/>
            </w:tcBorders>
            <w:shd w:val="clear" w:color="auto" w:fill="auto"/>
            <w:noWrap/>
            <w:vAlign w:val="center"/>
            <w:hideMark/>
          </w:tcPr>
          <w:p w14:paraId="2E98150D"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69.071</w:t>
            </w:r>
          </w:p>
        </w:tc>
        <w:tc>
          <w:tcPr>
            <w:tcW w:w="1056" w:type="dxa"/>
            <w:tcBorders>
              <w:top w:val="nil"/>
              <w:left w:val="single" w:sz="4" w:space="0" w:color="auto"/>
              <w:bottom w:val="single" w:sz="4" w:space="0" w:color="auto"/>
              <w:right w:val="nil"/>
            </w:tcBorders>
            <w:shd w:val="clear" w:color="auto" w:fill="auto"/>
            <w:noWrap/>
            <w:vAlign w:val="center"/>
            <w:hideMark/>
          </w:tcPr>
          <w:p w14:paraId="1B6C51EA"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10.377</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58F4EB5" w14:textId="556D1781"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51.885.921</w:t>
            </w:r>
          </w:p>
        </w:tc>
        <w:tc>
          <w:tcPr>
            <w:tcW w:w="1235" w:type="dxa"/>
            <w:tcBorders>
              <w:top w:val="nil"/>
              <w:left w:val="single" w:sz="8" w:space="0" w:color="auto"/>
              <w:bottom w:val="single" w:sz="8" w:space="0" w:color="auto"/>
              <w:right w:val="single" w:sz="8" w:space="0" w:color="auto"/>
            </w:tcBorders>
            <w:shd w:val="clear" w:color="auto" w:fill="auto"/>
            <w:vAlign w:val="center"/>
          </w:tcPr>
          <w:p w14:paraId="0BE56989" w14:textId="6EBEF516"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6.886.445,15</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05CB4149" w14:textId="1C6FE65E"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w:t>
            </w:r>
          </w:p>
        </w:tc>
        <w:tc>
          <w:tcPr>
            <w:tcW w:w="1255" w:type="dxa"/>
            <w:tcBorders>
              <w:top w:val="nil"/>
              <w:left w:val="single" w:sz="8" w:space="0" w:color="auto"/>
              <w:bottom w:val="single" w:sz="8" w:space="0" w:color="auto"/>
              <w:right w:val="single" w:sz="8" w:space="0" w:color="auto"/>
            </w:tcBorders>
            <w:shd w:val="clear" w:color="auto" w:fill="auto"/>
            <w:vAlign w:val="center"/>
          </w:tcPr>
          <w:p w14:paraId="6FF83B21" w14:textId="4FBCA865"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995.421,06</w:t>
            </w:r>
          </w:p>
        </w:tc>
      </w:tr>
      <w:tr w:rsidR="00280EDD" w:rsidRPr="00FB7CFE" w14:paraId="3E894506" w14:textId="21015774"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1018421B"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Istarska </w:t>
            </w:r>
          </w:p>
        </w:tc>
        <w:tc>
          <w:tcPr>
            <w:tcW w:w="902" w:type="dxa"/>
            <w:tcBorders>
              <w:top w:val="nil"/>
              <w:left w:val="nil"/>
              <w:bottom w:val="single" w:sz="4" w:space="0" w:color="auto"/>
              <w:right w:val="single" w:sz="4" w:space="0" w:color="auto"/>
            </w:tcBorders>
            <w:shd w:val="clear" w:color="auto" w:fill="auto"/>
            <w:noWrap/>
            <w:vAlign w:val="center"/>
            <w:hideMark/>
          </w:tcPr>
          <w:p w14:paraId="0DACB2D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7,5%</w:t>
            </w:r>
          </w:p>
        </w:tc>
        <w:tc>
          <w:tcPr>
            <w:tcW w:w="819" w:type="dxa"/>
            <w:vMerge/>
            <w:tcBorders>
              <w:top w:val="nil"/>
              <w:left w:val="nil"/>
              <w:bottom w:val="nil"/>
              <w:right w:val="single" w:sz="4" w:space="0" w:color="auto"/>
            </w:tcBorders>
            <w:vAlign w:val="center"/>
            <w:hideMark/>
          </w:tcPr>
          <w:p w14:paraId="3555C250"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360C599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29.975</w:t>
            </w:r>
          </w:p>
        </w:tc>
        <w:tc>
          <w:tcPr>
            <w:tcW w:w="978" w:type="dxa"/>
            <w:tcBorders>
              <w:top w:val="nil"/>
              <w:left w:val="nil"/>
              <w:bottom w:val="single" w:sz="4" w:space="0" w:color="auto"/>
              <w:right w:val="nil"/>
            </w:tcBorders>
            <w:shd w:val="clear" w:color="auto" w:fill="auto"/>
            <w:noWrap/>
            <w:vAlign w:val="center"/>
            <w:hideMark/>
          </w:tcPr>
          <w:p w14:paraId="12D5F097"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730" w:type="dxa"/>
            <w:tcBorders>
              <w:top w:val="nil"/>
              <w:left w:val="single" w:sz="4" w:space="0" w:color="auto"/>
              <w:bottom w:val="single" w:sz="4" w:space="0" w:color="auto"/>
              <w:right w:val="nil"/>
            </w:tcBorders>
            <w:shd w:val="clear" w:color="auto" w:fill="auto"/>
            <w:noWrap/>
            <w:vAlign w:val="center"/>
            <w:hideMark/>
          </w:tcPr>
          <w:p w14:paraId="347B9890"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04989FA3"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6E30E317"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nil"/>
            </w:tcBorders>
            <w:shd w:val="clear" w:color="auto" w:fill="auto"/>
            <w:noWrap/>
            <w:vAlign w:val="center"/>
            <w:hideMark/>
          </w:tcPr>
          <w:p w14:paraId="6484D001"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56" w:type="dxa"/>
            <w:tcBorders>
              <w:top w:val="nil"/>
              <w:left w:val="single" w:sz="4" w:space="0" w:color="auto"/>
              <w:bottom w:val="single" w:sz="4" w:space="0" w:color="auto"/>
              <w:right w:val="nil"/>
            </w:tcBorders>
            <w:shd w:val="clear" w:color="auto" w:fill="auto"/>
            <w:noWrap/>
            <w:vAlign w:val="center"/>
            <w:hideMark/>
          </w:tcPr>
          <w:p w14:paraId="562CB0DF"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29.975</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0B8A342E" w14:textId="60F2CD9F"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149.876.415</w:t>
            </w:r>
          </w:p>
        </w:tc>
        <w:tc>
          <w:tcPr>
            <w:tcW w:w="1235" w:type="dxa"/>
            <w:tcBorders>
              <w:top w:val="nil"/>
              <w:left w:val="single" w:sz="8" w:space="0" w:color="auto"/>
              <w:bottom w:val="single" w:sz="8" w:space="0" w:color="auto"/>
              <w:right w:val="single" w:sz="8" w:space="0" w:color="auto"/>
            </w:tcBorders>
            <w:shd w:val="clear" w:color="auto" w:fill="auto"/>
            <w:vAlign w:val="center"/>
          </w:tcPr>
          <w:p w14:paraId="72B4555D" w14:textId="2ECD4375"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19.892.018,71</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50008208" w14:textId="7B0E67E2"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55" w:type="dxa"/>
            <w:tcBorders>
              <w:top w:val="nil"/>
              <w:left w:val="single" w:sz="8" w:space="0" w:color="auto"/>
              <w:bottom w:val="single" w:sz="8" w:space="0" w:color="auto"/>
              <w:right w:val="single" w:sz="8" w:space="0" w:color="auto"/>
            </w:tcBorders>
            <w:shd w:val="clear" w:color="auto" w:fill="auto"/>
            <w:vAlign w:val="center"/>
          </w:tcPr>
          <w:p w14:paraId="4B84B75C" w14:textId="7ED55532"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280EDD" w:rsidRPr="00FB7CFE" w14:paraId="5A1D9C70" w14:textId="3D7B236E"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3329C209"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Karlovačka </w:t>
            </w:r>
          </w:p>
        </w:tc>
        <w:tc>
          <w:tcPr>
            <w:tcW w:w="902" w:type="dxa"/>
            <w:tcBorders>
              <w:top w:val="nil"/>
              <w:left w:val="nil"/>
              <w:bottom w:val="single" w:sz="4" w:space="0" w:color="auto"/>
              <w:right w:val="single" w:sz="4" w:space="0" w:color="auto"/>
            </w:tcBorders>
            <w:shd w:val="clear" w:color="auto" w:fill="auto"/>
            <w:noWrap/>
            <w:vAlign w:val="center"/>
            <w:hideMark/>
          </w:tcPr>
          <w:p w14:paraId="6405985A"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2,5%</w:t>
            </w:r>
          </w:p>
        </w:tc>
        <w:tc>
          <w:tcPr>
            <w:tcW w:w="819" w:type="dxa"/>
            <w:vMerge/>
            <w:tcBorders>
              <w:top w:val="nil"/>
              <w:left w:val="nil"/>
              <w:bottom w:val="nil"/>
              <w:right w:val="single" w:sz="4" w:space="0" w:color="auto"/>
            </w:tcBorders>
            <w:vAlign w:val="center"/>
            <w:hideMark/>
          </w:tcPr>
          <w:p w14:paraId="45B2A0AB"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70CA902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9.922</w:t>
            </w:r>
          </w:p>
        </w:tc>
        <w:tc>
          <w:tcPr>
            <w:tcW w:w="978" w:type="dxa"/>
            <w:tcBorders>
              <w:top w:val="nil"/>
              <w:left w:val="nil"/>
              <w:bottom w:val="single" w:sz="4" w:space="0" w:color="auto"/>
              <w:right w:val="nil"/>
            </w:tcBorders>
            <w:shd w:val="clear" w:color="auto" w:fill="auto"/>
            <w:noWrap/>
            <w:vAlign w:val="center"/>
            <w:hideMark/>
          </w:tcPr>
          <w:p w14:paraId="2608B4FC"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730" w:type="dxa"/>
            <w:tcBorders>
              <w:top w:val="nil"/>
              <w:left w:val="single" w:sz="4" w:space="0" w:color="auto"/>
              <w:bottom w:val="single" w:sz="4" w:space="0" w:color="auto"/>
              <w:right w:val="nil"/>
            </w:tcBorders>
            <w:shd w:val="clear" w:color="auto" w:fill="auto"/>
            <w:noWrap/>
            <w:vAlign w:val="center"/>
            <w:hideMark/>
          </w:tcPr>
          <w:p w14:paraId="3713DD6C"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102242B7"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0D662F17"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nil"/>
            </w:tcBorders>
            <w:shd w:val="clear" w:color="auto" w:fill="auto"/>
            <w:noWrap/>
            <w:vAlign w:val="center"/>
            <w:hideMark/>
          </w:tcPr>
          <w:p w14:paraId="24293935"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56" w:type="dxa"/>
            <w:tcBorders>
              <w:top w:val="nil"/>
              <w:left w:val="single" w:sz="4" w:space="0" w:color="auto"/>
              <w:bottom w:val="single" w:sz="4" w:space="0" w:color="auto"/>
              <w:right w:val="nil"/>
            </w:tcBorders>
            <w:shd w:val="clear" w:color="auto" w:fill="auto"/>
            <w:noWrap/>
            <w:vAlign w:val="center"/>
            <w:hideMark/>
          </w:tcPr>
          <w:p w14:paraId="5C847467"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9.922</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60727E90" w14:textId="3C181401"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49.609.891</w:t>
            </w:r>
          </w:p>
        </w:tc>
        <w:tc>
          <w:tcPr>
            <w:tcW w:w="1235" w:type="dxa"/>
            <w:tcBorders>
              <w:top w:val="nil"/>
              <w:left w:val="single" w:sz="8" w:space="0" w:color="auto"/>
              <w:bottom w:val="single" w:sz="8" w:space="0" w:color="auto"/>
              <w:right w:val="single" w:sz="8" w:space="0" w:color="auto"/>
            </w:tcBorders>
            <w:shd w:val="clear" w:color="auto" w:fill="auto"/>
            <w:vAlign w:val="center"/>
          </w:tcPr>
          <w:p w14:paraId="10FB4997" w14:textId="13A199BA"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6.584.364,06</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236E50C7" w14:textId="0B3BD231"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55" w:type="dxa"/>
            <w:tcBorders>
              <w:top w:val="nil"/>
              <w:left w:val="single" w:sz="8" w:space="0" w:color="auto"/>
              <w:bottom w:val="single" w:sz="8" w:space="0" w:color="auto"/>
              <w:right w:val="single" w:sz="8" w:space="0" w:color="auto"/>
            </w:tcBorders>
            <w:shd w:val="clear" w:color="auto" w:fill="auto"/>
            <w:vAlign w:val="center"/>
          </w:tcPr>
          <w:p w14:paraId="380B1917" w14:textId="7B7BD696"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280EDD" w:rsidRPr="00FB7CFE" w14:paraId="771EAD7F" w14:textId="1CCE50F0"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3D074CBB"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Koprivničko-križevačka</w:t>
            </w:r>
          </w:p>
        </w:tc>
        <w:tc>
          <w:tcPr>
            <w:tcW w:w="902" w:type="dxa"/>
            <w:tcBorders>
              <w:top w:val="nil"/>
              <w:left w:val="nil"/>
              <w:bottom w:val="single" w:sz="4" w:space="0" w:color="auto"/>
              <w:right w:val="single" w:sz="4" w:space="0" w:color="auto"/>
            </w:tcBorders>
            <w:shd w:val="clear" w:color="auto" w:fill="auto"/>
            <w:noWrap/>
            <w:vAlign w:val="center"/>
            <w:hideMark/>
          </w:tcPr>
          <w:p w14:paraId="5C1765D1"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1,7%</w:t>
            </w:r>
          </w:p>
        </w:tc>
        <w:tc>
          <w:tcPr>
            <w:tcW w:w="819" w:type="dxa"/>
            <w:vMerge/>
            <w:tcBorders>
              <w:top w:val="nil"/>
              <w:left w:val="nil"/>
              <w:bottom w:val="nil"/>
              <w:right w:val="single" w:sz="4" w:space="0" w:color="auto"/>
            </w:tcBorders>
            <w:vAlign w:val="center"/>
            <w:hideMark/>
          </w:tcPr>
          <w:p w14:paraId="08A9F27F"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7AC8B75E"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6.902</w:t>
            </w:r>
          </w:p>
        </w:tc>
        <w:tc>
          <w:tcPr>
            <w:tcW w:w="978" w:type="dxa"/>
            <w:tcBorders>
              <w:top w:val="nil"/>
              <w:left w:val="nil"/>
              <w:bottom w:val="single" w:sz="4" w:space="0" w:color="auto"/>
              <w:right w:val="nil"/>
            </w:tcBorders>
            <w:shd w:val="clear" w:color="auto" w:fill="auto"/>
            <w:noWrap/>
            <w:vAlign w:val="center"/>
            <w:hideMark/>
          </w:tcPr>
          <w:p w14:paraId="012F8B10"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w:t>
            </w:r>
          </w:p>
        </w:tc>
        <w:tc>
          <w:tcPr>
            <w:tcW w:w="730" w:type="dxa"/>
            <w:tcBorders>
              <w:top w:val="nil"/>
              <w:left w:val="single" w:sz="4" w:space="0" w:color="auto"/>
              <w:bottom w:val="single" w:sz="4" w:space="0" w:color="auto"/>
              <w:right w:val="nil"/>
            </w:tcBorders>
            <w:shd w:val="clear" w:color="auto" w:fill="auto"/>
            <w:noWrap/>
            <w:vAlign w:val="center"/>
            <w:hideMark/>
          </w:tcPr>
          <w:p w14:paraId="17F6864F"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678B3F9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108.000</w:t>
            </w:r>
          </w:p>
        </w:tc>
        <w:tc>
          <w:tcPr>
            <w:tcW w:w="1044" w:type="dxa"/>
            <w:tcBorders>
              <w:top w:val="nil"/>
              <w:left w:val="nil"/>
              <w:bottom w:val="single" w:sz="4" w:space="0" w:color="auto"/>
              <w:right w:val="single" w:sz="4" w:space="0" w:color="auto"/>
            </w:tcBorders>
            <w:shd w:val="clear" w:color="auto" w:fill="auto"/>
            <w:noWrap/>
            <w:vAlign w:val="center"/>
            <w:hideMark/>
          </w:tcPr>
          <w:p w14:paraId="641386B7"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28.763</w:t>
            </w:r>
          </w:p>
        </w:tc>
        <w:tc>
          <w:tcPr>
            <w:tcW w:w="1044" w:type="dxa"/>
            <w:tcBorders>
              <w:top w:val="nil"/>
              <w:left w:val="nil"/>
              <w:bottom w:val="single" w:sz="4" w:space="0" w:color="auto"/>
              <w:right w:val="nil"/>
            </w:tcBorders>
            <w:shd w:val="clear" w:color="auto" w:fill="auto"/>
            <w:noWrap/>
            <w:vAlign w:val="center"/>
            <w:hideMark/>
          </w:tcPr>
          <w:p w14:paraId="5C241091"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136.763</w:t>
            </w:r>
          </w:p>
        </w:tc>
        <w:tc>
          <w:tcPr>
            <w:tcW w:w="1056" w:type="dxa"/>
            <w:tcBorders>
              <w:top w:val="nil"/>
              <w:left w:val="single" w:sz="4" w:space="0" w:color="auto"/>
              <w:bottom w:val="single" w:sz="4" w:space="0" w:color="auto"/>
              <w:right w:val="nil"/>
            </w:tcBorders>
            <w:shd w:val="clear" w:color="auto" w:fill="auto"/>
            <w:noWrap/>
            <w:vAlign w:val="center"/>
            <w:hideMark/>
          </w:tcPr>
          <w:p w14:paraId="6E9C6EB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024FDC0A" w14:textId="02C4501F"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8" w:space="0" w:color="auto"/>
              <w:bottom w:val="single" w:sz="8" w:space="0" w:color="auto"/>
              <w:right w:val="single" w:sz="8" w:space="0" w:color="auto"/>
            </w:tcBorders>
            <w:shd w:val="clear" w:color="auto" w:fill="auto"/>
            <w:vAlign w:val="center"/>
          </w:tcPr>
          <w:p w14:paraId="093065AE" w14:textId="6E076A31"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4CB92DCB" w14:textId="1342EAA5"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11.250.000</w:t>
            </w:r>
          </w:p>
        </w:tc>
        <w:tc>
          <w:tcPr>
            <w:tcW w:w="1255" w:type="dxa"/>
            <w:tcBorders>
              <w:top w:val="nil"/>
              <w:left w:val="single" w:sz="8" w:space="0" w:color="auto"/>
              <w:bottom w:val="single" w:sz="8" w:space="0" w:color="auto"/>
              <w:right w:val="single" w:sz="8" w:space="0" w:color="auto"/>
            </w:tcBorders>
            <w:shd w:val="clear" w:color="auto" w:fill="auto"/>
            <w:vAlign w:val="center"/>
          </w:tcPr>
          <w:p w14:paraId="3203C8E7" w14:textId="54C3883B"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1.493.131,59</w:t>
            </w:r>
          </w:p>
        </w:tc>
      </w:tr>
      <w:tr w:rsidR="00280EDD" w:rsidRPr="00FB7CFE" w14:paraId="3ED03BF7" w14:textId="563F04DB"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6EF2CF6E"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Krapinsko-zagorska </w:t>
            </w:r>
          </w:p>
        </w:tc>
        <w:tc>
          <w:tcPr>
            <w:tcW w:w="902" w:type="dxa"/>
            <w:tcBorders>
              <w:top w:val="nil"/>
              <w:left w:val="nil"/>
              <w:bottom w:val="single" w:sz="4" w:space="0" w:color="auto"/>
              <w:right w:val="single" w:sz="4" w:space="0" w:color="auto"/>
            </w:tcBorders>
            <w:shd w:val="clear" w:color="auto" w:fill="auto"/>
            <w:noWrap/>
            <w:vAlign w:val="center"/>
            <w:hideMark/>
          </w:tcPr>
          <w:p w14:paraId="740C972F"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1,7%</w:t>
            </w:r>
          </w:p>
        </w:tc>
        <w:tc>
          <w:tcPr>
            <w:tcW w:w="819" w:type="dxa"/>
            <w:vMerge/>
            <w:tcBorders>
              <w:top w:val="nil"/>
              <w:left w:val="nil"/>
              <w:bottom w:val="nil"/>
              <w:right w:val="single" w:sz="4" w:space="0" w:color="auto"/>
            </w:tcBorders>
            <w:vAlign w:val="center"/>
            <w:hideMark/>
          </w:tcPr>
          <w:p w14:paraId="2210D964"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7B7099C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6.963</w:t>
            </w:r>
          </w:p>
        </w:tc>
        <w:tc>
          <w:tcPr>
            <w:tcW w:w="978" w:type="dxa"/>
            <w:tcBorders>
              <w:top w:val="nil"/>
              <w:left w:val="nil"/>
              <w:bottom w:val="single" w:sz="4" w:space="0" w:color="auto"/>
              <w:right w:val="nil"/>
            </w:tcBorders>
            <w:shd w:val="clear" w:color="auto" w:fill="auto"/>
            <w:noWrap/>
            <w:vAlign w:val="center"/>
            <w:hideMark/>
          </w:tcPr>
          <w:p w14:paraId="29C8804C"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730" w:type="dxa"/>
            <w:tcBorders>
              <w:top w:val="nil"/>
              <w:left w:val="single" w:sz="4" w:space="0" w:color="auto"/>
              <w:bottom w:val="single" w:sz="4" w:space="0" w:color="auto"/>
              <w:right w:val="nil"/>
            </w:tcBorders>
            <w:shd w:val="clear" w:color="auto" w:fill="auto"/>
            <w:noWrap/>
            <w:vAlign w:val="center"/>
            <w:hideMark/>
          </w:tcPr>
          <w:p w14:paraId="0BEEBA2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60683C23"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19D7FFFB"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nil"/>
            </w:tcBorders>
            <w:shd w:val="clear" w:color="auto" w:fill="auto"/>
            <w:noWrap/>
            <w:vAlign w:val="center"/>
            <w:hideMark/>
          </w:tcPr>
          <w:p w14:paraId="0E83FDEE"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56" w:type="dxa"/>
            <w:tcBorders>
              <w:top w:val="nil"/>
              <w:left w:val="single" w:sz="4" w:space="0" w:color="auto"/>
              <w:bottom w:val="single" w:sz="4" w:space="0" w:color="auto"/>
              <w:right w:val="nil"/>
            </w:tcBorders>
            <w:shd w:val="clear" w:color="auto" w:fill="auto"/>
            <w:noWrap/>
            <w:vAlign w:val="center"/>
            <w:hideMark/>
          </w:tcPr>
          <w:p w14:paraId="78B13A5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6.963</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42184C96" w14:textId="4CD04252"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34.813.872</w:t>
            </w:r>
          </w:p>
        </w:tc>
        <w:tc>
          <w:tcPr>
            <w:tcW w:w="1235" w:type="dxa"/>
            <w:tcBorders>
              <w:top w:val="nil"/>
              <w:left w:val="single" w:sz="8" w:space="0" w:color="auto"/>
              <w:bottom w:val="single" w:sz="8" w:space="0" w:color="auto"/>
              <w:right w:val="single" w:sz="8" w:space="0" w:color="auto"/>
            </w:tcBorders>
            <w:shd w:val="clear" w:color="auto" w:fill="auto"/>
            <w:vAlign w:val="center"/>
          </w:tcPr>
          <w:p w14:paraId="0731411A" w14:textId="5E3A7D1B"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4.620.594,86</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393EF1D5" w14:textId="20B97E5C"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55" w:type="dxa"/>
            <w:tcBorders>
              <w:top w:val="nil"/>
              <w:left w:val="single" w:sz="8" w:space="0" w:color="auto"/>
              <w:bottom w:val="single" w:sz="8" w:space="0" w:color="auto"/>
              <w:right w:val="single" w:sz="8" w:space="0" w:color="auto"/>
            </w:tcBorders>
            <w:shd w:val="clear" w:color="auto" w:fill="auto"/>
            <w:vAlign w:val="center"/>
          </w:tcPr>
          <w:p w14:paraId="4AAA3593" w14:textId="45040622"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280EDD" w:rsidRPr="00FB7CFE" w14:paraId="21567891" w14:textId="7ED63771"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5599466D"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Ličko-senjska </w:t>
            </w:r>
          </w:p>
        </w:tc>
        <w:tc>
          <w:tcPr>
            <w:tcW w:w="902" w:type="dxa"/>
            <w:tcBorders>
              <w:top w:val="nil"/>
              <w:left w:val="nil"/>
              <w:bottom w:val="single" w:sz="4" w:space="0" w:color="auto"/>
              <w:right w:val="single" w:sz="4" w:space="0" w:color="auto"/>
            </w:tcBorders>
            <w:shd w:val="clear" w:color="auto" w:fill="auto"/>
            <w:noWrap/>
            <w:vAlign w:val="center"/>
            <w:hideMark/>
          </w:tcPr>
          <w:p w14:paraId="742F9950"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w:t>
            </w:r>
          </w:p>
        </w:tc>
        <w:tc>
          <w:tcPr>
            <w:tcW w:w="819" w:type="dxa"/>
            <w:vMerge/>
            <w:tcBorders>
              <w:top w:val="nil"/>
              <w:left w:val="nil"/>
              <w:bottom w:val="nil"/>
              <w:right w:val="single" w:sz="4" w:space="0" w:color="auto"/>
            </w:tcBorders>
            <w:vAlign w:val="center"/>
            <w:hideMark/>
          </w:tcPr>
          <w:p w14:paraId="61198A78"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2BE219E7"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5.975</w:t>
            </w:r>
          </w:p>
        </w:tc>
        <w:tc>
          <w:tcPr>
            <w:tcW w:w="978" w:type="dxa"/>
            <w:tcBorders>
              <w:top w:val="nil"/>
              <w:left w:val="nil"/>
              <w:bottom w:val="single" w:sz="4" w:space="0" w:color="auto"/>
              <w:right w:val="nil"/>
            </w:tcBorders>
            <w:shd w:val="clear" w:color="auto" w:fill="auto"/>
            <w:noWrap/>
            <w:vAlign w:val="center"/>
            <w:hideMark/>
          </w:tcPr>
          <w:p w14:paraId="1C087382"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730" w:type="dxa"/>
            <w:tcBorders>
              <w:top w:val="nil"/>
              <w:left w:val="single" w:sz="4" w:space="0" w:color="auto"/>
              <w:bottom w:val="single" w:sz="4" w:space="0" w:color="auto"/>
              <w:right w:val="nil"/>
            </w:tcBorders>
            <w:shd w:val="clear" w:color="auto" w:fill="auto"/>
            <w:noWrap/>
            <w:vAlign w:val="center"/>
            <w:hideMark/>
          </w:tcPr>
          <w:p w14:paraId="0B440BBC"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4C82E60A"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54BFF70E"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nil"/>
            </w:tcBorders>
            <w:shd w:val="clear" w:color="auto" w:fill="auto"/>
            <w:noWrap/>
            <w:vAlign w:val="center"/>
            <w:hideMark/>
          </w:tcPr>
          <w:p w14:paraId="6375C3BA"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56" w:type="dxa"/>
            <w:tcBorders>
              <w:top w:val="nil"/>
              <w:left w:val="single" w:sz="4" w:space="0" w:color="auto"/>
              <w:bottom w:val="single" w:sz="4" w:space="0" w:color="auto"/>
              <w:right w:val="nil"/>
            </w:tcBorders>
            <w:shd w:val="clear" w:color="auto" w:fill="auto"/>
            <w:noWrap/>
            <w:vAlign w:val="center"/>
            <w:hideMark/>
          </w:tcPr>
          <w:p w14:paraId="37E2A923"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5.975</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0D7F7324" w14:textId="7BD9251D"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29.876.478</w:t>
            </w:r>
          </w:p>
        </w:tc>
        <w:tc>
          <w:tcPr>
            <w:tcW w:w="1235" w:type="dxa"/>
            <w:tcBorders>
              <w:top w:val="nil"/>
              <w:left w:val="single" w:sz="8" w:space="0" w:color="auto"/>
              <w:bottom w:val="single" w:sz="8" w:space="0" w:color="auto"/>
              <w:right w:val="single" w:sz="8" w:space="0" w:color="auto"/>
            </w:tcBorders>
            <w:shd w:val="clear" w:color="auto" w:fill="auto"/>
            <w:vAlign w:val="center"/>
          </w:tcPr>
          <w:p w14:paraId="6AE5F415" w14:textId="04DE64C1"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3.965.290,07</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6D70F43B" w14:textId="079B4656"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55" w:type="dxa"/>
            <w:tcBorders>
              <w:top w:val="nil"/>
              <w:left w:val="single" w:sz="8" w:space="0" w:color="auto"/>
              <w:bottom w:val="single" w:sz="8" w:space="0" w:color="auto"/>
              <w:right w:val="single" w:sz="8" w:space="0" w:color="auto"/>
            </w:tcBorders>
            <w:shd w:val="clear" w:color="auto" w:fill="auto"/>
            <w:vAlign w:val="center"/>
          </w:tcPr>
          <w:p w14:paraId="7B19F198" w14:textId="3F1E5253"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280EDD" w:rsidRPr="00FB7CFE" w14:paraId="20A1772C" w14:textId="2D5644B0"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0D5C1358"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Međimurska </w:t>
            </w:r>
          </w:p>
        </w:tc>
        <w:tc>
          <w:tcPr>
            <w:tcW w:w="902" w:type="dxa"/>
            <w:tcBorders>
              <w:top w:val="nil"/>
              <w:left w:val="nil"/>
              <w:bottom w:val="single" w:sz="4" w:space="0" w:color="auto"/>
              <w:right w:val="single" w:sz="4" w:space="0" w:color="auto"/>
            </w:tcBorders>
            <w:shd w:val="clear" w:color="auto" w:fill="auto"/>
            <w:noWrap/>
            <w:vAlign w:val="center"/>
            <w:hideMark/>
          </w:tcPr>
          <w:p w14:paraId="205EC115"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2,6%</w:t>
            </w:r>
          </w:p>
        </w:tc>
        <w:tc>
          <w:tcPr>
            <w:tcW w:w="819" w:type="dxa"/>
            <w:vMerge/>
            <w:tcBorders>
              <w:top w:val="nil"/>
              <w:left w:val="nil"/>
              <w:bottom w:val="nil"/>
              <w:right w:val="single" w:sz="4" w:space="0" w:color="auto"/>
            </w:tcBorders>
            <w:vAlign w:val="center"/>
            <w:hideMark/>
          </w:tcPr>
          <w:p w14:paraId="6E21F940"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2863F60D"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12.951</w:t>
            </w:r>
          </w:p>
        </w:tc>
        <w:tc>
          <w:tcPr>
            <w:tcW w:w="978" w:type="dxa"/>
            <w:tcBorders>
              <w:top w:val="nil"/>
              <w:left w:val="nil"/>
              <w:bottom w:val="single" w:sz="4" w:space="0" w:color="auto"/>
              <w:right w:val="nil"/>
            </w:tcBorders>
            <w:shd w:val="clear" w:color="auto" w:fill="auto"/>
            <w:noWrap/>
            <w:vAlign w:val="center"/>
            <w:hideMark/>
          </w:tcPr>
          <w:p w14:paraId="1DE3167C"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730" w:type="dxa"/>
            <w:tcBorders>
              <w:top w:val="nil"/>
              <w:left w:val="single" w:sz="4" w:space="0" w:color="auto"/>
              <w:bottom w:val="single" w:sz="4" w:space="0" w:color="auto"/>
              <w:right w:val="nil"/>
            </w:tcBorders>
            <w:shd w:val="clear" w:color="auto" w:fill="auto"/>
            <w:noWrap/>
            <w:vAlign w:val="center"/>
            <w:hideMark/>
          </w:tcPr>
          <w:p w14:paraId="2BE24AA5"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23566D3E"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45A99A12"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16.780</w:t>
            </w:r>
          </w:p>
        </w:tc>
        <w:tc>
          <w:tcPr>
            <w:tcW w:w="1044" w:type="dxa"/>
            <w:tcBorders>
              <w:top w:val="nil"/>
              <w:left w:val="nil"/>
              <w:bottom w:val="single" w:sz="4" w:space="0" w:color="auto"/>
              <w:right w:val="nil"/>
            </w:tcBorders>
            <w:shd w:val="clear" w:color="auto" w:fill="auto"/>
            <w:noWrap/>
            <w:vAlign w:val="center"/>
            <w:hideMark/>
          </w:tcPr>
          <w:p w14:paraId="1688875F"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16.780</w:t>
            </w:r>
          </w:p>
        </w:tc>
        <w:tc>
          <w:tcPr>
            <w:tcW w:w="1056" w:type="dxa"/>
            <w:tcBorders>
              <w:top w:val="nil"/>
              <w:left w:val="single" w:sz="4" w:space="0" w:color="auto"/>
              <w:bottom w:val="single" w:sz="4" w:space="0" w:color="auto"/>
              <w:right w:val="nil"/>
            </w:tcBorders>
            <w:shd w:val="clear" w:color="auto" w:fill="auto"/>
            <w:noWrap/>
            <w:vAlign w:val="center"/>
            <w:hideMark/>
          </w:tcPr>
          <w:p w14:paraId="0EBE1165"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CAE06EA" w14:textId="5471D3C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8" w:space="0" w:color="auto"/>
              <w:bottom w:val="single" w:sz="8" w:space="0" w:color="auto"/>
              <w:right w:val="single" w:sz="8" w:space="0" w:color="auto"/>
            </w:tcBorders>
            <w:shd w:val="clear" w:color="auto" w:fill="auto"/>
            <w:vAlign w:val="center"/>
          </w:tcPr>
          <w:p w14:paraId="1222459E" w14:textId="65033EAB"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2B4C13D4" w14:textId="12D1B53B"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55" w:type="dxa"/>
            <w:tcBorders>
              <w:top w:val="nil"/>
              <w:left w:val="single" w:sz="8" w:space="0" w:color="auto"/>
              <w:bottom w:val="single" w:sz="8" w:space="0" w:color="auto"/>
              <w:right w:val="single" w:sz="8" w:space="0" w:color="auto"/>
            </w:tcBorders>
            <w:shd w:val="clear" w:color="auto" w:fill="auto"/>
            <w:vAlign w:val="center"/>
          </w:tcPr>
          <w:p w14:paraId="6195E023" w14:textId="522F38DA"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280EDD" w:rsidRPr="00FB7CFE" w14:paraId="777BC4C8" w14:textId="4DC49480"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6D658D93"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Osječko-baranjska </w:t>
            </w:r>
          </w:p>
        </w:tc>
        <w:tc>
          <w:tcPr>
            <w:tcW w:w="902" w:type="dxa"/>
            <w:tcBorders>
              <w:top w:val="nil"/>
              <w:left w:val="nil"/>
              <w:bottom w:val="single" w:sz="4" w:space="0" w:color="auto"/>
              <w:right w:val="single" w:sz="4" w:space="0" w:color="auto"/>
            </w:tcBorders>
            <w:shd w:val="clear" w:color="auto" w:fill="auto"/>
            <w:noWrap/>
            <w:vAlign w:val="center"/>
            <w:hideMark/>
          </w:tcPr>
          <w:p w14:paraId="6BF54240"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5,1%</w:t>
            </w:r>
          </w:p>
        </w:tc>
        <w:tc>
          <w:tcPr>
            <w:tcW w:w="819" w:type="dxa"/>
            <w:vMerge/>
            <w:tcBorders>
              <w:top w:val="nil"/>
              <w:left w:val="nil"/>
              <w:bottom w:val="nil"/>
              <w:right w:val="single" w:sz="4" w:space="0" w:color="auto"/>
            </w:tcBorders>
            <w:vAlign w:val="center"/>
            <w:hideMark/>
          </w:tcPr>
          <w:p w14:paraId="3AFB8936"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5ECBAF1D"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20.319</w:t>
            </w:r>
          </w:p>
        </w:tc>
        <w:tc>
          <w:tcPr>
            <w:tcW w:w="978" w:type="dxa"/>
            <w:tcBorders>
              <w:top w:val="nil"/>
              <w:left w:val="nil"/>
              <w:bottom w:val="single" w:sz="4" w:space="0" w:color="auto"/>
              <w:right w:val="nil"/>
            </w:tcBorders>
            <w:shd w:val="clear" w:color="auto" w:fill="auto"/>
            <w:noWrap/>
            <w:vAlign w:val="center"/>
            <w:hideMark/>
          </w:tcPr>
          <w:p w14:paraId="4709C4D9"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13</w:t>
            </w:r>
          </w:p>
        </w:tc>
        <w:tc>
          <w:tcPr>
            <w:tcW w:w="730" w:type="dxa"/>
            <w:tcBorders>
              <w:top w:val="nil"/>
              <w:left w:val="single" w:sz="4" w:space="0" w:color="auto"/>
              <w:bottom w:val="single" w:sz="4" w:space="0" w:color="auto"/>
              <w:right w:val="nil"/>
            </w:tcBorders>
            <w:shd w:val="clear" w:color="auto" w:fill="auto"/>
            <w:noWrap/>
            <w:vAlign w:val="center"/>
            <w:hideMark/>
          </w:tcPr>
          <w:p w14:paraId="5CD1A673"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71EB8003"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438.275</w:t>
            </w:r>
          </w:p>
        </w:tc>
        <w:tc>
          <w:tcPr>
            <w:tcW w:w="1044" w:type="dxa"/>
            <w:tcBorders>
              <w:top w:val="nil"/>
              <w:left w:val="nil"/>
              <w:bottom w:val="single" w:sz="4" w:space="0" w:color="auto"/>
              <w:right w:val="single" w:sz="4" w:space="0" w:color="auto"/>
            </w:tcBorders>
            <w:shd w:val="clear" w:color="auto" w:fill="auto"/>
            <w:noWrap/>
            <w:vAlign w:val="center"/>
            <w:hideMark/>
          </w:tcPr>
          <w:p w14:paraId="729AE50E"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4.499</w:t>
            </w:r>
          </w:p>
        </w:tc>
        <w:tc>
          <w:tcPr>
            <w:tcW w:w="1044" w:type="dxa"/>
            <w:tcBorders>
              <w:top w:val="nil"/>
              <w:left w:val="nil"/>
              <w:bottom w:val="single" w:sz="4" w:space="0" w:color="auto"/>
              <w:right w:val="nil"/>
            </w:tcBorders>
            <w:shd w:val="clear" w:color="auto" w:fill="auto"/>
            <w:noWrap/>
            <w:vAlign w:val="center"/>
            <w:hideMark/>
          </w:tcPr>
          <w:p w14:paraId="3B522E91"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442.774</w:t>
            </w:r>
          </w:p>
        </w:tc>
        <w:tc>
          <w:tcPr>
            <w:tcW w:w="1056" w:type="dxa"/>
            <w:tcBorders>
              <w:top w:val="nil"/>
              <w:left w:val="single" w:sz="4" w:space="0" w:color="auto"/>
              <w:bottom w:val="single" w:sz="4" w:space="0" w:color="auto"/>
              <w:right w:val="nil"/>
            </w:tcBorders>
            <w:shd w:val="clear" w:color="auto" w:fill="auto"/>
            <w:noWrap/>
            <w:vAlign w:val="center"/>
            <w:hideMark/>
          </w:tcPr>
          <w:p w14:paraId="5AD13A7B"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7BD574D" w14:textId="2DD65814"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8" w:space="0" w:color="auto"/>
              <w:bottom w:val="single" w:sz="8" w:space="0" w:color="auto"/>
              <w:right w:val="single" w:sz="8" w:space="0" w:color="auto"/>
            </w:tcBorders>
            <w:shd w:val="clear" w:color="auto" w:fill="auto"/>
            <w:vAlign w:val="center"/>
          </w:tcPr>
          <w:p w14:paraId="65896CFF" w14:textId="2886C318"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25CAFDEA" w14:textId="47D5862E"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48.750.000</w:t>
            </w:r>
          </w:p>
        </w:tc>
        <w:tc>
          <w:tcPr>
            <w:tcW w:w="1255" w:type="dxa"/>
            <w:tcBorders>
              <w:top w:val="nil"/>
              <w:left w:val="single" w:sz="8" w:space="0" w:color="auto"/>
              <w:bottom w:val="single" w:sz="8" w:space="0" w:color="auto"/>
              <w:right w:val="single" w:sz="8" w:space="0" w:color="auto"/>
            </w:tcBorders>
            <w:shd w:val="clear" w:color="auto" w:fill="auto"/>
            <w:vAlign w:val="center"/>
          </w:tcPr>
          <w:p w14:paraId="0981E106" w14:textId="29FD0B71"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6.470.236,91</w:t>
            </w:r>
          </w:p>
        </w:tc>
      </w:tr>
      <w:tr w:rsidR="00280EDD" w:rsidRPr="00FB7CFE" w14:paraId="14AA33E1" w14:textId="56A25395"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6239377F"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Požeško-slavonska </w:t>
            </w:r>
          </w:p>
        </w:tc>
        <w:tc>
          <w:tcPr>
            <w:tcW w:w="902" w:type="dxa"/>
            <w:tcBorders>
              <w:top w:val="nil"/>
              <w:left w:val="nil"/>
              <w:bottom w:val="single" w:sz="4" w:space="0" w:color="auto"/>
              <w:right w:val="single" w:sz="4" w:space="0" w:color="auto"/>
            </w:tcBorders>
            <w:shd w:val="clear" w:color="auto" w:fill="auto"/>
            <w:noWrap/>
            <w:vAlign w:val="center"/>
            <w:hideMark/>
          </w:tcPr>
          <w:p w14:paraId="4812F34E"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1,0%</w:t>
            </w:r>
          </w:p>
        </w:tc>
        <w:tc>
          <w:tcPr>
            <w:tcW w:w="819" w:type="dxa"/>
            <w:vMerge/>
            <w:tcBorders>
              <w:top w:val="nil"/>
              <w:left w:val="nil"/>
              <w:bottom w:val="nil"/>
              <w:right w:val="single" w:sz="4" w:space="0" w:color="auto"/>
            </w:tcBorders>
            <w:vAlign w:val="center"/>
            <w:hideMark/>
          </w:tcPr>
          <w:p w14:paraId="1A0CCDF5"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7845E29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3.860</w:t>
            </w:r>
          </w:p>
        </w:tc>
        <w:tc>
          <w:tcPr>
            <w:tcW w:w="978" w:type="dxa"/>
            <w:tcBorders>
              <w:top w:val="nil"/>
              <w:left w:val="nil"/>
              <w:bottom w:val="single" w:sz="4" w:space="0" w:color="auto"/>
              <w:right w:val="nil"/>
            </w:tcBorders>
            <w:shd w:val="clear" w:color="auto" w:fill="auto"/>
            <w:noWrap/>
            <w:vAlign w:val="center"/>
            <w:hideMark/>
          </w:tcPr>
          <w:p w14:paraId="2C1238E9"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730" w:type="dxa"/>
            <w:tcBorders>
              <w:top w:val="nil"/>
              <w:left w:val="single" w:sz="4" w:space="0" w:color="auto"/>
              <w:bottom w:val="single" w:sz="4" w:space="0" w:color="auto"/>
              <w:right w:val="nil"/>
            </w:tcBorders>
            <w:shd w:val="clear" w:color="auto" w:fill="auto"/>
            <w:noWrap/>
            <w:vAlign w:val="center"/>
            <w:hideMark/>
          </w:tcPr>
          <w:p w14:paraId="521E00E9"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6415C24F"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31CC3E7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1.000</w:t>
            </w:r>
          </w:p>
        </w:tc>
        <w:tc>
          <w:tcPr>
            <w:tcW w:w="1044" w:type="dxa"/>
            <w:tcBorders>
              <w:top w:val="nil"/>
              <w:left w:val="nil"/>
              <w:bottom w:val="single" w:sz="4" w:space="0" w:color="auto"/>
              <w:right w:val="nil"/>
            </w:tcBorders>
            <w:shd w:val="clear" w:color="auto" w:fill="auto"/>
            <w:noWrap/>
            <w:vAlign w:val="center"/>
            <w:hideMark/>
          </w:tcPr>
          <w:p w14:paraId="03855F6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1.000</w:t>
            </w:r>
          </w:p>
        </w:tc>
        <w:tc>
          <w:tcPr>
            <w:tcW w:w="1056" w:type="dxa"/>
            <w:tcBorders>
              <w:top w:val="nil"/>
              <w:left w:val="single" w:sz="4" w:space="0" w:color="auto"/>
              <w:bottom w:val="single" w:sz="4" w:space="0" w:color="auto"/>
              <w:right w:val="nil"/>
            </w:tcBorders>
            <w:shd w:val="clear" w:color="auto" w:fill="auto"/>
            <w:noWrap/>
            <w:vAlign w:val="center"/>
            <w:hideMark/>
          </w:tcPr>
          <w:p w14:paraId="2EA9DC25"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2.860</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456F363B" w14:textId="2D01395B"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14.301.276</w:t>
            </w:r>
          </w:p>
        </w:tc>
        <w:tc>
          <w:tcPr>
            <w:tcW w:w="1235" w:type="dxa"/>
            <w:tcBorders>
              <w:top w:val="nil"/>
              <w:left w:val="single" w:sz="8" w:space="0" w:color="auto"/>
              <w:bottom w:val="single" w:sz="8" w:space="0" w:color="auto"/>
              <w:right w:val="single" w:sz="8" w:space="0" w:color="auto"/>
            </w:tcBorders>
            <w:shd w:val="clear" w:color="auto" w:fill="auto"/>
            <w:vAlign w:val="center"/>
          </w:tcPr>
          <w:p w14:paraId="57B85BEC" w14:textId="03B8E0AA"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1.898.105,51</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56805784" w14:textId="64276E1E"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55" w:type="dxa"/>
            <w:tcBorders>
              <w:top w:val="nil"/>
              <w:left w:val="single" w:sz="8" w:space="0" w:color="auto"/>
              <w:bottom w:val="single" w:sz="8" w:space="0" w:color="auto"/>
              <w:right w:val="single" w:sz="8" w:space="0" w:color="auto"/>
            </w:tcBorders>
            <w:shd w:val="clear" w:color="auto" w:fill="auto"/>
            <w:vAlign w:val="center"/>
          </w:tcPr>
          <w:p w14:paraId="2C6D6202" w14:textId="68E8869E"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280EDD" w:rsidRPr="00FB7CFE" w14:paraId="31E6A857" w14:textId="7B55A942"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6094F8CE"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Primorsko-goranska </w:t>
            </w:r>
          </w:p>
        </w:tc>
        <w:tc>
          <w:tcPr>
            <w:tcW w:w="902" w:type="dxa"/>
            <w:tcBorders>
              <w:top w:val="nil"/>
              <w:left w:val="nil"/>
              <w:bottom w:val="single" w:sz="4" w:space="0" w:color="auto"/>
              <w:right w:val="single" w:sz="4" w:space="0" w:color="auto"/>
            </w:tcBorders>
            <w:shd w:val="clear" w:color="auto" w:fill="auto"/>
            <w:noWrap/>
            <w:vAlign w:val="center"/>
            <w:hideMark/>
          </w:tcPr>
          <w:p w14:paraId="4E19EE45"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9,7%</w:t>
            </w:r>
          </w:p>
        </w:tc>
        <w:tc>
          <w:tcPr>
            <w:tcW w:w="819" w:type="dxa"/>
            <w:vMerge/>
            <w:tcBorders>
              <w:top w:val="nil"/>
              <w:left w:val="nil"/>
              <w:bottom w:val="nil"/>
              <w:right w:val="single" w:sz="4" w:space="0" w:color="auto"/>
            </w:tcBorders>
            <w:vAlign w:val="center"/>
            <w:hideMark/>
          </w:tcPr>
          <w:p w14:paraId="53D6BB6F"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6FE1808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39.125</w:t>
            </w:r>
          </w:p>
        </w:tc>
        <w:tc>
          <w:tcPr>
            <w:tcW w:w="978" w:type="dxa"/>
            <w:tcBorders>
              <w:top w:val="nil"/>
              <w:left w:val="nil"/>
              <w:bottom w:val="single" w:sz="4" w:space="0" w:color="auto"/>
              <w:right w:val="nil"/>
            </w:tcBorders>
            <w:shd w:val="clear" w:color="auto" w:fill="auto"/>
            <w:noWrap/>
            <w:vAlign w:val="center"/>
            <w:hideMark/>
          </w:tcPr>
          <w:p w14:paraId="390C3713"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730" w:type="dxa"/>
            <w:tcBorders>
              <w:top w:val="nil"/>
              <w:left w:val="single" w:sz="4" w:space="0" w:color="auto"/>
              <w:bottom w:val="single" w:sz="4" w:space="0" w:color="auto"/>
              <w:right w:val="nil"/>
            </w:tcBorders>
            <w:shd w:val="clear" w:color="auto" w:fill="auto"/>
            <w:noWrap/>
            <w:vAlign w:val="center"/>
            <w:hideMark/>
          </w:tcPr>
          <w:p w14:paraId="24A995C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18E34D15"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6310E00A"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2.000</w:t>
            </w:r>
          </w:p>
        </w:tc>
        <w:tc>
          <w:tcPr>
            <w:tcW w:w="1044" w:type="dxa"/>
            <w:tcBorders>
              <w:top w:val="nil"/>
              <w:left w:val="nil"/>
              <w:bottom w:val="single" w:sz="4" w:space="0" w:color="auto"/>
              <w:right w:val="nil"/>
            </w:tcBorders>
            <w:shd w:val="clear" w:color="auto" w:fill="auto"/>
            <w:noWrap/>
            <w:vAlign w:val="center"/>
            <w:hideMark/>
          </w:tcPr>
          <w:p w14:paraId="196FCF6E"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2.000</w:t>
            </w:r>
          </w:p>
        </w:tc>
        <w:tc>
          <w:tcPr>
            <w:tcW w:w="1056" w:type="dxa"/>
            <w:tcBorders>
              <w:top w:val="nil"/>
              <w:left w:val="single" w:sz="4" w:space="0" w:color="auto"/>
              <w:bottom w:val="single" w:sz="4" w:space="0" w:color="auto"/>
              <w:right w:val="nil"/>
            </w:tcBorders>
            <w:shd w:val="clear" w:color="auto" w:fill="auto"/>
            <w:noWrap/>
            <w:vAlign w:val="center"/>
            <w:hideMark/>
          </w:tcPr>
          <w:p w14:paraId="717562BC"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37.125</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3F59B3D8" w14:textId="1D371232"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185.626.084</w:t>
            </w:r>
          </w:p>
        </w:tc>
        <w:tc>
          <w:tcPr>
            <w:tcW w:w="1235" w:type="dxa"/>
            <w:tcBorders>
              <w:top w:val="nil"/>
              <w:left w:val="single" w:sz="8" w:space="0" w:color="auto"/>
              <w:bottom w:val="single" w:sz="8" w:space="0" w:color="auto"/>
              <w:right w:val="single" w:sz="8" w:space="0" w:color="auto"/>
            </w:tcBorders>
            <w:shd w:val="clear" w:color="auto" w:fill="auto"/>
            <w:vAlign w:val="center"/>
          </w:tcPr>
          <w:p w14:paraId="0817B507" w14:textId="668F7C13"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24.636.815,18</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6F552E85" w14:textId="56AB6392"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55" w:type="dxa"/>
            <w:tcBorders>
              <w:top w:val="nil"/>
              <w:left w:val="single" w:sz="8" w:space="0" w:color="auto"/>
              <w:bottom w:val="single" w:sz="8" w:space="0" w:color="auto"/>
              <w:right w:val="single" w:sz="8" w:space="0" w:color="auto"/>
            </w:tcBorders>
            <w:shd w:val="clear" w:color="auto" w:fill="auto"/>
            <w:vAlign w:val="center"/>
          </w:tcPr>
          <w:p w14:paraId="204B5492" w14:textId="6C36B987"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280EDD" w:rsidRPr="00FB7CFE" w14:paraId="072DB775" w14:textId="04F827CE"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78D4ED8A"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Sisačko-moslavačka </w:t>
            </w:r>
          </w:p>
        </w:tc>
        <w:tc>
          <w:tcPr>
            <w:tcW w:w="902" w:type="dxa"/>
            <w:tcBorders>
              <w:top w:val="nil"/>
              <w:left w:val="nil"/>
              <w:bottom w:val="single" w:sz="4" w:space="0" w:color="auto"/>
              <w:right w:val="single" w:sz="4" w:space="0" w:color="auto"/>
            </w:tcBorders>
            <w:shd w:val="clear" w:color="auto" w:fill="auto"/>
            <w:noWrap/>
            <w:vAlign w:val="center"/>
            <w:hideMark/>
          </w:tcPr>
          <w:p w14:paraId="1BA9C27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2,7%</w:t>
            </w:r>
          </w:p>
        </w:tc>
        <w:tc>
          <w:tcPr>
            <w:tcW w:w="819" w:type="dxa"/>
            <w:vMerge/>
            <w:tcBorders>
              <w:top w:val="nil"/>
              <w:left w:val="nil"/>
              <w:bottom w:val="nil"/>
              <w:right w:val="single" w:sz="4" w:space="0" w:color="auto"/>
            </w:tcBorders>
            <w:vAlign w:val="center"/>
            <w:hideMark/>
          </w:tcPr>
          <w:p w14:paraId="5A962878"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4D9B6A3F"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10.967</w:t>
            </w:r>
          </w:p>
        </w:tc>
        <w:tc>
          <w:tcPr>
            <w:tcW w:w="978" w:type="dxa"/>
            <w:tcBorders>
              <w:top w:val="nil"/>
              <w:left w:val="nil"/>
              <w:bottom w:val="single" w:sz="4" w:space="0" w:color="auto"/>
              <w:right w:val="nil"/>
            </w:tcBorders>
            <w:shd w:val="clear" w:color="auto" w:fill="auto"/>
            <w:noWrap/>
            <w:vAlign w:val="center"/>
            <w:hideMark/>
          </w:tcPr>
          <w:p w14:paraId="5E47C6E1"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730" w:type="dxa"/>
            <w:tcBorders>
              <w:top w:val="nil"/>
              <w:left w:val="single" w:sz="4" w:space="0" w:color="auto"/>
              <w:bottom w:val="single" w:sz="4" w:space="0" w:color="auto"/>
              <w:right w:val="nil"/>
            </w:tcBorders>
            <w:shd w:val="clear" w:color="auto" w:fill="auto"/>
            <w:noWrap/>
            <w:vAlign w:val="center"/>
            <w:hideMark/>
          </w:tcPr>
          <w:p w14:paraId="02A59755"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25AB5971"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39931B6C"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29.700</w:t>
            </w:r>
          </w:p>
        </w:tc>
        <w:tc>
          <w:tcPr>
            <w:tcW w:w="1044" w:type="dxa"/>
            <w:tcBorders>
              <w:top w:val="nil"/>
              <w:left w:val="nil"/>
              <w:bottom w:val="single" w:sz="4" w:space="0" w:color="auto"/>
              <w:right w:val="nil"/>
            </w:tcBorders>
            <w:shd w:val="clear" w:color="auto" w:fill="auto"/>
            <w:noWrap/>
            <w:vAlign w:val="center"/>
            <w:hideMark/>
          </w:tcPr>
          <w:p w14:paraId="5B8FC0C5"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29.700</w:t>
            </w:r>
          </w:p>
        </w:tc>
        <w:tc>
          <w:tcPr>
            <w:tcW w:w="1056" w:type="dxa"/>
            <w:tcBorders>
              <w:top w:val="nil"/>
              <w:left w:val="single" w:sz="4" w:space="0" w:color="auto"/>
              <w:bottom w:val="single" w:sz="4" w:space="0" w:color="auto"/>
              <w:right w:val="nil"/>
            </w:tcBorders>
            <w:shd w:val="clear" w:color="auto" w:fill="auto"/>
            <w:noWrap/>
            <w:vAlign w:val="center"/>
            <w:hideMark/>
          </w:tcPr>
          <w:p w14:paraId="34E32ACC"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09ED96CD" w14:textId="64C1DB55"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8" w:space="0" w:color="auto"/>
              <w:bottom w:val="single" w:sz="8" w:space="0" w:color="auto"/>
              <w:right w:val="single" w:sz="8" w:space="0" w:color="auto"/>
            </w:tcBorders>
            <w:shd w:val="clear" w:color="auto" w:fill="auto"/>
            <w:vAlign w:val="center"/>
          </w:tcPr>
          <w:p w14:paraId="622EB2F1" w14:textId="2DC52503"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7ABEDCE8" w14:textId="108890FB"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55" w:type="dxa"/>
            <w:tcBorders>
              <w:top w:val="nil"/>
              <w:left w:val="single" w:sz="8" w:space="0" w:color="auto"/>
              <w:bottom w:val="single" w:sz="8" w:space="0" w:color="auto"/>
              <w:right w:val="single" w:sz="8" w:space="0" w:color="auto"/>
            </w:tcBorders>
            <w:shd w:val="clear" w:color="auto" w:fill="auto"/>
            <w:vAlign w:val="center"/>
          </w:tcPr>
          <w:p w14:paraId="3F1BB73E" w14:textId="49DE6DFA"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280EDD" w:rsidRPr="00FB7CFE" w14:paraId="2B33DDEF" w14:textId="2551A236"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7FE3AAB0"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Splitsko-dalmatinska </w:t>
            </w:r>
          </w:p>
        </w:tc>
        <w:tc>
          <w:tcPr>
            <w:tcW w:w="902" w:type="dxa"/>
            <w:tcBorders>
              <w:top w:val="nil"/>
              <w:left w:val="nil"/>
              <w:bottom w:val="single" w:sz="4" w:space="0" w:color="auto"/>
              <w:right w:val="single" w:sz="4" w:space="0" w:color="auto"/>
            </w:tcBorders>
            <w:shd w:val="clear" w:color="auto" w:fill="auto"/>
            <w:noWrap/>
            <w:vAlign w:val="center"/>
            <w:hideMark/>
          </w:tcPr>
          <w:p w14:paraId="5C182210"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14,3%</w:t>
            </w:r>
          </w:p>
        </w:tc>
        <w:tc>
          <w:tcPr>
            <w:tcW w:w="819" w:type="dxa"/>
            <w:vMerge/>
            <w:tcBorders>
              <w:top w:val="nil"/>
              <w:left w:val="nil"/>
              <w:bottom w:val="nil"/>
              <w:right w:val="single" w:sz="4" w:space="0" w:color="auto"/>
            </w:tcBorders>
            <w:vAlign w:val="center"/>
            <w:hideMark/>
          </w:tcPr>
          <w:p w14:paraId="24DFB108"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349744FE"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57.416</w:t>
            </w:r>
          </w:p>
        </w:tc>
        <w:tc>
          <w:tcPr>
            <w:tcW w:w="978" w:type="dxa"/>
            <w:tcBorders>
              <w:top w:val="nil"/>
              <w:left w:val="nil"/>
              <w:bottom w:val="single" w:sz="4" w:space="0" w:color="auto"/>
              <w:right w:val="nil"/>
            </w:tcBorders>
            <w:shd w:val="clear" w:color="auto" w:fill="auto"/>
            <w:noWrap/>
            <w:vAlign w:val="center"/>
            <w:hideMark/>
          </w:tcPr>
          <w:p w14:paraId="2A3E89E2"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730" w:type="dxa"/>
            <w:tcBorders>
              <w:top w:val="nil"/>
              <w:left w:val="single" w:sz="4" w:space="0" w:color="auto"/>
              <w:bottom w:val="single" w:sz="4" w:space="0" w:color="auto"/>
              <w:right w:val="nil"/>
            </w:tcBorders>
            <w:shd w:val="clear" w:color="auto" w:fill="auto"/>
            <w:noWrap/>
            <w:vAlign w:val="center"/>
            <w:hideMark/>
          </w:tcPr>
          <w:p w14:paraId="3C3C7320"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76196C29"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4857636B"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nil"/>
            </w:tcBorders>
            <w:shd w:val="clear" w:color="auto" w:fill="auto"/>
            <w:noWrap/>
            <w:vAlign w:val="center"/>
            <w:hideMark/>
          </w:tcPr>
          <w:p w14:paraId="5B8DE9E5"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56" w:type="dxa"/>
            <w:tcBorders>
              <w:top w:val="nil"/>
              <w:left w:val="single" w:sz="4" w:space="0" w:color="auto"/>
              <w:bottom w:val="single" w:sz="4" w:space="0" w:color="auto"/>
              <w:right w:val="nil"/>
            </w:tcBorders>
            <w:shd w:val="clear" w:color="auto" w:fill="auto"/>
            <w:noWrap/>
            <w:vAlign w:val="center"/>
            <w:hideMark/>
          </w:tcPr>
          <w:p w14:paraId="6E52D0DA"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57.416</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7A233327" w14:textId="632DEC63"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287.080.151</w:t>
            </w:r>
          </w:p>
        </w:tc>
        <w:tc>
          <w:tcPr>
            <w:tcW w:w="1235" w:type="dxa"/>
            <w:tcBorders>
              <w:top w:val="nil"/>
              <w:left w:val="single" w:sz="8" w:space="0" w:color="auto"/>
              <w:bottom w:val="single" w:sz="8" w:space="0" w:color="auto"/>
              <w:right w:val="single" w:sz="8" w:space="0" w:color="auto"/>
            </w:tcBorders>
            <w:shd w:val="clear" w:color="auto" w:fill="auto"/>
            <w:vAlign w:val="center"/>
          </w:tcPr>
          <w:p w14:paraId="1F4163E4" w14:textId="3E970406"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38.102.083,88</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336E5807" w14:textId="3493A583"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55" w:type="dxa"/>
            <w:tcBorders>
              <w:top w:val="nil"/>
              <w:left w:val="single" w:sz="8" w:space="0" w:color="auto"/>
              <w:bottom w:val="single" w:sz="8" w:space="0" w:color="auto"/>
              <w:right w:val="single" w:sz="8" w:space="0" w:color="auto"/>
            </w:tcBorders>
            <w:shd w:val="clear" w:color="auto" w:fill="auto"/>
            <w:vAlign w:val="center"/>
          </w:tcPr>
          <w:p w14:paraId="47C8BF8B" w14:textId="7F275604"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280EDD" w:rsidRPr="00FB7CFE" w14:paraId="29B7C505" w14:textId="7B690DBC"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7FD5E80C"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Šibensko-kninska</w:t>
            </w:r>
          </w:p>
        </w:tc>
        <w:tc>
          <w:tcPr>
            <w:tcW w:w="902" w:type="dxa"/>
            <w:tcBorders>
              <w:top w:val="nil"/>
              <w:left w:val="nil"/>
              <w:bottom w:val="single" w:sz="4" w:space="0" w:color="auto"/>
              <w:right w:val="single" w:sz="4" w:space="0" w:color="auto"/>
            </w:tcBorders>
            <w:shd w:val="clear" w:color="auto" w:fill="auto"/>
            <w:noWrap/>
            <w:vAlign w:val="center"/>
            <w:hideMark/>
          </w:tcPr>
          <w:p w14:paraId="4C34067A"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3,2%</w:t>
            </w:r>
          </w:p>
        </w:tc>
        <w:tc>
          <w:tcPr>
            <w:tcW w:w="819" w:type="dxa"/>
            <w:vMerge/>
            <w:tcBorders>
              <w:top w:val="nil"/>
              <w:left w:val="nil"/>
              <w:bottom w:val="nil"/>
              <w:right w:val="single" w:sz="4" w:space="0" w:color="auto"/>
            </w:tcBorders>
            <w:vAlign w:val="center"/>
            <w:hideMark/>
          </w:tcPr>
          <w:p w14:paraId="02E94260"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49A41E5D"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13.045</w:t>
            </w:r>
          </w:p>
        </w:tc>
        <w:tc>
          <w:tcPr>
            <w:tcW w:w="978" w:type="dxa"/>
            <w:tcBorders>
              <w:top w:val="nil"/>
              <w:left w:val="nil"/>
              <w:bottom w:val="single" w:sz="4" w:space="0" w:color="auto"/>
              <w:right w:val="nil"/>
            </w:tcBorders>
            <w:shd w:val="clear" w:color="auto" w:fill="auto"/>
            <w:noWrap/>
            <w:vAlign w:val="center"/>
            <w:hideMark/>
          </w:tcPr>
          <w:p w14:paraId="382DA630"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730" w:type="dxa"/>
            <w:tcBorders>
              <w:top w:val="nil"/>
              <w:left w:val="single" w:sz="4" w:space="0" w:color="auto"/>
              <w:bottom w:val="single" w:sz="4" w:space="0" w:color="auto"/>
              <w:right w:val="nil"/>
            </w:tcBorders>
            <w:shd w:val="clear" w:color="auto" w:fill="auto"/>
            <w:noWrap/>
            <w:vAlign w:val="center"/>
            <w:hideMark/>
          </w:tcPr>
          <w:p w14:paraId="4A4D461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1186EB93"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00082C9D"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nil"/>
            </w:tcBorders>
            <w:shd w:val="clear" w:color="auto" w:fill="auto"/>
            <w:noWrap/>
            <w:vAlign w:val="center"/>
            <w:hideMark/>
          </w:tcPr>
          <w:p w14:paraId="54A43E1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56" w:type="dxa"/>
            <w:tcBorders>
              <w:top w:val="nil"/>
              <w:left w:val="single" w:sz="4" w:space="0" w:color="auto"/>
              <w:bottom w:val="single" w:sz="4" w:space="0" w:color="auto"/>
              <w:right w:val="nil"/>
            </w:tcBorders>
            <w:shd w:val="clear" w:color="auto" w:fill="auto"/>
            <w:noWrap/>
            <w:vAlign w:val="center"/>
            <w:hideMark/>
          </w:tcPr>
          <w:p w14:paraId="3BEE643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13.045</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4386E553" w14:textId="6F4158AC"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65.226.262</w:t>
            </w:r>
          </w:p>
        </w:tc>
        <w:tc>
          <w:tcPr>
            <w:tcW w:w="1235" w:type="dxa"/>
            <w:tcBorders>
              <w:top w:val="nil"/>
              <w:left w:val="single" w:sz="8" w:space="0" w:color="auto"/>
              <w:bottom w:val="single" w:sz="8" w:space="0" w:color="auto"/>
              <w:right w:val="single" w:sz="8" w:space="0" w:color="auto"/>
            </w:tcBorders>
            <w:shd w:val="clear" w:color="auto" w:fill="auto"/>
            <w:vAlign w:val="center"/>
          </w:tcPr>
          <w:p w14:paraId="1DF6BDB5" w14:textId="42821F57"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8.657.012,68</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2918711A" w14:textId="2AA1D861"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55" w:type="dxa"/>
            <w:tcBorders>
              <w:top w:val="nil"/>
              <w:left w:val="single" w:sz="8" w:space="0" w:color="auto"/>
              <w:bottom w:val="single" w:sz="8" w:space="0" w:color="auto"/>
              <w:right w:val="single" w:sz="8" w:space="0" w:color="auto"/>
            </w:tcBorders>
            <w:shd w:val="clear" w:color="auto" w:fill="auto"/>
            <w:vAlign w:val="center"/>
          </w:tcPr>
          <w:p w14:paraId="0840E820" w14:textId="00214348"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280EDD" w:rsidRPr="00FB7CFE" w14:paraId="153B2CB9" w14:textId="3D15CCCC"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0A0E0ABD"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Varaždinska </w:t>
            </w:r>
          </w:p>
        </w:tc>
        <w:tc>
          <w:tcPr>
            <w:tcW w:w="902" w:type="dxa"/>
            <w:tcBorders>
              <w:top w:val="nil"/>
              <w:left w:val="nil"/>
              <w:bottom w:val="single" w:sz="4" w:space="0" w:color="auto"/>
              <w:right w:val="single" w:sz="4" w:space="0" w:color="auto"/>
            </w:tcBorders>
            <w:shd w:val="clear" w:color="auto" w:fill="auto"/>
            <w:noWrap/>
            <w:vAlign w:val="center"/>
            <w:hideMark/>
          </w:tcPr>
          <w:p w14:paraId="57BEB7CB"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2,6%</w:t>
            </w:r>
          </w:p>
        </w:tc>
        <w:tc>
          <w:tcPr>
            <w:tcW w:w="819" w:type="dxa"/>
            <w:vMerge/>
            <w:tcBorders>
              <w:top w:val="nil"/>
              <w:left w:val="nil"/>
              <w:bottom w:val="nil"/>
              <w:right w:val="single" w:sz="4" w:space="0" w:color="auto"/>
            </w:tcBorders>
            <w:vAlign w:val="center"/>
            <w:hideMark/>
          </w:tcPr>
          <w:p w14:paraId="4A9DDD5B"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2541DA81"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10.267</w:t>
            </w:r>
          </w:p>
        </w:tc>
        <w:tc>
          <w:tcPr>
            <w:tcW w:w="978" w:type="dxa"/>
            <w:tcBorders>
              <w:top w:val="nil"/>
              <w:left w:val="nil"/>
              <w:bottom w:val="single" w:sz="4" w:space="0" w:color="auto"/>
              <w:right w:val="nil"/>
            </w:tcBorders>
            <w:shd w:val="clear" w:color="auto" w:fill="auto"/>
            <w:noWrap/>
            <w:vAlign w:val="center"/>
            <w:hideMark/>
          </w:tcPr>
          <w:p w14:paraId="6A6856A9"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730" w:type="dxa"/>
            <w:tcBorders>
              <w:top w:val="nil"/>
              <w:left w:val="single" w:sz="4" w:space="0" w:color="auto"/>
              <w:bottom w:val="single" w:sz="4" w:space="0" w:color="auto"/>
              <w:right w:val="nil"/>
            </w:tcBorders>
            <w:shd w:val="clear" w:color="auto" w:fill="auto"/>
            <w:noWrap/>
            <w:vAlign w:val="center"/>
            <w:hideMark/>
          </w:tcPr>
          <w:p w14:paraId="3FD17C6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629DF0DA"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36.000</w:t>
            </w:r>
          </w:p>
        </w:tc>
        <w:tc>
          <w:tcPr>
            <w:tcW w:w="1044" w:type="dxa"/>
            <w:tcBorders>
              <w:top w:val="nil"/>
              <w:left w:val="nil"/>
              <w:bottom w:val="single" w:sz="4" w:space="0" w:color="auto"/>
              <w:right w:val="single" w:sz="4" w:space="0" w:color="auto"/>
            </w:tcBorders>
            <w:shd w:val="clear" w:color="auto" w:fill="auto"/>
            <w:noWrap/>
            <w:vAlign w:val="center"/>
            <w:hideMark/>
          </w:tcPr>
          <w:p w14:paraId="602DC3F2"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4.000</w:t>
            </w:r>
          </w:p>
        </w:tc>
        <w:tc>
          <w:tcPr>
            <w:tcW w:w="1044" w:type="dxa"/>
            <w:tcBorders>
              <w:top w:val="nil"/>
              <w:left w:val="nil"/>
              <w:bottom w:val="single" w:sz="4" w:space="0" w:color="auto"/>
              <w:right w:val="nil"/>
            </w:tcBorders>
            <w:shd w:val="clear" w:color="auto" w:fill="auto"/>
            <w:noWrap/>
            <w:vAlign w:val="center"/>
            <w:hideMark/>
          </w:tcPr>
          <w:p w14:paraId="56C2F23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40.000</w:t>
            </w:r>
          </w:p>
        </w:tc>
        <w:tc>
          <w:tcPr>
            <w:tcW w:w="1056" w:type="dxa"/>
            <w:tcBorders>
              <w:top w:val="nil"/>
              <w:left w:val="single" w:sz="4" w:space="0" w:color="auto"/>
              <w:bottom w:val="single" w:sz="4" w:space="0" w:color="auto"/>
              <w:right w:val="nil"/>
            </w:tcBorders>
            <w:shd w:val="clear" w:color="auto" w:fill="auto"/>
            <w:noWrap/>
            <w:vAlign w:val="center"/>
            <w:hideMark/>
          </w:tcPr>
          <w:p w14:paraId="0FD2A62F"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1F3E2521" w14:textId="38F3A968"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8" w:space="0" w:color="auto"/>
              <w:bottom w:val="single" w:sz="8" w:space="0" w:color="auto"/>
              <w:right w:val="single" w:sz="8" w:space="0" w:color="auto"/>
            </w:tcBorders>
            <w:shd w:val="clear" w:color="auto" w:fill="auto"/>
            <w:vAlign w:val="center"/>
          </w:tcPr>
          <w:p w14:paraId="187E2E71" w14:textId="7B7172C8"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2E23247A" w14:textId="1DD892A3"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w:t>
            </w:r>
          </w:p>
        </w:tc>
        <w:tc>
          <w:tcPr>
            <w:tcW w:w="1255" w:type="dxa"/>
            <w:tcBorders>
              <w:top w:val="nil"/>
              <w:left w:val="single" w:sz="8" w:space="0" w:color="auto"/>
              <w:bottom w:val="single" w:sz="8" w:space="0" w:color="auto"/>
              <w:right w:val="single" w:sz="8" w:space="0" w:color="auto"/>
            </w:tcBorders>
            <w:shd w:val="clear" w:color="auto" w:fill="auto"/>
            <w:vAlign w:val="center"/>
          </w:tcPr>
          <w:p w14:paraId="085E784B" w14:textId="68DE3E86"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995.421,06</w:t>
            </w:r>
          </w:p>
        </w:tc>
      </w:tr>
      <w:tr w:rsidR="00280EDD" w:rsidRPr="00FB7CFE" w14:paraId="33EB4719" w14:textId="2B3981FB"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1A2F64DD"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Virovitičko-podravska</w:t>
            </w:r>
          </w:p>
        </w:tc>
        <w:tc>
          <w:tcPr>
            <w:tcW w:w="902" w:type="dxa"/>
            <w:tcBorders>
              <w:top w:val="nil"/>
              <w:left w:val="nil"/>
              <w:bottom w:val="single" w:sz="4" w:space="0" w:color="auto"/>
              <w:right w:val="single" w:sz="4" w:space="0" w:color="auto"/>
            </w:tcBorders>
            <w:shd w:val="clear" w:color="auto" w:fill="auto"/>
            <w:noWrap/>
            <w:vAlign w:val="center"/>
            <w:hideMark/>
          </w:tcPr>
          <w:p w14:paraId="273D39D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1,3%</w:t>
            </w:r>
          </w:p>
        </w:tc>
        <w:tc>
          <w:tcPr>
            <w:tcW w:w="819" w:type="dxa"/>
            <w:vMerge/>
            <w:tcBorders>
              <w:top w:val="nil"/>
              <w:left w:val="nil"/>
              <w:bottom w:val="nil"/>
              <w:right w:val="single" w:sz="4" w:space="0" w:color="auto"/>
            </w:tcBorders>
            <w:vAlign w:val="center"/>
            <w:hideMark/>
          </w:tcPr>
          <w:p w14:paraId="72E0D8D9"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36EC04AE"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5.269</w:t>
            </w:r>
          </w:p>
        </w:tc>
        <w:tc>
          <w:tcPr>
            <w:tcW w:w="978" w:type="dxa"/>
            <w:tcBorders>
              <w:top w:val="nil"/>
              <w:left w:val="nil"/>
              <w:bottom w:val="single" w:sz="4" w:space="0" w:color="auto"/>
              <w:right w:val="nil"/>
            </w:tcBorders>
            <w:shd w:val="clear" w:color="auto" w:fill="auto"/>
            <w:noWrap/>
            <w:vAlign w:val="center"/>
            <w:hideMark/>
          </w:tcPr>
          <w:p w14:paraId="177C46D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730" w:type="dxa"/>
            <w:tcBorders>
              <w:top w:val="nil"/>
              <w:left w:val="single" w:sz="4" w:space="0" w:color="auto"/>
              <w:bottom w:val="single" w:sz="4" w:space="0" w:color="auto"/>
              <w:right w:val="nil"/>
            </w:tcBorders>
            <w:shd w:val="clear" w:color="auto" w:fill="auto"/>
            <w:noWrap/>
            <w:vAlign w:val="center"/>
            <w:hideMark/>
          </w:tcPr>
          <w:p w14:paraId="15B5EEA9"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7F91935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36.500</w:t>
            </w:r>
          </w:p>
        </w:tc>
        <w:tc>
          <w:tcPr>
            <w:tcW w:w="1044" w:type="dxa"/>
            <w:tcBorders>
              <w:top w:val="nil"/>
              <w:left w:val="nil"/>
              <w:bottom w:val="single" w:sz="4" w:space="0" w:color="auto"/>
              <w:right w:val="single" w:sz="4" w:space="0" w:color="auto"/>
            </w:tcBorders>
            <w:shd w:val="clear" w:color="auto" w:fill="auto"/>
            <w:noWrap/>
            <w:vAlign w:val="center"/>
            <w:hideMark/>
          </w:tcPr>
          <w:p w14:paraId="0ECEA1E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nil"/>
            </w:tcBorders>
            <w:shd w:val="clear" w:color="auto" w:fill="auto"/>
            <w:noWrap/>
            <w:vAlign w:val="center"/>
            <w:hideMark/>
          </w:tcPr>
          <w:p w14:paraId="28255250"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36.500</w:t>
            </w:r>
          </w:p>
        </w:tc>
        <w:tc>
          <w:tcPr>
            <w:tcW w:w="1056" w:type="dxa"/>
            <w:tcBorders>
              <w:top w:val="nil"/>
              <w:left w:val="single" w:sz="4" w:space="0" w:color="auto"/>
              <w:bottom w:val="single" w:sz="4" w:space="0" w:color="auto"/>
              <w:right w:val="nil"/>
            </w:tcBorders>
            <w:shd w:val="clear" w:color="auto" w:fill="auto"/>
            <w:noWrap/>
            <w:vAlign w:val="center"/>
            <w:hideMark/>
          </w:tcPr>
          <w:p w14:paraId="3AD3A087"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63C2303C" w14:textId="07EEEF8A"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8" w:space="0" w:color="auto"/>
              <w:bottom w:val="single" w:sz="8" w:space="0" w:color="auto"/>
              <w:right w:val="single" w:sz="8" w:space="0" w:color="auto"/>
            </w:tcBorders>
            <w:shd w:val="clear" w:color="auto" w:fill="auto"/>
            <w:vAlign w:val="center"/>
          </w:tcPr>
          <w:p w14:paraId="0F386D62" w14:textId="1552299F"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2BC15BCB" w14:textId="3BC85382"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w:t>
            </w:r>
          </w:p>
        </w:tc>
        <w:tc>
          <w:tcPr>
            <w:tcW w:w="1255" w:type="dxa"/>
            <w:tcBorders>
              <w:top w:val="nil"/>
              <w:left w:val="single" w:sz="8" w:space="0" w:color="auto"/>
              <w:bottom w:val="single" w:sz="8" w:space="0" w:color="auto"/>
              <w:right w:val="single" w:sz="8" w:space="0" w:color="auto"/>
            </w:tcBorders>
            <w:shd w:val="clear" w:color="auto" w:fill="auto"/>
            <w:vAlign w:val="center"/>
          </w:tcPr>
          <w:p w14:paraId="583C3E84" w14:textId="31118D19"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995.421,06</w:t>
            </w:r>
          </w:p>
        </w:tc>
      </w:tr>
      <w:tr w:rsidR="00280EDD" w:rsidRPr="00FB7CFE" w14:paraId="26DFEDF0" w14:textId="1A3740F8"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64136771"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Vukovarsko-srijemska </w:t>
            </w:r>
          </w:p>
        </w:tc>
        <w:tc>
          <w:tcPr>
            <w:tcW w:w="902" w:type="dxa"/>
            <w:tcBorders>
              <w:top w:val="nil"/>
              <w:left w:val="nil"/>
              <w:bottom w:val="single" w:sz="4" w:space="0" w:color="auto"/>
              <w:right w:val="single" w:sz="4" w:space="0" w:color="auto"/>
            </w:tcBorders>
            <w:shd w:val="clear" w:color="auto" w:fill="auto"/>
            <w:noWrap/>
            <w:vAlign w:val="center"/>
            <w:hideMark/>
          </w:tcPr>
          <w:p w14:paraId="5774405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2,9%</w:t>
            </w:r>
          </w:p>
        </w:tc>
        <w:tc>
          <w:tcPr>
            <w:tcW w:w="819" w:type="dxa"/>
            <w:vMerge/>
            <w:tcBorders>
              <w:top w:val="nil"/>
              <w:left w:val="nil"/>
              <w:bottom w:val="nil"/>
              <w:right w:val="single" w:sz="4" w:space="0" w:color="auto"/>
            </w:tcBorders>
            <w:vAlign w:val="center"/>
            <w:hideMark/>
          </w:tcPr>
          <w:p w14:paraId="21D4AE09"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772548BD"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11.617</w:t>
            </w:r>
          </w:p>
        </w:tc>
        <w:tc>
          <w:tcPr>
            <w:tcW w:w="978" w:type="dxa"/>
            <w:tcBorders>
              <w:top w:val="nil"/>
              <w:left w:val="nil"/>
              <w:bottom w:val="single" w:sz="4" w:space="0" w:color="auto"/>
              <w:right w:val="nil"/>
            </w:tcBorders>
            <w:shd w:val="clear" w:color="auto" w:fill="auto"/>
            <w:noWrap/>
            <w:vAlign w:val="center"/>
            <w:hideMark/>
          </w:tcPr>
          <w:p w14:paraId="6C6460B6"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6</w:t>
            </w:r>
          </w:p>
        </w:tc>
        <w:tc>
          <w:tcPr>
            <w:tcW w:w="730" w:type="dxa"/>
            <w:tcBorders>
              <w:top w:val="nil"/>
              <w:left w:val="single" w:sz="4" w:space="0" w:color="auto"/>
              <w:bottom w:val="single" w:sz="4" w:space="0" w:color="auto"/>
              <w:right w:val="nil"/>
            </w:tcBorders>
            <w:shd w:val="clear" w:color="auto" w:fill="auto"/>
            <w:noWrap/>
            <w:vAlign w:val="center"/>
            <w:hideMark/>
          </w:tcPr>
          <w:p w14:paraId="61DF0F3D"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4558915E"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36.300</w:t>
            </w:r>
          </w:p>
        </w:tc>
        <w:tc>
          <w:tcPr>
            <w:tcW w:w="1044" w:type="dxa"/>
            <w:tcBorders>
              <w:top w:val="nil"/>
              <w:left w:val="nil"/>
              <w:bottom w:val="single" w:sz="4" w:space="0" w:color="auto"/>
              <w:right w:val="single" w:sz="4" w:space="0" w:color="auto"/>
            </w:tcBorders>
            <w:shd w:val="clear" w:color="auto" w:fill="auto"/>
            <w:noWrap/>
            <w:vAlign w:val="center"/>
            <w:hideMark/>
          </w:tcPr>
          <w:p w14:paraId="71CDA6CD"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nil"/>
            </w:tcBorders>
            <w:shd w:val="clear" w:color="auto" w:fill="auto"/>
            <w:noWrap/>
            <w:vAlign w:val="center"/>
            <w:hideMark/>
          </w:tcPr>
          <w:p w14:paraId="7984F6A3"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36.300</w:t>
            </w:r>
          </w:p>
        </w:tc>
        <w:tc>
          <w:tcPr>
            <w:tcW w:w="1056" w:type="dxa"/>
            <w:tcBorders>
              <w:top w:val="nil"/>
              <w:left w:val="single" w:sz="4" w:space="0" w:color="auto"/>
              <w:bottom w:val="single" w:sz="4" w:space="0" w:color="auto"/>
              <w:right w:val="nil"/>
            </w:tcBorders>
            <w:shd w:val="clear" w:color="auto" w:fill="auto"/>
            <w:noWrap/>
            <w:vAlign w:val="center"/>
            <w:hideMark/>
          </w:tcPr>
          <w:p w14:paraId="7CF6C84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26DDF0D" w14:textId="74682FA9"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8" w:space="0" w:color="auto"/>
              <w:bottom w:val="single" w:sz="8" w:space="0" w:color="auto"/>
              <w:right w:val="single" w:sz="8" w:space="0" w:color="auto"/>
            </w:tcBorders>
            <w:shd w:val="clear" w:color="auto" w:fill="auto"/>
            <w:vAlign w:val="center"/>
          </w:tcPr>
          <w:p w14:paraId="748C70A6" w14:textId="60D00A75"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6C12C36C" w14:textId="02C90333"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22.500.000</w:t>
            </w:r>
          </w:p>
        </w:tc>
        <w:tc>
          <w:tcPr>
            <w:tcW w:w="1255" w:type="dxa"/>
            <w:tcBorders>
              <w:top w:val="nil"/>
              <w:left w:val="single" w:sz="8" w:space="0" w:color="auto"/>
              <w:bottom w:val="single" w:sz="8" w:space="0" w:color="auto"/>
              <w:right w:val="single" w:sz="8" w:space="0" w:color="auto"/>
            </w:tcBorders>
            <w:shd w:val="clear" w:color="auto" w:fill="auto"/>
            <w:vAlign w:val="center"/>
          </w:tcPr>
          <w:p w14:paraId="54C43CF7" w14:textId="095EB993"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2.986.263,19</w:t>
            </w:r>
          </w:p>
        </w:tc>
      </w:tr>
      <w:tr w:rsidR="00280EDD" w:rsidRPr="00FB7CFE" w14:paraId="5A9F8AAD" w14:textId="0763A587"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77B7D2A5"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Zadarska </w:t>
            </w:r>
          </w:p>
        </w:tc>
        <w:tc>
          <w:tcPr>
            <w:tcW w:w="902" w:type="dxa"/>
            <w:tcBorders>
              <w:top w:val="nil"/>
              <w:left w:val="nil"/>
              <w:bottom w:val="single" w:sz="4" w:space="0" w:color="auto"/>
              <w:right w:val="single" w:sz="4" w:space="0" w:color="auto"/>
            </w:tcBorders>
            <w:shd w:val="clear" w:color="auto" w:fill="auto"/>
            <w:noWrap/>
            <w:vAlign w:val="center"/>
            <w:hideMark/>
          </w:tcPr>
          <w:p w14:paraId="62190890"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6,1%</w:t>
            </w:r>
          </w:p>
        </w:tc>
        <w:tc>
          <w:tcPr>
            <w:tcW w:w="819" w:type="dxa"/>
            <w:vMerge/>
            <w:tcBorders>
              <w:top w:val="nil"/>
              <w:left w:val="nil"/>
              <w:bottom w:val="nil"/>
              <w:right w:val="single" w:sz="4" w:space="0" w:color="auto"/>
            </w:tcBorders>
            <w:vAlign w:val="center"/>
            <w:hideMark/>
          </w:tcPr>
          <w:p w14:paraId="756A69A1"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0E63463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24.551</w:t>
            </w:r>
          </w:p>
        </w:tc>
        <w:tc>
          <w:tcPr>
            <w:tcW w:w="978" w:type="dxa"/>
            <w:tcBorders>
              <w:top w:val="nil"/>
              <w:left w:val="nil"/>
              <w:bottom w:val="single" w:sz="4" w:space="0" w:color="auto"/>
              <w:right w:val="nil"/>
            </w:tcBorders>
            <w:shd w:val="clear" w:color="auto" w:fill="auto"/>
            <w:noWrap/>
            <w:vAlign w:val="center"/>
            <w:hideMark/>
          </w:tcPr>
          <w:p w14:paraId="1189883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730" w:type="dxa"/>
            <w:tcBorders>
              <w:top w:val="nil"/>
              <w:left w:val="single" w:sz="4" w:space="0" w:color="auto"/>
              <w:bottom w:val="single" w:sz="4" w:space="0" w:color="auto"/>
              <w:right w:val="nil"/>
            </w:tcBorders>
            <w:shd w:val="clear" w:color="auto" w:fill="auto"/>
            <w:noWrap/>
            <w:vAlign w:val="center"/>
            <w:hideMark/>
          </w:tcPr>
          <w:p w14:paraId="643B96D2"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5D15E542"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2C08EF31"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nil"/>
            </w:tcBorders>
            <w:shd w:val="clear" w:color="auto" w:fill="auto"/>
            <w:noWrap/>
            <w:vAlign w:val="center"/>
            <w:hideMark/>
          </w:tcPr>
          <w:p w14:paraId="6DCCF8F3"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56" w:type="dxa"/>
            <w:tcBorders>
              <w:top w:val="nil"/>
              <w:left w:val="single" w:sz="4" w:space="0" w:color="auto"/>
              <w:bottom w:val="single" w:sz="4" w:space="0" w:color="auto"/>
              <w:right w:val="nil"/>
            </w:tcBorders>
            <w:shd w:val="clear" w:color="auto" w:fill="auto"/>
            <w:noWrap/>
            <w:vAlign w:val="center"/>
            <w:hideMark/>
          </w:tcPr>
          <w:p w14:paraId="6B776D6C"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24.551</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5FADBED8" w14:textId="08B9BA94"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122.753.004</w:t>
            </w:r>
          </w:p>
        </w:tc>
        <w:tc>
          <w:tcPr>
            <w:tcW w:w="1235" w:type="dxa"/>
            <w:tcBorders>
              <w:top w:val="nil"/>
              <w:left w:val="single" w:sz="8" w:space="0" w:color="auto"/>
              <w:bottom w:val="single" w:sz="8" w:space="0" w:color="auto"/>
              <w:right w:val="single" w:sz="8" w:space="0" w:color="auto"/>
            </w:tcBorders>
            <w:shd w:val="clear" w:color="auto" w:fill="auto"/>
            <w:vAlign w:val="center"/>
          </w:tcPr>
          <w:p w14:paraId="56D7A255" w14:textId="254697F0"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16.292.123,43</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277F52FD" w14:textId="4ACA8831"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55" w:type="dxa"/>
            <w:tcBorders>
              <w:top w:val="nil"/>
              <w:left w:val="single" w:sz="8" w:space="0" w:color="auto"/>
              <w:bottom w:val="single" w:sz="8" w:space="0" w:color="auto"/>
              <w:right w:val="single" w:sz="8" w:space="0" w:color="auto"/>
            </w:tcBorders>
            <w:shd w:val="clear" w:color="auto" w:fill="auto"/>
            <w:vAlign w:val="center"/>
          </w:tcPr>
          <w:p w14:paraId="14D1DEB3" w14:textId="11D09F0F"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280EDD" w:rsidRPr="00FB7CFE" w14:paraId="3BCBAAF9" w14:textId="52592469" w:rsidTr="00756255">
        <w:trPr>
          <w:trHeight w:val="170"/>
        </w:trPr>
        <w:tc>
          <w:tcPr>
            <w:tcW w:w="1598" w:type="dxa"/>
            <w:tcBorders>
              <w:top w:val="nil"/>
              <w:left w:val="single" w:sz="8" w:space="0" w:color="auto"/>
              <w:bottom w:val="nil"/>
              <w:right w:val="single" w:sz="4" w:space="0" w:color="auto"/>
            </w:tcBorders>
            <w:shd w:val="clear" w:color="auto" w:fill="auto"/>
            <w:noWrap/>
            <w:vAlign w:val="center"/>
            <w:hideMark/>
          </w:tcPr>
          <w:p w14:paraId="3597F5BA"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Zagrebačka </w:t>
            </w:r>
          </w:p>
        </w:tc>
        <w:tc>
          <w:tcPr>
            <w:tcW w:w="902" w:type="dxa"/>
            <w:tcBorders>
              <w:top w:val="nil"/>
              <w:left w:val="nil"/>
              <w:bottom w:val="nil"/>
              <w:right w:val="single" w:sz="4" w:space="0" w:color="auto"/>
            </w:tcBorders>
            <w:shd w:val="clear" w:color="auto" w:fill="auto"/>
            <w:noWrap/>
            <w:vAlign w:val="center"/>
            <w:hideMark/>
          </w:tcPr>
          <w:p w14:paraId="21BAA31C"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6,4%</w:t>
            </w:r>
          </w:p>
        </w:tc>
        <w:tc>
          <w:tcPr>
            <w:tcW w:w="819" w:type="dxa"/>
            <w:vMerge/>
            <w:tcBorders>
              <w:top w:val="nil"/>
              <w:left w:val="nil"/>
              <w:bottom w:val="nil"/>
              <w:right w:val="single" w:sz="4" w:space="0" w:color="auto"/>
            </w:tcBorders>
            <w:vAlign w:val="center"/>
            <w:hideMark/>
          </w:tcPr>
          <w:p w14:paraId="1010280A"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nil"/>
              <w:right w:val="single" w:sz="4" w:space="0" w:color="auto"/>
            </w:tcBorders>
            <w:shd w:val="clear" w:color="auto" w:fill="auto"/>
            <w:noWrap/>
            <w:vAlign w:val="center"/>
            <w:hideMark/>
          </w:tcPr>
          <w:p w14:paraId="56DCCA51"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25.757</w:t>
            </w:r>
          </w:p>
        </w:tc>
        <w:tc>
          <w:tcPr>
            <w:tcW w:w="978" w:type="dxa"/>
            <w:tcBorders>
              <w:top w:val="nil"/>
              <w:left w:val="nil"/>
              <w:bottom w:val="nil"/>
              <w:right w:val="nil"/>
            </w:tcBorders>
            <w:shd w:val="clear" w:color="auto" w:fill="auto"/>
            <w:noWrap/>
            <w:vAlign w:val="center"/>
            <w:hideMark/>
          </w:tcPr>
          <w:p w14:paraId="6F4A7897"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730" w:type="dxa"/>
            <w:tcBorders>
              <w:top w:val="nil"/>
              <w:left w:val="single" w:sz="4" w:space="0" w:color="auto"/>
              <w:bottom w:val="nil"/>
              <w:right w:val="nil"/>
            </w:tcBorders>
            <w:shd w:val="clear" w:color="auto" w:fill="auto"/>
            <w:noWrap/>
            <w:vAlign w:val="center"/>
            <w:hideMark/>
          </w:tcPr>
          <w:p w14:paraId="170119AA"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w:t>
            </w:r>
          </w:p>
        </w:tc>
        <w:tc>
          <w:tcPr>
            <w:tcW w:w="978" w:type="dxa"/>
            <w:tcBorders>
              <w:top w:val="nil"/>
              <w:left w:val="single" w:sz="4" w:space="0" w:color="auto"/>
              <w:bottom w:val="nil"/>
              <w:right w:val="single" w:sz="4" w:space="0" w:color="auto"/>
            </w:tcBorders>
            <w:shd w:val="clear" w:color="auto" w:fill="auto"/>
            <w:noWrap/>
            <w:vAlign w:val="center"/>
            <w:hideMark/>
          </w:tcPr>
          <w:p w14:paraId="20425C50"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72.500</w:t>
            </w:r>
          </w:p>
        </w:tc>
        <w:tc>
          <w:tcPr>
            <w:tcW w:w="1044" w:type="dxa"/>
            <w:tcBorders>
              <w:top w:val="nil"/>
              <w:left w:val="nil"/>
              <w:bottom w:val="nil"/>
              <w:right w:val="single" w:sz="4" w:space="0" w:color="auto"/>
            </w:tcBorders>
            <w:shd w:val="clear" w:color="auto" w:fill="auto"/>
            <w:noWrap/>
            <w:vAlign w:val="center"/>
            <w:hideMark/>
          </w:tcPr>
          <w:p w14:paraId="2CDC1C77"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30.000</w:t>
            </w:r>
          </w:p>
        </w:tc>
        <w:tc>
          <w:tcPr>
            <w:tcW w:w="1044" w:type="dxa"/>
            <w:tcBorders>
              <w:top w:val="nil"/>
              <w:left w:val="nil"/>
              <w:bottom w:val="nil"/>
              <w:right w:val="nil"/>
            </w:tcBorders>
            <w:shd w:val="clear" w:color="auto" w:fill="auto"/>
            <w:noWrap/>
            <w:vAlign w:val="center"/>
            <w:hideMark/>
          </w:tcPr>
          <w:p w14:paraId="133CCBF0"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102.500</w:t>
            </w:r>
          </w:p>
        </w:tc>
        <w:tc>
          <w:tcPr>
            <w:tcW w:w="1056" w:type="dxa"/>
            <w:tcBorders>
              <w:top w:val="nil"/>
              <w:left w:val="single" w:sz="4" w:space="0" w:color="auto"/>
              <w:bottom w:val="nil"/>
              <w:right w:val="nil"/>
            </w:tcBorders>
            <w:shd w:val="clear" w:color="auto" w:fill="auto"/>
            <w:noWrap/>
            <w:vAlign w:val="center"/>
            <w:hideMark/>
          </w:tcPr>
          <w:p w14:paraId="1E686D56"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156" w:type="dxa"/>
            <w:tcBorders>
              <w:top w:val="nil"/>
              <w:left w:val="single" w:sz="4" w:space="0" w:color="auto"/>
              <w:bottom w:val="nil"/>
              <w:right w:val="single" w:sz="4" w:space="0" w:color="auto"/>
            </w:tcBorders>
            <w:shd w:val="clear" w:color="auto" w:fill="auto"/>
            <w:noWrap/>
            <w:vAlign w:val="center"/>
            <w:hideMark/>
          </w:tcPr>
          <w:p w14:paraId="27374A18" w14:textId="58377543"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8" w:space="0" w:color="auto"/>
              <w:bottom w:val="single" w:sz="8" w:space="0" w:color="auto"/>
              <w:right w:val="single" w:sz="8" w:space="0" w:color="auto"/>
            </w:tcBorders>
            <w:shd w:val="clear" w:color="auto" w:fill="auto"/>
            <w:vAlign w:val="center"/>
          </w:tcPr>
          <w:p w14:paraId="7ECE3DF4" w14:textId="0D62DC5A"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306" w:type="dxa"/>
            <w:tcBorders>
              <w:top w:val="nil"/>
              <w:left w:val="single" w:sz="4" w:space="0" w:color="auto"/>
              <w:bottom w:val="nil"/>
              <w:right w:val="single" w:sz="8" w:space="0" w:color="auto"/>
            </w:tcBorders>
            <w:shd w:val="clear" w:color="auto" w:fill="auto"/>
            <w:noWrap/>
            <w:vAlign w:val="center"/>
            <w:hideMark/>
          </w:tcPr>
          <w:p w14:paraId="0F2249FF" w14:textId="297B6B40"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w:t>
            </w:r>
          </w:p>
        </w:tc>
        <w:tc>
          <w:tcPr>
            <w:tcW w:w="1255" w:type="dxa"/>
            <w:tcBorders>
              <w:top w:val="nil"/>
              <w:left w:val="single" w:sz="8" w:space="0" w:color="auto"/>
              <w:bottom w:val="nil"/>
              <w:right w:val="single" w:sz="8" w:space="0" w:color="auto"/>
            </w:tcBorders>
            <w:shd w:val="clear" w:color="auto" w:fill="auto"/>
            <w:vAlign w:val="center"/>
          </w:tcPr>
          <w:p w14:paraId="40D6B081" w14:textId="6DF22CB4"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995.421,06</w:t>
            </w:r>
          </w:p>
        </w:tc>
      </w:tr>
      <w:tr w:rsidR="005D4437" w:rsidRPr="00FB7CFE" w14:paraId="14F8502D" w14:textId="073E0EF9" w:rsidTr="00BB2706">
        <w:trPr>
          <w:trHeight w:val="170"/>
        </w:trPr>
        <w:tc>
          <w:tcPr>
            <w:tcW w:w="3319"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51F3192" w14:textId="77777777" w:rsidR="005D4437" w:rsidRPr="00FB7CFE" w:rsidRDefault="005D4437" w:rsidP="005D4437">
            <w:pPr>
              <w:spacing w:after="0" w:line="240" w:lineRule="auto"/>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Ukupno</w:t>
            </w:r>
          </w:p>
        </w:tc>
        <w:tc>
          <w:tcPr>
            <w:tcW w:w="1044" w:type="dxa"/>
            <w:tcBorders>
              <w:top w:val="single" w:sz="8" w:space="0" w:color="auto"/>
              <w:left w:val="nil"/>
              <w:bottom w:val="single" w:sz="8" w:space="0" w:color="auto"/>
              <w:right w:val="single" w:sz="4" w:space="0" w:color="auto"/>
            </w:tcBorders>
            <w:shd w:val="clear" w:color="auto" w:fill="auto"/>
            <w:noWrap/>
            <w:vAlign w:val="center"/>
            <w:hideMark/>
          </w:tcPr>
          <w:p w14:paraId="08BD6DCF" w14:textId="77777777" w:rsidR="005D4437" w:rsidRPr="00FB7CFE" w:rsidRDefault="005D4437" w:rsidP="005D4437">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404.677</w:t>
            </w:r>
          </w:p>
        </w:tc>
        <w:tc>
          <w:tcPr>
            <w:tcW w:w="978" w:type="dxa"/>
            <w:tcBorders>
              <w:top w:val="single" w:sz="8" w:space="0" w:color="auto"/>
              <w:left w:val="nil"/>
              <w:bottom w:val="single" w:sz="8" w:space="0" w:color="auto"/>
              <w:right w:val="single" w:sz="4" w:space="0" w:color="auto"/>
            </w:tcBorders>
            <w:shd w:val="clear" w:color="auto" w:fill="auto"/>
            <w:noWrap/>
            <w:vAlign w:val="center"/>
            <w:hideMark/>
          </w:tcPr>
          <w:p w14:paraId="662A416A" w14:textId="77777777" w:rsidR="005D4437" w:rsidRPr="00FB7CFE" w:rsidRDefault="005D4437" w:rsidP="005D4437">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35</w:t>
            </w:r>
          </w:p>
        </w:tc>
        <w:tc>
          <w:tcPr>
            <w:tcW w:w="730" w:type="dxa"/>
            <w:tcBorders>
              <w:top w:val="single" w:sz="8" w:space="0" w:color="auto"/>
              <w:left w:val="nil"/>
              <w:bottom w:val="single" w:sz="8" w:space="0" w:color="auto"/>
              <w:right w:val="single" w:sz="4" w:space="0" w:color="auto"/>
            </w:tcBorders>
            <w:shd w:val="clear" w:color="auto" w:fill="auto"/>
            <w:noWrap/>
            <w:vAlign w:val="center"/>
            <w:hideMark/>
          </w:tcPr>
          <w:p w14:paraId="7E1C6794" w14:textId="77777777" w:rsidR="005D4437" w:rsidRPr="00FB7CFE" w:rsidRDefault="005D4437" w:rsidP="005D4437">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19</w:t>
            </w:r>
          </w:p>
        </w:tc>
        <w:tc>
          <w:tcPr>
            <w:tcW w:w="978" w:type="dxa"/>
            <w:tcBorders>
              <w:top w:val="single" w:sz="8" w:space="0" w:color="auto"/>
              <w:left w:val="nil"/>
              <w:bottom w:val="single" w:sz="8" w:space="0" w:color="auto"/>
              <w:right w:val="single" w:sz="4" w:space="0" w:color="auto"/>
            </w:tcBorders>
            <w:shd w:val="clear" w:color="auto" w:fill="auto"/>
            <w:noWrap/>
            <w:vAlign w:val="center"/>
            <w:hideMark/>
          </w:tcPr>
          <w:p w14:paraId="22BEA46F" w14:textId="77777777" w:rsidR="005D4437" w:rsidRPr="00FB7CFE" w:rsidRDefault="005D4437" w:rsidP="005D4437">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839.808</w:t>
            </w:r>
          </w:p>
        </w:tc>
        <w:tc>
          <w:tcPr>
            <w:tcW w:w="1044" w:type="dxa"/>
            <w:tcBorders>
              <w:top w:val="single" w:sz="8" w:space="0" w:color="auto"/>
              <w:left w:val="nil"/>
              <w:bottom w:val="single" w:sz="8" w:space="0" w:color="auto"/>
              <w:right w:val="single" w:sz="4" w:space="0" w:color="auto"/>
            </w:tcBorders>
            <w:shd w:val="clear" w:color="auto" w:fill="auto"/>
            <w:noWrap/>
            <w:vAlign w:val="center"/>
            <w:hideMark/>
          </w:tcPr>
          <w:p w14:paraId="06B6FFFC" w14:textId="77777777" w:rsidR="005D4437" w:rsidRPr="00FB7CFE" w:rsidRDefault="005D4437" w:rsidP="005D4437">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168.500</w:t>
            </w:r>
          </w:p>
        </w:tc>
        <w:tc>
          <w:tcPr>
            <w:tcW w:w="1044" w:type="dxa"/>
            <w:tcBorders>
              <w:top w:val="single" w:sz="8" w:space="0" w:color="auto"/>
              <w:left w:val="nil"/>
              <w:bottom w:val="single" w:sz="8" w:space="0" w:color="auto"/>
              <w:right w:val="single" w:sz="4" w:space="0" w:color="auto"/>
            </w:tcBorders>
            <w:shd w:val="clear" w:color="auto" w:fill="auto"/>
            <w:noWrap/>
            <w:vAlign w:val="center"/>
            <w:hideMark/>
          </w:tcPr>
          <w:p w14:paraId="358708DD" w14:textId="77777777" w:rsidR="005D4437" w:rsidRPr="00FB7CFE" w:rsidRDefault="005D4437" w:rsidP="005D4437">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1.008.308</w:t>
            </w:r>
          </w:p>
        </w:tc>
        <w:tc>
          <w:tcPr>
            <w:tcW w:w="1056" w:type="dxa"/>
            <w:tcBorders>
              <w:top w:val="single" w:sz="8" w:space="0" w:color="auto"/>
              <w:left w:val="nil"/>
              <w:bottom w:val="single" w:sz="8" w:space="0" w:color="auto"/>
              <w:right w:val="single" w:sz="4" w:space="0" w:color="auto"/>
            </w:tcBorders>
            <w:shd w:val="clear" w:color="auto" w:fill="auto"/>
            <w:noWrap/>
            <w:vAlign w:val="center"/>
            <w:hideMark/>
          </w:tcPr>
          <w:p w14:paraId="186BE778" w14:textId="77777777" w:rsidR="005D4437" w:rsidRPr="00FB7CFE" w:rsidRDefault="005D4437" w:rsidP="005D4437">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216.417</w:t>
            </w:r>
          </w:p>
        </w:tc>
        <w:tc>
          <w:tcPr>
            <w:tcW w:w="1156" w:type="dxa"/>
            <w:tcBorders>
              <w:top w:val="single" w:sz="8" w:space="0" w:color="auto"/>
              <w:left w:val="nil"/>
              <w:bottom w:val="single" w:sz="8" w:space="0" w:color="auto"/>
              <w:right w:val="single" w:sz="4" w:space="0" w:color="auto"/>
            </w:tcBorders>
            <w:shd w:val="clear" w:color="auto" w:fill="auto"/>
            <w:noWrap/>
            <w:vAlign w:val="center"/>
            <w:hideMark/>
          </w:tcPr>
          <w:p w14:paraId="7E9BB09F" w14:textId="5C21F99A" w:rsidR="005D4437" w:rsidRPr="00FB7CFE" w:rsidRDefault="005D4437" w:rsidP="005D4437">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1.082.084.932</w:t>
            </w:r>
          </w:p>
        </w:tc>
        <w:tc>
          <w:tcPr>
            <w:tcW w:w="1235" w:type="dxa"/>
            <w:tcBorders>
              <w:top w:val="single" w:sz="4" w:space="0" w:color="auto"/>
              <w:left w:val="nil"/>
              <w:bottom w:val="single" w:sz="4" w:space="0" w:color="auto"/>
              <w:right w:val="single" w:sz="4" w:space="0" w:color="auto"/>
            </w:tcBorders>
          </w:tcPr>
          <w:p w14:paraId="2C8B5065" w14:textId="3A692556" w:rsidR="005D4437" w:rsidRDefault="005D4437" w:rsidP="005D4437">
            <w:pPr>
              <w:spacing w:after="0" w:line="240" w:lineRule="auto"/>
              <w:jc w:val="center"/>
              <w:rPr>
                <w:rFonts w:ascii="Calibri" w:eastAsia="Times New Roman" w:hAnsi="Calibri" w:cs="Calibri"/>
                <w:b/>
                <w:bCs/>
                <w:color w:val="000000"/>
                <w:sz w:val="16"/>
                <w:szCs w:val="16"/>
                <w:lang w:eastAsia="hr-HR"/>
              </w:rPr>
            </w:pPr>
            <w:r w:rsidRPr="005D4437">
              <w:rPr>
                <w:rFonts w:ascii="Calibri" w:eastAsia="Times New Roman" w:hAnsi="Calibri" w:cs="Calibri"/>
                <w:b/>
                <w:bCs/>
                <w:color w:val="000000"/>
                <w:sz w:val="16"/>
                <w:szCs w:val="16"/>
                <w:lang w:eastAsia="hr-HR"/>
              </w:rPr>
              <w:t>143.617.351,12</w:t>
            </w:r>
          </w:p>
        </w:tc>
        <w:tc>
          <w:tcPr>
            <w:tcW w:w="130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5D3AF49" w14:textId="492BB353" w:rsidR="005D4437" w:rsidRPr="00FB7CFE" w:rsidRDefault="005D4437" w:rsidP="005D4437">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131.250.000</w:t>
            </w:r>
          </w:p>
        </w:tc>
        <w:tc>
          <w:tcPr>
            <w:tcW w:w="1255" w:type="dxa"/>
            <w:tcBorders>
              <w:top w:val="single" w:sz="8" w:space="0" w:color="auto"/>
              <w:left w:val="single" w:sz="4" w:space="0" w:color="auto"/>
              <w:bottom w:val="single" w:sz="8" w:space="0" w:color="auto"/>
              <w:right w:val="single" w:sz="8" w:space="0" w:color="auto"/>
            </w:tcBorders>
          </w:tcPr>
          <w:p w14:paraId="72D10C38" w14:textId="50D068B2" w:rsidR="005D4437" w:rsidRDefault="005D4437" w:rsidP="005D4437">
            <w:pPr>
              <w:spacing w:after="0" w:line="240" w:lineRule="auto"/>
              <w:jc w:val="center"/>
              <w:rPr>
                <w:rFonts w:ascii="Calibri" w:eastAsia="Times New Roman" w:hAnsi="Calibri" w:cs="Calibri"/>
                <w:b/>
                <w:bCs/>
                <w:color w:val="000000"/>
                <w:sz w:val="16"/>
                <w:szCs w:val="16"/>
                <w:lang w:eastAsia="hr-HR"/>
              </w:rPr>
            </w:pPr>
            <w:r w:rsidRPr="005D4437">
              <w:rPr>
                <w:rFonts w:ascii="Calibri" w:eastAsia="Times New Roman" w:hAnsi="Calibri" w:cs="Calibri"/>
                <w:b/>
                <w:bCs/>
                <w:color w:val="000000"/>
                <w:sz w:val="16"/>
                <w:szCs w:val="16"/>
                <w:lang w:eastAsia="hr-HR"/>
              </w:rPr>
              <w:t>17.419.868,60</w:t>
            </w:r>
          </w:p>
        </w:tc>
      </w:tr>
      <w:tr w:rsidR="005D4437" w:rsidRPr="00FB7CFE" w14:paraId="22134558" w14:textId="77777777" w:rsidTr="00BB2706">
        <w:trPr>
          <w:trHeight w:val="170"/>
        </w:trPr>
        <w:tc>
          <w:tcPr>
            <w:tcW w:w="1598" w:type="dxa"/>
            <w:tcBorders>
              <w:top w:val="nil"/>
              <w:left w:val="nil"/>
              <w:bottom w:val="nil"/>
              <w:right w:val="nil"/>
            </w:tcBorders>
            <w:shd w:val="clear" w:color="auto" w:fill="auto"/>
            <w:noWrap/>
            <w:vAlign w:val="bottom"/>
            <w:hideMark/>
          </w:tcPr>
          <w:p w14:paraId="15287ADC" w14:textId="77777777" w:rsidR="005D4437" w:rsidRPr="00FB7CFE" w:rsidRDefault="005D4437" w:rsidP="005D4437">
            <w:pPr>
              <w:spacing w:after="0" w:line="240" w:lineRule="auto"/>
              <w:jc w:val="center"/>
              <w:rPr>
                <w:rFonts w:ascii="Calibri" w:eastAsia="Times New Roman" w:hAnsi="Calibri" w:cs="Calibri"/>
                <w:b/>
                <w:bCs/>
                <w:color w:val="000000"/>
                <w:sz w:val="16"/>
                <w:szCs w:val="16"/>
                <w:lang w:eastAsia="hr-HR"/>
              </w:rPr>
            </w:pPr>
          </w:p>
        </w:tc>
        <w:tc>
          <w:tcPr>
            <w:tcW w:w="902" w:type="dxa"/>
            <w:tcBorders>
              <w:top w:val="nil"/>
              <w:left w:val="nil"/>
              <w:bottom w:val="nil"/>
              <w:right w:val="nil"/>
            </w:tcBorders>
            <w:shd w:val="clear" w:color="auto" w:fill="auto"/>
            <w:noWrap/>
            <w:vAlign w:val="bottom"/>
            <w:hideMark/>
          </w:tcPr>
          <w:p w14:paraId="4CFDF95A" w14:textId="77777777" w:rsidR="005D4437" w:rsidRPr="00FB7CFE" w:rsidRDefault="005D4437" w:rsidP="005D4437">
            <w:pPr>
              <w:spacing w:after="0" w:line="240" w:lineRule="auto"/>
              <w:rPr>
                <w:rFonts w:ascii="Times New Roman" w:eastAsia="Times New Roman" w:hAnsi="Times New Roman" w:cs="Times New Roman"/>
                <w:sz w:val="20"/>
                <w:szCs w:val="20"/>
                <w:lang w:eastAsia="hr-HR"/>
              </w:rPr>
            </w:pPr>
          </w:p>
        </w:tc>
        <w:tc>
          <w:tcPr>
            <w:tcW w:w="819" w:type="dxa"/>
            <w:tcBorders>
              <w:top w:val="nil"/>
              <w:left w:val="nil"/>
              <w:bottom w:val="nil"/>
              <w:right w:val="nil"/>
            </w:tcBorders>
            <w:shd w:val="clear" w:color="auto" w:fill="auto"/>
            <w:noWrap/>
            <w:vAlign w:val="bottom"/>
            <w:hideMark/>
          </w:tcPr>
          <w:p w14:paraId="4653CAB6" w14:textId="77777777" w:rsidR="005D4437" w:rsidRPr="00FB7CFE" w:rsidRDefault="005D4437" w:rsidP="005D4437">
            <w:pPr>
              <w:spacing w:after="0" w:line="240" w:lineRule="auto"/>
              <w:rPr>
                <w:rFonts w:ascii="Times New Roman" w:eastAsia="Times New Roman" w:hAnsi="Times New Roman" w:cs="Times New Roman"/>
                <w:sz w:val="20"/>
                <w:szCs w:val="20"/>
                <w:lang w:eastAsia="hr-HR"/>
              </w:rPr>
            </w:pPr>
          </w:p>
        </w:tc>
        <w:tc>
          <w:tcPr>
            <w:tcW w:w="1044" w:type="dxa"/>
            <w:tcBorders>
              <w:top w:val="nil"/>
              <w:left w:val="nil"/>
              <w:bottom w:val="nil"/>
              <w:right w:val="nil"/>
            </w:tcBorders>
            <w:shd w:val="clear" w:color="auto" w:fill="auto"/>
            <w:noWrap/>
            <w:vAlign w:val="bottom"/>
            <w:hideMark/>
          </w:tcPr>
          <w:p w14:paraId="179479DE" w14:textId="77777777" w:rsidR="005D4437" w:rsidRPr="00FB7CFE" w:rsidRDefault="005D4437" w:rsidP="005D4437">
            <w:pPr>
              <w:spacing w:after="0" w:line="240" w:lineRule="auto"/>
              <w:rPr>
                <w:rFonts w:ascii="Times New Roman" w:eastAsia="Times New Roman" w:hAnsi="Times New Roman" w:cs="Times New Roman"/>
                <w:sz w:val="20"/>
                <w:szCs w:val="20"/>
                <w:lang w:eastAsia="hr-HR"/>
              </w:rPr>
            </w:pPr>
          </w:p>
        </w:tc>
        <w:tc>
          <w:tcPr>
            <w:tcW w:w="978" w:type="dxa"/>
            <w:tcBorders>
              <w:top w:val="nil"/>
              <w:left w:val="nil"/>
              <w:bottom w:val="nil"/>
              <w:right w:val="nil"/>
            </w:tcBorders>
            <w:shd w:val="clear" w:color="auto" w:fill="auto"/>
            <w:noWrap/>
            <w:vAlign w:val="bottom"/>
            <w:hideMark/>
          </w:tcPr>
          <w:p w14:paraId="3613F3A5" w14:textId="77777777" w:rsidR="005D4437" w:rsidRPr="00FB7CFE" w:rsidRDefault="005D4437" w:rsidP="005D4437">
            <w:pPr>
              <w:spacing w:after="0" w:line="240" w:lineRule="auto"/>
              <w:rPr>
                <w:rFonts w:ascii="Times New Roman" w:eastAsia="Times New Roman" w:hAnsi="Times New Roman" w:cs="Times New Roman"/>
                <w:sz w:val="20"/>
                <w:szCs w:val="20"/>
                <w:lang w:eastAsia="hr-HR"/>
              </w:rPr>
            </w:pPr>
          </w:p>
        </w:tc>
        <w:tc>
          <w:tcPr>
            <w:tcW w:w="730" w:type="dxa"/>
            <w:tcBorders>
              <w:top w:val="nil"/>
              <w:left w:val="nil"/>
              <w:bottom w:val="nil"/>
              <w:right w:val="nil"/>
            </w:tcBorders>
            <w:shd w:val="clear" w:color="auto" w:fill="auto"/>
            <w:noWrap/>
            <w:vAlign w:val="bottom"/>
            <w:hideMark/>
          </w:tcPr>
          <w:p w14:paraId="3676CB0C" w14:textId="77777777" w:rsidR="005D4437" w:rsidRPr="00FB7CFE" w:rsidRDefault="005D4437" w:rsidP="005D4437">
            <w:pPr>
              <w:spacing w:after="0" w:line="240" w:lineRule="auto"/>
              <w:rPr>
                <w:rFonts w:ascii="Times New Roman" w:eastAsia="Times New Roman" w:hAnsi="Times New Roman" w:cs="Times New Roman"/>
                <w:sz w:val="20"/>
                <w:szCs w:val="20"/>
                <w:lang w:eastAsia="hr-HR"/>
              </w:rPr>
            </w:pPr>
          </w:p>
        </w:tc>
        <w:tc>
          <w:tcPr>
            <w:tcW w:w="978" w:type="dxa"/>
            <w:tcBorders>
              <w:top w:val="nil"/>
              <w:left w:val="nil"/>
              <w:bottom w:val="nil"/>
              <w:right w:val="nil"/>
            </w:tcBorders>
            <w:shd w:val="clear" w:color="auto" w:fill="auto"/>
            <w:noWrap/>
            <w:vAlign w:val="bottom"/>
            <w:hideMark/>
          </w:tcPr>
          <w:p w14:paraId="0658577E" w14:textId="77777777" w:rsidR="005D4437" w:rsidRPr="00FB7CFE" w:rsidRDefault="005D4437" w:rsidP="005D4437">
            <w:pPr>
              <w:spacing w:after="0" w:line="240" w:lineRule="auto"/>
              <w:rPr>
                <w:rFonts w:ascii="Times New Roman" w:eastAsia="Times New Roman" w:hAnsi="Times New Roman" w:cs="Times New Roman"/>
                <w:sz w:val="20"/>
                <w:szCs w:val="20"/>
                <w:lang w:eastAsia="hr-HR"/>
              </w:rPr>
            </w:pPr>
          </w:p>
        </w:tc>
        <w:tc>
          <w:tcPr>
            <w:tcW w:w="1044" w:type="dxa"/>
            <w:tcBorders>
              <w:top w:val="nil"/>
              <w:left w:val="nil"/>
              <w:bottom w:val="nil"/>
              <w:right w:val="nil"/>
            </w:tcBorders>
            <w:shd w:val="clear" w:color="auto" w:fill="auto"/>
            <w:noWrap/>
            <w:vAlign w:val="bottom"/>
            <w:hideMark/>
          </w:tcPr>
          <w:p w14:paraId="06211EDF" w14:textId="77777777" w:rsidR="005D4437" w:rsidRPr="00FB7CFE" w:rsidRDefault="005D4437" w:rsidP="005D4437">
            <w:pPr>
              <w:spacing w:after="0" w:line="240" w:lineRule="auto"/>
              <w:rPr>
                <w:rFonts w:ascii="Times New Roman" w:eastAsia="Times New Roman" w:hAnsi="Times New Roman" w:cs="Times New Roman"/>
                <w:sz w:val="20"/>
                <w:szCs w:val="20"/>
                <w:lang w:eastAsia="hr-HR"/>
              </w:rPr>
            </w:pPr>
          </w:p>
        </w:tc>
        <w:tc>
          <w:tcPr>
            <w:tcW w:w="1044" w:type="dxa"/>
            <w:tcBorders>
              <w:top w:val="nil"/>
              <w:left w:val="nil"/>
              <w:bottom w:val="nil"/>
              <w:right w:val="nil"/>
            </w:tcBorders>
            <w:shd w:val="clear" w:color="auto" w:fill="auto"/>
            <w:noWrap/>
            <w:vAlign w:val="bottom"/>
            <w:hideMark/>
          </w:tcPr>
          <w:p w14:paraId="3FA9F6ED" w14:textId="77777777" w:rsidR="005D4437" w:rsidRPr="00FB7CFE" w:rsidRDefault="005D4437" w:rsidP="005D4437">
            <w:pPr>
              <w:spacing w:after="0" w:line="240" w:lineRule="auto"/>
              <w:rPr>
                <w:rFonts w:ascii="Times New Roman" w:eastAsia="Times New Roman" w:hAnsi="Times New Roman" w:cs="Times New Roman"/>
                <w:sz w:val="20"/>
                <w:szCs w:val="20"/>
                <w:lang w:eastAsia="hr-HR"/>
              </w:rPr>
            </w:pPr>
          </w:p>
        </w:tc>
        <w:tc>
          <w:tcPr>
            <w:tcW w:w="1056" w:type="dxa"/>
            <w:tcBorders>
              <w:top w:val="nil"/>
              <w:left w:val="nil"/>
              <w:bottom w:val="nil"/>
              <w:right w:val="nil"/>
            </w:tcBorders>
            <w:shd w:val="clear" w:color="auto" w:fill="auto"/>
            <w:noWrap/>
            <w:vAlign w:val="bottom"/>
            <w:hideMark/>
          </w:tcPr>
          <w:p w14:paraId="7672B87D" w14:textId="77777777" w:rsidR="005D4437" w:rsidRPr="00FB7CFE" w:rsidRDefault="005D4437" w:rsidP="005D4437">
            <w:pPr>
              <w:spacing w:after="0" w:line="240" w:lineRule="auto"/>
              <w:rPr>
                <w:rFonts w:ascii="Times New Roman" w:eastAsia="Times New Roman" w:hAnsi="Times New Roman" w:cs="Times New Roman"/>
                <w:sz w:val="20"/>
                <w:szCs w:val="20"/>
                <w:lang w:eastAsia="hr-HR"/>
              </w:rPr>
            </w:pPr>
          </w:p>
        </w:tc>
        <w:tc>
          <w:tcPr>
            <w:tcW w:w="4952" w:type="dxa"/>
            <w:gridSpan w:val="4"/>
            <w:tcBorders>
              <w:top w:val="single" w:sz="8" w:space="0" w:color="auto"/>
              <w:left w:val="single" w:sz="8" w:space="0" w:color="auto"/>
              <w:bottom w:val="single" w:sz="8" w:space="0" w:color="auto"/>
              <w:right w:val="single" w:sz="8" w:space="0" w:color="000000"/>
            </w:tcBorders>
            <w:vAlign w:val="center"/>
          </w:tcPr>
          <w:p w14:paraId="2A1C7DCF" w14:textId="20652653" w:rsidR="005D4437" w:rsidRPr="00FB7CFE" w:rsidRDefault="005D4437" w:rsidP="00756255">
            <w:pPr>
              <w:spacing w:after="0" w:line="240" w:lineRule="auto"/>
              <w:jc w:val="center"/>
              <w:rPr>
                <w:rFonts w:ascii="Calibri" w:eastAsia="Times New Roman" w:hAnsi="Calibri" w:cs="Calibri"/>
                <w:b/>
                <w:bCs/>
                <w:color w:val="000000"/>
                <w:sz w:val="16"/>
                <w:szCs w:val="16"/>
                <w:lang w:eastAsia="hr-HR"/>
              </w:rPr>
            </w:pPr>
            <w:r w:rsidRPr="005D4437">
              <w:rPr>
                <w:rFonts w:ascii="Calibri" w:eastAsia="Times New Roman" w:hAnsi="Calibri" w:cs="Calibri"/>
                <w:b/>
                <w:bCs/>
                <w:color w:val="000000"/>
                <w:sz w:val="16"/>
                <w:szCs w:val="16"/>
                <w:lang w:eastAsia="hr-HR"/>
              </w:rPr>
              <w:t>161.037.219,72</w:t>
            </w:r>
            <w:r>
              <w:rPr>
                <w:rFonts w:ascii="Calibri" w:eastAsia="Times New Roman" w:hAnsi="Calibri" w:cs="Calibri"/>
                <w:b/>
                <w:bCs/>
                <w:color w:val="000000"/>
                <w:sz w:val="16"/>
                <w:szCs w:val="16"/>
                <w:lang w:eastAsia="hr-HR"/>
              </w:rPr>
              <w:t xml:space="preserve"> EUR (1.213.334.932</w:t>
            </w:r>
            <w:r w:rsidR="007E3868">
              <w:rPr>
                <w:rFonts w:ascii="Calibri" w:eastAsia="Times New Roman" w:hAnsi="Calibri" w:cs="Calibri"/>
                <w:b/>
                <w:bCs/>
                <w:color w:val="000000"/>
                <w:sz w:val="16"/>
                <w:szCs w:val="16"/>
                <w:lang w:eastAsia="hr-HR"/>
              </w:rPr>
              <w:t>,00</w:t>
            </w:r>
            <w:r>
              <w:rPr>
                <w:rFonts w:ascii="Calibri" w:eastAsia="Times New Roman" w:hAnsi="Calibri" w:cs="Calibri"/>
                <w:b/>
                <w:bCs/>
                <w:color w:val="000000"/>
                <w:sz w:val="16"/>
                <w:szCs w:val="16"/>
                <w:lang w:eastAsia="hr-HR"/>
              </w:rPr>
              <w:t xml:space="preserve"> kn)</w:t>
            </w:r>
          </w:p>
        </w:tc>
      </w:tr>
    </w:tbl>
    <w:p w14:paraId="738C2C68" w14:textId="77777777" w:rsidR="00CC41BC" w:rsidRDefault="00CC41BC" w:rsidP="004B4A81">
      <w:pPr>
        <w:jc w:val="center"/>
        <w:rPr>
          <w:noProof/>
        </w:rPr>
      </w:pPr>
    </w:p>
    <w:p w14:paraId="63BE1661" w14:textId="77777777" w:rsidR="006659D6" w:rsidRDefault="006659D6" w:rsidP="004B4A81">
      <w:pPr>
        <w:jc w:val="center"/>
        <w:sectPr w:rsidR="006659D6" w:rsidSect="00C262BD">
          <w:pgSz w:w="16838" w:h="11906" w:orient="landscape" w:code="9"/>
          <w:pgMar w:top="1440" w:right="1440" w:bottom="1418" w:left="1440" w:header="709" w:footer="709" w:gutter="0"/>
          <w:cols w:space="708"/>
          <w:docGrid w:linePitch="360"/>
        </w:sectPr>
      </w:pPr>
    </w:p>
    <w:p w14:paraId="0581550E" w14:textId="76F0C105" w:rsidR="00D14F8D" w:rsidRDefault="00D14F8D" w:rsidP="004B4A81">
      <w:pPr>
        <w:jc w:val="center"/>
      </w:pPr>
    </w:p>
    <w:p w14:paraId="0DEF3262" w14:textId="61184EE8" w:rsidR="00A41D37" w:rsidRDefault="00E02C0D" w:rsidP="00CF361D">
      <w:pPr>
        <w:pStyle w:val="Slika"/>
        <w:jc w:val="both"/>
      </w:pPr>
      <w:bookmarkStart w:id="246" w:name="_Ref116284628"/>
      <w:bookmarkStart w:id="247" w:name="_Toc125363974"/>
      <w:r w:rsidRPr="00D52AD6">
        <w:t xml:space="preserve">Slika </w:t>
      </w:r>
      <w:r w:rsidR="00CA13B5">
        <w:fldChar w:fldCharType="begin"/>
      </w:r>
      <w:r w:rsidR="00CA13B5">
        <w:rPr>
          <w:b w:val="0"/>
          <w:i w:val="0"/>
          <w:iCs w:val="0"/>
        </w:rPr>
        <w:instrText xml:space="preserve"> SEQ Slika \* ARABIC </w:instrText>
      </w:r>
      <w:r w:rsidR="00CA13B5">
        <w:fldChar w:fldCharType="separate"/>
      </w:r>
      <w:r w:rsidR="00F37B62">
        <w:rPr>
          <w:b w:val="0"/>
          <w:i w:val="0"/>
          <w:iCs w:val="0"/>
          <w:noProof/>
        </w:rPr>
        <w:t>66</w:t>
      </w:r>
      <w:r w:rsidR="00CA13B5">
        <w:rPr>
          <w:noProof/>
        </w:rPr>
        <w:fldChar w:fldCharType="end"/>
      </w:r>
      <w:bookmarkEnd w:id="246"/>
      <w:r w:rsidRPr="00D52AD6">
        <w:t xml:space="preserve">. </w:t>
      </w:r>
      <w:r w:rsidRPr="0010442C">
        <w:rPr>
          <w:b w:val="0"/>
          <w:bCs/>
        </w:rPr>
        <w:t>Ukupni potrebni kapaciteti</w:t>
      </w:r>
      <w:r>
        <w:rPr>
          <w:b w:val="0"/>
          <w:bCs/>
        </w:rPr>
        <w:t xml:space="preserve"> </w:t>
      </w:r>
      <w:proofErr w:type="spellStart"/>
      <w:r>
        <w:rPr>
          <w:b w:val="0"/>
          <w:bCs/>
        </w:rPr>
        <w:t>kompostana</w:t>
      </w:r>
      <w:proofErr w:type="spellEnd"/>
      <w:r>
        <w:rPr>
          <w:b w:val="0"/>
          <w:bCs/>
        </w:rPr>
        <w:t xml:space="preserve"> i bioplinskih postrojenja u 2028. godini – SCENARIJ 2</w:t>
      </w:r>
      <w:bookmarkEnd w:id="247"/>
    </w:p>
    <w:p w14:paraId="4BE387DE" w14:textId="4B6B8DCC" w:rsidR="00FD2977" w:rsidRPr="003B5BEB" w:rsidRDefault="00FD2977" w:rsidP="00FD2977">
      <w:r w:rsidRPr="003B5BEB">
        <w:t xml:space="preserve">S obzirom da </w:t>
      </w:r>
      <w:r w:rsidR="00B00709">
        <w:t>pojedine županije</w:t>
      </w:r>
      <w:r w:rsidR="00B00709" w:rsidRPr="003B5BEB">
        <w:t xml:space="preserve"> </w:t>
      </w:r>
      <w:r w:rsidRPr="003B5BEB">
        <w:t xml:space="preserve">ne </w:t>
      </w:r>
      <w:r w:rsidR="00B00709" w:rsidRPr="003B5BEB">
        <w:t>posjeduj</w:t>
      </w:r>
      <w:r w:rsidR="00B00709">
        <w:t>u</w:t>
      </w:r>
      <w:r w:rsidR="00B00709" w:rsidRPr="003B5BEB">
        <w:t xml:space="preserve"> </w:t>
      </w:r>
      <w:r w:rsidRPr="003B5BEB">
        <w:t xml:space="preserve">dostatne kapacitete ili postojeća postrojenja nisu dovoljno opremljena za oporabu odvojeno </w:t>
      </w:r>
      <w:r w:rsidR="003B5BEB" w:rsidRPr="003B5BEB">
        <w:t>sakupljenog</w:t>
      </w:r>
      <w:r w:rsidRPr="003B5BEB">
        <w:t xml:space="preserve"> biootpada koji nastaje i koji će nastajati u planskom razdoblju potrebna su znatna ulaganja u infrastrukturu. Planiranje sustava je potrebno bazirati na „načelu blizine“ kako bi se smanjilo okolišno opterećenje i pripadajući rizici. </w:t>
      </w:r>
    </w:p>
    <w:p w14:paraId="72E0401D" w14:textId="23E87039" w:rsidR="00FD2977" w:rsidRPr="003B5BEB" w:rsidRDefault="00FD2977" w:rsidP="00FD2977">
      <w:r w:rsidRPr="003B5BEB">
        <w:t xml:space="preserve">Iz navedenog razloga zabranjuje se uvoz ključnih brojeva </w:t>
      </w:r>
      <w:r w:rsidR="003B5BEB" w:rsidRPr="003B5BEB">
        <w:t>20 01 08</w:t>
      </w:r>
      <w:r w:rsidR="00230CC4">
        <w:t>,</w:t>
      </w:r>
      <w:r w:rsidR="003B5BEB" w:rsidRPr="003B5BEB">
        <w:t xml:space="preserve"> 20 02 01</w:t>
      </w:r>
      <w:r w:rsidR="00230CC4">
        <w:t xml:space="preserve"> i 20 03 02</w:t>
      </w:r>
      <w:r w:rsidRPr="003B5BEB">
        <w:t xml:space="preserve"> s obzirom da se isti ne može opravdati s aspekta zaštite okoliša.</w:t>
      </w:r>
    </w:p>
    <w:p w14:paraId="30D2CDDA" w14:textId="0763F2B9" w:rsidR="00351C00" w:rsidRDefault="00351C00" w:rsidP="0018450E">
      <w:pPr>
        <w:pStyle w:val="IRNaslov3"/>
        <w:numPr>
          <w:ilvl w:val="2"/>
          <w:numId w:val="22"/>
        </w:numPr>
      </w:pPr>
      <w:bookmarkStart w:id="248" w:name="_Toc123211666"/>
      <w:r>
        <w:t>Postrojenja za oporabu i zbrinjavanje miješanog komunalnog otpada</w:t>
      </w:r>
      <w:bookmarkEnd w:id="248"/>
    </w:p>
    <w:p w14:paraId="618E8574" w14:textId="11A909CE" w:rsidR="00355444" w:rsidRPr="004B4A81" w:rsidRDefault="00355444" w:rsidP="00355444">
      <w:r w:rsidRPr="004B4A81">
        <w:t xml:space="preserve">Uzimajući u obzir: </w:t>
      </w:r>
    </w:p>
    <w:p w14:paraId="33A29B97" w14:textId="77777777" w:rsidR="00355444" w:rsidRPr="004B4A81" w:rsidRDefault="00355444">
      <w:pPr>
        <w:pStyle w:val="Odlomakpopisa"/>
        <w:numPr>
          <w:ilvl w:val="0"/>
          <w:numId w:val="26"/>
        </w:numPr>
      </w:pPr>
      <w:r w:rsidRPr="004B4A81">
        <w:t>udjele pojedinih ključnih sastavnica komunalnog otpada iz 2015. g. (Hrvatska agencija za okoliš i prirodu, 2015.) s pripadajućim korekcijama sastava</w:t>
      </w:r>
    </w:p>
    <w:p w14:paraId="0037D1A4" w14:textId="41FAA18A" w:rsidR="00355444" w:rsidRPr="004B4A81" w:rsidRDefault="00355444">
      <w:pPr>
        <w:pStyle w:val="Odlomakpopisa"/>
        <w:numPr>
          <w:ilvl w:val="0"/>
          <w:numId w:val="26"/>
        </w:numPr>
      </w:pPr>
      <w:r w:rsidRPr="004B4A81">
        <w:t xml:space="preserve">Odvojeno prikupljene količine komunalnog otpada u 2021. godini (papir i karton, metal, plastika, staklo, kuhinjski i vrtni otpad, glomazni otpad, električni i elektronički otpad) </w:t>
      </w:r>
    </w:p>
    <w:p w14:paraId="787235A0" w14:textId="77777777" w:rsidR="00355444" w:rsidRPr="004B4A81" w:rsidRDefault="00355444">
      <w:pPr>
        <w:pStyle w:val="Odlomakpopisa"/>
        <w:numPr>
          <w:ilvl w:val="0"/>
          <w:numId w:val="26"/>
        </w:numPr>
      </w:pPr>
      <w:r w:rsidRPr="004B4A81">
        <w:t>ciljeve postavljene Direktivom (EU) 2018/851 Europskog parlamenta i Vijeća od 30. svibnja 2018. o izmjeni Direktive 2008/98/EZ o otpadu za komunalni otpad za godine 2025., 2030. i 2035. za Scenarij 1 i 2</w:t>
      </w:r>
    </w:p>
    <w:p w14:paraId="50802C0B" w14:textId="77777777" w:rsidR="00355444" w:rsidRPr="004B4A81" w:rsidRDefault="00355444">
      <w:pPr>
        <w:pStyle w:val="Odlomakpopisa"/>
        <w:numPr>
          <w:ilvl w:val="0"/>
          <w:numId w:val="26"/>
        </w:numPr>
      </w:pPr>
      <w:r w:rsidRPr="004B4A81">
        <w:t>projicirane količine nastanka komunalnog otpada u razdoblju do 2035. g.</w:t>
      </w:r>
    </w:p>
    <w:p w14:paraId="60268008" w14:textId="1606EC67" w:rsidR="00355444" w:rsidRPr="004B4A81" w:rsidRDefault="00355444" w:rsidP="00355444">
      <w:r w:rsidRPr="004B4A81">
        <w:t xml:space="preserve">određen je očekivani </w:t>
      </w:r>
      <w:r w:rsidRPr="004B4A81">
        <w:rPr>
          <w:b/>
          <w:bCs/>
        </w:rPr>
        <w:t xml:space="preserve">sastav i količine </w:t>
      </w:r>
      <w:proofErr w:type="spellStart"/>
      <w:r w:rsidRPr="004B4A81">
        <w:rPr>
          <w:b/>
          <w:bCs/>
        </w:rPr>
        <w:t>mKO</w:t>
      </w:r>
      <w:proofErr w:type="spellEnd"/>
      <w:r w:rsidRPr="004B4A81">
        <w:rPr>
          <w:b/>
          <w:bCs/>
        </w:rPr>
        <w:t xml:space="preserve"> </w:t>
      </w:r>
      <w:r w:rsidRPr="004B4A81">
        <w:t xml:space="preserve">u ključnim godinama kao i ciljana stopa (i količine) odvojenog prikupljanja i reciklaže ključnih sastavnica komunalnog otpada (papir, plastika, metal, staklo, biootpad, glomazni otpad, električni i elektronički otpad) uz pretpostavku udjela nečistoća u odvojenom prikupljenom otpada kao razlike između količina odvojeno prikupljanog otpada (prema podacima iz 2021. g. riječ je o udjelu nečistoća od oko 13%) i recikliranih i pripremljenih za ponovnu uporabu količina otpada. Pretpostavljajući ispunjenje ciljeva postavljenih Direktivom (EU) 2018/851 Europskog parlamenta i Vijeća od 30. svibnja 2018. o izmjeni Direktive 2008/98/EZ o otpadu kroz promatranje ključnih sastavnica komunalnog otpada i sastava komunalnog otpada iz 2015. g. (za koji je pretpostavljeno da se ne mijenja tijekom promatranog perioda osim izvršenih korekcija) dobiven je očekivani sastav </w:t>
      </w:r>
      <w:proofErr w:type="spellStart"/>
      <w:r w:rsidRPr="004B4A81">
        <w:t>mKO</w:t>
      </w:r>
      <w:proofErr w:type="spellEnd"/>
      <w:r w:rsidRPr="004B4A81">
        <w:t xml:space="preserve">-a u ključnim godinama kao i njegove očekivane količine a za čiju je oporabu i zbrinjavanje potrebno osigurati odgovarajuću infrastrukturu. Procijenjene količine i sastav </w:t>
      </w:r>
      <w:proofErr w:type="spellStart"/>
      <w:r w:rsidRPr="004B4A81">
        <w:t>mKO</w:t>
      </w:r>
      <w:proofErr w:type="spellEnd"/>
      <w:r w:rsidRPr="004B4A81">
        <w:t xml:space="preserve">-a u ključnim godinama </w:t>
      </w:r>
      <w:r w:rsidR="00BD4C4B" w:rsidRPr="004B4A81">
        <w:t xml:space="preserve">za Scenarij 1 </w:t>
      </w:r>
      <w:r w:rsidRPr="004B4A81">
        <w:t xml:space="preserve">prikazuje </w:t>
      </w:r>
      <w:r w:rsidR="00180ECE" w:rsidRPr="004B4A81">
        <w:rPr>
          <w:highlight w:val="yellow"/>
        </w:rPr>
        <w:fldChar w:fldCharType="begin"/>
      </w:r>
      <w:r w:rsidR="00180ECE" w:rsidRPr="004B4A81">
        <w:instrText xml:space="preserve"> REF _Ref116285277 \h </w:instrText>
      </w:r>
      <w:r w:rsidR="00180ECE" w:rsidRPr="00180ECE">
        <w:rPr>
          <w:highlight w:val="yellow"/>
        </w:rPr>
        <w:instrText xml:space="preserve"> \* MERGEFORMAT </w:instrText>
      </w:r>
      <w:r w:rsidR="00180ECE" w:rsidRPr="004B4A81">
        <w:rPr>
          <w:highlight w:val="yellow"/>
        </w:rPr>
      </w:r>
      <w:r w:rsidR="00180ECE" w:rsidRPr="004B4A81">
        <w:rPr>
          <w:highlight w:val="yellow"/>
        </w:rPr>
        <w:fldChar w:fldCharType="separate"/>
      </w:r>
      <w:r w:rsidR="00F37B62">
        <w:t xml:space="preserve">Tablica </w:t>
      </w:r>
      <w:r w:rsidR="00F37B62">
        <w:rPr>
          <w:noProof/>
        </w:rPr>
        <w:t>36</w:t>
      </w:r>
      <w:r w:rsidR="00180ECE" w:rsidRPr="004B4A81">
        <w:rPr>
          <w:highlight w:val="yellow"/>
        </w:rPr>
        <w:fldChar w:fldCharType="end"/>
      </w:r>
      <w:r w:rsidRPr="004B4A81">
        <w:t>.</w:t>
      </w:r>
    </w:p>
    <w:p w14:paraId="5EA93F0B" w14:textId="020C5E1D" w:rsidR="00355444" w:rsidRDefault="00BD4C4B" w:rsidP="004B4A81">
      <w:pPr>
        <w:pStyle w:val="Tablica"/>
      </w:pPr>
      <w:bookmarkStart w:id="249" w:name="_Ref116285277"/>
      <w:bookmarkStart w:id="250" w:name="_Toc125364425"/>
      <w:r>
        <w:t xml:space="preserve">Tablica </w:t>
      </w:r>
      <w:fldSimple w:instr=" SEQ Tablica \* ARABIC ">
        <w:r w:rsidR="00F37B62">
          <w:rPr>
            <w:noProof/>
          </w:rPr>
          <w:t>36</w:t>
        </w:r>
      </w:fldSimple>
      <w:bookmarkEnd w:id="249"/>
      <w:r>
        <w:t xml:space="preserve">. </w:t>
      </w:r>
      <w:r w:rsidRPr="004B4A81">
        <w:rPr>
          <w:b w:val="0"/>
          <w:bCs/>
        </w:rPr>
        <w:t xml:space="preserve">Projekcija kretanja količine i sastava </w:t>
      </w:r>
      <w:proofErr w:type="spellStart"/>
      <w:r w:rsidRPr="004B4A81">
        <w:rPr>
          <w:b w:val="0"/>
          <w:bCs/>
        </w:rPr>
        <w:t>mKO</w:t>
      </w:r>
      <w:proofErr w:type="spellEnd"/>
      <w:r w:rsidRPr="004B4A81">
        <w:rPr>
          <w:b w:val="0"/>
          <w:bCs/>
        </w:rPr>
        <w:t xml:space="preserve"> koji je potrebno </w:t>
      </w:r>
      <w:proofErr w:type="spellStart"/>
      <w:r w:rsidRPr="004B4A81">
        <w:rPr>
          <w:b w:val="0"/>
          <w:bCs/>
        </w:rPr>
        <w:t>oporabiti</w:t>
      </w:r>
      <w:proofErr w:type="spellEnd"/>
      <w:r w:rsidRPr="004B4A81">
        <w:rPr>
          <w:b w:val="0"/>
          <w:bCs/>
        </w:rPr>
        <w:t xml:space="preserve"> i zbrinuti u ključnim godinama</w:t>
      </w:r>
      <w:r>
        <w:rPr>
          <w:b w:val="0"/>
          <w:bCs/>
        </w:rPr>
        <w:t xml:space="preserve"> – SCENARIJ 1</w:t>
      </w:r>
      <w:bookmarkEnd w:id="250"/>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990"/>
        <w:gridCol w:w="851"/>
        <w:gridCol w:w="992"/>
        <w:gridCol w:w="851"/>
        <w:gridCol w:w="992"/>
        <w:gridCol w:w="850"/>
        <w:gridCol w:w="993"/>
        <w:gridCol w:w="850"/>
      </w:tblGrid>
      <w:tr w:rsidR="002C1C73" w:rsidRPr="00747CFD" w14:paraId="29D2BEAB" w14:textId="77777777" w:rsidTr="002C1C73">
        <w:trPr>
          <w:trHeight w:val="405"/>
        </w:trPr>
        <w:tc>
          <w:tcPr>
            <w:tcW w:w="1696" w:type="dxa"/>
            <w:shd w:val="clear" w:color="auto" w:fill="002060"/>
            <w:noWrap/>
            <w:vAlign w:val="center"/>
            <w:hideMark/>
          </w:tcPr>
          <w:p w14:paraId="61C7C94E" w14:textId="77777777" w:rsidR="002C1C73" w:rsidRPr="00747CFD" w:rsidRDefault="002C1C73" w:rsidP="00BD4C4B">
            <w:pPr>
              <w:spacing w:after="0" w:line="240" w:lineRule="auto"/>
              <w:jc w:val="center"/>
              <w:rPr>
                <w:rFonts w:ascii="Calibri" w:eastAsia="Times New Roman" w:hAnsi="Calibri" w:cs="Calibri"/>
                <w:color w:val="FFFFFF" w:themeColor="background1"/>
                <w:sz w:val="16"/>
                <w:szCs w:val="16"/>
                <w:lang w:eastAsia="hr-HR"/>
              </w:rPr>
            </w:pPr>
            <w:r w:rsidRPr="00747CFD">
              <w:rPr>
                <w:rFonts w:ascii="Calibri" w:eastAsia="Times New Roman" w:hAnsi="Calibri" w:cs="Calibri"/>
                <w:color w:val="FFFFFF" w:themeColor="background1"/>
                <w:sz w:val="16"/>
                <w:szCs w:val="16"/>
                <w:lang w:eastAsia="hr-HR"/>
              </w:rPr>
              <w:t>Godina</w:t>
            </w:r>
          </w:p>
        </w:tc>
        <w:tc>
          <w:tcPr>
            <w:tcW w:w="990" w:type="dxa"/>
            <w:shd w:val="clear" w:color="auto" w:fill="002060"/>
            <w:noWrap/>
            <w:vAlign w:val="center"/>
            <w:hideMark/>
          </w:tcPr>
          <w:p w14:paraId="74D43976" w14:textId="77777777" w:rsidR="002C1C73" w:rsidRPr="00747CFD" w:rsidRDefault="002C1C73" w:rsidP="00BD4C4B">
            <w:pPr>
              <w:spacing w:after="0" w:line="240" w:lineRule="auto"/>
              <w:jc w:val="center"/>
              <w:rPr>
                <w:rFonts w:ascii="Calibri" w:eastAsia="Times New Roman" w:hAnsi="Calibri" w:cs="Calibri"/>
                <w:color w:val="FFFFFF" w:themeColor="background1"/>
                <w:sz w:val="16"/>
                <w:szCs w:val="16"/>
                <w:lang w:eastAsia="hr-HR"/>
              </w:rPr>
            </w:pPr>
            <w:r w:rsidRPr="00747CFD">
              <w:rPr>
                <w:rFonts w:ascii="Calibri" w:eastAsia="Times New Roman" w:hAnsi="Calibri" w:cs="Calibri"/>
                <w:color w:val="FFFFFF" w:themeColor="background1"/>
                <w:sz w:val="16"/>
                <w:szCs w:val="16"/>
                <w:lang w:eastAsia="hr-HR"/>
              </w:rPr>
              <w:t>2025.</w:t>
            </w:r>
          </w:p>
        </w:tc>
        <w:tc>
          <w:tcPr>
            <w:tcW w:w="851" w:type="dxa"/>
            <w:shd w:val="clear" w:color="auto" w:fill="002060"/>
            <w:vAlign w:val="center"/>
            <w:hideMark/>
          </w:tcPr>
          <w:p w14:paraId="0CAD59A8" w14:textId="77777777" w:rsidR="002C1C73" w:rsidRPr="00747CFD" w:rsidRDefault="002C1C73" w:rsidP="00BD4C4B">
            <w:pPr>
              <w:spacing w:after="0" w:line="240" w:lineRule="auto"/>
              <w:jc w:val="center"/>
              <w:rPr>
                <w:rFonts w:ascii="Calibri" w:eastAsia="Times New Roman" w:hAnsi="Calibri" w:cs="Calibri"/>
                <w:color w:val="FFFFFF" w:themeColor="background1"/>
                <w:sz w:val="16"/>
                <w:szCs w:val="16"/>
                <w:lang w:eastAsia="hr-HR"/>
              </w:rPr>
            </w:pPr>
            <w:r w:rsidRPr="00747CFD">
              <w:rPr>
                <w:rFonts w:ascii="Calibri" w:eastAsia="Times New Roman" w:hAnsi="Calibri" w:cs="Calibri"/>
                <w:color w:val="FFFFFF" w:themeColor="background1"/>
                <w:sz w:val="16"/>
                <w:szCs w:val="16"/>
                <w:lang w:eastAsia="hr-HR"/>
              </w:rPr>
              <w:t xml:space="preserve">Udio u </w:t>
            </w:r>
            <w:proofErr w:type="spellStart"/>
            <w:r w:rsidRPr="00747CFD">
              <w:rPr>
                <w:rFonts w:ascii="Calibri" w:eastAsia="Times New Roman" w:hAnsi="Calibri" w:cs="Calibri"/>
                <w:color w:val="FFFFFF" w:themeColor="background1"/>
                <w:sz w:val="16"/>
                <w:szCs w:val="16"/>
                <w:lang w:eastAsia="hr-HR"/>
              </w:rPr>
              <w:t>mKO</w:t>
            </w:r>
            <w:proofErr w:type="spellEnd"/>
          </w:p>
        </w:tc>
        <w:tc>
          <w:tcPr>
            <w:tcW w:w="992" w:type="dxa"/>
            <w:shd w:val="clear" w:color="auto" w:fill="002060"/>
            <w:noWrap/>
            <w:vAlign w:val="center"/>
            <w:hideMark/>
          </w:tcPr>
          <w:p w14:paraId="71554A2F" w14:textId="77777777" w:rsidR="002C1C73" w:rsidRPr="00747CFD" w:rsidRDefault="002C1C73" w:rsidP="00BD4C4B">
            <w:pPr>
              <w:spacing w:after="0" w:line="240" w:lineRule="auto"/>
              <w:jc w:val="center"/>
              <w:rPr>
                <w:rFonts w:ascii="Calibri" w:eastAsia="Times New Roman" w:hAnsi="Calibri" w:cs="Calibri"/>
                <w:color w:val="FFFFFF" w:themeColor="background1"/>
                <w:sz w:val="16"/>
                <w:szCs w:val="16"/>
                <w:lang w:eastAsia="hr-HR"/>
              </w:rPr>
            </w:pPr>
            <w:r w:rsidRPr="00747CFD">
              <w:rPr>
                <w:rFonts w:ascii="Calibri" w:eastAsia="Times New Roman" w:hAnsi="Calibri" w:cs="Calibri"/>
                <w:color w:val="FFFFFF" w:themeColor="background1"/>
                <w:sz w:val="16"/>
                <w:szCs w:val="16"/>
                <w:lang w:eastAsia="hr-HR"/>
              </w:rPr>
              <w:t>2028.</w:t>
            </w:r>
          </w:p>
        </w:tc>
        <w:tc>
          <w:tcPr>
            <w:tcW w:w="851" w:type="dxa"/>
            <w:shd w:val="clear" w:color="auto" w:fill="002060"/>
            <w:vAlign w:val="center"/>
            <w:hideMark/>
          </w:tcPr>
          <w:p w14:paraId="700BEA34" w14:textId="77777777" w:rsidR="002C1C73" w:rsidRPr="00747CFD" w:rsidRDefault="002C1C73" w:rsidP="00BD4C4B">
            <w:pPr>
              <w:spacing w:after="0" w:line="240" w:lineRule="auto"/>
              <w:jc w:val="center"/>
              <w:rPr>
                <w:rFonts w:ascii="Calibri" w:eastAsia="Times New Roman" w:hAnsi="Calibri" w:cs="Calibri"/>
                <w:color w:val="FFFFFF" w:themeColor="background1"/>
                <w:sz w:val="16"/>
                <w:szCs w:val="16"/>
                <w:lang w:eastAsia="hr-HR"/>
              </w:rPr>
            </w:pPr>
            <w:r w:rsidRPr="00747CFD">
              <w:rPr>
                <w:rFonts w:ascii="Calibri" w:eastAsia="Times New Roman" w:hAnsi="Calibri" w:cs="Calibri"/>
                <w:color w:val="FFFFFF" w:themeColor="background1"/>
                <w:sz w:val="16"/>
                <w:szCs w:val="16"/>
                <w:lang w:eastAsia="hr-HR"/>
              </w:rPr>
              <w:t xml:space="preserve">Udio u </w:t>
            </w:r>
            <w:proofErr w:type="spellStart"/>
            <w:r w:rsidRPr="00747CFD">
              <w:rPr>
                <w:rFonts w:ascii="Calibri" w:eastAsia="Times New Roman" w:hAnsi="Calibri" w:cs="Calibri"/>
                <w:color w:val="FFFFFF" w:themeColor="background1"/>
                <w:sz w:val="16"/>
                <w:szCs w:val="16"/>
                <w:lang w:eastAsia="hr-HR"/>
              </w:rPr>
              <w:t>mKO</w:t>
            </w:r>
            <w:proofErr w:type="spellEnd"/>
          </w:p>
        </w:tc>
        <w:tc>
          <w:tcPr>
            <w:tcW w:w="992" w:type="dxa"/>
            <w:shd w:val="clear" w:color="auto" w:fill="002060"/>
            <w:noWrap/>
            <w:vAlign w:val="center"/>
            <w:hideMark/>
          </w:tcPr>
          <w:p w14:paraId="1424B3EC" w14:textId="77777777" w:rsidR="002C1C73" w:rsidRPr="00747CFD" w:rsidRDefault="002C1C73" w:rsidP="00BD4C4B">
            <w:pPr>
              <w:spacing w:after="0" w:line="240" w:lineRule="auto"/>
              <w:jc w:val="center"/>
              <w:rPr>
                <w:rFonts w:ascii="Calibri" w:eastAsia="Times New Roman" w:hAnsi="Calibri" w:cs="Calibri"/>
                <w:color w:val="FFFFFF" w:themeColor="background1"/>
                <w:sz w:val="16"/>
                <w:szCs w:val="16"/>
                <w:lang w:eastAsia="hr-HR"/>
              </w:rPr>
            </w:pPr>
            <w:r w:rsidRPr="00747CFD">
              <w:rPr>
                <w:rFonts w:ascii="Calibri" w:eastAsia="Times New Roman" w:hAnsi="Calibri" w:cs="Calibri"/>
                <w:color w:val="FFFFFF" w:themeColor="background1"/>
                <w:sz w:val="16"/>
                <w:szCs w:val="16"/>
                <w:lang w:eastAsia="hr-HR"/>
              </w:rPr>
              <w:t>2030.</w:t>
            </w:r>
          </w:p>
        </w:tc>
        <w:tc>
          <w:tcPr>
            <w:tcW w:w="850" w:type="dxa"/>
            <w:shd w:val="clear" w:color="auto" w:fill="002060"/>
            <w:vAlign w:val="center"/>
            <w:hideMark/>
          </w:tcPr>
          <w:p w14:paraId="5F170EEB" w14:textId="77777777" w:rsidR="002C1C73" w:rsidRPr="00747CFD" w:rsidRDefault="002C1C73" w:rsidP="00BD4C4B">
            <w:pPr>
              <w:spacing w:after="0" w:line="240" w:lineRule="auto"/>
              <w:jc w:val="center"/>
              <w:rPr>
                <w:rFonts w:ascii="Calibri" w:eastAsia="Times New Roman" w:hAnsi="Calibri" w:cs="Calibri"/>
                <w:color w:val="FFFFFF" w:themeColor="background1"/>
                <w:sz w:val="16"/>
                <w:szCs w:val="16"/>
                <w:lang w:eastAsia="hr-HR"/>
              </w:rPr>
            </w:pPr>
            <w:r w:rsidRPr="00747CFD">
              <w:rPr>
                <w:rFonts w:ascii="Calibri" w:eastAsia="Times New Roman" w:hAnsi="Calibri" w:cs="Calibri"/>
                <w:color w:val="FFFFFF" w:themeColor="background1"/>
                <w:sz w:val="16"/>
                <w:szCs w:val="16"/>
                <w:lang w:eastAsia="hr-HR"/>
              </w:rPr>
              <w:t xml:space="preserve">Udio u </w:t>
            </w:r>
            <w:proofErr w:type="spellStart"/>
            <w:r w:rsidRPr="00747CFD">
              <w:rPr>
                <w:rFonts w:ascii="Calibri" w:eastAsia="Times New Roman" w:hAnsi="Calibri" w:cs="Calibri"/>
                <w:color w:val="FFFFFF" w:themeColor="background1"/>
                <w:sz w:val="16"/>
                <w:szCs w:val="16"/>
                <w:lang w:eastAsia="hr-HR"/>
              </w:rPr>
              <w:t>mKO</w:t>
            </w:r>
            <w:proofErr w:type="spellEnd"/>
          </w:p>
        </w:tc>
        <w:tc>
          <w:tcPr>
            <w:tcW w:w="993" w:type="dxa"/>
            <w:shd w:val="clear" w:color="auto" w:fill="002060"/>
            <w:noWrap/>
            <w:vAlign w:val="center"/>
            <w:hideMark/>
          </w:tcPr>
          <w:p w14:paraId="12A43154" w14:textId="77777777" w:rsidR="002C1C73" w:rsidRPr="00747CFD" w:rsidRDefault="002C1C73" w:rsidP="00BD4C4B">
            <w:pPr>
              <w:spacing w:after="0" w:line="240" w:lineRule="auto"/>
              <w:jc w:val="center"/>
              <w:rPr>
                <w:rFonts w:ascii="Calibri" w:eastAsia="Times New Roman" w:hAnsi="Calibri" w:cs="Calibri"/>
                <w:color w:val="FFFFFF" w:themeColor="background1"/>
                <w:sz w:val="16"/>
                <w:szCs w:val="16"/>
                <w:lang w:eastAsia="hr-HR"/>
              </w:rPr>
            </w:pPr>
            <w:r w:rsidRPr="00747CFD">
              <w:rPr>
                <w:rFonts w:ascii="Calibri" w:eastAsia="Times New Roman" w:hAnsi="Calibri" w:cs="Calibri"/>
                <w:color w:val="FFFFFF" w:themeColor="background1"/>
                <w:sz w:val="16"/>
                <w:szCs w:val="16"/>
                <w:lang w:eastAsia="hr-HR"/>
              </w:rPr>
              <w:t>2035.</w:t>
            </w:r>
          </w:p>
        </w:tc>
        <w:tc>
          <w:tcPr>
            <w:tcW w:w="850" w:type="dxa"/>
            <w:shd w:val="clear" w:color="auto" w:fill="002060"/>
            <w:vAlign w:val="center"/>
            <w:hideMark/>
          </w:tcPr>
          <w:p w14:paraId="400522D5" w14:textId="77777777" w:rsidR="002C1C73" w:rsidRPr="00747CFD" w:rsidRDefault="002C1C73" w:rsidP="00BD4C4B">
            <w:pPr>
              <w:spacing w:after="0" w:line="240" w:lineRule="auto"/>
              <w:jc w:val="center"/>
              <w:rPr>
                <w:rFonts w:ascii="Calibri" w:eastAsia="Times New Roman" w:hAnsi="Calibri" w:cs="Calibri"/>
                <w:color w:val="FFFFFF" w:themeColor="background1"/>
                <w:sz w:val="16"/>
                <w:szCs w:val="16"/>
                <w:lang w:eastAsia="hr-HR"/>
              </w:rPr>
            </w:pPr>
            <w:r w:rsidRPr="00747CFD">
              <w:rPr>
                <w:rFonts w:ascii="Calibri" w:eastAsia="Times New Roman" w:hAnsi="Calibri" w:cs="Calibri"/>
                <w:color w:val="FFFFFF" w:themeColor="background1"/>
                <w:sz w:val="16"/>
                <w:szCs w:val="16"/>
                <w:lang w:eastAsia="hr-HR"/>
              </w:rPr>
              <w:t xml:space="preserve">Udio u </w:t>
            </w:r>
            <w:proofErr w:type="spellStart"/>
            <w:r w:rsidRPr="00747CFD">
              <w:rPr>
                <w:rFonts w:ascii="Calibri" w:eastAsia="Times New Roman" w:hAnsi="Calibri" w:cs="Calibri"/>
                <w:color w:val="FFFFFF" w:themeColor="background1"/>
                <w:sz w:val="16"/>
                <w:szCs w:val="16"/>
                <w:lang w:eastAsia="hr-HR"/>
              </w:rPr>
              <w:t>mKO</w:t>
            </w:r>
            <w:proofErr w:type="spellEnd"/>
          </w:p>
        </w:tc>
      </w:tr>
      <w:tr w:rsidR="002C1C73" w:rsidRPr="00747CFD" w14:paraId="1B352F04" w14:textId="77777777" w:rsidTr="002C1C73">
        <w:trPr>
          <w:trHeight w:val="300"/>
        </w:trPr>
        <w:tc>
          <w:tcPr>
            <w:tcW w:w="1696" w:type="dxa"/>
            <w:shd w:val="clear" w:color="auto" w:fill="auto"/>
            <w:noWrap/>
            <w:vAlign w:val="center"/>
            <w:hideMark/>
          </w:tcPr>
          <w:p w14:paraId="74B09E98" w14:textId="74653A21" w:rsidR="002C1C73" w:rsidRPr="00747CFD" w:rsidRDefault="002C1C73" w:rsidP="00BD4C4B">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Količina</w:t>
            </w:r>
            <w:r w:rsidR="00B00709" w:rsidRPr="00747CFD">
              <w:rPr>
                <w:rFonts w:ascii="Calibri" w:eastAsia="Times New Roman" w:hAnsi="Calibri" w:cs="Calibri"/>
                <w:color w:val="000000"/>
                <w:sz w:val="16"/>
                <w:szCs w:val="16"/>
                <w:lang w:eastAsia="hr-HR"/>
              </w:rPr>
              <w:t xml:space="preserve"> KO</w:t>
            </w:r>
            <w:r w:rsidRPr="00747CFD">
              <w:rPr>
                <w:rFonts w:ascii="Calibri" w:eastAsia="Times New Roman" w:hAnsi="Calibri" w:cs="Calibri"/>
                <w:color w:val="000000"/>
                <w:sz w:val="16"/>
                <w:szCs w:val="16"/>
                <w:lang w:eastAsia="hr-HR"/>
              </w:rPr>
              <w:t xml:space="preserve"> (t)</w:t>
            </w:r>
          </w:p>
        </w:tc>
        <w:tc>
          <w:tcPr>
            <w:tcW w:w="990" w:type="dxa"/>
            <w:shd w:val="clear" w:color="auto" w:fill="auto"/>
            <w:noWrap/>
            <w:vAlign w:val="center"/>
            <w:hideMark/>
          </w:tcPr>
          <w:p w14:paraId="5FC81F53"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1.913.143</w:t>
            </w:r>
          </w:p>
        </w:tc>
        <w:tc>
          <w:tcPr>
            <w:tcW w:w="851" w:type="dxa"/>
            <w:shd w:val="clear" w:color="auto" w:fill="E7E6E6" w:themeFill="background2"/>
            <w:vAlign w:val="center"/>
            <w:hideMark/>
          </w:tcPr>
          <w:p w14:paraId="1B6695FC"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auto"/>
            <w:noWrap/>
            <w:vAlign w:val="center"/>
            <w:hideMark/>
          </w:tcPr>
          <w:p w14:paraId="4994AE6D"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2.070.164</w:t>
            </w:r>
          </w:p>
        </w:tc>
        <w:tc>
          <w:tcPr>
            <w:tcW w:w="851" w:type="dxa"/>
            <w:shd w:val="clear" w:color="auto" w:fill="E7E6E6" w:themeFill="background2"/>
            <w:vAlign w:val="center"/>
            <w:hideMark/>
          </w:tcPr>
          <w:p w14:paraId="67F4692E"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auto"/>
            <w:noWrap/>
            <w:vAlign w:val="center"/>
            <w:hideMark/>
          </w:tcPr>
          <w:p w14:paraId="267404E5"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2.190.300</w:t>
            </w:r>
          </w:p>
        </w:tc>
        <w:tc>
          <w:tcPr>
            <w:tcW w:w="850" w:type="dxa"/>
            <w:shd w:val="clear" w:color="auto" w:fill="E7E6E6" w:themeFill="background2"/>
            <w:vAlign w:val="center"/>
            <w:hideMark/>
          </w:tcPr>
          <w:p w14:paraId="4BEC9058"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3" w:type="dxa"/>
            <w:shd w:val="clear" w:color="auto" w:fill="auto"/>
            <w:noWrap/>
            <w:vAlign w:val="center"/>
            <w:hideMark/>
          </w:tcPr>
          <w:p w14:paraId="4D6A60ED"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2.550.158</w:t>
            </w:r>
          </w:p>
        </w:tc>
        <w:tc>
          <w:tcPr>
            <w:tcW w:w="850" w:type="dxa"/>
            <w:shd w:val="clear" w:color="auto" w:fill="E7E6E6" w:themeFill="background2"/>
            <w:vAlign w:val="center"/>
            <w:hideMark/>
          </w:tcPr>
          <w:p w14:paraId="05153F97"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2C1C73" w:rsidRPr="00747CFD" w14:paraId="0FC273C9" w14:textId="77777777" w:rsidTr="002C1C73">
        <w:trPr>
          <w:trHeight w:val="300"/>
        </w:trPr>
        <w:tc>
          <w:tcPr>
            <w:tcW w:w="1696" w:type="dxa"/>
            <w:shd w:val="clear" w:color="auto" w:fill="auto"/>
            <w:noWrap/>
            <w:vAlign w:val="center"/>
            <w:hideMark/>
          </w:tcPr>
          <w:p w14:paraId="1D59D5C0" w14:textId="782B9E0D" w:rsidR="002C1C73" w:rsidRPr="00747CFD" w:rsidRDefault="002C1C73" w:rsidP="00BD4C4B">
            <w:pPr>
              <w:spacing w:after="0" w:line="240" w:lineRule="auto"/>
              <w:jc w:val="left"/>
              <w:rPr>
                <w:rFonts w:ascii="Calibri" w:eastAsia="Times New Roman" w:hAnsi="Calibri" w:cs="Calibri"/>
                <w:color w:val="000000"/>
                <w:sz w:val="16"/>
                <w:szCs w:val="16"/>
                <w:lang w:eastAsia="hr-HR"/>
              </w:rPr>
            </w:pPr>
            <w:proofErr w:type="spellStart"/>
            <w:r w:rsidRPr="00747CFD">
              <w:rPr>
                <w:rFonts w:ascii="Calibri" w:eastAsia="Times New Roman" w:hAnsi="Calibri" w:cs="Calibri"/>
                <w:color w:val="000000"/>
                <w:sz w:val="16"/>
                <w:szCs w:val="16"/>
                <w:lang w:eastAsia="hr-HR"/>
              </w:rPr>
              <w:t>mKO</w:t>
            </w:r>
            <w:proofErr w:type="spellEnd"/>
          </w:p>
        </w:tc>
        <w:tc>
          <w:tcPr>
            <w:tcW w:w="990" w:type="dxa"/>
            <w:shd w:val="clear" w:color="auto" w:fill="auto"/>
            <w:noWrap/>
            <w:vAlign w:val="center"/>
            <w:hideMark/>
          </w:tcPr>
          <w:p w14:paraId="6EB19814"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860.914</w:t>
            </w:r>
          </w:p>
        </w:tc>
        <w:tc>
          <w:tcPr>
            <w:tcW w:w="851" w:type="dxa"/>
            <w:shd w:val="clear" w:color="auto" w:fill="E7E6E6" w:themeFill="background2"/>
            <w:vAlign w:val="center"/>
            <w:hideMark/>
          </w:tcPr>
          <w:p w14:paraId="2E242E7A"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auto"/>
            <w:noWrap/>
            <w:vAlign w:val="center"/>
            <w:hideMark/>
          </w:tcPr>
          <w:p w14:paraId="3D17D7DC"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869.469</w:t>
            </w:r>
          </w:p>
        </w:tc>
        <w:tc>
          <w:tcPr>
            <w:tcW w:w="851" w:type="dxa"/>
            <w:shd w:val="clear" w:color="auto" w:fill="E7E6E6" w:themeFill="background2"/>
            <w:vAlign w:val="center"/>
            <w:hideMark/>
          </w:tcPr>
          <w:p w14:paraId="56C0EF15"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auto"/>
            <w:noWrap/>
            <w:vAlign w:val="center"/>
            <w:hideMark/>
          </w:tcPr>
          <w:p w14:paraId="42A0E281"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876.120</w:t>
            </w:r>
          </w:p>
        </w:tc>
        <w:tc>
          <w:tcPr>
            <w:tcW w:w="850" w:type="dxa"/>
            <w:shd w:val="clear" w:color="auto" w:fill="E7E6E6" w:themeFill="background2"/>
            <w:vAlign w:val="center"/>
            <w:hideMark/>
          </w:tcPr>
          <w:p w14:paraId="311E3B97"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3" w:type="dxa"/>
            <w:shd w:val="clear" w:color="auto" w:fill="auto"/>
            <w:noWrap/>
            <w:vAlign w:val="center"/>
            <w:hideMark/>
          </w:tcPr>
          <w:p w14:paraId="6FE0E9B1"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892.555</w:t>
            </w:r>
          </w:p>
        </w:tc>
        <w:tc>
          <w:tcPr>
            <w:tcW w:w="850" w:type="dxa"/>
            <w:shd w:val="clear" w:color="auto" w:fill="E7E6E6" w:themeFill="background2"/>
            <w:vAlign w:val="center"/>
            <w:hideMark/>
          </w:tcPr>
          <w:p w14:paraId="22722357"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2C1C73" w:rsidRPr="00747CFD" w14:paraId="49F961DF" w14:textId="77777777" w:rsidTr="002C1C73">
        <w:trPr>
          <w:trHeight w:val="300"/>
        </w:trPr>
        <w:tc>
          <w:tcPr>
            <w:tcW w:w="1696" w:type="dxa"/>
            <w:shd w:val="clear" w:color="auto" w:fill="auto"/>
            <w:noWrap/>
            <w:vAlign w:val="center"/>
            <w:hideMark/>
          </w:tcPr>
          <w:p w14:paraId="10C68ACD" w14:textId="77777777" w:rsidR="002C1C73" w:rsidRPr="00747CFD" w:rsidRDefault="002C1C73" w:rsidP="00BD4C4B">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Papir i karton</w:t>
            </w:r>
          </w:p>
        </w:tc>
        <w:tc>
          <w:tcPr>
            <w:tcW w:w="990" w:type="dxa"/>
            <w:shd w:val="clear" w:color="auto" w:fill="auto"/>
            <w:noWrap/>
            <w:vAlign w:val="center"/>
            <w:hideMark/>
          </w:tcPr>
          <w:p w14:paraId="5B4DCCD2"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221.169</w:t>
            </w:r>
          </w:p>
        </w:tc>
        <w:tc>
          <w:tcPr>
            <w:tcW w:w="851" w:type="dxa"/>
            <w:shd w:val="clear" w:color="auto" w:fill="E7E6E6" w:themeFill="background2"/>
            <w:noWrap/>
            <w:vAlign w:val="center"/>
            <w:hideMark/>
          </w:tcPr>
          <w:p w14:paraId="52B76DAD"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25,69%</w:t>
            </w:r>
          </w:p>
        </w:tc>
        <w:tc>
          <w:tcPr>
            <w:tcW w:w="992" w:type="dxa"/>
            <w:shd w:val="clear" w:color="auto" w:fill="auto"/>
            <w:noWrap/>
            <w:vAlign w:val="center"/>
            <w:hideMark/>
          </w:tcPr>
          <w:p w14:paraId="61F77A6F"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217.754</w:t>
            </w:r>
          </w:p>
        </w:tc>
        <w:tc>
          <w:tcPr>
            <w:tcW w:w="851" w:type="dxa"/>
            <w:shd w:val="clear" w:color="auto" w:fill="E7E6E6" w:themeFill="background2"/>
            <w:noWrap/>
            <w:vAlign w:val="center"/>
            <w:hideMark/>
          </w:tcPr>
          <w:p w14:paraId="6E20E670"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25,04%</w:t>
            </w:r>
          </w:p>
        </w:tc>
        <w:tc>
          <w:tcPr>
            <w:tcW w:w="992" w:type="dxa"/>
            <w:shd w:val="clear" w:color="auto" w:fill="auto"/>
            <w:noWrap/>
            <w:vAlign w:val="center"/>
            <w:hideMark/>
          </w:tcPr>
          <w:p w14:paraId="7F354906"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219.448</w:t>
            </w:r>
          </w:p>
        </w:tc>
        <w:tc>
          <w:tcPr>
            <w:tcW w:w="850" w:type="dxa"/>
            <w:shd w:val="clear" w:color="auto" w:fill="E7E6E6" w:themeFill="background2"/>
            <w:noWrap/>
            <w:vAlign w:val="center"/>
            <w:hideMark/>
          </w:tcPr>
          <w:p w14:paraId="3A3F7293"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25,05%</w:t>
            </w:r>
          </w:p>
        </w:tc>
        <w:tc>
          <w:tcPr>
            <w:tcW w:w="993" w:type="dxa"/>
            <w:shd w:val="clear" w:color="auto" w:fill="auto"/>
            <w:noWrap/>
            <w:vAlign w:val="center"/>
            <w:hideMark/>
          </w:tcPr>
          <w:p w14:paraId="2F1B53EF"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216.195</w:t>
            </w:r>
          </w:p>
        </w:tc>
        <w:tc>
          <w:tcPr>
            <w:tcW w:w="850" w:type="dxa"/>
            <w:shd w:val="clear" w:color="auto" w:fill="E7E6E6" w:themeFill="background2"/>
            <w:noWrap/>
            <w:vAlign w:val="center"/>
            <w:hideMark/>
          </w:tcPr>
          <w:p w14:paraId="466FCC32"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24,22%</w:t>
            </w:r>
          </w:p>
        </w:tc>
      </w:tr>
      <w:tr w:rsidR="002C1C73" w:rsidRPr="00747CFD" w14:paraId="31A0DD90" w14:textId="77777777" w:rsidTr="002C1C73">
        <w:trPr>
          <w:trHeight w:val="300"/>
        </w:trPr>
        <w:tc>
          <w:tcPr>
            <w:tcW w:w="1696" w:type="dxa"/>
            <w:shd w:val="clear" w:color="auto" w:fill="auto"/>
            <w:noWrap/>
            <w:vAlign w:val="center"/>
            <w:hideMark/>
          </w:tcPr>
          <w:p w14:paraId="6884451E" w14:textId="77777777" w:rsidR="002C1C73" w:rsidRPr="00747CFD" w:rsidRDefault="002C1C73" w:rsidP="00BD4C4B">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Metal </w:t>
            </w:r>
          </w:p>
        </w:tc>
        <w:tc>
          <w:tcPr>
            <w:tcW w:w="990" w:type="dxa"/>
            <w:shd w:val="clear" w:color="auto" w:fill="auto"/>
            <w:noWrap/>
            <w:vAlign w:val="center"/>
            <w:hideMark/>
          </w:tcPr>
          <w:p w14:paraId="21C64077"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21.112</w:t>
            </w:r>
          </w:p>
        </w:tc>
        <w:tc>
          <w:tcPr>
            <w:tcW w:w="851" w:type="dxa"/>
            <w:shd w:val="clear" w:color="auto" w:fill="E7E6E6" w:themeFill="background2"/>
            <w:noWrap/>
            <w:vAlign w:val="center"/>
            <w:hideMark/>
          </w:tcPr>
          <w:p w14:paraId="4DA3D72B"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2,45%</w:t>
            </w:r>
          </w:p>
        </w:tc>
        <w:tc>
          <w:tcPr>
            <w:tcW w:w="992" w:type="dxa"/>
            <w:shd w:val="clear" w:color="auto" w:fill="auto"/>
            <w:noWrap/>
            <w:vAlign w:val="center"/>
            <w:hideMark/>
          </w:tcPr>
          <w:p w14:paraId="21826078"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22.845</w:t>
            </w:r>
          </w:p>
        </w:tc>
        <w:tc>
          <w:tcPr>
            <w:tcW w:w="851" w:type="dxa"/>
            <w:shd w:val="clear" w:color="auto" w:fill="E7E6E6" w:themeFill="background2"/>
            <w:noWrap/>
            <w:vAlign w:val="center"/>
            <w:hideMark/>
          </w:tcPr>
          <w:p w14:paraId="21BB98E3"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2,63%</w:t>
            </w:r>
          </w:p>
        </w:tc>
        <w:tc>
          <w:tcPr>
            <w:tcW w:w="992" w:type="dxa"/>
            <w:shd w:val="clear" w:color="auto" w:fill="auto"/>
            <w:noWrap/>
            <w:vAlign w:val="center"/>
            <w:hideMark/>
          </w:tcPr>
          <w:p w14:paraId="34E50645"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24.170</w:t>
            </w:r>
          </w:p>
        </w:tc>
        <w:tc>
          <w:tcPr>
            <w:tcW w:w="850" w:type="dxa"/>
            <w:shd w:val="clear" w:color="auto" w:fill="E7E6E6" w:themeFill="background2"/>
            <w:noWrap/>
            <w:vAlign w:val="center"/>
            <w:hideMark/>
          </w:tcPr>
          <w:p w14:paraId="512E5BAF"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2,76%</w:t>
            </w:r>
          </w:p>
        </w:tc>
        <w:tc>
          <w:tcPr>
            <w:tcW w:w="993" w:type="dxa"/>
            <w:shd w:val="clear" w:color="auto" w:fill="auto"/>
            <w:noWrap/>
            <w:vAlign w:val="center"/>
            <w:hideMark/>
          </w:tcPr>
          <w:p w14:paraId="7A802183"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28.142</w:t>
            </w:r>
          </w:p>
        </w:tc>
        <w:tc>
          <w:tcPr>
            <w:tcW w:w="850" w:type="dxa"/>
            <w:shd w:val="clear" w:color="auto" w:fill="E7E6E6" w:themeFill="background2"/>
            <w:noWrap/>
            <w:vAlign w:val="center"/>
            <w:hideMark/>
          </w:tcPr>
          <w:p w14:paraId="20928FBC"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3,15%</w:t>
            </w:r>
          </w:p>
        </w:tc>
      </w:tr>
      <w:tr w:rsidR="002C1C73" w:rsidRPr="00747CFD" w14:paraId="0604E92C" w14:textId="77777777" w:rsidTr="002C1C73">
        <w:trPr>
          <w:trHeight w:val="300"/>
        </w:trPr>
        <w:tc>
          <w:tcPr>
            <w:tcW w:w="1696" w:type="dxa"/>
            <w:shd w:val="clear" w:color="auto" w:fill="auto"/>
            <w:noWrap/>
            <w:vAlign w:val="center"/>
            <w:hideMark/>
          </w:tcPr>
          <w:p w14:paraId="300BC897" w14:textId="77777777" w:rsidR="002C1C73" w:rsidRPr="00747CFD" w:rsidRDefault="002C1C73" w:rsidP="00BD4C4B">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Staklo</w:t>
            </w:r>
          </w:p>
        </w:tc>
        <w:tc>
          <w:tcPr>
            <w:tcW w:w="990" w:type="dxa"/>
            <w:shd w:val="clear" w:color="auto" w:fill="auto"/>
            <w:noWrap/>
            <w:vAlign w:val="center"/>
            <w:hideMark/>
          </w:tcPr>
          <w:p w14:paraId="2C2220D7"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42.099</w:t>
            </w:r>
          </w:p>
        </w:tc>
        <w:tc>
          <w:tcPr>
            <w:tcW w:w="851" w:type="dxa"/>
            <w:shd w:val="clear" w:color="auto" w:fill="E7E6E6" w:themeFill="background2"/>
            <w:noWrap/>
            <w:vAlign w:val="center"/>
            <w:hideMark/>
          </w:tcPr>
          <w:p w14:paraId="345293D3"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4,89%</w:t>
            </w:r>
          </w:p>
        </w:tc>
        <w:tc>
          <w:tcPr>
            <w:tcW w:w="992" w:type="dxa"/>
            <w:shd w:val="clear" w:color="auto" w:fill="auto"/>
            <w:noWrap/>
            <w:vAlign w:val="center"/>
            <w:hideMark/>
          </w:tcPr>
          <w:p w14:paraId="5EFDD693"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41.449</w:t>
            </w:r>
          </w:p>
        </w:tc>
        <w:tc>
          <w:tcPr>
            <w:tcW w:w="851" w:type="dxa"/>
            <w:shd w:val="clear" w:color="auto" w:fill="E7E6E6" w:themeFill="background2"/>
            <w:noWrap/>
            <w:vAlign w:val="center"/>
            <w:hideMark/>
          </w:tcPr>
          <w:p w14:paraId="4B1DA5D6"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4,77%</w:t>
            </w:r>
          </w:p>
        </w:tc>
        <w:tc>
          <w:tcPr>
            <w:tcW w:w="992" w:type="dxa"/>
            <w:shd w:val="clear" w:color="auto" w:fill="auto"/>
            <w:noWrap/>
            <w:vAlign w:val="center"/>
            <w:hideMark/>
          </w:tcPr>
          <w:p w14:paraId="4B6FD3D0"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41.771</w:t>
            </w:r>
          </w:p>
        </w:tc>
        <w:tc>
          <w:tcPr>
            <w:tcW w:w="850" w:type="dxa"/>
            <w:shd w:val="clear" w:color="auto" w:fill="E7E6E6" w:themeFill="background2"/>
            <w:noWrap/>
            <w:vAlign w:val="center"/>
            <w:hideMark/>
          </w:tcPr>
          <w:p w14:paraId="1C1DC0EF"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4,77%</w:t>
            </w:r>
          </w:p>
        </w:tc>
        <w:tc>
          <w:tcPr>
            <w:tcW w:w="993" w:type="dxa"/>
            <w:shd w:val="clear" w:color="auto" w:fill="auto"/>
            <w:noWrap/>
            <w:vAlign w:val="center"/>
            <w:hideMark/>
          </w:tcPr>
          <w:p w14:paraId="3C7F59A8"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41.152</w:t>
            </w:r>
          </w:p>
        </w:tc>
        <w:tc>
          <w:tcPr>
            <w:tcW w:w="850" w:type="dxa"/>
            <w:shd w:val="clear" w:color="auto" w:fill="E7E6E6" w:themeFill="background2"/>
            <w:noWrap/>
            <w:vAlign w:val="center"/>
            <w:hideMark/>
          </w:tcPr>
          <w:p w14:paraId="7C9F4AC9"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4,61%</w:t>
            </w:r>
          </w:p>
        </w:tc>
      </w:tr>
      <w:tr w:rsidR="002C1C73" w:rsidRPr="00747CFD" w14:paraId="7E34EBAC" w14:textId="77777777" w:rsidTr="002C1C73">
        <w:trPr>
          <w:trHeight w:val="300"/>
        </w:trPr>
        <w:tc>
          <w:tcPr>
            <w:tcW w:w="1696" w:type="dxa"/>
            <w:shd w:val="clear" w:color="auto" w:fill="auto"/>
            <w:noWrap/>
            <w:vAlign w:val="center"/>
            <w:hideMark/>
          </w:tcPr>
          <w:p w14:paraId="01EB9078" w14:textId="77777777" w:rsidR="002C1C73" w:rsidRPr="00747CFD" w:rsidRDefault="002C1C73" w:rsidP="00BD4C4B">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Plastika</w:t>
            </w:r>
          </w:p>
        </w:tc>
        <w:tc>
          <w:tcPr>
            <w:tcW w:w="990" w:type="dxa"/>
            <w:shd w:val="clear" w:color="auto" w:fill="auto"/>
            <w:noWrap/>
            <w:vAlign w:val="center"/>
            <w:hideMark/>
          </w:tcPr>
          <w:p w14:paraId="2FA9D38D"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167.448</w:t>
            </w:r>
          </w:p>
        </w:tc>
        <w:tc>
          <w:tcPr>
            <w:tcW w:w="851" w:type="dxa"/>
            <w:shd w:val="clear" w:color="auto" w:fill="E7E6E6" w:themeFill="background2"/>
            <w:noWrap/>
            <w:vAlign w:val="center"/>
            <w:hideMark/>
          </w:tcPr>
          <w:p w14:paraId="21258358"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19,45%</w:t>
            </w:r>
          </w:p>
        </w:tc>
        <w:tc>
          <w:tcPr>
            <w:tcW w:w="992" w:type="dxa"/>
            <w:shd w:val="clear" w:color="auto" w:fill="auto"/>
            <w:noWrap/>
            <w:vAlign w:val="center"/>
            <w:hideMark/>
          </w:tcPr>
          <w:p w14:paraId="372C8682"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164.863</w:t>
            </w:r>
          </w:p>
        </w:tc>
        <w:tc>
          <w:tcPr>
            <w:tcW w:w="851" w:type="dxa"/>
            <w:shd w:val="clear" w:color="auto" w:fill="E7E6E6" w:themeFill="background2"/>
            <w:noWrap/>
            <w:vAlign w:val="center"/>
            <w:hideMark/>
          </w:tcPr>
          <w:p w14:paraId="42310444"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18,96%</w:t>
            </w:r>
          </w:p>
        </w:tc>
        <w:tc>
          <w:tcPr>
            <w:tcW w:w="992" w:type="dxa"/>
            <w:shd w:val="clear" w:color="auto" w:fill="auto"/>
            <w:noWrap/>
            <w:vAlign w:val="center"/>
            <w:hideMark/>
          </w:tcPr>
          <w:p w14:paraId="6D7D72C7"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166.145</w:t>
            </w:r>
          </w:p>
        </w:tc>
        <w:tc>
          <w:tcPr>
            <w:tcW w:w="850" w:type="dxa"/>
            <w:shd w:val="clear" w:color="auto" w:fill="E7E6E6" w:themeFill="background2"/>
            <w:noWrap/>
            <w:vAlign w:val="center"/>
            <w:hideMark/>
          </w:tcPr>
          <w:p w14:paraId="00A9207A"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18,96%</w:t>
            </w:r>
          </w:p>
        </w:tc>
        <w:tc>
          <w:tcPr>
            <w:tcW w:w="993" w:type="dxa"/>
            <w:shd w:val="clear" w:color="auto" w:fill="auto"/>
            <w:noWrap/>
            <w:vAlign w:val="center"/>
            <w:hideMark/>
          </w:tcPr>
          <w:p w14:paraId="734F9640"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163.682</w:t>
            </w:r>
          </w:p>
        </w:tc>
        <w:tc>
          <w:tcPr>
            <w:tcW w:w="850" w:type="dxa"/>
            <w:shd w:val="clear" w:color="auto" w:fill="E7E6E6" w:themeFill="background2"/>
            <w:noWrap/>
            <w:vAlign w:val="center"/>
            <w:hideMark/>
          </w:tcPr>
          <w:p w14:paraId="4F43FC5A"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18,34%</w:t>
            </w:r>
          </w:p>
        </w:tc>
      </w:tr>
      <w:tr w:rsidR="002C1C73" w:rsidRPr="00747CFD" w14:paraId="13C0600C" w14:textId="77777777" w:rsidTr="002C1C73">
        <w:trPr>
          <w:trHeight w:val="300"/>
        </w:trPr>
        <w:tc>
          <w:tcPr>
            <w:tcW w:w="1696" w:type="dxa"/>
            <w:shd w:val="clear" w:color="auto" w:fill="auto"/>
            <w:noWrap/>
            <w:vAlign w:val="center"/>
            <w:hideMark/>
          </w:tcPr>
          <w:p w14:paraId="375F061A" w14:textId="77777777" w:rsidR="002C1C73" w:rsidRPr="00747CFD" w:rsidRDefault="002C1C73" w:rsidP="00BD4C4B">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Biootpad</w:t>
            </w:r>
          </w:p>
        </w:tc>
        <w:tc>
          <w:tcPr>
            <w:tcW w:w="990" w:type="dxa"/>
            <w:shd w:val="clear" w:color="auto" w:fill="auto"/>
            <w:noWrap/>
            <w:vAlign w:val="center"/>
            <w:hideMark/>
          </w:tcPr>
          <w:p w14:paraId="4D882C6C"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274.460</w:t>
            </w:r>
          </w:p>
        </w:tc>
        <w:tc>
          <w:tcPr>
            <w:tcW w:w="851" w:type="dxa"/>
            <w:shd w:val="clear" w:color="auto" w:fill="E7E6E6" w:themeFill="background2"/>
            <w:noWrap/>
            <w:vAlign w:val="center"/>
            <w:hideMark/>
          </w:tcPr>
          <w:p w14:paraId="7C1D0A77"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31,88%</w:t>
            </w:r>
          </w:p>
        </w:tc>
        <w:tc>
          <w:tcPr>
            <w:tcW w:w="992" w:type="dxa"/>
            <w:shd w:val="clear" w:color="auto" w:fill="auto"/>
            <w:noWrap/>
            <w:vAlign w:val="center"/>
            <w:hideMark/>
          </w:tcPr>
          <w:p w14:paraId="01277244"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270.222</w:t>
            </w:r>
          </w:p>
        </w:tc>
        <w:tc>
          <w:tcPr>
            <w:tcW w:w="851" w:type="dxa"/>
            <w:shd w:val="clear" w:color="auto" w:fill="E7E6E6" w:themeFill="background2"/>
            <w:noWrap/>
            <w:vAlign w:val="center"/>
            <w:hideMark/>
          </w:tcPr>
          <w:p w14:paraId="61575811"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31,08%</w:t>
            </w:r>
          </w:p>
        </w:tc>
        <w:tc>
          <w:tcPr>
            <w:tcW w:w="992" w:type="dxa"/>
            <w:shd w:val="clear" w:color="auto" w:fill="auto"/>
            <w:noWrap/>
            <w:vAlign w:val="center"/>
            <w:hideMark/>
          </w:tcPr>
          <w:p w14:paraId="6EDA7B4F"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272.324</w:t>
            </w:r>
          </w:p>
        </w:tc>
        <w:tc>
          <w:tcPr>
            <w:tcW w:w="850" w:type="dxa"/>
            <w:shd w:val="clear" w:color="auto" w:fill="E7E6E6" w:themeFill="background2"/>
            <w:noWrap/>
            <w:vAlign w:val="center"/>
            <w:hideMark/>
          </w:tcPr>
          <w:p w14:paraId="4EB98A06"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31,08%</w:t>
            </w:r>
          </w:p>
        </w:tc>
        <w:tc>
          <w:tcPr>
            <w:tcW w:w="993" w:type="dxa"/>
            <w:shd w:val="clear" w:color="auto" w:fill="auto"/>
            <w:noWrap/>
            <w:vAlign w:val="center"/>
            <w:hideMark/>
          </w:tcPr>
          <w:p w14:paraId="3EF0D9A1"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268.287</w:t>
            </w:r>
          </w:p>
        </w:tc>
        <w:tc>
          <w:tcPr>
            <w:tcW w:w="850" w:type="dxa"/>
            <w:shd w:val="clear" w:color="auto" w:fill="E7E6E6" w:themeFill="background2"/>
            <w:noWrap/>
            <w:vAlign w:val="center"/>
            <w:hideMark/>
          </w:tcPr>
          <w:p w14:paraId="38D9B9F9"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30,06%</w:t>
            </w:r>
          </w:p>
        </w:tc>
      </w:tr>
      <w:tr w:rsidR="002C1C73" w:rsidRPr="00747CFD" w14:paraId="1E4EFB09" w14:textId="77777777" w:rsidTr="002C1C73">
        <w:trPr>
          <w:trHeight w:val="300"/>
        </w:trPr>
        <w:tc>
          <w:tcPr>
            <w:tcW w:w="1696" w:type="dxa"/>
            <w:shd w:val="clear" w:color="auto" w:fill="auto"/>
            <w:noWrap/>
            <w:vAlign w:val="center"/>
            <w:hideMark/>
          </w:tcPr>
          <w:p w14:paraId="42AE9E74" w14:textId="77777777" w:rsidR="002C1C73" w:rsidRPr="00747CFD" w:rsidRDefault="002C1C73" w:rsidP="00BD4C4B">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Glomazni otpad</w:t>
            </w:r>
          </w:p>
        </w:tc>
        <w:tc>
          <w:tcPr>
            <w:tcW w:w="990" w:type="dxa"/>
            <w:shd w:val="clear" w:color="auto" w:fill="auto"/>
            <w:noWrap/>
            <w:vAlign w:val="center"/>
            <w:hideMark/>
          </w:tcPr>
          <w:p w14:paraId="52169B6D"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17.609</w:t>
            </w:r>
          </w:p>
        </w:tc>
        <w:tc>
          <w:tcPr>
            <w:tcW w:w="851" w:type="dxa"/>
            <w:shd w:val="clear" w:color="auto" w:fill="E7E6E6" w:themeFill="background2"/>
            <w:noWrap/>
            <w:vAlign w:val="center"/>
            <w:hideMark/>
          </w:tcPr>
          <w:p w14:paraId="48559836"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2,05%</w:t>
            </w:r>
          </w:p>
        </w:tc>
        <w:tc>
          <w:tcPr>
            <w:tcW w:w="992" w:type="dxa"/>
            <w:shd w:val="clear" w:color="auto" w:fill="auto"/>
            <w:noWrap/>
            <w:vAlign w:val="center"/>
            <w:hideMark/>
          </w:tcPr>
          <w:p w14:paraId="16BD33E0"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19.054</w:t>
            </w:r>
          </w:p>
        </w:tc>
        <w:tc>
          <w:tcPr>
            <w:tcW w:w="851" w:type="dxa"/>
            <w:shd w:val="clear" w:color="auto" w:fill="E7E6E6" w:themeFill="background2"/>
            <w:noWrap/>
            <w:vAlign w:val="center"/>
            <w:hideMark/>
          </w:tcPr>
          <w:p w14:paraId="737BCD32"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2,19%</w:t>
            </w:r>
          </w:p>
        </w:tc>
        <w:tc>
          <w:tcPr>
            <w:tcW w:w="992" w:type="dxa"/>
            <w:shd w:val="clear" w:color="auto" w:fill="auto"/>
            <w:noWrap/>
            <w:vAlign w:val="center"/>
            <w:hideMark/>
          </w:tcPr>
          <w:p w14:paraId="6F7BF989"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20.159</w:t>
            </w:r>
          </w:p>
        </w:tc>
        <w:tc>
          <w:tcPr>
            <w:tcW w:w="850" w:type="dxa"/>
            <w:shd w:val="clear" w:color="auto" w:fill="E7E6E6" w:themeFill="background2"/>
            <w:noWrap/>
            <w:vAlign w:val="center"/>
            <w:hideMark/>
          </w:tcPr>
          <w:p w14:paraId="0220FF13"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2,30%</w:t>
            </w:r>
          </w:p>
        </w:tc>
        <w:tc>
          <w:tcPr>
            <w:tcW w:w="993" w:type="dxa"/>
            <w:shd w:val="clear" w:color="auto" w:fill="auto"/>
            <w:noWrap/>
            <w:vAlign w:val="center"/>
            <w:hideMark/>
          </w:tcPr>
          <w:p w14:paraId="46E62A95"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23.472</w:t>
            </w:r>
          </w:p>
        </w:tc>
        <w:tc>
          <w:tcPr>
            <w:tcW w:w="850" w:type="dxa"/>
            <w:shd w:val="clear" w:color="auto" w:fill="E7E6E6" w:themeFill="background2"/>
            <w:noWrap/>
            <w:vAlign w:val="center"/>
            <w:hideMark/>
          </w:tcPr>
          <w:p w14:paraId="06FC7631"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2,63%</w:t>
            </w:r>
          </w:p>
        </w:tc>
      </w:tr>
      <w:tr w:rsidR="002C1C73" w:rsidRPr="00747CFD" w14:paraId="22D1936F" w14:textId="77777777" w:rsidTr="002C1C73">
        <w:trPr>
          <w:trHeight w:val="300"/>
        </w:trPr>
        <w:tc>
          <w:tcPr>
            <w:tcW w:w="1696" w:type="dxa"/>
            <w:shd w:val="clear" w:color="auto" w:fill="auto"/>
            <w:noWrap/>
            <w:vAlign w:val="center"/>
            <w:hideMark/>
          </w:tcPr>
          <w:p w14:paraId="6A2C28B4" w14:textId="77777777" w:rsidR="002C1C73" w:rsidRPr="00747CFD" w:rsidRDefault="002C1C73" w:rsidP="00BD4C4B">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lastRenderedPageBreak/>
              <w:t>Električni i elektronički</w:t>
            </w:r>
          </w:p>
        </w:tc>
        <w:tc>
          <w:tcPr>
            <w:tcW w:w="990" w:type="dxa"/>
            <w:shd w:val="clear" w:color="auto" w:fill="auto"/>
            <w:noWrap/>
            <w:vAlign w:val="center"/>
            <w:hideMark/>
          </w:tcPr>
          <w:p w14:paraId="7BA8008F"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13.377</w:t>
            </w:r>
          </w:p>
        </w:tc>
        <w:tc>
          <w:tcPr>
            <w:tcW w:w="851" w:type="dxa"/>
            <w:shd w:val="clear" w:color="auto" w:fill="E7E6E6" w:themeFill="background2"/>
            <w:noWrap/>
            <w:vAlign w:val="center"/>
            <w:hideMark/>
          </w:tcPr>
          <w:p w14:paraId="772A64C8"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1,55%</w:t>
            </w:r>
          </w:p>
        </w:tc>
        <w:tc>
          <w:tcPr>
            <w:tcW w:w="992" w:type="dxa"/>
            <w:shd w:val="clear" w:color="auto" w:fill="auto"/>
            <w:noWrap/>
            <w:vAlign w:val="center"/>
            <w:hideMark/>
          </w:tcPr>
          <w:p w14:paraId="30695028"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14.475</w:t>
            </w:r>
          </w:p>
        </w:tc>
        <w:tc>
          <w:tcPr>
            <w:tcW w:w="851" w:type="dxa"/>
            <w:shd w:val="clear" w:color="auto" w:fill="E7E6E6" w:themeFill="background2"/>
            <w:noWrap/>
            <w:vAlign w:val="center"/>
            <w:hideMark/>
          </w:tcPr>
          <w:p w14:paraId="5334DFFA"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1,66%</w:t>
            </w:r>
          </w:p>
        </w:tc>
        <w:tc>
          <w:tcPr>
            <w:tcW w:w="992" w:type="dxa"/>
            <w:shd w:val="clear" w:color="auto" w:fill="auto"/>
            <w:noWrap/>
            <w:vAlign w:val="center"/>
            <w:hideMark/>
          </w:tcPr>
          <w:p w14:paraId="2E8164AB"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15.315</w:t>
            </w:r>
          </w:p>
        </w:tc>
        <w:tc>
          <w:tcPr>
            <w:tcW w:w="850" w:type="dxa"/>
            <w:shd w:val="clear" w:color="auto" w:fill="E7E6E6" w:themeFill="background2"/>
            <w:noWrap/>
            <w:vAlign w:val="center"/>
            <w:hideMark/>
          </w:tcPr>
          <w:p w14:paraId="34FFCEB6"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1,75%</w:t>
            </w:r>
          </w:p>
        </w:tc>
        <w:tc>
          <w:tcPr>
            <w:tcW w:w="993" w:type="dxa"/>
            <w:shd w:val="clear" w:color="auto" w:fill="auto"/>
            <w:noWrap/>
            <w:vAlign w:val="center"/>
            <w:hideMark/>
          </w:tcPr>
          <w:p w14:paraId="54A9E6BF"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17.831</w:t>
            </w:r>
          </w:p>
        </w:tc>
        <w:tc>
          <w:tcPr>
            <w:tcW w:w="850" w:type="dxa"/>
            <w:shd w:val="clear" w:color="auto" w:fill="E7E6E6" w:themeFill="background2"/>
            <w:noWrap/>
            <w:vAlign w:val="center"/>
            <w:hideMark/>
          </w:tcPr>
          <w:p w14:paraId="150603EF"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2,00%</w:t>
            </w:r>
          </w:p>
        </w:tc>
      </w:tr>
      <w:tr w:rsidR="002C1C73" w:rsidRPr="00747CFD" w14:paraId="2BC5CC09" w14:textId="77777777" w:rsidTr="002C1C73">
        <w:trPr>
          <w:trHeight w:val="300"/>
        </w:trPr>
        <w:tc>
          <w:tcPr>
            <w:tcW w:w="1696" w:type="dxa"/>
            <w:shd w:val="clear" w:color="auto" w:fill="auto"/>
            <w:noWrap/>
            <w:vAlign w:val="center"/>
            <w:hideMark/>
          </w:tcPr>
          <w:p w14:paraId="10A0E6D0" w14:textId="77777777" w:rsidR="002C1C73" w:rsidRPr="00747CFD" w:rsidRDefault="002C1C73" w:rsidP="00BD4C4B">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Ostali otpad</w:t>
            </w:r>
          </w:p>
        </w:tc>
        <w:tc>
          <w:tcPr>
            <w:tcW w:w="990" w:type="dxa"/>
            <w:shd w:val="clear" w:color="auto" w:fill="auto"/>
            <w:noWrap/>
            <w:vAlign w:val="center"/>
            <w:hideMark/>
          </w:tcPr>
          <w:p w14:paraId="70D9D61C"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103.642</w:t>
            </w:r>
          </w:p>
        </w:tc>
        <w:tc>
          <w:tcPr>
            <w:tcW w:w="851" w:type="dxa"/>
            <w:shd w:val="clear" w:color="auto" w:fill="E7E6E6" w:themeFill="background2"/>
            <w:noWrap/>
            <w:vAlign w:val="center"/>
            <w:hideMark/>
          </w:tcPr>
          <w:p w14:paraId="6FF7F29F"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p>
        </w:tc>
        <w:tc>
          <w:tcPr>
            <w:tcW w:w="992" w:type="dxa"/>
            <w:shd w:val="clear" w:color="auto" w:fill="auto"/>
            <w:noWrap/>
            <w:vAlign w:val="center"/>
            <w:hideMark/>
          </w:tcPr>
          <w:p w14:paraId="1623A0BF"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118.808</w:t>
            </w:r>
          </w:p>
        </w:tc>
        <w:tc>
          <w:tcPr>
            <w:tcW w:w="851" w:type="dxa"/>
            <w:shd w:val="clear" w:color="auto" w:fill="E7E6E6" w:themeFill="background2"/>
            <w:noWrap/>
            <w:vAlign w:val="center"/>
            <w:hideMark/>
          </w:tcPr>
          <w:p w14:paraId="6FDA70E9"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p>
        </w:tc>
        <w:tc>
          <w:tcPr>
            <w:tcW w:w="992" w:type="dxa"/>
            <w:shd w:val="clear" w:color="auto" w:fill="auto"/>
            <w:noWrap/>
            <w:vAlign w:val="center"/>
            <w:hideMark/>
          </w:tcPr>
          <w:p w14:paraId="2A2A9D52"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116.787</w:t>
            </w:r>
          </w:p>
        </w:tc>
        <w:tc>
          <w:tcPr>
            <w:tcW w:w="850" w:type="dxa"/>
            <w:shd w:val="clear" w:color="auto" w:fill="E7E6E6" w:themeFill="background2"/>
            <w:noWrap/>
            <w:vAlign w:val="center"/>
            <w:hideMark/>
          </w:tcPr>
          <w:p w14:paraId="3FE2243D"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p>
        </w:tc>
        <w:tc>
          <w:tcPr>
            <w:tcW w:w="993" w:type="dxa"/>
            <w:shd w:val="clear" w:color="auto" w:fill="auto"/>
            <w:noWrap/>
            <w:vAlign w:val="center"/>
            <w:hideMark/>
          </w:tcPr>
          <w:p w14:paraId="6194FCA5"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133.795</w:t>
            </w:r>
          </w:p>
        </w:tc>
        <w:tc>
          <w:tcPr>
            <w:tcW w:w="850" w:type="dxa"/>
            <w:shd w:val="clear" w:color="auto" w:fill="E7E6E6" w:themeFill="background2"/>
            <w:noWrap/>
            <w:vAlign w:val="center"/>
            <w:hideMark/>
          </w:tcPr>
          <w:p w14:paraId="2BAD2088"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p>
        </w:tc>
      </w:tr>
    </w:tbl>
    <w:p w14:paraId="6B0FA9E9" w14:textId="3844F3D7" w:rsidR="00596ABF" w:rsidRDefault="00596ABF" w:rsidP="00596ABF"/>
    <w:p w14:paraId="1A88C795" w14:textId="06F5BBB8" w:rsidR="00BD4C4B" w:rsidRDefault="00BD4C4B" w:rsidP="00BD4C4B">
      <w:pPr>
        <w:pStyle w:val="Tablica"/>
      </w:pPr>
      <w:bookmarkStart w:id="251" w:name="_Toc125364426"/>
      <w:r>
        <w:t xml:space="preserve">Tablica </w:t>
      </w:r>
      <w:fldSimple w:instr=" SEQ Tablica \* ARABIC ">
        <w:r w:rsidR="00F37B62">
          <w:rPr>
            <w:noProof/>
          </w:rPr>
          <w:t>37</w:t>
        </w:r>
      </w:fldSimple>
      <w:r>
        <w:t xml:space="preserve">. </w:t>
      </w:r>
      <w:r w:rsidR="00180ECE" w:rsidRPr="00180ECE">
        <w:rPr>
          <w:b w:val="0"/>
          <w:bCs/>
        </w:rPr>
        <w:t xml:space="preserve">Pretpostavljena efikasnost postrojenja za obradu </w:t>
      </w:r>
      <w:proofErr w:type="spellStart"/>
      <w:r w:rsidR="00180ECE" w:rsidRPr="00180ECE">
        <w:rPr>
          <w:b w:val="0"/>
          <w:bCs/>
        </w:rPr>
        <w:t>mKO</w:t>
      </w:r>
      <w:proofErr w:type="spellEnd"/>
      <w:r w:rsidR="00180ECE" w:rsidRPr="00180ECE">
        <w:rPr>
          <w:b w:val="0"/>
          <w:bCs/>
        </w:rPr>
        <w:t xml:space="preserve"> i očekivani izlazi iz CGO-a 2025.</w:t>
      </w:r>
      <w:r>
        <w:rPr>
          <w:b w:val="0"/>
          <w:bCs/>
        </w:rPr>
        <w:t>– SCENARIJ 1</w:t>
      </w:r>
      <w:bookmarkEnd w:id="251"/>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992"/>
        <w:gridCol w:w="992"/>
        <w:gridCol w:w="1024"/>
        <w:gridCol w:w="1103"/>
        <w:gridCol w:w="1024"/>
        <w:gridCol w:w="1009"/>
        <w:gridCol w:w="943"/>
      </w:tblGrid>
      <w:tr w:rsidR="00180ECE" w:rsidRPr="00747CFD" w14:paraId="14872F60" w14:textId="77777777" w:rsidTr="005B6ED7">
        <w:trPr>
          <w:trHeight w:val="240"/>
          <w:tblHeader/>
        </w:trPr>
        <w:tc>
          <w:tcPr>
            <w:tcW w:w="9062" w:type="dxa"/>
            <w:gridSpan w:val="8"/>
            <w:shd w:val="clear" w:color="auto" w:fill="auto"/>
            <w:noWrap/>
            <w:vAlign w:val="center"/>
            <w:hideMark/>
          </w:tcPr>
          <w:p w14:paraId="30CA2810" w14:textId="28660886" w:rsidR="00180ECE" w:rsidRPr="00747CFD" w:rsidRDefault="00180ECE" w:rsidP="00180ECE">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2025.</w:t>
            </w:r>
            <w:r w:rsidR="00D85FCC" w:rsidRPr="00747CFD">
              <w:rPr>
                <w:rFonts w:ascii="Calibri" w:eastAsia="Times New Roman" w:hAnsi="Calibri" w:cs="Calibri"/>
                <w:b/>
                <w:bCs/>
                <w:color w:val="000000"/>
                <w:sz w:val="16"/>
                <w:szCs w:val="16"/>
                <w:lang w:eastAsia="hr-HR"/>
              </w:rPr>
              <w:t xml:space="preserve"> godina – SCENARIJ 1</w:t>
            </w:r>
          </w:p>
        </w:tc>
      </w:tr>
      <w:tr w:rsidR="00D85FCC" w:rsidRPr="00747CFD" w14:paraId="08CC5C39" w14:textId="77777777" w:rsidTr="005B6ED7">
        <w:trPr>
          <w:trHeight w:val="1125"/>
          <w:tblHeader/>
        </w:trPr>
        <w:tc>
          <w:tcPr>
            <w:tcW w:w="1975" w:type="dxa"/>
            <w:shd w:val="clear" w:color="auto" w:fill="002060"/>
            <w:noWrap/>
            <w:vAlign w:val="center"/>
            <w:hideMark/>
          </w:tcPr>
          <w:p w14:paraId="15DE6AC9"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 </w:t>
            </w:r>
          </w:p>
        </w:tc>
        <w:tc>
          <w:tcPr>
            <w:tcW w:w="992" w:type="dxa"/>
            <w:shd w:val="clear" w:color="auto" w:fill="002060"/>
            <w:noWrap/>
            <w:vAlign w:val="center"/>
            <w:hideMark/>
          </w:tcPr>
          <w:p w14:paraId="10B37159"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Količina (t)</w:t>
            </w:r>
          </w:p>
        </w:tc>
        <w:tc>
          <w:tcPr>
            <w:tcW w:w="992" w:type="dxa"/>
            <w:shd w:val="clear" w:color="auto" w:fill="002060"/>
            <w:vAlign w:val="center"/>
            <w:hideMark/>
          </w:tcPr>
          <w:p w14:paraId="4F100C04"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 xml:space="preserve">Stopa izdvajanja </w:t>
            </w:r>
            <w:proofErr w:type="spellStart"/>
            <w:r w:rsidRPr="00747CFD">
              <w:rPr>
                <w:rFonts w:ascii="Calibri" w:eastAsia="Times New Roman" w:hAnsi="Calibri" w:cs="Calibri"/>
                <w:b/>
                <w:bCs/>
                <w:color w:val="FFFFFF" w:themeColor="background1"/>
                <w:sz w:val="16"/>
                <w:szCs w:val="16"/>
                <w:lang w:eastAsia="hr-HR"/>
              </w:rPr>
              <w:t>reciklata</w:t>
            </w:r>
            <w:proofErr w:type="spellEnd"/>
          </w:p>
        </w:tc>
        <w:tc>
          <w:tcPr>
            <w:tcW w:w="1024" w:type="dxa"/>
            <w:shd w:val="clear" w:color="auto" w:fill="002060"/>
            <w:vAlign w:val="center"/>
            <w:hideMark/>
          </w:tcPr>
          <w:p w14:paraId="35A9E77F" w14:textId="3C5B5BD9" w:rsidR="00180ECE" w:rsidRPr="00747CFD" w:rsidRDefault="00B00709"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 xml:space="preserve">Izdvojena količina </w:t>
            </w:r>
            <w:proofErr w:type="spellStart"/>
            <w:r w:rsidRPr="00747CFD">
              <w:rPr>
                <w:rFonts w:ascii="Calibri" w:eastAsia="Times New Roman" w:hAnsi="Calibri" w:cs="Calibri"/>
                <w:b/>
                <w:bCs/>
                <w:color w:val="FFFFFF" w:themeColor="background1"/>
                <w:sz w:val="16"/>
                <w:szCs w:val="16"/>
                <w:lang w:eastAsia="hr-HR"/>
              </w:rPr>
              <w:t>reciklata</w:t>
            </w:r>
            <w:proofErr w:type="spellEnd"/>
            <w:r w:rsidRPr="00747CFD">
              <w:rPr>
                <w:rFonts w:ascii="Calibri" w:eastAsia="Times New Roman" w:hAnsi="Calibri" w:cs="Calibri"/>
                <w:b/>
                <w:bCs/>
                <w:color w:val="FFFFFF" w:themeColor="background1"/>
                <w:sz w:val="16"/>
                <w:szCs w:val="16"/>
                <w:lang w:eastAsia="hr-HR"/>
              </w:rPr>
              <w:t xml:space="preserve"> (t/god)</w:t>
            </w:r>
          </w:p>
        </w:tc>
        <w:tc>
          <w:tcPr>
            <w:tcW w:w="1103" w:type="dxa"/>
            <w:shd w:val="clear" w:color="auto" w:fill="002060"/>
            <w:vAlign w:val="center"/>
            <w:hideMark/>
          </w:tcPr>
          <w:p w14:paraId="5222B825"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Stopa izdvajanja za energetsku oporabu</w:t>
            </w:r>
          </w:p>
        </w:tc>
        <w:tc>
          <w:tcPr>
            <w:tcW w:w="1024" w:type="dxa"/>
            <w:shd w:val="clear" w:color="auto" w:fill="002060"/>
            <w:vAlign w:val="center"/>
            <w:hideMark/>
          </w:tcPr>
          <w:p w14:paraId="18FF4873" w14:textId="70C7396E" w:rsidR="00180ECE" w:rsidRPr="00747CFD" w:rsidRDefault="00B00709"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Količina koja se upućuje na energetsku oporabu (t/god)</w:t>
            </w:r>
          </w:p>
        </w:tc>
        <w:tc>
          <w:tcPr>
            <w:tcW w:w="1009" w:type="dxa"/>
            <w:shd w:val="clear" w:color="auto" w:fill="002060"/>
            <w:vAlign w:val="center"/>
            <w:hideMark/>
          </w:tcPr>
          <w:p w14:paraId="148B1190"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Stopa upućivanja na odlaganje</w:t>
            </w:r>
          </w:p>
        </w:tc>
        <w:tc>
          <w:tcPr>
            <w:tcW w:w="943" w:type="dxa"/>
            <w:shd w:val="clear" w:color="auto" w:fill="002060"/>
            <w:noWrap/>
            <w:vAlign w:val="center"/>
            <w:hideMark/>
          </w:tcPr>
          <w:p w14:paraId="362D741D" w14:textId="6A82378B"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Odlaganje</w:t>
            </w:r>
            <w:r w:rsidR="00B00709" w:rsidRPr="00747CFD">
              <w:rPr>
                <w:rFonts w:ascii="Calibri" w:eastAsia="Times New Roman" w:hAnsi="Calibri" w:cs="Calibri"/>
                <w:b/>
                <w:bCs/>
                <w:color w:val="FFFFFF" w:themeColor="background1"/>
                <w:sz w:val="16"/>
                <w:szCs w:val="16"/>
                <w:lang w:eastAsia="hr-HR"/>
              </w:rPr>
              <w:t xml:space="preserve"> (t/god)</w:t>
            </w:r>
          </w:p>
        </w:tc>
      </w:tr>
      <w:tr w:rsidR="00180ECE" w:rsidRPr="00747CFD" w14:paraId="184B8E60" w14:textId="77777777" w:rsidTr="005B6ED7">
        <w:trPr>
          <w:trHeight w:val="225"/>
        </w:trPr>
        <w:tc>
          <w:tcPr>
            <w:tcW w:w="1975" w:type="dxa"/>
            <w:shd w:val="clear" w:color="auto" w:fill="auto"/>
            <w:noWrap/>
            <w:vAlign w:val="center"/>
            <w:hideMark/>
          </w:tcPr>
          <w:p w14:paraId="22FAA876" w14:textId="77777777" w:rsidR="00180ECE" w:rsidRPr="00747CFD" w:rsidRDefault="00180ECE" w:rsidP="00180ECE">
            <w:pPr>
              <w:spacing w:after="0" w:line="240" w:lineRule="auto"/>
              <w:jc w:val="left"/>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Količina KO</w:t>
            </w:r>
          </w:p>
        </w:tc>
        <w:tc>
          <w:tcPr>
            <w:tcW w:w="992" w:type="dxa"/>
            <w:shd w:val="clear" w:color="auto" w:fill="auto"/>
            <w:noWrap/>
            <w:vAlign w:val="center"/>
            <w:hideMark/>
          </w:tcPr>
          <w:p w14:paraId="051D81B9" w14:textId="77777777" w:rsidR="00180ECE" w:rsidRPr="00747CFD" w:rsidRDefault="00180ECE" w:rsidP="00180ECE">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1.913.143</w:t>
            </w:r>
          </w:p>
        </w:tc>
        <w:tc>
          <w:tcPr>
            <w:tcW w:w="992" w:type="dxa"/>
            <w:shd w:val="clear" w:color="auto" w:fill="auto"/>
            <w:noWrap/>
            <w:vAlign w:val="center"/>
            <w:hideMark/>
          </w:tcPr>
          <w:p w14:paraId="58065B4A"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24" w:type="dxa"/>
            <w:shd w:val="clear" w:color="auto" w:fill="auto"/>
            <w:noWrap/>
            <w:vAlign w:val="center"/>
            <w:hideMark/>
          </w:tcPr>
          <w:p w14:paraId="06E911DC"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103" w:type="dxa"/>
            <w:shd w:val="clear" w:color="auto" w:fill="auto"/>
            <w:noWrap/>
            <w:vAlign w:val="center"/>
            <w:hideMark/>
          </w:tcPr>
          <w:p w14:paraId="365ECE95"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24" w:type="dxa"/>
            <w:shd w:val="clear" w:color="auto" w:fill="auto"/>
            <w:noWrap/>
            <w:vAlign w:val="center"/>
            <w:hideMark/>
          </w:tcPr>
          <w:p w14:paraId="6E2803AA"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09" w:type="dxa"/>
            <w:shd w:val="clear" w:color="auto" w:fill="auto"/>
            <w:noWrap/>
            <w:vAlign w:val="center"/>
            <w:hideMark/>
          </w:tcPr>
          <w:p w14:paraId="10219349"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43" w:type="dxa"/>
            <w:shd w:val="clear" w:color="auto" w:fill="auto"/>
            <w:noWrap/>
            <w:vAlign w:val="center"/>
            <w:hideMark/>
          </w:tcPr>
          <w:p w14:paraId="731C1B2D"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180ECE" w:rsidRPr="00747CFD" w14:paraId="4608BF59" w14:textId="77777777" w:rsidTr="005B6ED7">
        <w:trPr>
          <w:trHeight w:val="225"/>
        </w:trPr>
        <w:tc>
          <w:tcPr>
            <w:tcW w:w="1975" w:type="dxa"/>
            <w:shd w:val="clear" w:color="auto" w:fill="auto"/>
            <w:noWrap/>
            <w:vAlign w:val="center"/>
            <w:hideMark/>
          </w:tcPr>
          <w:p w14:paraId="25A1CAA0" w14:textId="25F32BEC" w:rsidR="00180ECE" w:rsidRPr="00747CFD" w:rsidRDefault="00180ECE" w:rsidP="00180ECE">
            <w:pPr>
              <w:spacing w:after="0" w:line="240" w:lineRule="auto"/>
              <w:jc w:val="left"/>
              <w:rPr>
                <w:rFonts w:ascii="Calibri" w:eastAsia="Times New Roman" w:hAnsi="Calibri" w:cs="Calibri"/>
                <w:b/>
                <w:bCs/>
                <w:color w:val="000000"/>
                <w:sz w:val="16"/>
                <w:szCs w:val="16"/>
                <w:lang w:eastAsia="hr-HR"/>
              </w:rPr>
            </w:pPr>
            <w:proofErr w:type="spellStart"/>
            <w:r w:rsidRPr="00747CFD">
              <w:rPr>
                <w:rFonts w:ascii="Calibri" w:eastAsia="Times New Roman" w:hAnsi="Calibri" w:cs="Calibri"/>
                <w:b/>
                <w:bCs/>
                <w:color w:val="000000"/>
                <w:sz w:val="16"/>
                <w:szCs w:val="16"/>
                <w:lang w:eastAsia="hr-HR"/>
              </w:rPr>
              <w:t>mKO</w:t>
            </w:r>
            <w:proofErr w:type="spellEnd"/>
            <w:r w:rsidRPr="00747CFD">
              <w:rPr>
                <w:rFonts w:ascii="Calibri" w:eastAsia="Times New Roman" w:hAnsi="Calibri" w:cs="Calibri"/>
                <w:b/>
                <w:bCs/>
                <w:color w:val="000000"/>
                <w:sz w:val="16"/>
                <w:szCs w:val="16"/>
                <w:lang w:eastAsia="hr-HR"/>
              </w:rPr>
              <w:t xml:space="preserve"> </w:t>
            </w:r>
          </w:p>
        </w:tc>
        <w:tc>
          <w:tcPr>
            <w:tcW w:w="992" w:type="dxa"/>
            <w:shd w:val="clear" w:color="auto" w:fill="auto"/>
            <w:noWrap/>
            <w:vAlign w:val="center"/>
            <w:hideMark/>
          </w:tcPr>
          <w:p w14:paraId="4AE7161F" w14:textId="77777777" w:rsidR="00180ECE" w:rsidRPr="00747CFD" w:rsidRDefault="00180ECE" w:rsidP="00180ECE">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860.914</w:t>
            </w:r>
          </w:p>
        </w:tc>
        <w:tc>
          <w:tcPr>
            <w:tcW w:w="992" w:type="dxa"/>
            <w:shd w:val="clear" w:color="auto" w:fill="auto"/>
            <w:noWrap/>
            <w:vAlign w:val="center"/>
            <w:hideMark/>
          </w:tcPr>
          <w:p w14:paraId="1E486D5E"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24" w:type="dxa"/>
            <w:shd w:val="clear" w:color="auto" w:fill="auto"/>
            <w:noWrap/>
            <w:vAlign w:val="center"/>
            <w:hideMark/>
          </w:tcPr>
          <w:p w14:paraId="5B987B46"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103" w:type="dxa"/>
            <w:shd w:val="clear" w:color="auto" w:fill="auto"/>
            <w:noWrap/>
            <w:vAlign w:val="center"/>
            <w:hideMark/>
          </w:tcPr>
          <w:p w14:paraId="03BE1B41"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24" w:type="dxa"/>
            <w:shd w:val="clear" w:color="auto" w:fill="auto"/>
            <w:noWrap/>
            <w:vAlign w:val="center"/>
            <w:hideMark/>
          </w:tcPr>
          <w:p w14:paraId="2F283287"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09" w:type="dxa"/>
            <w:shd w:val="clear" w:color="auto" w:fill="auto"/>
            <w:noWrap/>
            <w:vAlign w:val="center"/>
            <w:hideMark/>
          </w:tcPr>
          <w:p w14:paraId="34273B70"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43" w:type="dxa"/>
            <w:shd w:val="clear" w:color="auto" w:fill="auto"/>
            <w:noWrap/>
            <w:vAlign w:val="center"/>
            <w:hideMark/>
          </w:tcPr>
          <w:p w14:paraId="601FFBB9"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180ECE" w:rsidRPr="00747CFD" w14:paraId="1437736C" w14:textId="77777777" w:rsidTr="005B6ED7">
        <w:trPr>
          <w:trHeight w:val="225"/>
        </w:trPr>
        <w:tc>
          <w:tcPr>
            <w:tcW w:w="1975" w:type="dxa"/>
            <w:shd w:val="clear" w:color="auto" w:fill="auto"/>
            <w:noWrap/>
            <w:vAlign w:val="center"/>
            <w:hideMark/>
          </w:tcPr>
          <w:p w14:paraId="58A19CB0"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Papir i karton</w:t>
            </w:r>
          </w:p>
        </w:tc>
        <w:tc>
          <w:tcPr>
            <w:tcW w:w="992" w:type="dxa"/>
            <w:shd w:val="clear" w:color="auto" w:fill="auto"/>
            <w:noWrap/>
            <w:vAlign w:val="center"/>
            <w:hideMark/>
          </w:tcPr>
          <w:p w14:paraId="4B04E03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221.169</w:t>
            </w:r>
          </w:p>
        </w:tc>
        <w:tc>
          <w:tcPr>
            <w:tcW w:w="992" w:type="dxa"/>
            <w:shd w:val="clear" w:color="auto" w:fill="auto"/>
            <w:noWrap/>
            <w:vAlign w:val="center"/>
            <w:hideMark/>
          </w:tcPr>
          <w:p w14:paraId="151B1E8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1024" w:type="dxa"/>
            <w:shd w:val="clear" w:color="auto" w:fill="auto"/>
            <w:noWrap/>
            <w:vAlign w:val="center"/>
            <w:hideMark/>
          </w:tcPr>
          <w:p w14:paraId="4C6F453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22.117</w:t>
            </w:r>
          </w:p>
        </w:tc>
        <w:tc>
          <w:tcPr>
            <w:tcW w:w="1103" w:type="dxa"/>
            <w:shd w:val="clear" w:color="auto" w:fill="auto"/>
            <w:noWrap/>
            <w:vAlign w:val="center"/>
            <w:hideMark/>
          </w:tcPr>
          <w:p w14:paraId="63BF017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0,80</w:t>
            </w:r>
          </w:p>
        </w:tc>
        <w:tc>
          <w:tcPr>
            <w:tcW w:w="1024" w:type="dxa"/>
            <w:shd w:val="clear" w:color="auto" w:fill="auto"/>
            <w:noWrap/>
            <w:vAlign w:val="center"/>
            <w:hideMark/>
          </w:tcPr>
          <w:p w14:paraId="31A8B5DC"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176.935</w:t>
            </w:r>
          </w:p>
        </w:tc>
        <w:tc>
          <w:tcPr>
            <w:tcW w:w="1009" w:type="dxa"/>
            <w:shd w:val="clear" w:color="auto" w:fill="auto"/>
            <w:noWrap/>
            <w:vAlign w:val="center"/>
            <w:hideMark/>
          </w:tcPr>
          <w:p w14:paraId="30557B2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43" w:type="dxa"/>
            <w:shd w:val="clear" w:color="auto" w:fill="auto"/>
            <w:noWrap/>
            <w:vAlign w:val="center"/>
            <w:hideMark/>
          </w:tcPr>
          <w:p w14:paraId="5A629D3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22.117</w:t>
            </w:r>
          </w:p>
        </w:tc>
      </w:tr>
      <w:tr w:rsidR="00180ECE" w:rsidRPr="00747CFD" w14:paraId="75858398" w14:textId="77777777" w:rsidTr="005B6ED7">
        <w:trPr>
          <w:trHeight w:val="225"/>
        </w:trPr>
        <w:tc>
          <w:tcPr>
            <w:tcW w:w="1975" w:type="dxa"/>
            <w:shd w:val="clear" w:color="auto" w:fill="auto"/>
            <w:noWrap/>
            <w:vAlign w:val="center"/>
            <w:hideMark/>
          </w:tcPr>
          <w:p w14:paraId="2E53C18A"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Metal </w:t>
            </w:r>
          </w:p>
        </w:tc>
        <w:tc>
          <w:tcPr>
            <w:tcW w:w="992" w:type="dxa"/>
            <w:shd w:val="clear" w:color="auto" w:fill="auto"/>
            <w:noWrap/>
            <w:vAlign w:val="center"/>
            <w:hideMark/>
          </w:tcPr>
          <w:p w14:paraId="5E3493A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21.112</w:t>
            </w:r>
          </w:p>
        </w:tc>
        <w:tc>
          <w:tcPr>
            <w:tcW w:w="992" w:type="dxa"/>
            <w:shd w:val="clear" w:color="auto" w:fill="auto"/>
            <w:noWrap/>
            <w:vAlign w:val="center"/>
            <w:hideMark/>
          </w:tcPr>
          <w:p w14:paraId="2211B40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0,90</w:t>
            </w:r>
          </w:p>
        </w:tc>
        <w:tc>
          <w:tcPr>
            <w:tcW w:w="1024" w:type="dxa"/>
            <w:shd w:val="clear" w:color="auto" w:fill="auto"/>
            <w:noWrap/>
            <w:vAlign w:val="center"/>
            <w:hideMark/>
          </w:tcPr>
          <w:p w14:paraId="1C335CA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19.001</w:t>
            </w:r>
          </w:p>
        </w:tc>
        <w:tc>
          <w:tcPr>
            <w:tcW w:w="1103" w:type="dxa"/>
            <w:shd w:val="clear" w:color="auto" w:fill="auto"/>
            <w:noWrap/>
            <w:vAlign w:val="center"/>
            <w:hideMark/>
          </w:tcPr>
          <w:p w14:paraId="79759D9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024" w:type="dxa"/>
            <w:shd w:val="clear" w:color="auto" w:fill="auto"/>
            <w:noWrap/>
            <w:vAlign w:val="center"/>
            <w:hideMark/>
          </w:tcPr>
          <w:p w14:paraId="302CD6B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09" w:type="dxa"/>
            <w:shd w:val="clear" w:color="auto" w:fill="auto"/>
            <w:noWrap/>
            <w:vAlign w:val="center"/>
            <w:hideMark/>
          </w:tcPr>
          <w:p w14:paraId="43372C2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43" w:type="dxa"/>
            <w:shd w:val="clear" w:color="auto" w:fill="auto"/>
            <w:noWrap/>
            <w:vAlign w:val="center"/>
            <w:hideMark/>
          </w:tcPr>
          <w:p w14:paraId="36A510E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2.111</w:t>
            </w:r>
          </w:p>
        </w:tc>
      </w:tr>
      <w:tr w:rsidR="00180ECE" w:rsidRPr="00747CFD" w14:paraId="2E5D3985" w14:textId="77777777" w:rsidTr="005B6ED7">
        <w:trPr>
          <w:trHeight w:val="225"/>
        </w:trPr>
        <w:tc>
          <w:tcPr>
            <w:tcW w:w="1975" w:type="dxa"/>
            <w:shd w:val="clear" w:color="auto" w:fill="auto"/>
            <w:noWrap/>
            <w:vAlign w:val="center"/>
            <w:hideMark/>
          </w:tcPr>
          <w:p w14:paraId="1E1641BA"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Staklo</w:t>
            </w:r>
          </w:p>
        </w:tc>
        <w:tc>
          <w:tcPr>
            <w:tcW w:w="992" w:type="dxa"/>
            <w:shd w:val="clear" w:color="auto" w:fill="auto"/>
            <w:noWrap/>
            <w:vAlign w:val="center"/>
            <w:hideMark/>
          </w:tcPr>
          <w:p w14:paraId="56E4387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42.099</w:t>
            </w:r>
          </w:p>
        </w:tc>
        <w:tc>
          <w:tcPr>
            <w:tcW w:w="992" w:type="dxa"/>
            <w:shd w:val="clear" w:color="auto" w:fill="auto"/>
            <w:noWrap/>
            <w:vAlign w:val="center"/>
            <w:hideMark/>
          </w:tcPr>
          <w:p w14:paraId="0C55FF8D"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0,90</w:t>
            </w:r>
          </w:p>
        </w:tc>
        <w:tc>
          <w:tcPr>
            <w:tcW w:w="1024" w:type="dxa"/>
            <w:shd w:val="clear" w:color="auto" w:fill="auto"/>
            <w:noWrap/>
            <w:vAlign w:val="center"/>
            <w:hideMark/>
          </w:tcPr>
          <w:p w14:paraId="5A39760C"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37.889</w:t>
            </w:r>
          </w:p>
        </w:tc>
        <w:tc>
          <w:tcPr>
            <w:tcW w:w="1103" w:type="dxa"/>
            <w:shd w:val="clear" w:color="auto" w:fill="auto"/>
            <w:noWrap/>
            <w:vAlign w:val="center"/>
            <w:hideMark/>
          </w:tcPr>
          <w:p w14:paraId="6972A28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024" w:type="dxa"/>
            <w:shd w:val="clear" w:color="auto" w:fill="auto"/>
            <w:noWrap/>
            <w:vAlign w:val="center"/>
            <w:hideMark/>
          </w:tcPr>
          <w:p w14:paraId="6DD295D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09" w:type="dxa"/>
            <w:shd w:val="clear" w:color="auto" w:fill="auto"/>
            <w:noWrap/>
            <w:vAlign w:val="center"/>
            <w:hideMark/>
          </w:tcPr>
          <w:p w14:paraId="42CA85A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43" w:type="dxa"/>
            <w:shd w:val="clear" w:color="auto" w:fill="auto"/>
            <w:noWrap/>
            <w:vAlign w:val="center"/>
            <w:hideMark/>
          </w:tcPr>
          <w:p w14:paraId="6E758ADD"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4.210</w:t>
            </w:r>
          </w:p>
        </w:tc>
      </w:tr>
      <w:tr w:rsidR="00180ECE" w:rsidRPr="00747CFD" w14:paraId="51F36CF7" w14:textId="77777777" w:rsidTr="005B6ED7">
        <w:trPr>
          <w:trHeight w:val="225"/>
        </w:trPr>
        <w:tc>
          <w:tcPr>
            <w:tcW w:w="1975" w:type="dxa"/>
            <w:shd w:val="clear" w:color="auto" w:fill="auto"/>
            <w:noWrap/>
            <w:vAlign w:val="center"/>
            <w:hideMark/>
          </w:tcPr>
          <w:p w14:paraId="49747942"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Plastika</w:t>
            </w:r>
          </w:p>
        </w:tc>
        <w:tc>
          <w:tcPr>
            <w:tcW w:w="992" w:type="dxa"/>
            <w:shd w:val="clear" w:color="auto" w:fill="auto"/>
            <w:noWrap/>
            <w:vAlign w:val="center"/>
            <w:hideMark/>
          </w:tcPr>
          <w:p w14:paraId="145CBFE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167.448</w:t>
            </w:r>
          </w:p>
        </w:tc>
        <w:tc>
          <w:tcPr>
            <w:tcW w:w="992" w:type="dxa"/>
            <w:shd w:val="clear" w:color="auto" w:fill="auto"/>
            <w:noWrap/>
            <w:vAlign w:val="center"/>
            <w:hideMark/>
          </w:tcPr>
          <w:p w14:paraId="453BD6F7"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0,20</w:t>
            </w:r>
          </w:p>
        </w:tc>
        <w:tc>
          <w:tcPr>
            <w:tcW w:w="1024" w:type="dxa"/>
            <w:shd w:val="clear" w:color="auto" w:fill="auto"/>
            <w:noWrap/>
            <w:vAlign w:val="center"/>
            <w:hideMark/>
          </w:tcPr>
          <w:p w14:paraId="23B2A2D7"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33.490</w:t>
            </w:r>
          </w:p>
        </w:tc>
        <w:tc>
          <w:tcPr>
            <w:tcW w:w="1103" w:type="dxa"/>
            <w:shd w:val="clear" w:color="auto" w:fill="auto"/>
            <w:noWrap/>
            <w:vAlign w:val="center"/>
            <w:hideMark/>
          </w:tcPr>
          <w:p w14:paraId="171DD52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0,70</w:t>
            </w:r>
          </w:p>
        </w:tc>
        <w:tc>
          <w:tcPr>
            <w:tcW w:w="1024" w:type="dxa"/>
            <w:shd w:val="clear" w:color="auto" w:fill="auto"/>
            <w:noWrap/>
            <w:vAlign w:val="center"/>
            <w:hideMark/>
          </w:tcPr>
          <w:p w14:paraId="6E879BE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117.213</w:t>
            </w:r>
          </w:p>
        </w:tc>
        <w:tc>
          <w:tcPr>
            <w:tcW w:w="1009" w:type="dxa"/>
            <w:shd w:val="clear" w:color="auto" w:fill="auto"/>
            <w:noWrap/>
            <w:vAlign w:val="center"/>
            <w:hideMark/>
          </w:tcPr>
          <w:p w14:paraId="6374B91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43" w:type="dxa"/>
            <w:shd w:val="clear" w:color="auto" w:fill="auto"/>
            <w:noWrap/>
            <w:vAlign w:val="center"/>
            <w:hideMark/>
          </w:tcPr>
          <w:p w14:paraId="0FEEA9C4"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16.745</w:t>
            </w:r>
          </w:p>
        </w:tc>
      </w:tr>
      <w:tr w:rsidR="00180ECE" w:rsidRPr="00747CFD" w14:paraId="2A519397" w14:textId="77777777" w:rsidTr="005B6ED7">
        <w:trPr>
          <w:trHeight w:val="225"/>
        </w:trPr>
        <w:tc>
          <w:tcPr>
            <w:tcW w:w="1975" w:type="dxa"/>
            <w:shd w:val="clear" w:color="auto" w:fill="auto"/>
            <w:noWrap/>
            <w:vAlign w:val="center"/>
            <w:hideMark/>
          </w:tcPr>
          <w:p w14:paraId="02A81261"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Biootpad</w:t>
            </w:r>
          </w:p>
        </w:tc>
        <w:tc>
          <w:tcPr>
            <w:tcW w:w="992" w:type="dxa"/>
            <w:shd w:val="clear" w:color="auto" w:fill="auto"/>
            <w:noWrap/>
            <w:vAlign w:val="center"/>
            <w:hideMark/>
          </w:tcPr>
          <w:p w14:paraId="04D5D42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274.460</w:t>
            </w:r>
          </w:p>
        </w:tc>
        <w:tc>
          <w:tcPr>
            <w:tcW w:w="992" w:type="dxa"/>
            <w:shd w:val="clear" w:color="auto" w:fill="auto"/>
            <w:noWrap/>
            <w:vAlign w:val="center"/>
            <w:hideMark/>
          </w:tcPr>
          <w:p w14:paraId="1A37B50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024" w:type="dxa"/>
            <w:shd w:val="clear" w:color="auto" w:fill="auto"/>
            <w:noWrap/>
            <w:vAlign w:val="center"/>
            <w:hideMark/>
          </w:tcPr>
          <w:p w14:paraId="6627CEF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03" w:type="dxa"/>
            <w:shd w:val="clear" w:color="auto" w:fill="auto"/>
            <w:noWrap/>
            <w:vAlign w:val="center"/>
            <w:hideMark/>
          </w:tcPr>
          <w:p w14:paraId="203C45C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0,20</w:t>
            </w:r>
          </w:p>
        </w:tc>
        <w:tc>
          <w:tcPr>
            <w:tcW w:w="1024" w:type="dxa"/>
            <w:shd w:val="clear" w:color="auto" w:fill="auto"/>
            <w:noWrap/>
            <w:vAlign w:val="center"/>
            <w:hideMark/>
          </w:tcPr>
          <w:p w14:paraId="434E4D5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54.892</w:t>
            </w:r>
          </w:p>
        </w:tc>
        <w:tc>
          <w:tcPr>
            <w:tcW w:w="1009" w:type="dxa"/>
            <w:shd w:val="clear" w:color="auto" w:fill="auto"/>
            <w:noWrap/>
            <w:vAlign w:val="center"/>
            <w:hideMark/>
          </w:tcPr>
          <w:p w14:paraId="2DFAFA1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0,80</w:t>
            </w:r>
          </w:p>
        </w:tc>
        <w:tc>
          <w:tcPr>
            <w:tcW w:w="943" w:type="dxa"/>
            <w:shd w:val="clear" w:color="auto" w:fill="auto"/>
            <w:noWrap/>
            <w:vAlign w:val="center"/>
            <w:hideMark/>
          </w:tcPr>
          <w:p w14:paraId="1058661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109.784</w:t>
            </w:r>
          </w:p>
        </w:tc>
      </w:tr>
      <w:tr w:rsidR="00180ECE" w:rsidRPr="00747CFD" w14:paraId="06FF4D26" w14:textId="77777777" w:rsidTr="005B6ED7">
        <w:trPr>
          <w:trHeight w:val="225"/>
        </w:trPr>
        <w:tc>
          <w:tcPr>
            <w:tcW w:w="1975" w:type="dxa"/>
            <w:shd w:val="clear" w:color="auto" w:fill="auto"/>
            <w:noWrap/>
            <w:vAlign w:val="center"/>
            <w:hideMark/>
          </w:tcPr>
          <w:p w14:paraId="1697DEC6"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Glomazni otpad</w:t>
            </w:r>
          </w:p>
        </w:tc>
        <w:tc>
          <w:tcPr>
            <w:tcW w:w="992" w:type="dxa"/>
            <w:shd w:val="clear" w:color="auto" w:fill="auto"/>
            <w:noWrap/>
            <w:vAlign w:val="center"/>
            <w:hideMark/>
          </w:tcPr>
          <w:p w14:paraId="5B4A206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17.609</w:t>
            </w:r>
          </w:p>
        </w:tc>
        <w:tc>
          <w:tcPr>
            <w:tcW w:w="992" w:type="dxa"/>
            <w:shd w:val="clear" w:color="auto" w:fill="auto"/>
            <w:noWrap/>
            <w:vAlign w:val="center"/>
            <w:hideMark/>
          </w:tcPr>
          <w:p w14:paraId="45C909E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024" w:type="dxa"/>
            <w:shd w:val="clear" w:color="auto" w:fill="auto"/>
            <w:noWrap/>
            <w:vAlign w:val="center"/>
            <w:hideMark/>
          </w:tcPr>
          <w:p w14:paraId="4C8D7C2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03" w:type="dxa"/>
            <w:shd w:val="clear" w:color="auto" w:fill="auto"/>
            <w:noWrap/>
            <w:vAlign w:val="center"/>
            <w:hideMark/>
          </w:tcPr>
          <w:p w14:paraId="6AE15FA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024" w:type="dxa"/>
            <w:shd w:val="clear" w:color="auto" w:fill="auto"/>
            <w:noWrap/>
            <w:vAlign w:val="center"/>
            <w:hideMark/>
          </w:tcPr>
          <w:p w14:paraId="631E6D7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09" w:type="dxa"/>
            <w:shd w:val="clear" w:color="auto" w:fill="auto"/>
            <w:noWrap/>
            <w:vAlign w:val="center"/>
            <w:hideMark/>
          </w:tcPr>
          <w:p w14:paraId="21596CA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943" w:type="dxa"/>
            <w:shd w:val="clear" w:color="auto" w:fill="auto"/>
            <w:noWrap/>
            <w:vAlign w:val="center"/>
            <w:hideMark/>
          </w:tcPr>
          <w:p w14:paraId="7EAB26E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r>
      <w:tr w:rsidR="00180ECE" w:rsidRPr="00747CFD" w14:paraId="2856D779" w14:textId="77777777" w:rsidTr="005B6ED7">
        <w:trPr>
          <w:trHeight w:val="225"/>
        </w:trPr>
        <w:tc>
          <w:tcPr>
            <w:tcW w:w="1975" w:type="dxa"/>
            <w:shd w:val="clear" w:color="auto" w:fill="auto"/>
            <w:noWrap/>
            <w:vAlign w:val="center"/>
            <w:hideMark/>
          </w:tcPr>
          <w:p w14:paraId="0B3F6255"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Električni i elektronički</w:t>
            </w:r>
          </w:p>
        </w:tc>
        <w:tc>
          <w:tcPr>
            <w:tcW w:w="992" w:type="dxa"/>
            <w:shd w:val="clear" w:color="auto" w:fill="auto"/>
            <w:noWrap/>
            <w:vAlign w:val="center"/>
            <w:hideMark/>
          </w:tcPr>
          <w:p w14:paraId="19ABFAD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13.377</w:t>
            </w:r>
          </w:p>
        </w:tc>
        <w:tc>
          <w:tcPr>
            <w:tcW w:w="992" w:type="dxa"/>
            <w:shd w:val="clear" w:color="auto" w:fill="auto"/>
            <w:noWrap/>
            <w:vAlign w:val="center"/>
            <w:hideMark/>
          </w:tcPr>
          <w:p w14:paraId="75C3117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0,80</w:t>
            </w:r>
          </w:p>
        </w:tc>
        <w:tc>
          <w:tcPr>
            <w:tcW w:w="1024" w:type="dxa"/>
            <w:shd w:val="clear" w:color="auto" w:fill="auto"/>
            <w:noWrap/>
            <w:vAlign w:val="center"/>
            <w:hideMark/>
          </w:tcPr>
          <w:p w14:paraId="57833DF4"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10.701</w:t>
            </w:r>
          </w:p>
        </w:tc>
        <w:tc>
          <w:tcPr>
            <w:tcW w:w="1103" w:type="dxa"/>
            <w:shd w:val="clear" w:color="auto" w:fill="auto"/>
            <w:noWrap/>
            <w:vAlign w:val="center"/>
            <w:hideMark/>
          </w:tcPr>
          <w:p w14:paraId="60ECAD8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024" w:type="dxa"/>
            <w:shd w:val="clear" w:color="auto" w:fill="auto"/>
            <w:noWrap/>
            <w:vAlign w:val="center"/>
            <w:hideMark/>
          </w:tcPr>
          <w:p w14:paraId="72CAFA5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09" w:type="dxa"/>
            <w:shd w:val="clear" w:color="auto" w:fill="auto"/>
            <w:noWrap/>
            <w:vAlign w:val="center"/>
            <w:hideMark/>
          </w:tcPr>
          <w:p w14:paraId="6FF3196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0,20</w:t>
            </w:r>
          </w:p>
        </w:tc>
        <w:tc>
          <w:tcPr>
            <w:tcW w:w="943" w:type="dxa"/>
            <w:shd w:val="clear" w:color="auto" w:fill="auto"/>
            <w:noWrap/>
            <w:vAlign w:val="center"/>
            <w:hideMark/>
          </w:tcPr>
          <w:p w14:paraId="5C223BA4"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2.675</w:t>
            </w:r>
          </w:p>
        </w:tc>
      </w:tr>
      <w:tr w:rsidR="00180ECE" w:rsidRPr="00747CFD" w14:paraId="5095C59E" w14:textId="77777777" w:rsidTr="005B6ED7">
        <w:trPr>
          <w:trHeight w:val="240"/>
        </w:trPr>
        <w:tc>
          <w:tcPr>
            <w:tcW w:w="1975" w:type="dxa"/>
            <w:shd w:val="clear" w:color="auto" w:fill="auto"/>
            <w:noWrap/>
            <w:vAlign w:val="center"/>
            <w:hideMark/>
          </w:tcPr>
          <w:p w14:paraId="26950F15"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Ostali otpad</w:t>
            </w:r>
          </w:p>
        </w:tc>
        <w:tc>
          <w:tcPr>
            <w:tcW w:w="992" w:type="dxa"/>
            <w:shd w:val="clear" w:color="auto" w:fill="auto"/>
            <w:noWrap/>
            <w:vAlign w:val="center"/>
            <w:hideMark/>
          </w:tcPr>
          <w:p w14:paraId="3F704F1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103.642</w:t>
            </w:r>
          </w:p>
        </w:tc>
        <w:tc>
          <w:tcPr>
            <w:tcW w:w="992" w:type="dxa"/>
            <w:shd w:val="clear" w:color="auto" w:fill="auto"/>
            <w:noWrap/>
            <w:vAlign w:val="center"/>
            <w:hideMark/>
          </w:tcPr>
          <w:p w14:paraId="5297744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24" w:type="dxa"/>
            <w:shd w:val="clear" w:color="auto" w:fill="auto"/>
            <w:noWrap/>
            <w:vAlign w:val="center"/>
            <w:hideMark/>
          </w:tcPr>
          <w:p w14:paraId="1755C8B4"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03" w:type="dxa"/>
            <w:shd w:val="clear" w:color="auto" w:fill="auto"/>
            <w:noWrap/>
            <w:vAlign w:val="center"/>
            <w:hideMark/>
          </w:tcPr>
          <w:p w14:paraId="5101583D"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0,30</w:t>
            </w:r>
          </w:p>
        </w:tc>
        <w:tc>
          <w:tcPr>
            <w:tcW w:w="1024" w:type="dxa"/>
            <w:shd w:val="clear" w:color="auto" w:fill="auto"/>
            <w:noWrap/>
            <w:vAlign w:val="center"/>
            <w:hideMark/>
          </w:tcPr>
          <w:p w14:paraId="3BA2F48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31.093</w:t>
            </w:r>
          </w:p>
        </w:tc>
        <w:tc>
          <w:tcPr>
            <w:tcW w:w="1009" w:type="dxa"/>
            <w:shd w:val="clear" w:color="auto" w:fill="auto"/>
            <w:noWrap/>
            <w:vAlign w:val="center"/>
            <w:hideMark/>
          </w:tcPr>
          <w:p w14:paraId="758AB24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0,70</w:t>
            </w:r>
          </w:p>
        </w:tc>
        <w:tc>
          <w:tcPr>
            <w:tcW w:w="943" w:type="dxa"/>
            <w:shd w:val="clear" w:color="auto" w:fill="auto"/>
            <w:noWrap/>
            <w:vAlign w:val="center"/>
            <w:hideMark/>
          </w:tcPr>
          <w:p w14:paraId="64E56D0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72.550</w:t>
            </w:r>
          </w:p>
        </w:tc>
      </w:tr>
      <w:tr w:rsidR="00180ECE" w:rsidRPr="00747CFD" w14:paraId="6FE96E3B" w14:textId="77777777" w:rsidTr="005B6ED7">
        <w:trPr>
          <w:trHeight w:val="315"/>
        </w:trPr>
        <w:tc>
          <w:tcPr>
            <w:tcW w:w="2967" w:type="dxa"/>
            <w:gridSpan w:val="2"/>
            <w:shd w:val="clear" w:color="auto" w:fill="E7E6E6" w:themeFill="background2"/>
            <w:noWrap/>
            <w:vAlign w:val="center"/>
            <w:hideMark/>
          </w:tcPr>
          <w:p w14:paraId="1CCB313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Ukupna količina (t/god)</w:t>
            </w:r>
          </w:p>
        </w:tc>
        <w:tc>
          <w:tcPr>
            <w:tcW w:w="992" w:type="dxa"/>
            <w:shd w:val="clear" w:color="auto" w:fill="E7E6E6" w:themeFill="background2"/>
            <w:noWrap/>
            <w:vAlign w:val="center"/>
            <w:hideMark/>
          </w:tcPr>
          <w:p w14:paraId="3A2AE2C4"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24" w:type="dxa"/>
            <w:shd w:val="clear" w:color="auto" w:fill="E7E6E6" w:themeFill="background2"/>
            <w:noWrap/>
            <w:vAlign w:val="center"/>
            <w:hideMark/>
          </w:tcPr>
          <w:p w14:paraId="1A4A5B5D"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123.197</w:t>
            </w:r>
          </w:p>
        </w:tc>
        <w:tc>
          <w:tcPr>
            <w:tcW w:w="1103" w:type="dxa"/>
            <w:shd w:val="clear" w:color="auto" w:fill="E7E6E6" w:themeFill="background2"/>
            <w:noWrap/>
            <w:vAlign w:val="center"/>
            <w:hideMark/>
          </w:tcPr>
          <w:p w14:paraId="319FB05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24" w:type="dxa"/>
            <w:shd w:val="clear" w:color="auto" w:fill="E7E6E6" w:themeFill="background2"/>
            <w:noWrap/>
            <w:vAlign w:val="center"/>
            <w:hideMark/>
          </w:tcPr>
          <w:p w14:paraId="563BC96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380.133</w:t>
            </w:r>
          </w:p>
        </w:tc>
        <w:tc>
          <w:tcPr>
            <w:tcW w:w="1009" w:type="dxa"/>
            <w:shd w:val="clear" w:color="auto" w:fill="E7E6E6" w:themeFill="background2"/>
            <w:noWrap/>
            <w:vAlign w:val="center"/>
            <w:hideMark/>
          </w:tcPr>
          <w:p w14:paraId="4EA9395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43" w:type="dxa"/>
            <w:shd w:val="clear" w:color="auto" w:fill="E7E6E6" w:themeFill="background2"/>
            <w:noWrap/>
            <w:vAlign w:val="center"/>
            <w:hideMark/>
          </w:tcPr>
          <w:p w14:paraId="4D08E9A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230.191</w:t>
            </w:r>
          </w:p>
        </w:tc>
      </w:tr>
      <w:tr w:rsidR="00180ECE" w:rsidRPr="00747CFD" w14:paraId="16B88962" w14:textId="77777777" w:rsidTr="005B6ED7">
        <w:trPr>
          <w:trHeight w:val="315"/>
        </w:trPr>
        <w:tc>
          <w:tcPr>
            <w:tcW w:w="2967" w:type="dxa"/>
            <w:gridSpan w:val="2"/>
            <w:shd w:val="clear" w:color="auto" w:fill="E7E6E6" w:themeFill="background2"/>
            <w:noWrap/>
            <w:vAlign w:val="center"/>
            <w:hideMark/>
          </w:tcPr>
          <w:p w14:paraId="6744657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Udio u ulazu u CGO</w:t>
            </w:r>
          </w:p>
        </w:tc>
        <w:tc>
          <w:tcPr>
            <w:tcW w:w="992" w:type="dxa"/>
            <w:shd w:val="clear" w:color="auto" w:fill="E7E6E6" w:themeFill="background2"/>
            <w:noWrap/>
            <w:vAlign w:val="center"/>
            <w:hideMark/>
          </w:tcPr>
          <w:p w14:paraId="45F55CC6"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24" w:type="dxa"/>
            <w:shd w:val="clear" w:color="auto" w:fill="E7E6E6" w:themeFill="background2"/>
            <w:noWrap/>
            <w:vAlign w:val="center"/>
            <w:hideMark/>
          </w:tcPr>
          <w:p w14:paraId="70F4E9E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w:t>
            </w:r>
          </w:p>
        </w:tc>
        <w:tc>
          <w:tcPr>
            <w:tcW w:w="1103" w:type="dxa"/>
            <w:shd w:val="clear" w:color="auto" w:fill="E7E6E6" w:themeFill="background2"/>
            <w:noWrap/>
            <w:vAlign w:val="center"/>
            <w:hideMark/>
          </w:tcPr>
          <w:p w14:paraId="7EBE11D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24" w:type="dxa"/>
            <w:shd w:val="clear" w:color="auto" w:fill="E7E6E6" w:themeFill="background2"/>
            <w:noWrap/>
            <w:vAlign w:val="center"/>
            <w:hideMark/>
          </w:tcPr>
          <w:p w14:paraId="5CBE631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44%</w:t>
            </w:r>
          </w:p>
        </w:tc>
        <w:tc>
          <w:tcPr>
            <w:tcW w:w="1009" w:type="dxa"/>
            <w:shd w:val="clear" w:color="auto" w:fill="E7E6E6" w:themeFill="background2"/>
            <w:noWrap/>
            <w:vAlign w:val="center"/>
            <w:hideMark/>
          </w:tcPr>
          <w:p w14:paraId="0EECD71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43" w:type="dxa"/>
            <w:shd w:val="clear" w:color="auto" w:fill="E7E6E6" w:themeFill="background2"/>
            <w:noWrap/>
            <w:vAlign w:val="center"/>
            <w:hideMark/>
          </w:tcPr>
          <w:p w14:paraId="2F04E78C"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w:t>
            </w:r>
          </w:p>
        </w:tc>
      </w:tr>
    </w:tbl>
    <w:p w14:paraId="484B3E6B" w14:textId="17A57346" w:rsidR="00BD4C4B" w:rsidRDefault="00BD4C4B" w:rsidP="00596ABF"/>
    <w:p w14:paraId="6EAFC787" w14:textId="419B79D1" w:rsidR="00BD4C4B" w:rsidRDefault="00BD4C4B" w:rsidP="00BD4C4B">
      <w:pPr>
        <w:pStyle w:val="Tablica"/>
      </w:pPr>
      <w:bookmarkStart w:id="252" w:name="_Toc125364427"/>
      <w:r>
        <w:t xml:space="preserve">Tablica </w:t>
      </w:r>
      <w:fldSimple w:instr=" SEQ Tablica \* ARABIC ">
        <w:r w:rsidR="00F37B62">
          <w:rPr>
            <w:noProof/>
          </w:rPr>
          <w:t>38</w:t>
        </w:r>
      </w:fldSimple>
      <w:r>
        <w:t xml:space="preserve">. </w:t>
      </w:r>
      <w:r w:rsidR="00180ECE" w:rsidRPr="00180ECE">
        <w:rPr>
          <w:b w:val="0"/>
          <w:bCs/>
        </w:rPr>
        <w:t xml:space="preserve">Pretpostavljena efikasnost postrojenja za obradu </w:t>
      </w:r>
      <w:proofErr w:type="spellStart"/>
      <w:r w:rsidR="00180ECE" w:rsidRPr="00180ECE">
        <w:rPr>
          <w:b w:val="0"/>
          <w:bCs/>
        </w:rPr>
        <w:t>mKO</w:t>
      </w:r>
      <w:proofErr w:type="spellEnd"/>
      <w:r w:rsidR="00180ECE" w:rsidRPr="00180ECE">
        <w:rPr>
          <w:b w:val="0"/>
          <w:bCs/>
        </w:rPr>
        <w:t xml:space="preserve"> i očekivani izlazi iz CGO-a </w:t>
      </w:r>
      <w:r w:rsidR="00180ECE">
        <w:rPr>
          <w:b w:val="0"/>
          <w:bCs/>
        </w:rPr>
        <w:t>2028</w:t>
      </w:r>
      <w:r w:rsidR="00180ECE" w:rsidRPr="00180ECE">
        <w:rPr>
          <w:b w:val="0"/>
          <w:bCs/>
        </w:rPr>
        <w:t>.</w:t>
      </w:r>
      <w:r>
        <w:rPr>
          <w:b w:val="0"/>
          <w:bCs/>
        </w:rPr>
        <w:t>– SCENARIJ 1</w:t>
      </w:r>
      <w:bookmarkEnd w:id="25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51"/>
        <w:gridCol w:w="988"/>
        <w:gridCol w:w="1030"/>
        <w:gridCol w:w="1142"/>
        <w:gridCol w:w="1417"/>
        <w:gridCol w:w="1134"/>
        <w:gridCol w:w="992"/>
      </w:tblGrid>
      <w:tr w:rsidR="00C262BD" w:rsidRPr="00747CFD" w14:paraId="5EB45A41" w14:textId="77777777" w:rsidTr="000A3164">
        <w:trPr>
          <w:trHeight w:val="240"/>
          <w:tblHeader/>
        </w:trPr>
        <w:tc>
          <w:tcPr>
            <w:tcW w:w="9634" w:type="dxa"/>
            <w:gridSpan w:val="8"/>
            <w:shd w:val="clear" w:color="auto" w:fill="auto"/>
            <w:noWrap/>
            <w:vAlign w:val="center"/>
            <w:hideMark/>
          </w:tcPr>
          <w:p w14:paraId="4FEAA162" w14:textId="75AD0013" w:rsidR="00180ECE" w:rsidRPr="00747CFD" w:rsidRDefault="00180ECE" w:rsidP="00180ECE">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2028.</w:t>
            </w:r>
            <w:r w:rsidR="00D85FCC" w:rsidRPr="00747CFD">
              <w:rPr>
                <w:rFonts w:ascii="Calibri" w:eastAsia="Times New Roman" w:hAnsi="Calibri" w:cs="Calibri"/>
                <w:b/>
                <w:bCs/>
                <w:color w:val="000000"/>
                <w:sz w:val="16"/>
                <w:szCs w:val="16"/>
                <w:lang w:eastAsia="hr-HR"/>
              </w:rPr>
              <w:t xml:space="preserve"> godina – SCENARIJ 1</w:t>
            </w:r>
          </w:p>
        </w:tc>
      </w:tr>
      <w:tr w:rsidR="00C262BD" w:rsidRPr="00747CFD" w14:paraId="562DAB00" w14:textId="77777777" w:rsidTr="000A3164">
        <w:trPr>
          <w:trHeight w:val="1125"/>
          <w:tblHeader/>
        </w:trPr>
        <w:tc>
          <w:tcPr>
            <w:tcW w:w="1980" w:type="dxa"/>
            <w:shd w:val="clear" w:color="auto" w:fill="002060"/>
            <w:noWrap/>
            <w:vAlign w:val="center"/>
            <w:hideMark/>
          </w:tcPr>
          <w:p w14:paraId="24360FF2"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 </w:t>
            </w:r>
          </w:p>
        </w:tc>
        <w:tc>
          <w:tcPr>
            <w:tcW w:w="951" w:type="dxa"/>
            <w:shd w:val="clear" w:color="auto" w:fill="002060"/>
            <w:noWrap/>
            <w:vAlign w:val="center"/>
            <w:hideMark/>
          </w:tcPr>
          <w:p w14:paraId="490E7A93"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Količina (t)</w:t>
            </w:r>
          </w:p>
        </w:tc>
        <w:tc>
          <w:tcPr>
            <w:tcW w:w="988" w:type="dxa"/>
            <w:shd w:val="clear" w:color="auto" w:fill="002060"/>
            <w:vAlign w:val="center"/>
            <w:hideMark/>
          </w:tcPr>
          <w:p w14:paraId="4B813411"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 xml:space="preserve">Stopa izdvajanja </w:t>
            </w:r>
            <w:proofErr w:type="spellStart"/>
            <w:r w:rsidRPr="00747CFD">
              <w:rPr>
                <w:rFonts w:ascii="Calibri" w:eastAsia="Times New Roman" w:hAnsi="Calibri" w:cs="Calibri"/>
                <w:b/>
                <w:bCs/>
                <w:color w:val="FFFFFF" w:themeColor="background1"/>
                <w:sz w:val="16"/>
                <w:szCs w:val="16"/>
                <w:lang w:eastAsia="hr-HR"/>
              </w:rPr>
              <w:t>reciklata</w:t>
            </w:r>
            <w:proofErr w:type="spellEnd"/>
          </w:p>
        </w:tc>
        <w:tc>
          <w:tcPr>
            <w:tcW w:w="1030" w:type="dxa"/>
            <w:shd w:val="clear" w:color="auto" w:fill="002060"/>
            <w:vAlign w:val="center"/>
            <w:hideMark/>
          </w:tcPr>
          <w:p w14:paraId="36B741C6" w14:textId="7CE8B30E" w:rsidR="00180ECE" w:rsidRPr="00747CFD" w:rsidRDefault="000A3164"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 xml:space="preserve"> Izdvojena količina </w:t>
            </w:r>
            <w:proofErr w:type="spellStart"/>
            <w:r w:rsidRPr="00747CFD">
              <w:rPr>
                <w:rFonts w:ascii="Calibri" w:eastAsia="Times New Roman" w:hAnsi="Calibri" w:cs="Calibri"/>
                <w:b/>
                <w:bCs/>
                <w:color w:val="FFFFFF" w:themeColor="background1"/>
                <w:sz w:val="16"/>
                <w:szCs w:val="16"/>
                <w:lang w:eastAsia="hr-HR"/>
              </w:rPr>
              <w:t>reciklata</w:t>
            </w:r>
            <w:proofErr w:type="spellEnd"/>
            <w:r w:rsidRPr="00747CFD">
              <w:rPr>
                <w:rFonts w:ascii="Calibri" w:eastAsia="Times New Roman" w:hAnsi="Calibri" w:cs="Calibri"/>
                <w:b/>
                <w:bCs/>
                <w:color w:val="FFFFFF" w:themeColor="background1"/>
                <w:sz w:val="16"/>
                <w:szCs w:val="16"/>
                <w:lang w:eastAsia="hr-HR"/>
              </w:rPr>
              <w:t xml:space="preserve">  (t/god)</w:t>
            </w:r>
          </w:p>
        </w:tc>
        <w:tc>
          <w:tcPr>
            <w:tcW w:w="1142" w:type="dxa"/>
            <w:shd w:val="clear" w:color="auto" w:fill="002060"/>
            <w:vAlign w:val="center"/>
            <w:hideMark/>
          </w:tcPr>
          <w:p w14:paraId="2F631B5A"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Stopa izdvajanja za energetsku oporabu</w:t>
            </w:r>
          </w:p>
        </w:tc>
        <w:tc>
          <w:tcPr>
            <w:tcW w:w="1417" w:type="dxa"/>
            <w:shd w:val="clear" w:color="auto" w:fill="002060"/>
            <w:vAlign w:val="center"/>
            <w:hideMark/>
          </w:tcPr>
          <w:p w14:paraId="081D1E0C" w14:textId="062A1461" w:rsidR="00180ECE" w:rsidRPr="00747CFD" w:rsidRDefault="000A3164" w:rsidP="000A3164">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 xml:space="preserve"> Količina koja se upućuje na energetsku oporabu (t/god)</w:t>
            </w:r>
          </w:p>
        </w:tc>
        <w:tc>
          <w:tcPr>
            <w:tcW w:w="1134" w:type="dxa"/>
            <w:shd w:val="clear" w:color="auto" w:fill="002060"/>
            <w:vAlign w:val="center"/>
            <w:hideMark/>
          </w:tcPr>
          <w:p w14:paraId="6016575F"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Stopa upućivanja na odlaganje</w:t>
            </w:r>
          </w:p>
        </w:tc>
        <w:tc>
          <w:tcPr>
            <w:tcW w:w="992" w:type="dxa"/>
            <w:shd w:val="clear" w:color="auto" w:fill="002060"/>
            <w:noWrap/>
            <w:vAlign w:val="center"/>
            <w:hideMark/>
          </w:tcPr>
          <w:p w14:paraId="14775214"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Odlaganje</w:t>
            </w:r>
          </w:p>
          <w:p w14:paraId="5422CD5F" w14:textId="44B391FB" w:rsidR="000A3164" w:rsidRPr="00747CFD" w:rsidRDefault="000A3164"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(t/god)</w:t>
            </w:r>
          </w:p>
        </w:tc>
      </w:tr>
      <w:tr w:rsidR="00C262BD" w:rsidRPr="00747CFD" w14:paraId="04B4BACE" w14:textId="77777777" w:rsidTr="000A3164">
        <w:trPr>
          <w:trHeight w:val="225"/>
        </w:trPr>
        <w:tc>
          <w:tcPr>
            <w:tcW w:w="1980" w:type="dxa"/>
            <w:shd w:val="clear" w:color="auto" w:fill="auto"/>
            <w:noWrap/>
            <w:vAlign w:val="center"/>
            <w:hideMark/>
          </w:tcPr>
          <w:p w14:paraId="3105F1A6" w14:textId="77777777" w:rsidR="00180ECE" w:rsidRPr="00747CFD" w:rsidRDefault="00180ECE" w:rsidP="00180ECE">
            <w:pPr>
              <w:spacing w:after="0" w:line="240" w:lineRule="auto"/>
              <w:jc w:val="left"/>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Količina KO</w:t>
            </w:r>
          </w:p>
        </w:tc>
        <w:tc>
          <w:tcPr>
            <w:tcW w:w="951" w:type="dxa"/>
            <w:shd w:val="clear" w:color="auto" w:fill="auto"/>
            <w:noWrap/>
            <w:vAlign w:val="center"/>
            <w:hideMark/>
          </w:tcPr>
          <w:p w14:paraId="4C142E31" w14:textId="77777777" w:rsidR="00180ECE" w:rsidRPr="00747CFD" w:rsidRDefault="00180ECE" w:rsidP="00180ECE">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2.070.164</w:t>
            </w:r>
          </w:p>
        </w:tc>
        <w:tc>
          <w:tcPr>
            <w:tcW w:w="988" w:type="dxa"/>
            <w:shd w:val="clear" w:color="auto" w:fill="auto"/>
            <w:noWrap/>
            <w:vAlign w:val="center"/>
            <w:hideMark/>
          </w:tcPr>
          <w:p w14:paraId="3D3CF32E"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30" w:type="dxa"/>
            <w:shd w:val="clear" w:color="auto" w:fill="auto"/>
            <w:noWrap/>
            <w:vAlign w:val="center"/>
            <w:hideMark/>
          </w:tcPr>
          <w:p w14:paraId="6649FC55"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142" w:type="dxa"/>
            <w:shd w:val="clear" w:color="auto" w:fill="auto"/>
            <w:noWrap/>
            <w:vAlign w:val="center"/>
            <w:hideMark/>
          </w:tcPr>
          <w:p w14:paraId="3F6233CD"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417" w:type="dxa"/>
            <w:shd w:val="clear" w:color="auto" w:fill="auto"/>
            <w:noWrap/>
            <w:vAlign w:val="center"/>
            <w:hideMark/>
          </w:tcPr>
          <w:p w14:paraId="356A2108"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134" w:type="dxa"/>
            <w:shd w:val="clear" w:color="auto" w:fill="auto"/>
            <w:noWrap/>
            <w:vAlign w:val="center"/>
            <w:hideMark/>
          </w:tcPr>
          <w:p w14:paraId="4381F66A"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auto"/>
            <w:noWrap/>
            <w:vAlign w:val="center"/>
            <w:hideMark/>
          </w:tcPr>
          <w:p w14:paraId="6BD7176C"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C262BD" w:rsidRPr="00747CFD" w14:paraId="1CB9E1C8" w14:textId="77777777" w:rsidTr="000A3164">
        <w:trPr>
          <w:trHeight w:val="225"/>
        </w:trPr>
        <w:tc>
          <w:tcPr>
            <w:tcW w:w="1980" w:type="dxa"/>
            <w:shd w:val="clear" w:color="auto" w:fill="auto"/>
            <w:noWrap/>
            <w:vAlign w:val="center"/>
            <w:hideMark/>
          </w:tcPr>
          <w:p w14:paraId="68D8D017" w14:textId="175C7D1F" w:rsidR="00180ECE" w:rsidRPr="00747CFD" w:rsidRDefault="00180ECE" w:rsidP="00180ECE">
            <w:pPr>
              <w:spacing w:after="0" w:line="240" w:lineRule="auto"/>
              <w:jc w:val="left"/>
              <w:rPr>
                <w:rFonts w:ascii="Calibri" w:eastAsia="Times New Roman" w:hAnsi="Calibri" w:cs="Calibri"/>
                <w:b/>
                <w:bCs/>
                <w:color w:val="000000"/>
                <w:sz w:val="16"/>
                <w:szCs w:val="16"/>
                <w:lang w:eastAsia="hr-HR"/>
              </w:rPr>
            </w:pPr>
            <w:proofErr w:type="spellStart"/>
            <w:r w:rsidRPr="00747CFD">
              <w:rPr>
                <w:rFonts w:ascii="Calibri" w:eastAsia="Times New Roman" w:hAnsi="Calibri" w:cs="Calibri"/>
                <w:b/>
                <w:bCs/>
                <w:color w:val="000000"/>
                <w:sz w:val="16"/>
                <w:szCs w:val="16"/>
                <w:lang w:eastAsia="hr-HR"/>
              </w:rPr>
              <w:t>mKO</w:t>
            </w:r>
            <w:proofErr w:type="spellEnd"/>
            <w:r w:rsidRPr="00747CFD">
              <w:rPr>
                <w:rFonts w:ascii="Calibri" w:eastAsia="Times New Roman" w:hAnsi="Calibri" w:cs="Calibri"/>
                <w:b/>
                <w:bCs/>
                <w:color w:val="000000"/>
                <w:sz w:val="16"/>
                <w:szCs w:val="16"/>
                <w:lang w:eastAsia="hr-HR"/>
              </w:rPr>
              <w:t xml:space="preserve"> </w:t>
            </w:r>
          </w:p>
        </w:tc>
        <w:tc>
          <w:tcPr>
            <w:tcW w:w="951" w:type="dxa"/>
            <w:shd w:val="clear" w:color="auto" w:fill="auto"/>
            <w:noWrap/>
            <w:vAlign w:val="center"/>
            <w:hideMark/>
          </w:tcPr>
          <w:p w14:paraId="60B3EF4D" w14:textId="77777777" w:rsidR="00180ECE" w:rsidRPr="00747CFD" w:rsidRDefault="00180ECE" w:rsidP="00180ECE">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869.469</w:t>
            </w:r>
          </w:p>
        </w:tc>
        <w:tc>
          <w:tcPr>
            <w:tcW w:w="988" w:type="dxa"/>
            <w:shd w:val="clear" w:color="auto" w:fill="auto"/>
            <w:noWrap/>
            <w:vAlign w:val="center"/>
            <w:hideMark/>
          </w:tcPr>
          <w:p w14:paraId="71F03ADB"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30" w:type="dxa"/>
            <w:shd w:val="clear" w:color="auto" w:fill="auto"/>
            <w:noWrap/>
            <w:vAlign w:val="center"/>
            <w:hideMark/>
          </w:tcPr>
          <w:p w14:paraId="280ED441"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142" w:type="dxa"/>
            <w:shd w:val="clear" w:color="auto" w:fill="auto"/>
            <w:noWrap/>
            <w:vAlign w:val="center"/>
            <w:hideMark/>
          </w:tcPr>
          <w:p w14:paraId="5BF17C48"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417" w:type="dxa"/>
            <w:shd w:val="clear" w:color="auto" w:fill="auto"/>
            <w:noWrap/>
            <w:vAlign w:val="center"/>
            <w:hideMark/>
          </w:tcPr>
          <w:p w14:paraId="5A39B89C"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134" w:type="dxa"/>
            <w:shd w:val="clear" w:color="auto" w:fill="auto"/>
            <w:noWrap/>
            <w:vAlign w:val="center"/>
            <w:hideMark/>
          </w:tcPr>
          <w:p w14:paraId="736C2C6F"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auto"/>
            <w:noWrap/>
            <w:vAlign w:val="center"/>
            <w:hideMark/>
          </w:tcPr>
          <w:p w14:paraId="17F19085"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C262BD" w:rsidRPr="00747CFD" w14:paraId="2B2061F2" w14:textId="77777777" w:rsidTr="000A3164">
        <w:trPr>
          <w:trHeight w:val="225"/>
        </w:trPr>
        <w:tc>
          <w:tcPr>
            <w:tcW w:w="1980" w:type="dxa"/>
            <w:shd w:val="clear" w:color="auto" w:fill="auto"/>
            <w:noWrap/>
            <w:vAlign w:val="center"/>
            <w:hideMark/>
          </w:tcPr>
          <w:p w14:paraId="60DD5650"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Papir i karton</w:t>
            </w:r>
          </w:p>
        </w:tc>
        <w:tc>
          <w:tcPr>
            <w:tcW w:w="951" w:type="dxa"/>
            <w:shd w:val="clear" w:color="auto" w:fill="auto"/>
            <w:noWrap/>
            <w:vAlign w:val="center"/>
            <w:hideMark/>
          </w:tcPr>
          <w:p w14:paraId="2645365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217.754</w:t>
            </w:r>
          </w:p>
        </w:tc>
        <w:tc>
          <w:tcPr>
            <w:tcW w:w="988" w:type="dxa"/>
            <w:shd w:val="clear" w:color="auto" w:fill="auto"/>
            <w:noWrap/>
            <w:vAlign w:val="center"/>
            <w:hideMark/>
          </w:tcPr>
          <w:p w14:paraId="4841B9E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1030" w:type="dxa"/>
            <w:shd w:val="clear" w:color="auto" w:fill="auto"/>
            <w:noWrap/>
            <w:vAlign w:val="center"/>
            <w:hideMark/>
          </w:tcPr>
          <w:p w14:paraId="1C85FC7C"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21.775</w:t>
            </w:r>
          </w:p>
        </w:tc>
        <w:tc>
          <w:tcPr>
            <w:tcW w:w="1142" w:type="dxa"/>
            <w:shd w:val="clear" w:color="auto" w:fill="auto"/>
            <w:noWrap/>
            <w:vAlign w:val="center"/>
            <w:hideMark/>
          </w:tcPr>
          <w:p w14:paraId="5B33D68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0,80</w:t>
            </w:r>
          </w:p>
        </w:tc>
        <w:tc>
          <w:tcPr>
            <w:tcW w:w="1417" w:type="dxa"/>
            <w:shd w:val="clear" w:color="auto" w:fill="auto"/>
            <w:noWrap/>
            <w:vAlign w:val="center"/>
            <w:hideMark/>
          </w:tcPr>
          <w:p w14:paraId="6EBA86D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174.203</w:t>
            </w:r>
          </w:p>
        </w:tc>
        <w:tc>
          <w:tcPr>
            <w:tcW w:w="1134" w:type="dxa"/>
            <w:shd w:val="clear" w:color="auto" w:fill="auto"/>
            <w:noWrap/>
            <w:vAlign w:val="center"/>
            <w:hideMark/>
          </w:tcPr>
          <w:p w14:paraId="04D4832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92" w:type="dxa"/>
            <w:shd w:val="clear" w:color="auto" w:fill="auto"/>
            <w:noWrap/>
            <w:vAlign w:val="center"/>
            <w:hideMark/>
          </w:tcPr>
          <w:p w14:paraId="67B787B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21.775</w:t>
            </w:r>
          </w:p>
        </w:tc>
      </w:tr>
      <w:tr w:rsidR="00C262BD" w:rsidRPr="00747CFD" w14:paraId="0074608D" w14:textId="77777777" w:rsidTr="000A3164">
        <w:trPr>
          <w:trHeight w:val="225"/>
        </w:trPr>
        <w:tc>
          <w:tcPr>
            <w:tcW w:w="1980" w:type="dxa"/>
            <w:shd w:val="clear" w:color="auto" w:fill="auto"/>
            <w:noWrap/>
            <w:vAlign w:val="center"/>
            <w:hideMark/>
          </w:tcPr>
          <w:p w14:paraId="78472B88"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Metal </w:t>
            </w:r>
          </w:p>
        </w:tc>
        <w:tc>
          <w:tcPr>
            <w:tcW w:w="951" w:type="dxa"/>
            <w:shd w:val="clear" w:color="auto" w:fill="auto"/>
            <w:noWrap/>
            <w:vAlign w:val="center"/>
            <w:hideMark/>
          </w:tcPr>
          <w:p w14:paraId="5D5DED8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22.845</w:t>
            </w:r>
          </w:p>
        </w:tc>
        <w:tc>
          <w:tcPr>
            <w:tcW w:w="988" w:type="dxa"/>
            <w:shd w:val="clear" w:color="auto" w:fill="auto"/>
            <w:noWrap/>
            <w:vAlign w:val="center"/>
            <w:hideMark/>
          </w:tcPr>
          <w:p w14:paraId="776D335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0,90</w:t>
            </w:r>
          </w:p>
        </w:tc>
        <w:tc>
          <w:tcPr>
            <w:tcW w:w="1030" w:type="dxa"/>
            <w:shd w:val="clear" w:color="auto" w:fill="auto"/>
            <w:noWrap/>
            <w:vAlign w:val="center"/>
            <w:hideMark/>
          </w:tcPr>
          <w:p w14:paraId="3356B93D"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20.560</w:t>
            </w:r>
          </w:p>
        </w:tc>
        <w:tc>
          <w:tcPr>
            <w:tcW w:w="1142" w:type="dxa"/>
            <w:shd w:val="clear" w:color="auto" w:fill="auto"/>
            <w:noWrap/>
            <w:vAlign w:val="center"/>
            <w:hideMark/>
          </w:tcPr>
          <w:p w14:paraId="210D3B1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417" w:type="dxa"/>
            <w:shd w:val="clear" w:color="auto" w:fill="auto"/>
            <w:noWrap/>
            <w:vAlign w:val="center"/>
            <w:hideMark/>
          </w:tcPr>
          <w:p w14:paraId="13A0CAB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1A8D441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92" w:type="dxa"/>
            <w:shd w:val="clear" w:color="auto" w:fill="auto"/>
            <w:noWrap/>
            <w:vAlign w:val="center"/>
            <w:hideMark/>
          </w:tcPr>
          <w:p w14:paraId="3879108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2.284</w:t>
            </w:r>
          </w:p>
        </w:tc>
      </w:tr>
      <w:tr w:rsidR="00C262BD" w:rsidRPr="00747CFD" w14:paraId="6A652F63" w14:textId="77777777" w:rsidTr="000A3164">
        <w:trPr>
          <w:trHeight w:val="225"/>
        </w:trPr>
        <w:tc>
          <w:tcPr>
            <w:tcW w:w="1980" w:type="dxa"/>
            <w:shd w:val="clear" w:color="auto" w:fill="auto"/>
            <w:noWrap/>
            <w:vAlign w:val="center"/>
            <w:hideMark/>
          </w:tcPr>
          <w:p w14:paraId="5D2C65E6"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Staklo</w:t>
            </w:r>
          </w:p>
        </w:tc>
        <w:tc>
          <w:tcPr>
            <w:tcW w:w="951" w:type="dxa"/>
            <w:shd w:val="clear" w:color="auto" w:fill="auto"/>
            <w:noWrap/>
            <w:vAlign w:val="center"/>
            <w:hideMark/>
          </w:tcPr>
          <w:p w14:paraId="0B4E13E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41.449</w:t>
            </w:r>
          </w:p>
        </w:tc>
        <w:tc>
          <w:tcPr>
            <w:tcW w:w="988" w:type="dxa"/>
            <w:shd w:val="clear" w:color="auto" w:fill="auto"/>
            <w:noWrap/>
            <w:vAlign w:val="center"/>
            <w:hideMark/>
          </w:tcPr>
          <w:p w14:paraId="4D5F501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0,90</w:t>
            </w:r>
          </w:p>
        </w:tc>
        <w:tc>
          <w:tcPr>
            <w:tcW w:w="1030" w:type="dxa"/>
            <w:shd w:val="clear" w:color="auto" w:fill="auto"/>
            <w:noWrap/>
            <w:vAlign w:val="center"/>
            <w:hideMark/>
          </w:tcPr>
          <w:p w14:paraId="5C90C997"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37.304</w:t>
            </w:r>
          </w:p>
        </w:tc>
        <w:tc>
          <w:tcPr>
            <w:tcW w:w="1142" w:type="dxa"/>
            <w:shd w:val="clear" w:color="auto" w:fill="auto"/>
            <w:noWrap/>
            <w:vAlign w:val="center"/>
            <w:hideMark/>
          </w:tcPr>
          <w:p w14:paraId="39927F0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417" w:type="dxa"/>
            <w:shd w:val="clear" w:color="auto" w:fill="auto"/>
            <w:noWrap/>
            <w:vAlign w:val="center"/>
            <w:hideMark/>
          </w:tcPr>
          <w:p w14:paraId="441FC28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1175809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92" w:type="dxa"/>
            <w:shd w:val="clear" w:color="auto" w:fill="auto"/>
            <w:noWrap/>
            <w:vAlign w:val="center"/>
            <w:hideMark/>
          </w:tcPr>
          <w:p w14:paraId="63D3F84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4.145</w:t>
            </w:r>
          </w:p>
        </w:tc>
      </w:tr>
      <w:tr w:rsidR="00C262BD" w:rsidRPr="00747CFD" w14:paraId="5CBDC795" w14:textId="77777777" w:rsidTr="000A3164">
        <w:trPr>
          <w:trHeight w:val="225"/>
        </w:trPr>
        <w:tc>
          <w:tcPr>
            <w:tcW w:w="1980" w:type="dxa"/>
            <w:shd w:val="clear" w:color="auto" w:fill="auto"/>
            <w:noWrap/>
            <w:vAlign w:val="center"/>
            <w:hideMark/>
          </w:tcPr>
          <w:p w14:paraId="31268AA3"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Plastika</w:t>
            </w:r>
          </w:p>
        </w:tc>
        <w:tc>
          <w:tcPr>
            <w:tcW w:w="951" w:type="dxa"/>
            <w:shd w:val="clear" w:color="auto" w:fill="auto"/>
            <w:noWrap/>
            <w:vAlign w:val="center"/>
            <w:hideMark/>
          </w:tcPr>
          <w:p w14:paraId="2EA15F3D"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164.863</w:t>
            </w:r>
          </w:p>
        </w:tc>
        <w:tc>
          <w:tcPr>
            <w:tcW w:w="988" w:type="dxa"/>
            <w:shd w:val="clear" w:color="auto" w:fill="auto"/>
            <w:noWrap/>
            <w:vAlign w:val="center"/>
            <w:hideMark/>
          </w:tcPr>
          <w:p w14:paraId="7FCF80B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0,20</w:t>
            </w:r>
          </w:p>
        </w:tc>
        <w:tc>
          <w:tcPr>
            <w:tcW w:w="1030" w:type="dxa"/>
            <w:shd w:val="clear" w:color="auto" w:fill="auto"/>
            <w:noWrap/>
            <w:vAlign w:val="center"/>
            <w:hideMark/>
          </w:tcPr>
          <w:p w14:paraId="56892F3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32.973</w:t>
            </w:r>
          </w:p>
        </w:tc>
        <w:tc>
          <w:tcPr>
            <w:tcW w:w="1142" w:type="dxa"/>
            <w:shd w:val="clear" w:color="auto" w:fill="auto"/>
            <w:noWrap/>
            <w:vAlign w:val="center"/>
            <w:hideMark/>
          </w:tcPr>
          <w:p w14:paraId="67E42E7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0,70</w:t>
            </w:r>
          </w:p>
        </w:tc>
        <w:tc>
          <w:tcPr>
            <w:tcW w:w="1417" w:type="dxa"/>
            <w:shd w:val="clear" w:color="auto" w:fill="auto"/>
            <w:noWrap/>
            <w:vAlign w:val="center"/>
            <w:hideMark/>
          </w:tcPr>
          <w:p w14:paraId="37D73F8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115.404</w:t>
            </w:r>
          </w:p>
        </w:tc>
        <w:tc>
          <w:tcPr>
            <w:tcW w:w="1134" w:type="dxa"/>
            <w:shd w:val="clear" w:color="auto" w:fill="auto"/>
            <w:noWrap/>
            <w:vAlign w:val="center"/>
            <w:hideMark/>
          </w:tcPr>
          <w:p w14:paraId="57AD160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92" w:type="dxa"/>
            <w:shd w:val="clear" w:color="auto" w:fill="auto"/>
            <w:noWrap/>
            <w:vAlign w:val="center"/>
            <w:hideMark/>
          </w:tcPr>
          <w:p w14:paraId="2631F6C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16.486</w:t>
            </w:r>
          </w:p>
        </w:tc>
      </w:tr>
      <w:tr w:rsidR="00C262BD" w:rsidRPr="00747CFD" w14:paraId="784539DD" w14:textId="77777777" w:rsidTr="000A3164">
        <w:trPr>
          <w:trHeight w:val="225"/>
        </w:trPr>
        <w:tc>
          <w:tcPr>
            <w:tcW w:w="1980" w:type="dxa"/>
            <w:shd w:val="clear" w:color="auto" w:fill="auto"/>
            <w:noWrap/>
            <w:vAlign w:val="center"/>
            <w:hideMark/>
          </w:tcPr>
          <w:p w14:paraId="43529487"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Biootpad</w:t>
            </w:r>
          </w:p>
        </w:tc>
        <w:tc>
          <w:tcPr>
            <w:tcW w:w="951" w:type="dxa"/>
            <w:shd w:val="clear" w:color="auto" w:fill="auto"/>
            <w:noWrap/>
            <w:vAlign w:val="center"/>
            <w:hideMark/>
          </w:tcPr>
          <w:p w14:paraId="5218CE8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270.222</w:t>
            </w:r>
          </w:p>
        </w:tc>
        <w:tc>
          <w:tcPr>
            <w:tcW w:w="988" w:type="dxa"/>
            <w:shd w:val="clear" w:color="auto" w:fill="auto"/>
            <w:noWrap/>
            <w:vAlign w:val="center"/>
            <w:hideMark/>
          </w:tcPr>
          <w:p w14:paraId="1CB8799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030" w:type="dxa"/>
            <w:shd w:val="clear" w:color="auto" w:fill="auto"/>
            <w:noWrap/>
            <w:vAlign w:val="center"/>
            <w:hideMark/>
          </w:tcPr>
          <w:p w14:paraId="6C1E9B6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42" w:type="dxa"/>
            <w:shd w:val="clear" w:color="auto" w:fill="auto"/>
            <w:noWrap/>
            <w:vAlign w:val="center"/>
            <w:hideMark/>
          </w:tcPr>
          <w:p w14:paraId="6D3CCC0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0,20</w:t>
            </w:r>
          </w:p>
        </w:tc>
        <w:tc>
          <w:tcPr>
            <w:tcW w:w="1417" w:type="dxa"/>
            <w:shd w:val="clear" w:color="auto" w:fill="auto"/>
            <w:noWrap/>
            <w:vAlign w:val="center"/>
            <w:hideMark/>
          </w:tcPr>
          <w:p w14:paraId="506C346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54.044</w:t>
            </w:r>
          </w:p>
        </w:tc>
        <w:tc>
          <w:tcPr>
            <w:tcW w:w="1134" w:type="dxa"/>
            <w:shd w:val="clear" w:color="auto" w:fill="auto"/>
            <w:noWrap/>
            <w:vAlign w:val="center"/>
            <w:hideMark/>
          </w:tcPr>
          <w:p w14:paraId="622464F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0,80</w:t>
            </w:r>
          </w:p>
        </w:tc>
        <w:tc>
          <w:tcPr>
            <w:tcW w:w="992" w:type="dxa"/>
            <w:shd w:val="clear" w:color="auto" w:fill="auto"/>
            <w:noWrap/>
            <w:vAlign w:val="center"/>
            <w:hideMark/>
          </w:tcPr>
          <w:p w14:paraId="2941F4A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108.089</w:t>
            </w:r>
          </w:p>
        </w:tc>
      </w:tr>
      <w:tr w:rsidR="00C262BD" w:rsidRPr="00747CFD" w14:paraId="1F8E6884" w14:textId="77777777" w:rsidTr="000A3164">
        <w:trPr>
          <w:trHeight w:val="225"/>
        </w:trPr>
        <w:tc>
          <w:tcPr>
            <w:tcW w:w="1980" w:type="dxa"/>
            <w:shd w:val="clear" w:color="auto" w:fill="auto"/>
            <w:noWrap/>
            <w:vAlign w:val="center"/>
            <w:hideMark/>
          </w:tcPr>
          <w:p w14:paraId="39B5F966"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Glomazni otpad</w:t>
            </w:r>
          </w:p>
        </w:tc>
        <w:tc>
          <w:tcPr>
            <w:tcW w:w="951" w:type="dxa"/>
            <w:shd w:val="clear" w:color="auto" w:fill="auto"/>
            <w:noWrap/>
            <w:vAlign w:val="center"/>
            <w:hideMark/>
          </w:tcPr>
          <w:p w14:paraId="152D8E9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19.054</w:t>
            </w:r>
          </w:p>
        </w:tc>
        <w:tc>
          <w:tcPr>
            <w:tcW w:w="988" w:type="dxa"/>
            <w:shd w:val="clear" w:color="auto" w:fill="auto"/>
            <w:noWrap/>
            <w:vAlign w:val="center"/>
            <w:hideMark/>
          </w:tcPr>
          <w:p w14:paraId="0FC48DE7"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030" w:type="dxa"/>
            <w:shd w:val="clear" w:color="auto" w:fill="auto"/>
            <w:noWrap/>
            <w:vAlign w:val="center"/>
            <w:hideMark/>
          </w:tcPr>
          <w:p w14:paraId="0284963D"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42" w:type="dxa"/>
            <w:shd w:val="clear" w:color="auto" w:fill="auto"/>
            <w:noWrap/>
            <w:vAlign w:val="center"/>
            <w:hideMark/>
          </w:tcPr>
          <w:p w14:paraId="338441E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417" w:type="dxa"/>
            <w:shd w:val="clear" w:color="auto" w:fill="auto"/>
            <w:noWrap/>
            <w:vAlign w:val="center"/>
            <w:hideMark/>
          </w:tcPr>
          <w:p w14:paraId="73E221E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453B6E9D"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992" w:type="dxa"/>
            <w:shd w:val="clear" w:color="auto" w:fill="auto"/>
            <w:noWrap/>
            <w:vAlign w:val="center"/>
            <w:hideMark/>
          </w:tcPr>
          <w:p w14:paraId="140F52D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r>
      <w:tr w:rsidR="00C262BD" w:rsidRPr="00747CFD" w14:paraId="71D8259C" w14:textId="77777777" w:rsidTr="000A3164">
        <w:trPr>
          <w:trHeight w:val="225"/>
        </w:trPr>
        <w:tc>
          <w:tcPr>
            <w:tcW w:w="1980" w:type="dxa"/>
            <w:shd w:val="clear" w:color="auto" w:fill="auto"/>
            <w:noWrap/>
            <w:vAlign w:val="center"/>
            <w:hideMark/>
          </w:tcPr>
          <w:p w14:paraId="5748CCA7"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Električni i elektronički</w:t>
            </w:r>
          </w:p>
        </w:tc>
        <w:tc>
          <w:tcPr>
            <w:tcW w:w="951" w:type="dxa"/>
            <w:shd w:val="clear" w:color="auto" w:fill="auto"/>
            <w:noWrap/>
            <w:vAlign w:val="center"/>
            <w:hideMark/>
          </w:tcPr>
          <w:p w14:paraId="1EE00307"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14.475</w:t>
            </w:r>
          </w:p>
        </w:tc>
        <w:tc>
          <w:tcPr>
            <w:tcW w:w="988" w:type="dxa"/>
            <w:shd w:val="clear" w:color="auto" w:fill="auto"/>
            <w:noWrap/>
            <w:vAlign w:val="center"/>
            <w:hideMark/>
          </w:tcPr>
          <w:p w14:paraId="12E0EDA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0,80</w:t>
            </w:r>
          </w:p>
        </w:tc>
        <w:tc>
          <w:tcPr>
            <w:tcW w:w="1030" w:type="dxa"/>
            <w:shd w:val="clear" w:color="auto" w:fill="auto"/>
            <w:noWrap/>
            <w:vAlign w:val="center"/>
            <w:hideMark/>
          </w:tcPr>
          <w:p w14:paraId="5A09C56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11.580</w:t>
            </w:r>
          </w:p>
        </w:tc>
        <w:tc>
          <w:tcPr>
            <w:tcW w:w="1142" w:type="dxa"/>
            <w:shd w:val="clear" w:color="auto" w:fill="auto"/>
            <w:noWrap/>
            <w:vAlign w:val="center"/>
            <w:hideMark/>
          </w:tcPr>
          <w:p w14:paraId="43E7FBC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417" w:type="dxa"/>
            <w:shd w:val="clear" w:color="auto" w:fill="auto"/>
            <w:noWrap/>
            <w:vAlign w:val="center"/>
            <w:hideMark/>
          </w:tcPr>
          <w:p w14:paraId="35B2F3E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2D44EE3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0,20</w:t>
            </w:r>
          </w:p>
        </w:tc>
        <w:tc>
          <w:tcPr>
            <w:tcW w:w="992" w:type="dxa"/>
            <w:shd w:val="clear" w:color="auto" w:fill="auto"/>
            <w:noWrap/>
            <w:vAlign w:val="center"/>
            <w:hideMark/>
          </w:tcPr>
          <w:p w14:paraId="48739E6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2.895</w:t>
            </w:r>
          </w:p>
        </w:tc>
      </w:tr>
      <w:tr w:rsidR="00C262BD" w:rsidRPr="00747CFD" w14:paraId="7C95591A" w14:textId="77777777" w:rsidTr="000A3164">
        <w:trPr>
          <w:trHeight w:val="240"/>
        </w:trPr>
        <w:tc>
          <w:tcPr>
            <w:tcW w:w="1980" w:type="dxa"/>
            <w:shd w:val="clear" w:color="auto" w:fill="auto"/>
            <w:noWrap/>
            <w:vAlign w:val="center"/>
            <w:hideMark/>
          </w:tcPr>
          <w:p w14:paraId="24BA5A98"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Ostali otpad</w:t>
            </w:r>
          </w:p>
        </w:tc>
        <w:tc>
          <w:tcPr>
            <w:tcW w:w="951" w:type="dxa"/>
            <w:shd w:val="clear" w:color="auto" w:fill="auto"/>
            <w:noWrap/>
            <w:vAlign w:val="center"/>
            <w:hideMark/>
          </w:tcPr>
          <w:p w14:paraId="1C324D84"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118.808</w:t>
            </w:r>
          </w:p>
        </w:tc>
        <w:tc>
          <w:tcPr>
            <w:tcW w:w="988" w:type="dxa"/>
            <w:shd w:val="clear" w:color="auto" w:fill="auto"/>
            <w:noWrap/>
            <w:vAlign w:val="center"/>
            <w:hideMark/>
          </w:tcPr>
          <w:p w14:paraId="50D481B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30" w:type="dxa"/>
            <w:shd w:val="clear" w:color="auto" w:fill="auto"/>
            <w:noWrap/>
            <w:vAlign w:val="center"/>
            <w:hideMark/>
          </w:tcPr>
          <w:p w14:paraId="03803AB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42" w:type="dxa"/>
            <w:shd w:val="clear" w:color="auto" w:fill="auto"/>
            <w:noWrap/>
            <w:vAlign w:val="center"/>
            <w:hideMark/>
          </w:tcPr>
          <w:p w14:paraId="695A63E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0,30</w:t>
            </w:r>
          </w:p>
        </w:tc>
        <w:tc>
          <w:tcPr>
            <w:tcW w:w="1417" w:type="dxa"/>
            <w:shd w:val="clear" w:color="auto" w:fill="auto"/>
            <w:noWrap/>
            <w:vAlign w:val="center"/>
            <w:hideMark/>
          </w:tcPr>
          <w:p w14:paraId="4BB6E5A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35.642</w:t>
            </w:r>
          </w:p>
        </w:tc>
        <w:tc>
          <w:tcPr>
            <w:tcW w:w="1134" w:type="dxa"/>
            <w:shd w:val="clear" w:color="auto" w:fill="auto"/>
            <w:noWrap/>
            <w:vAlign w:val="center"/>
            <w:hideMark/>
          </w:tcPr>
          <w:p w14:paraId="429486D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0,70</w:t>
            </w:r>
          </w:p>
        </w:tc>
        <w:tc>
          <w:tcPr>
            <w:tcW w:w="992" w:type="dxa"/>
            <w:shd w:val="clear" w:color="auto" w:fill="auto"/>
            <w:noWrap/>
            <w:vAlign w:val="center"/>
            <w:hideMark/>
          </w:tcPr>
          <w:p w14:paraId="5704C94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83.165</w:t>
            </w:r>
          </w:p>
        </w:tc>
      </w:tr>
      <w:tr w:rsidR="00C262BD" w:rsidRPr="00747CFD" w14:paraId="65F2E4B9" w14:textId="77777777" w:rsidTr="000A3164">
        <w:trPr>
          <w:trHeight w:val="315"/>
        </w:trPr>
        <w:tc>
          <w:tcPr>
            <w:tcW w:w="2931" w:type="dxa"/>
            <w:gridSpan w:val="2"/>
            <w:shd w:val="clear" w:color="auto" w:fill="E7E6E6" w:themeFill="background2"/>
            <w:noWrap/>
            <w:vAlign w:val="center"/>
            <w:hideMark/>
          </w:tcPr>
          <w:p w14:paraId="46223BD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Ukupna količina (t/god)</w:t>
            </w:r>
          </w:p>
        </w:tc>
        <w:tc>
          <w:tcPr>
            <w:tcW w:w="988" w:type="dxa"/>
            <w:shd w:val="clear" w:color="auto" w:fill="E7E6E6" w:themeFill="background2"/>
            <w:noWrap/>
            <w:vAlign w:val="center"/>
            <w:hideMark/>
          </w:tcPr>
          <w:p w14:paraId="2A5DAFE5"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30" w:type="dxa"/>
            <w:shd w:val="clear" w:color="auto" w:fill="E7E6E6" w:themeFill="background2"/>
            <w:noWrap/>
            <w:vAlign w:val="center"/>
            <w:hideMark/>
          </w:tcPr>
          <w:p w14:paraId="6731BE67"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124.192</w:t>
            </w:r>
          </w:p>
        </w:tc>
        <w:tc>
          <w:tcPr>
            <w:tcW w:w="1142" w:type="dxa"/>
            <w:shd w:val="clear" w:color="auto" w:fill="E7E6E6" w:themeFill="background2"/>
            <w:noWrap/>
            <w:vAlign w:val="center"/>
            <w:hideMark/>
          </w:tcPr>
          <w:p w14:paraId="7A6269E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417" w:type="dxa"/>
            <w:shd w:val="clear" w:color="auto" w:fill="E7E6E6" w:themeFill="background2"/>
            <w:noWrap/>
            <w:vAlign w:val="center"/>
            <w:hideMark/>
          </w:tcPr>
          <w:p w14:paraId="2C86BA9C"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379.294</w:t>
            </w:r>
          </w:p>
        </w:tc>
        <w:tc>
          <w:tcPr>
            <w:tcW w:w="1134" w:type="dxa"/>
            <w:shd w:val="clear" w:color="auto" w:fill="E7E6E6" w:themeFill="background2"/>
            <w:noWrap/>
            <w:vAlign w:val="center"/>
            <w:hideMark/>
          </w:tcPr>
          <w:p w14:paraId="47B1C2EC"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E7E6E6" w:themeFill="background2"/>
            <w:noWrap/>
            <w:vAlign w:val="center"/>
            <w:hideMark/>
          </w:tcPr>
          <w:p w14:paraId="098F9FD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238.840</w:t>
            </w:r>
          </w:p>
        </w:tc>
      </w:tr>
      <w:tr w:rsidR="00C262BD" w:rsidRPr="00747CFD" w14:paraId="100DB386" w14:textId="77777777" w:rsidTr="000A3164">
        <w:trPr>
          <w:trHeight w:val="315"/>
        </w:trPr>
        <w:tc>
          <w:tcPr>
            <w:tcW w:w="2931" w:type="dxa"/>
            <w:gridSpan w:val="2"/>
            <w:shd w:val="clear" w:color="auto" w:fill="E7E6E6" w:themeFill="background2"/>
            <w:noWrap/>
            <w:vAlign w:val="center"/>
            <w:hideMark/>
          </w:tcPr>
          <w:p w14:paraId="323D783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Udio u ulazu u CGO</w:t>
            </w:r>
          </w:p>
        </w:tc>
        <w:tc>
          <w:tcPr>
            <w:tcW w:w="988" w:type="dxa"/>
            <w:shd w:val="clear" w:color="auto" w:fill="E7E6E6" w:themeFill="background2"/>
            <w:noWrap/>
            <w:vAlign w:val="center"/>
            <w:hideMark/>
          </w:tcPr>
          <w:p w14:paraId="7B394B6A"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30" w:type="dxa"/>
            <w:shd w:val="clear" w:color="auto" w:fill="E7E6E6" w:themeFill="background2"/>
            <w:noWrap/>
            <w:vAlign w:val="center"/>
            <w:hideMark/>
          </w:tcPr>
          <w:p w14:paraId="600F0A4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w:t>
            </w:r>
          </w:p>
        </w:tc>
        <w:tc>
          <w:tcPr>
            <w:tcW w:w="1142" w:type="dxa"/>
            <w:shd w:val="clear" w:color="auto" w:fill="E7E6E6" w:themeFill="background2"/>
            <w:noWrap/>
            <w:vAlign w:val="center"/>
            <w:hideMark/>
          </w:tcPr>
          <w:p w14:paraId="3C095D6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417" w:type="dxa"/>
            <w:shd w:val="clear" w:color="auto" w:fill="E7E6E6" w:themeFill="background2"/>
            <w:noWrap/>
            <w:vAlign w:val="center"/>
            <w:hideMark/>
          </w:tcPr>
          <w:p w14:paraId="4E51AABC"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44%</w:t>
            </w:r>
          </w:p>
        </w:tc>
        <w:tc>
          <w:tcPr>
            <w:tcW w:w="1134" w:type="dxa"/>
            <w:shd w:val="clear" w:color="auto" w:fill="E7E6E6" w:themeFill="background2"/>
            <w:noWrap/>
            <w:vAlign w:val="center"/>
            <w:hideMark/>
          </w:tcPr>
          <w:p w14:paraId="2E0FD87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E7E6E6" w:themeFill="background2"/>
            <w:noWrap/>
            <w:vAlign w:val="center"/>
            <w:hideMark/>
          </w:tcPr>
          <w:p w14:paraId="30F05C3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w:t>
            </w:r>
          </w:p>
        </w:tc>
      </w:tr>
    </w:tbl>
    <w:p w14:paraId="41440731" w14:textId="107B24F3" w:rsidR="00BD4C4B" w:rsidRDefault="00BD4C4B" w:rsidP="00596ABF"/>
    <w:p w14:paraId="5BF65D49" w14:textId="79B149E5" w:rsidR="00BD4C4B" w:rsidRDefault="00BD4C4B" w:rsidP="00BD4C4B">
      <w:pPr>
        <w:pStyle w:val="Tablica"/>
      </w:pPr>
      <w:bookmarkStart w:id="253" w:name="_Toc125364428"/>
      <w:r>
        <w:t xml:space="preserve">Tablica </w:t>
      </w:r>
      <w:fldSimple w:instr=" SEQ Tablica \* ARABIC ">
        <w:r w:rsidR="00F37B62">
          <w:rPr>
            <w:noProof/>
          </w:rPr>
          <w:t>39</w:t>
        </w:r>
      </w:fldSimple>
      <w:r>
        <w:t xml:space="preserve">. </w:t>
      </w:r>
      <w:r w:rsidR="00180ECE" w:rsidRPr="00180ECE">
        <w:rPr>
          <w:b w:val="0"/>
          <w:bCs/>
        </w:rPr>
        <w:t xml:space="preserve">Pretpostavljena efikasnost postrojenja za obradu </w:t>
      </w:r>
      <w:proofErr w:type="spellStart"/>
      <w:r w:rsidR="00180ECE" w:rsidRPr="00180ECE">
        <w:rPr>
          <w:b w:val="0"/>
          <w:bCs/>
        </w:rPr>
        <w:t>mKO</w:t>
      </w:r>
      <w:proofErr w:type="spellEnd"/>
      <w:r w:rsidR="00180ECE" w:rsidRPr="00180ECE">
        <w:rPr>
          <w:b w:val="0"/>
          <w:bCs/>
        </w:rPr>
        <w:t xml:space="preserve"> i očekivani izlazi iz CGO-a </w:t>
      </w:r>
      <w:r w:rsidR="00180ECE">
        <w:rPr>
          <w:b w:val="0"/>
          <w:bCs/>
        </w:rPr>
        <w:t>2030</w:t>
      </w:r>
      <w:r w:rsidR="00180ECE" w:rsidRPr="00180ECE">
        <w:rPr>
          <w:b w:val="0"/>
          <w:bCs/>
        </w:rPr>
        <w:t>.</w:t>
      </w:r>
      <w:r>
        <w:rPr>
          <w:b w:val="0"/>
          <w:bCs/>
        </w:rPr>
        <w:t>– SCENARIJ 1</w:t>
      </w:r>
      <w:bookmarkEnd w:id="25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979"/>
        <w:gridCol w:w="975"/>
        <w:gridCol w:w="1049"/>
        <w:gridCol w:w="1086"/>
        <w:gridCol w:w="1575"/>
        <w:gridCol w:w="1031"/>
        <w:gridCol w:w="992"/>
      </w:tblGrid>
      <w:tr w:rsidR="00C262BD" w:rsidRPr="00747CFD" w14:paraId="51AB9642" w14:textId="77777777" w:rsidTr="000E10DF">
        <w:trPr>
          <w:trHeight w:val="240"/>
          <w:tblHeader/>
        </w:trPr>
        <w:tc>
          <w:tcPr>
            <w:tcW w:w="9634" w:type="dxa"/>
            <w:gridSpan w:val="8"/>
            <w:shd w:val="clear" w:color="auto" w:fill="auto"/>
            <w:noWrap/>
            <w:vAlign w:val="center"/>
            <w:hideMark/>
          </w:tcPr>
          <w:p w14:paraId="0A7913BA" w14:textId="4C6C673A" w:rsidR="00180ECE" w:rsidRPr="00747CFD" w:rsidRDefault="00D85FCC" w:rsidP="00180ECE">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2030. godina – SCENARIJ 1</w:t>
            </w:r>
          </w:p>
        </w:tc>
      </w:tr>
      <w:tr w:rsidR="00C262BD" w:rsidRPr="00747CFD" w14:paraId="1A9A2905" w14:textId="77777777" w:rsidTr="000E10DF">
        <w:trPr>
          <w:trHeight w:val="1125"/>
          <w:tblHeader/>
        </w:trPr>
        <w:tc>
          <w:tcPr>
            <w:tcW w:w="1947" w:type="dxa"/>
            <w:shd w:val="clear" w:color="auto" w:fill="002060"/>
            <w:noWrap/>
            <w:vAlign w:val="center"/>
            <w:hideMark/>
          </w:tcPr>
          <w:p w14:paraId="480B2C27"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 </w:t>
            </w:r>
          </w:p>
        </w:tc>
        <w:tc>
          <w:tcPr>
            <w:tcW w:w="979" w:type="dxa"/>
            <w:shd w:val="clear" w:color="auto" w:fill="002060"/>
            <w:noWrap/>
            <w:vAlign w:val="center"/>
            <w:hideMark/>
          </w:tcPr>
          <w:p w14:paraId="6FA9A503"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Količina (t)</w:t>
            </w:r>
          </w:p>
        </w:tc>
        <w:tc>
          <w:tcPr>
            <w:tcW w:w="975" w:type="dxa"/>
            <w:shd w:val="clear" w:color="auto" w:fill="002060"/>
            <w:vAlign w:val="center"/>
            <w:hideMark/>
          </w:tcPr>
          <w:p w14:paraId="5A2C63EB"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 xml:space="preserve">Stopa izdvajanja </w:t>
            </w:r>
            <w:proofErr w:type="spellStart"/>
            <w:r w:rsidRPr="00747CFD">
              <w:rPr>
                <w:rFonts w:ascii="Calibri" w:eastAsia="Times New Roman" w:hAnsi="Calibri" w:cs="Calibri"/>
                <w:b/>
                <w:bCs/>
                <w:color w:val="FFFFFF" w:themeColor="background1"/>
                <w:sz w:val="16"/>
                <w:szCs w:val="16"/>
                <w:lang w:eastAsia="hr-HR"/>
              </w:rPr>
              <w:t>reciklata</w:t>
            </w:r>
            <w:proofErr w:type="spellEnd"/>
          </w:p>
        </w:tc>
        <w:tc>
          <w:tcPr>
            <w:tcW w:w="1049" w:type="dxa"/>
            <w:shd w:val="clear" w:color="auto" w:fill="002060"/>
            <w:vAlign w:val="center"/>
            <w:hideMark/>
          </w:tcPr>
          <w:p w14:paraId="740203B6" w14:textId="5238C45C" w:rsidR="00180ECE" w:rsidRPr="00747CFD" w:rsidRDefault="000A3164"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 xml:space="preserve"> Izdvojena količina </w:t>
            </w:r>
            <w:proofErr w:type="spellStart"/>
            <w:r w:rsidRPr="00747CFD">
              <w:rPr>
                <w:rFonts w:ascii="Calibri" w:eastAsia="Times New Roman" w:hAnsi="Calibri" w:cs="Calibri"/>
                <w:b/>
                <w:bCs/>
                <w:color w:val="FFFFFF" w:themeColor="background1"/>
                <w:sz w:val="16"/>
                <w:szCs w:val="16"/>
                <w:lang w:eastAsia="hr-HR"/>
              </w:rPr>
              <w:t>reciklata</w:t>
            </w:r>
            <w:proofErr w:type="spellEnd"/>
            <w:r w:rsidRPr="00747CFD">
              <w:rPr>
                <w:rFonts w:ascii="Calibri" w:eastAsia="Times New Roman" w:hAnsi="Calibri" w:cs="Calibri"/>
                <w:b/>
                <w:bCs/>
                <w:color w:val="FFFFFF" w:themeColor="background1"/>
                <w:sz w:val="16"/>
                <w:szCs w:val="16"/>
                <w:lang w:eastAsia="hr-HR"/>
              </w:rPr>
              <w:t xml:space="preserve">  (t/god)</w:t>
            </w:r>
          </w:p>
        </w:tc>
        <w:tc>
          <w:tcPr>
            <w:tcW w:w="1086" w:type="dxa"/>
            <w:shd w:val="clear" w:color="auto" w:fill="002060"/>
            <w:vAlign w:val="center"/>
            <w:hideMark/>
          </w:tcPr>
          <w:p w14:paraId="0C55590D"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Stopa izdvajanja za energetsku oporabu</w:t>
            </w:r>
          </w:p>
        </w:tc>
        <w:tc>
          <w:tcPr>
            <w:tcW w:w="1575" w:type="dxa"/>
            <w:shd w:val="clear" w:color="auto" w:fill="002060"/>
            <w:vAlign w:val="center"/>
            <w:hideMark/>
          </w:tcPr>
          <w:p w14:paraId="5FD8F011" w14:textId="66D1DCCE"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p>
          <w:p w14:paraId="41460BFC" w14:textId="759AACD3" w:rsidR="000A3164" w:rsidRPr="00747CFD" w:rsidRDefault="000A3164"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Količina koja se upućuje na energetsku oporabu (t/god)</w:t>
            </w:r>
          </w:p>
        </w:tc>
        <w:tc>
          <w:tcPr>
            <w:tcW w:w="1031" w:type="dxa"/>
            <w:shd w:val="clear" w:color="auto" w:fill="002060"/>
            <w:vAlign w:val="center"/>
            <w:hideMark/>
          </w:tcPr>
          <w:p w14:paraId="3746883B"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Stopa upućivanja na odlaganje</w:t>
            </w:r>
          </w:p>
        </w:tc>
        <w:tc>
          <w:tcPr>
            <w:tcW w:w="992" w:type="dxa"/>
            <w:shd w:val="clear" w:color="auto" w:fill="002060"/>
            <w:noWrap/>
            <w:vAlign w:val="center"/>
            <w:hideMark/>
          </w:tcPr>
          <w:p w14:paraId="0F1F984F"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Odlaganje</w:t>
            </w:r>
          </w:p>
          <w:p w14:paraId="27E5166D" w14:textId="4BE562CC" w:rsidR="000A3164" w:rsidRPr="00747CFD" w:rsidRDefault="000A3164"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(t/god)</w:t>
            </w:r>
          </w:p>
        </w:tc>
      </w:tr>
      <w:tr w:rsidR="00C262BD" w:rsidRPr="00747CFD" w14:paraId="6A88E450" w14:textId="77777777" w:rsidTr="000E10DF">
        <w:trPr>
          <w:trHeight w:val="225"/>
        </w:trPr>
        <w:tc>
          <w:tcPr>
            <w:tcW w:w="1947" w:type="dxa"/>
            <w:shd w:val="clear" w:color="auto" w:fill="auto"/>
            <w:noWrap/>
            <w:vAlign w:val="center"/>
            <w:hideMark/>
          </w:tcPr>
          <w:p w14:paraId="27245AFE" w14:textId="77777777" w:rsidR="00180ECE" w:rsidRPr="00747CFD" w:rsidRDefault="00180ECE" w:rsidP="00180ECE">
            <w:pPr>
              <w:spacing w:after="0" w:line="240" w:lineRule="auto"/>
              <w:jc w:val="left"/>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Količina KO</w:t>
            </w:r>
          </w:p>
        </w:tc>
        <w:tc>
          <w:tcPr>
            <w:tcW w:w="979" w:type="dxa"/>
            <w:shd w:val="clear" w:color="auto" w:fill="auto"/>
            <w:noWrap/>
            <w:vAlign w:val="center"/>
            <w:hideMark/>
          </w:tcPr>
          <w:p w14:paraId="38C38243" w14:textId="77777777" w:rsidR="00180ECE" w:rsidRPr="00747CFD" w:rsidRDefault="00180ECE" w:rsidP="00180ECE">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2.190.300</w:t>
            </w:r>
          </w:p>
        </w:tc>
        <w:tc>
          <w:tcPr>
            <w:tcW w:w="975" w:type="dxa"/>
            <w:shd w:val="clear" w:color="auto" w:fill="auto"/>
            <w:noWrap/>
            <w:vAlign w:val="center"/>
            <w:hideMark/>
          </w:tcPr>
          <w:p w14:paraId="3F6922D3"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49" w:type="dxa"/>
            <w:shd w:val="clear" w:color="auto" w:fill="auto"/>
            <w:noWrap/>
            <w:vAlign w:val="center"/>
            <w:hideMark/>
          </w:tcPr>
          <w:p w14:paraId="3F69D45D"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86" w:type="dxa"/>
            <w:shd w:val="clear" w:color="auto" w:fill="auto"/>
            <w:noWrap/>
            <w:vAlign w:val="center"/>
            <w:hideMark/>
          </w:tcPr>
          <w:p w14:paraId="5A04DA36"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575" w:type="dxa"/>
            <w:shd w:val="clear" w:color="auto" w:fill="auto"/>
            <w:noWrap/>
            <w:vAlign w:val="center"/>
            <w:hideMark/>
          </w:tcPr>
          <w:p w14:paraId="07342F13"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31" w:type="dxa"/>
            <w:shd w:val="clear" w:color="auto" w:fill="auto"/>
            <w:noWrap/>
            <w:vAlign w:val="center"/>
            <w:hideMark/>
          </w:tcPr>
          <w:p w14:paraId="77FE9D21"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auto"/>
            <w:noWrap/>
            <w:vAlign w:val="center"/>
            <w:hideMark/>
          </w:tcPr>
          <w:p w14:paraId="7DDEE1C9"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C262BD" w:rsidRPr="00747CFD" w14:paraId="4964208E" w14:textId="77777777" w:rsidTr="000E10DF">
        <w:trPr>
          <w:trHeight w:val="225"/>
        </w:trPr>
        <w:tc>
          <w:tcPr>
            <w:tcW w:w="1947" w:type="dxa"/>
            <w:shd w:val="clear" w:color="auto" w:fill="auto"/>
            <w:noWrap/>
            <w:vAlign w:val="center"/>
            <w:hideMark/>
          </w:tcPr>
          <w:p w14:paraId="20ABBA7D" w14:textId="1C10AD72" w:rsidR="00180ECE" w:rsidRPr="00747CFD" w:rsidRDefault="00180ECE" w:rsidP="00180ECE">
            <w:pPr>
              <w:spacing w:after="0" w:line="240" w:lineRule="auto"/>
              <w:jc w:val="left"/>
              <w:rPr>
                <w:rFonts w:ascii="Calibri" w:eastAsia="Times New Roman" w:hAnsi="Calibri" w:cs="Calibri"/>
                <w:b/>
                <w:bCs/>
                <w:color w:val="000000"/>
                <w:sz w:val="16"/>
                <w:szCs w:val="16"/>
                <w:lang w:eastAsia="hr-HR"/>
              </w:rPr>
            </w:pPr>
            <w:proofErr w:type="spellStart"/>
            <w:r w:rsidRPr="00747CFD">
              <w:rPr>
                <w:rFonts w:ascii="Calibri" w:eastAsia="Times New Roman" w:hAnsi="Calibri" w:cs="Calibri"/>
                <w:b/>
                <w:bCs/>
                <w:color w:val="000000"/>
                <w:sz w:val="16"/>
                <w:szCs w:val="16"/>
                <w:lang w:eastAsia="hr-HR"/>
              </w:rPr>
              <w:t>mKO</w:t>
            </w:r>
            <w:proofErr w:type="spellEnd"/>
            <w:r w:rsidRPr="00747CFD">
              <w:rPr>
                <w:rFonts w:ascii="Calibri" w:eastAsia="Times New Roman" w:hAnsi="Calibri" w:cs="Calibri"/>
                <w:b/>
                <w:bCs/>
                <w:color w:val="000000"/>
                <w:sz w:val="16"/>
                <w:szCs w:val="16"/>
                <w:lang w:eastAsia="hr-HR"/>
              </w:rPr>
              <w:t xml:space="preserve"> </w:t>
            </w:r>
          </w:p>
        </w:tc>
        <w:tc>
          <w:tcPr>
            <w:tcW w:w="979" w:type="dxa"/>
            <w:shd w:val="clear" w:color="auto" w:fill="auto"/>
            <w:noWrap/>
            <w:vAlign w:val="center"/>
            <w:hideMark/>
          </w:tcPr>
          <w:p w14:paraId="771E16B0" w14:textId="77777777" w:rsidR="00180ECE" w:rsidRPr="00747CFD" w:rsidRDefault="00180ECE" w:rsidP="00180ECE">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876.120</w:t>
            </w:r>
          </w:p>
        </w:tc>
        <w:tc>
          <w:tcPr>
            <w:tcW w:w="975" w:type="dxa"/>
            <w:shd w:val="clear" w:color="auto" w:fill="auto"/>
            <w:noWrap/>
            <w:vAlign w:val="center"/>
            <w:hideMark/>
          </w:tcPr>
          <w:p w14:paraId="58595080"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49" w:type="dxa"/>
            <w:shd w:val="clear" w:color="auto" w:fill="auto"/>
            <w:noWrap/>
            <w:vAlign w:val="center"/>
            <w:hideMark/>
          </w:tcPr>
          <w:p w14:paraId="7572345C"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86" w:type="dxa"/>
            <w:shd w:val="clear" w:color="auto" w:fill="auto"/>
            <w:noWrap/>
            <w:vAlign w:val="center"/>
            <w:hideMark/>
          </w:tcPr>
          <w:p w14:paraId="394FA2E9"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575" w:type="dxa"/>
            <w:shd w:val="clear" w:color="auto" w:fill="auto"/>
            <w:noWrap/>
            <w:vAlign w:val="center"/>
            <w:hideMark/>
          </w:tcPr>
          <w:p w14:paraId="3F29974A"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31" w:type="dxa"/>
            <w:shd w:val="clear" w:color="auto" w:fill="auto"/>
            <w:noWrap/>
            <w:vAlign w:val="center"/>
            <w:hideMark/>
          </w:tcPr>
          <w:p w14:paraId="399DD922"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auto"/>
            <w:noWrap/>
            <w:vAlign w:val="center"/>
            <w:hideMark/>
          </w:tcPr>
          <w:p w14:paraId="779FD2BA"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C262BD" w:rsidRPr="00747CFD" w14:paraId="40A70E87" w14:textId="77777777" w:rsidTr="000E10DF">
        <w:trPr>
          <w:trHeight w:val="225"/>
        </w:trPr>
        <w:tc>
          <w:tcPr>
            <w:tcW w:w="1947" w:type="dxa"/>
            <w:shd w:val="clear" w:color="auto" w:fill="auto"/>
            <w:noWrap/>
            <w:vAlign w:val="center"/>
            <w:hideMark/>
          </w:tcPr>
          <w:p w14:paraId="2141D283"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lastRenderedPageBreak/>
              <w:t>Papir i karton</w:t>
            </w:r>
          </w:p>
        </w:tc>
        <w:tc>
          <w:tcPr>
            <w:tcW w:w="979" w:type="dxa"/>
            <w:shd w:val="clear" w:color="auto" w:fill="auto"/>
            <w:noWrap/>
            <w:vAlign w:val="center"/>
            <w:hideMark/>
          </w:tcPr>
          <w:p w14:paraId="7535A6C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219.448</w:t>
            </w:r>
          </w:p>
        </w:tc>
        <w:tc>
          <w:tcPr>
            <w:tcW w:w="975" w:type="dxa"/>
            <w:shd w:val="clear" w:color="auto" w:fill="auto"/>
            <w:noWrap/>
            <w:vAlign w:val="center"/>
            <w:hideMark/>
          </w:tcPr>
          <w:p w14:paraId="264C3387"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1049" w:type="dxa"/>
            <w:shd w:val="clear" w:color="auto" w:fill="auto"/>
            <w:noWrap/>
            <w:vAlign w:val="center"/>
            <w:hideMark/>
          </w:tcPr>
          <w:p w14:paraId="5461990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21.945</w:t>
            </w:r>
          </w:p>
        </w:tc>
        <w:tc>
          <w:tcPr>
            <w:tcW w:w="1086" w:type="dxa"/>
            <w:shd w:val="clear" w:color="auto" w:fill="auto"/>
            <w:noWrap/>
            <w:vAlign w:val="center"/>
            <w:hideMark/>
          </w:tcPr>
          <w:p w14:paraId="3F38C3B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0,80</w:t>
            </w:r>
          </w:p>
        </w:tc>
        <w:tc>
          <w:tcPr>
            <w:tcW w:w="1575" w:type="dxa"/>
            <w:shd w:val="clear" w:color="auto" w:fill="auto"/>
            <w:noWrap/>
            <w:vAlign w:val="center"/>
            <w:hideMark/>
          </w:tcPr>
          <w:p w14:paraId="7FB8137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175.559</w:t>
            </w:r>
          </w:p>
        </w:tc>
        <w:tc>
          <w:tcPr>
            <w:tcW w:w="1031" w:type="dxa"/>
            <w:shd w:val="clear" w:color="auto" w:fill="auto"/>
            <w:noWrap/>
            <w:vAlign w:val="center"/>
            <w:hideMark/>
          </w:tcPr>
          <w:p w14:paraId="53CFEF4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92" w:type="dxa"/>
            <w:shd w:val="clear" w:color="auto" w:fill="auto"/>
            <w:noWrap/>
            <w:vAlign w:val="center"/>
            <w:hideMark/>
          </w:tcPr>
          <w:p w14:paraId="6B1C885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21.945</w:t>
            </w:r>
          </w:p>
        </w:tc>
      </w:tr>
      <w:tr w:rsidR="00C262BD" w:rsidRPr="00747CFD" w14:paraId="763E1C35" w14:textId="77777777" w:rsidTr="000E10DF">
        <w:trPr>
          <w:trHeight w:val="225"/>
        </w:trPr>
        <w:tc>
          <w:tcPr>
            <w:tcW w:w="1947" w:type="dxa"/>
            <w:shd w:val="clear" w:color="auto" w:fill="auto"/>
            <w:noWrap/>
            <w:vAlign w:val="center"/>
            <w:hideMark/>
          </w:tcPr>
          <w:p w14:paraId="63E52F60"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Metal </w:t>
            </w:r>
          </w:p>
        </w:tc>
        <w:tc>
          <w:tcPr>
            <w:tcW w:w="979" w:type="dxa"/>
            <w:shd w:val="clear" w:color="auto" w:fill="auto"/>
            <w:noWrap/>
            <w:vAlign w:val="center"/>
            <w:hideMark/>
          </w:tcPr>
          <w:p w14:paraId="6A576A0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24.170</w:t>
            </w:r>
          </w:p>
        </w:tc>
        <w:tc>
          <w:tcPr>
            <w:tcW w:w="975" w:type="dxa"/>
            <w:shd w:val="clear" w:color="auto" w:fill="auto"/>
            <w:noWrap/>
            <w:vAlign w:val="center"/>
            <w:hideMark/>
          </w:tcPr>
          <w:p w14:paraId="368AE3C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0,90</w:t>
            </w:r>
          </w:p>
        </w:tc>
        <w:tc>
          <w:tcPr>
            <w:tcW w:w="1049" w:type="dxa"/>
            <w:shd w:val="clear" w:color="auto" w:fill="auto"/>
            <w:noWrap/>
            <w:vAlign w:val="center"/>
            <w:hideMark/>
          </w:tcPr>
          <w:p w14:paraId="09506E2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21.753</w:t>
            </w:r>
          </w:p>
        </w:tc>
        <w:tc>
          <w:tcPr>
            <w:tcW w:w="1086" w:type="dxa"/>
            <w:shd w:val="clear" w:color="auto" w:fill="auto"/>
            <w:noWrap/>
            <w:vAlign w:val="center"/>
            <w:hideMark/>
          </w:tcPr>
          <w:p w14:paraId="6D9FB95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575" w:type="dxa"/>
            <w:shd w:val="clear" w:color="auto" w:fill="auto"/>
            <w:noWrap/>
            <w:vAlign w:val="center"/>
            <w:hideMark/>
          </w:tcPr>
          <w:p w14:paraId="23964E9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31" w:type="dxa"/>
            <w:shd w:val="clear" w:color="auto" w:fill="auto"/>
            <w:noWrap/>
            <w:vAlign w:val="center"/>
            <w:hideMark/>
          </w:tcPr>
          <w:p w14:paraId="5852E1B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92" w:type="dxa"/>
            <w:shd w:val="clear" w:color="auto" w:fill="auto"/>
            <w:noWrap/>
            <w:vAlign w:val="center"/>
            <w:hideMark/>
          </w:tcPr>
          <w:p w14:paraId="7EAAB71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2.417</w:t>
            </w:r>
          </w:p>
        </w:tc>
      </w:tr>
      <w:tr w:rsidR="00C262BD" w:rsidRPr="00747CFD" w14:paraId="0C69C655" w14:textId="77777777" w:rsidTr="000E10DF">
        <w:trPr>
          <w:trHeight w:val="225"/>
        </w:trPr>
        <w:tc>
          <w:tcPr>
            <w:tcW w:w="1947" w:type="dxa"/>
            <w:shd w:val="clear" w:color="auto" w:fill="auto"/>
            <w:noWrap/>
            <w:vAlign w:val="center"/>
            <w:hideMark/>
          </w:tcPr>
          <w:p w14:paraId="47CD0208"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Staklo</w:t>
            </w:r>
          </w:p>
        </w:tc>
        <w:tc>
          <w:tcPr>
            <w:tcW w:w="979" w:type="dxa"/>
            <w:shd w:val="clear" w:color="auto" w:fill="auto"/>
            <w:noWrap/>
            <w:vAlign w:val="center"/>
            <w:hideMark/>
          </w:tcPr>
          <w:p w14:paraId="1ED3D29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41.771</w:t>
            </w:r>
          </w:p>
        </w:tc>
        <w:tc>
          <w:tcPr>
            <w:tcW w:w="975" w:type="dxa"/>
            <w:shd w:val="clear" w:color="auto" w:fill="auto"/>
            <w:noWrap/>
            <w:vAlign w:val="center"/>
            <w:hideMark/>
          </w:tcPr>
          <w:p w14:paraId="3F428AA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0,90</w:t>
            </w:r>
          </w:p>
        </w:tc>
        <w:tc>
          <w:tcPr>
            <w:tcW w:w="1049" w:type="dxa"/>
            <w:shd w:val="clear" w:color="auto" w:fill="auto"/>
            <w:noWrap/>
            <w:vAlign w:val="center"/>
            <w:hideMark/>
          </w:tcPr>
          <w:p w14:paraId="76CCF68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37.594</w:t>
            </w:r>
          </w:p>
        </w:tc>
        <w:tc>
          <w:tcPr>
            <w:tcW w:w="1086" w:type="dxa"/>
            <w:shd w:val="clear" w:color="auto" w:fill="auto"/>
            <w:noWrap/>
            <w:vAlign w:val="center"/>
            <w:hideMark/>
          </w:tcPr>
          <w:p w14:paraId="301BD55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575" w:type="dxa"/>
            <w:shd w:val="clear" w:color="auto" w:fill="auto"/>
            <w:noWrap/>
            <w:vAlign w:val="center"/>
            <w:hideMark/>
          </w:tcPr>
          <w:p w14:paraId="36D5561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31" w:type="dxa"/>
            <w:shd w:val="clear" w:color="auto" w:fill="auto"/>
            <w:noWrap/>
            <w:vAlign w:val="center"/>
            <w:hideMark/>
          </w:tcPr>
          <w:p w14:paraId="315442C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92" w:type="dxa"/>
            <w:shd w:val="clear" w:color="auto" w:fill="auto"/>
            <w:noWrap/>
            <w:vAlign w:val="center"/>
            <w:hideMark/>
          </w:tcPr>
          <w:p w14:paraId="08930D1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4.177</w:t>
            </w:r>
          </w:p>
        </w:tc>
      </w:tr>
      <w:tr w:rsidR="00C262BD" w:rsidRPr="00747CFD" w14:paraId="6C436B38" w14:textId="77777777" w:rsidTr="000E10DF">
        <w:trPr>
          <w:trHeight w:val="225"/>
        </w:trPr>
        <w:tc>
          <w:tcPr>
            <w:tcW w:w="1947" w:type="dxa"/>
            <w:shd w:val="clear" w:color="auto" w:fill="auto"/>
            <w:noWrap/>
            <w:vAlign w:val="center"/>
            <w:hideMark/>
          </w:tcPr>
          <w:p w14:paraId="50EA6D57"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Plastika</w:t>
            </w:r>
          </w:p>
        </w:tc>
        <w:tc>
          <w:tcPr>
            <w:tcW w:w="979" w:type="dxa"/>
            <w:shd w:val="clear" w:color="auto" w:fill="auto"/>
            <w:noWrap/>
            <w:vAlign w:val="center"/>
            <w:hideMark/>
          </w:tcPr>
          <w:p w14:paraId="4C7180DD"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166.145</w:t>
            </w:r>
          </w:p>
        </w:tc>
        <w:tc>
          <w:tcPr>
            <w:tcW w:w="975" w:type="dxa"/>
            <w:shd w:val="clear" w:color="auto" w:fill="auto"/>
            <w:noWrap/>
            <w:vAlign w:val="center"/>
            <w:hideMark/>
          </w:tcPr>
          <w:p w14:paraId="39698B7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0,20</w:t>
            </w:r>
          </w:p>
        </w:tc>
        <w:tc>
          <w:tcPr>
            <w:tcW w:w="1049" w:type="dxa"/>
            <w:shd w:val="clear" w:color="auto" w:fill="auto"/>
            <w:noWrap/>
            <w:vAlign w:val="center"/>
            <w:hideMark/>
          </w:tcPr>
          <w:p w14:paraId="2117D3E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33.229</w:t>
            </w:r>
          </w:p>
        </w:tc>
        <w:tc>
          <w:tcPr>
            <w:tcW w:w="1086" w:type="dxa"/>
            <w:shd w:val="clear" w:color="auto" w:fill="auto"/>
            <w:noWrap/>
            <w:vAlign w:val="center"/>
            <w:hideMark/>
          </w:tcPr>
          <w:p w14:paraId="2A2A35C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0,70</w:t>
            </w:r>
          </w:p>
        </w:tc>
        <w:tc>
          <w:tcPr>
            <w:tcW w:w="1575" w:type="dxa"/>
            <w:shd w:val="clear" w:color="auto" w:fill="auto"/>
            <w:noWrap/>
            <w:vAlign w:val="center"/>
            <w:hideMark/>
          </w:tcPr>
          <w:p w14:paraId="305E688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116.302</w:t>
            </w:r>
          </w:p>
        </w:tc>
        <w:tc>
          <w:tcPr>
            <w:tcW w:w="1031" w:type="dxa"/>
            <w:shd w:val="clear" w:color="auto" w:fill="auto"/>
            <w:noWrap/>
            <w:vAlign w:val="center"/>
            <w:hideMark/>
          </w:tcPr>
          <w:p w14:paraId="30DD4E0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92" w:type="dxa"/>
            <w:shd w:val="clear" w:color="auto" w:fill="auto"/>
            <w:noWrap/>
            <w:vAlign w:val="center"/>
            <w:hideMark/>
          </w:tcPr>
          <w:p w14:paraId="3507187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16.615</w:t>
            </w:r>
          </w:p>
        </w:tc>
      </w:tr>
      <w:tr w:rsidR="00C262BD" w:rsidRPr="00747CFD" w14:paraId="1B3F84F7" w14:textId="77777777" w:rsidTr="000E10DF">
        <w:trPr>
          <w:trHeight w:val="225"/>
        </w:trPr>
        <w:tc>
          <w:tcPr>
            <w:tcW w:w="1947" w:type="dxa"/>
            <w:shd w:val="clear" w:color="auto" w:fill="auto"/>
            <w:noWrap/>
            <w:vAlign w:val="center"/>
            <w:hideMark/>
          </w:tcPr>
          <w:p w14:paraId="71752E30"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Biootpad</w:t>
            </w:r>
          </w:p>
        </w:tc>
        <w:tc>
          <w:tcPr>
            <w:tcW w:w="979" w:type="dxa"/>
            <w:shd w:val="clear" w:color="auto" w:fill="auto"/>
            <w:noWrap/>
            <w:vAlign w:val="center"/>
            <w:hideMark/>
          </w:tcPr>
          <w:p w14:paraId="3779E88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272.324</w:t>
            </w:r>
          </w:p>
        </w:tc>
        <w:tc>
          <w:tcPr>
            <w:tcW w:w="975" w:type="dxa"/>
            <w:shd w:val="clear" w:color="auto" w:fill="auto"/>
            <w:noWrap/>
            <w:vAlign w:val="center"/>
            <w:hideMark/>
          </w:tcPr>
          <w:p w14:paraId="5ADACEC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049" w:type="dxa"/>
            <w:shd w:val="clear" w:color="auto" w:fill="auto"/>
            <w:noWrap/>
            <w:vAlign w:val="center"/>
            <w:hideMark/>
          </w:tcPr>
          <w:p w14:paraId="173B573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86" w:type="dxa"/>
            <w:shd w:val="clear" w:color="auto" w:fill="auto"/>
            <w:noWrap/>
            <w:vAlign w:val="center"/>
            <w:hideMark/>
          </w:tcPr>
          <w:p w14:paraId="5A8D0E2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0,20</w:t>
            </w:r>
          </w:p>
        </w:tc>
        <w:tc>
          <w:tcPr>
            <w:tcW w:w="1575" w:type="dxa"/>
            <w:shd w:val="clear" w:color="auto" w:fill="auto"/>
            <w:noWrap/>
            <w:vAlign w:val="center"/>
            <w:hideMark/>
          </w:tcPr>
          <w:p w14:paraId="7063D037"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54.465</w:t>
            </w:r>
          </w:p>
        </w:tc>
        <w:tc>
          <w:tcPr>
            <w:tcW w:w="1031" w:type="dxa"/>
            <w:shd w:val="clear" w:color="auto" w:fill="auto"/>
            <w:noWrap/>
            <w:vAlign w:val="center"/>
            <w:hideMark/>
          </w:tcPr>
          <w:p w14:paraId="4037D214"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0,80</w:t>
            </w:r>
          </w:p>
        </w:tc>
        <w:tc>
          <w:tcPr>
            <w:tcW w:w="992" w:type="dxa"/>
            <w:shd w:val="clear" w:color="auto" w:fill="auto"/>
            <w:noWrap/>
            <w:vAlign w:val="center"/>
            <w:hideMark/>
          </w:tcPr>
          <w:p w14:paraId="38832C1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108.930</w:t>
            </w:r>
          </w:p>
        </w:tc>
      </w:tr>
      <w:tr w:rsidR="00C262BD" w:rsidRPr="00747CFD" w14:paraId="09D90AA7" w14:textId="77777777" w:rsidTr="000E10DF">
        <w:trPr>
          <w:trHeight w:val="225"/>
        </w:trPr>
        <w:tc>
          <w:tcPr>
            <w:tcW w:w="1947" w:type="dxa"/>
            <w:shd w:val="clear" w:color="auto" w:fill="auto"/>
            <w:noWrap/>
            <w:vAlign w:val="center"/>
            <w:hideMark/>
          </w:tcPr>
          <w:p w14:paraId="6EDCAEF3"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Glomazni otpad</w:t>
            </w:r>
          </w:p>
        </w:tc>
        <w:tc>
          <w:tcPr>
            <w:tcW w:w="979" w:type="dxa"/>
            <w:shd w:val="clear" w:color="auto" w:fill="auto"/>
            <w:noWrap/>
            <w:vAlign w:val="center"/>
            <w:hideMark/>
          </w:tcPr>
          <w:p w14:paraId="23309B7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20.159</w:t>
            </w:r>
          </w:p>
        </w:tc>
        <w:tc>
          <w:tcPr>
            <w:tcW w:w="975" w:type="dxa"/>
            <w:shd w:val="clear" w:color="auto" w:fill="auto"/>
            <w:noWrap/>
            <w:vAlign w:val="center"/>
            <w:hideMark/>
          </w:tcPr>
          <w:p w14:paraId="1AC8C90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049" w:type="dxa"/>
            <w:shd w:val="clear" w:color="auto" w:fill="auto"/>
            <w:noWrap/>
            <w:vAlign w:val="center"/>
            <w:hideMark/>
          </w:tcPr>
          <w:p w14:paraId="23D4A5C7"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86" w:type="dxa"/>
            <w:shd w:val="clear" w:color="auto" w:fill="auto"/>
            <w:noWrap/>
            <w:vAlign w:val="center"/>
            <w:hideMark/>
          </w:tcPr>
          <w:p w14:paraId="2FE8786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575" w:type="dxa"/>
            <w:shd w:val="clear" w:color="auto" w:fill="auto"/>
            <w:noWrap/>
            <w:vAlign w:val="center"/>
            <w:hideMark/>
          </w:tcPr>
          <w:p w14:paraId="0460726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31" w:type="dxa"/>
            <w:shd w:val="clear" w:color="auto" w:fill="auto"/>
            <w:noWrap/>
            <w:vAlign w:val="center"/>
            <w:hideMark/>
          </w:tcPr>
          <w:p w14:paraId="0311582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992" w:type="dxa"/>
            <w:shd w:val="clear" w:color="auto" w:fill="auto"/>
            <w:noWrap/>
            <w:vAlign w:val="center"/>
            <w:hideMark/>
          </w:tcPr>
          <w:p w14:paraId="4B6F59E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r>
      <w:tr w:rsidR="00C262BD" w:rsidRPr="00747CFD" w14:paraId="6C141F44" w14:textId="77777777" w:rsidTr="000E10DF">
        <w:trPr>
          <w:trHeight w:val="225"/>
        </w:trPr>
        <w:tc>
          <w:tcPr>
            <w:tcW w:w="1947" w:type="dxa"/>
            <w:shd w:val="clear" w:color="auto" w:fill="auto"/>
            <w:noWrap/>
            <w:vAlign w:val="center"/>
            <w:hideMark/>
          </w:tcPr>
          <w:p w14:paraId="667A6C54"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Električni i elektronički</w:t>
            </w:r>
          </w:p>
        </w:tc>
        <w:tc>
          <w:tcPr>
            <w:tcW w:w="979" w:type="dxa"/>
            <w:shd w:val="clear" w:color="auto" w:fill="auto"/>
            <w:noWrap/>
            <w:vAlign w:val="center"/>
            <w:hideMark/>
          </w:tcPr>
          <w:p w14:paraId="019AAD2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15.315</w:t>
            </w:r>
          </w:p>
        </w:tc>
        <w:tc>
          <w:tcPr>
            <w:tcW w:w="975" w:type="dxa"/>
            <w:shd w:val="clear" w:color="auto" w:fill="auto"/>
            <w:noWrap/>
            <w:vAlign w:val="center"/>
            <w:hideMark/>
          </w:tcPr>
          <w:p w14:paraId="25F28F4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0,80</w:t>
            </w:r>
          </w:p>
        </w:tc>
        <w:tc>
          <w:tcPr>
            <w:tcW w:w="1049" w:type="dxa"/>
            <w:shd w:val="clear" w:color="auto" w:fill="auto"/>
            <w:noWrap/>
            <w:vAlign w:val="center"/>
            <w:hideMark/>
          </w:tcPr>
          <w:p w14:paraId="65709C1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12.252</w:t>
            </w:r>
          </w:p>
        </w:tc>
        <w:tc>
          <w:tcPr>
            <w:tcW w:w="1086" w:type="dxa"/>
            <w:shd w:val="clear" w:color="auto" w:fill="auto"/>
            <w:noWrap/>
            <w:vAlign w:val="center"/>
            <w:hideMark/>
          </w:tcPr>
          <w:p w14:paraId="2C222F1C"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575" w:type="dxa"/>
            <w:shd w:val="clear" w:color="auto" w:fill="auto"/>
            <w:noWrap/>
            <w:vAlign w:val="center"/>
            <w:hideMark/>
          </w:tcPr>
          <w:p w14:paraId="36761F3D"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31" w:type="dxa"/>
            <w:shd w:val="clear" w:color="auto" w:fill="auto"/>
            <w:noWrap/>
            <w:vAlign w:val="center"/>
            <w:hideMark/>
          </w:tcPr>
          <w:p w14:paraId="6C99275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0,20</w:t>
            </w:r>
          </w:p>
        </w:tc>
        <w:tc>
          <w:tcPr>
            <w:tcW w:w="992" w:type="dxa"/>
            <w:shd w:val="clear" w:color="auto" w:fill="auto"/>
            <w:noWrap/>
            <w:vAlign w:val="center"/>
            <w:hideMark/>
          </w:tcPr>
          <w:p w14:paraId="4A885AE7"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3.063</w:t>
            </w:r>
          </w:p>
        </w:tc>
      </w:tr>
      <w:tr w:rsidR="00C262BD" w:rsidRPr="00747CFD" w14:paraId="35836FB1" w14:textId="77777777" w:rsidTr="000E10DF">
        <w:trPr>
          <w:trHeight w:val="240"/>
        </w:trPr>
        <w:tc>
          <w:tcPr>
            <w:tcW w:w="1947" w:type="dxa"/>
            <w:shd w:val="clear" w:color="auto" w:fill="auto"/>
            <w:noWrap/>
            <w:vAlign w:val="center"/>
            <w:hideMark/>
          </w:tcPr>
          <w:p w14:paraId="5B005B41"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Ostali otpad</w:t>
            </w:r>
          </w:p>
        </w:tc>
        <w:tc>
          <w:tcPr>
            <w:tcW w:w="979" w:type="dxa"/>
            <w:shd w:val="clear" w:color="auto" w:fill="auto"/>
            <w:noWrap/>
            <w:vAlign w:val="center"/>
            <w:hideMark/>
          </w:tcPr>
          <w:p w14:paraId="37B9A7A7"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116.787</w:t>
            </w:r>
          </w:p>
        </w:tc>
        <w:tc>
          <w:tcPr>
            <w:tcW w:w="975" w:type="dxa"/>
            <w:shd w:val="clear" w:color="auto" w:fill="auto"/>
            <w:noWrap/>
            <w:vAlign w:val="center"/>
            <w:hideMark/>
          </w:tcPr>
          <w:p w14:paraId="68617FB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49" w:type="dxa"/>
            <w:shd w:val="clear" w:color="auto" w:fill="auto"/>
            <w:noWrap/>
            <w:vAlign w:val="center"/>
            <w:hideMark/>
          </w:tcPr>
          <w:p w14:paraId="7F6E803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86" w:type="dxa"/>
            <w:shd w:val="clear" w:color="auto" w:fill="auto"/>
            <w:noWrap/>
            <w:vAlign w:val="center"/>
            <w:hideMark/>
          </w:tcPr>
          <w:p w14:paraId="4D391F1C"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0,30</w:t>
            </w:r>
          </w:p>
        </w:tc>
        <w:tc>
          <w:tcPr>
            <w:tcW w:w="1575" w:type="dxa"/>
            <w:shd w:val="clear" w:color="auto" w:fill="auto"/>
            <w:noWrap/>
            <w:vAlign w:val="center"/>
            <w:hideMark/>
          </w:tcPr>
          <w:p w14:paraId="236B554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35.036</w:t>
            </w:r>
          </w:p>
        </w:tc>
        <w:tc>
          <w:tcPr>
            <w:tcW w:w="1031" w:type="dxa"/>
            <w:shd w:val="clear" w:color="auto" w:fill="auto"/>
            <w:noWrap/>
            <w:vAlign w:val="center"/>
            <w:hideMark/>
          </w:tcPr>
          <w:p w14:paraId="67B46CE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0,70</w:t>
            </w:r>
          </w:p>
        </w:tc>
        <w:tc>
          <w:tcPr>
            <w:tcW w:w="992" w:type="dxa"/>
            <w:shd w:val="clear" w:color="auto" w:fill="auto"/>
            <w:noWrap/>
            <w:vAlign w:val="center"/>
            <w:hideMark/>
          </w:tcPr>
          <w:p w14:paraId="0FC28C0C"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81.751</w:t>
            </w:r>
          </w:p>
        </w:tc>
      </w:tr>
      <w:tr w:rsidR="00C262BD" w:rsidRPr="00747CFD" w14:paraId="68FA6053" w14:textId="77777777" w:rsidTr="000E10DF">
        <w:trPr>
          <w:trHeight w:val="315"/>
        </w:trPr>
        <w:tc>
          <w:tcPr>
            <w:tcW w:w="2926" w:type="dxa"/>
            <w:gridSpan w:val="2"/>
            <w:shd w:val="clear" w:color="auto" w:fill="E7E6E6" w:themeFill="background2"/>
            <w:noWrap/>
            <w:vAlign w:val="center"/>
            <w:hideMark/>
          </w:tcPr>
          <w:p w14:paraId="0E60B02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Ukupna količina (t/god)</w:t>
            </w:r>
          </w:p>
        </w:tc>
        <w:tc>
          <w:tcPr>
            <w:tcW w:w="975" w:type="dxa"/>
            <w:shd w:val="clear" w:color="auto" w:fill="E7E6E6" w:themeFill="background2"/>
            <w:noWrap/>
            <w:vAlign w:val="center"/>
            <w:hideMark/>
          </w:tcPr>
          <w:p w14:paraId="2E5242ED"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49" w:type="dxa"/>
            <w:shd w:val="clear" w:color="auto" w:fill="E7E6E6" w:themeFill="background2"/>
            <w:noWrap/>
            <w:vAlign w:val="center"/>
            <w:hideMark/>
          </w:tcPr>
          <w:p w14:paraId="24DE3C84"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126.773</w:t>
            </w:r>
          </w:p>
        </w:tc>
        <w:tc>
          <w:tcPr>
            <w:tcW w:w="1086" w:type="dxa"/>
            <w:shd w:val="clear" w:color="auto" w:fill="E7E6E6" w:themeFill="background2"/>
            <w:noWrap/>
            <w:vAlign w:val="center"/>
            <w:hideMark/>
          </w:tcPr>
          <w:p w14:paraId="7CC4533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575" w:type="dxa"/>
            <w:shd w:val="clear" w:color="auto" w:fill="E7E6E6" w:themeFill="background2"/>
            <w:noWrap/>
            <w:vAlign w:val="center"/>
            <w:hideMark/>
          </w:tcPr>
          <w:p w14:paraId="12B8645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381.361</w:t>
            </w:r>
          </w:p>
        </w:tc>
        <w:tc>
          <w:tcPr>
            <w:tcW w:w="1031" w:type="dxa"/>
            <w:shd w:val="clear" w:color="auto" w:fill="E7E6E6" w:themeFill="background2"/>
            <w:noWrap/>
            <w:vAlign w:val="center"/>
            <w:hideMark/>
          </w:tcPr>
          <w:p w14:paraId="46EDC92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E7E6E6" w:themeFill="background2"/>
            <w:noWrap/>
            <w:vAlign w:val="center"/>
            <w:hideMark/>
          </w:tcPr>
          <w:p w14:paraId="2B4AA07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238.897</w:t>
            </w:r>
          </w:p>
        </w:tc>
      </w:tr>
      <w:tr w:rsidR="00C262BD" w:rsidRPr="00747CFD" w14:paraId="1569758F" w14:textId="77777777" w:rsidTr="000E10DF">
        <w:trPr>
          <w:trHeight w:val="315"/>
        </w:trPr>
        <w:tc>
          <w:tcPr>
            <w:tcW w:w="2926" w:type="dxa"/>
            <w:gridSpan w:val="2"/>
            <w:shd w:val="clear" w:color="auto" w:fill="E7E6E6" w:themeFill="background2"/>
            <w:noWrap/>
            <w:vAlign w:val="center"/>
            <w:hideMark/>
          </w:tcPr>
          <w:p w14:paraId="684E365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Udio u ulazu u CGO</w:t>
            </w:r>
          </w:p>
        </w:tc>
        <w:tc>
          <w:tcPr>
            <w:tcW w:w="975" w:type="dxa"/>
            <w:shd w:val="clear" w:color="auto" w:fill="E7E6E6" w:themeFill="background2"/>
            <w:noWrap/>
            <w:vAlign w:val="center"/>
            <w:hideMark/>
          </w:tcPr>
          <w:p w14:paraId="1B88119C"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49" w:type="dxa"/>
            <w:shd w:val="clear" w:color="auto" w:fill="E7E6E6" w:themeFill="background2"/>
            <w:noWrap/>
            <w:vAlign w:val="center"/>
            <w:hideMark/>
          </w:tcPr>
          <w:p w14:paraId="4E184B4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w:t>
            </w:r>
          </w:p>
        </w:tc>
        <w:tc>
          <w:tcPr>
            <w:tcW w:w="1086" w:type="dxa"/>
            <w:shd w:val="clear" w:color="auto" w:fill="E7E6E6" w:themeFill="background2"/>
            <w:noWrap/>
            <w:vAlign w:val="center"/>
            <w:hideMark/>
          </w:tcPr>
          <w:p w14:paraId="150C2F0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575" w:type="dxa"/>
            <w:shd w:val="clear" w:color="auto" w:fill="E7E6E6" w:themeFill="background2"/>
            <w:noWrap/>
            <w:vAlign w:val="center"/>
            <w:hideMark/>
          </w:tcPr>
          <w:p w14:paraId="0F7498F4"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44%</w:t>
            </w:r>
          </w:p>
        </w:tc>
        <w:tc>
          <w:tcPr>
            <w:tcW w:w="1031" w:type="dxa"/>
            <w:shd w:val="clear" w:color="auto" w:fill="E7E6E6" w:themeFill="background2"/>
            <w:noWrap/>
            <w:vAlign w:val="center"/>
            <w:hideMark/>
          </w:tcPr>
          <w:p w14:paraId="071C7CB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E7E6E6" w:themeFill="background2"/>
            <w:noWrap/>
            <w:vAlign w:val="center"/>
            <w:hideMark/>
          </w:tcPr>
          <w:p w14:paraId="6AE95B8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w:t>
            </w:r>
          </w:p>
        </w:tc>
      </w:tr>
    </w:tbl>
    <w:p w14:paraId="5F452636" w14:textId="7545B235" w:rsidR="00BD4C4B" w:rsidRDefault="00BD4C4B" w:rsidP="00596ABF"/>
    <w:p w14:paraId="2344FA20" w14:textId="040C6FAE" w:rsidR="00BD4C4B" w:rsidRDefault="00BD4C4B" w:rsidP="00BD4C4B">
      <w:pPr>
        <w:pStyle w:val="Tablica"/>
      </w:pPr>
      <w:bookmarkStart w:id="254" w:name="_Toc125364429"/>
      <w:r>
        <w:t xml:space="preserve">Tablica </w:t>
      </w:r>
      <w:fldSimple w:instr=" SEQ Tablica \* ARABIC ">
        <w:r w:rsidR="00F37B62">
          <w:rPr>
            <w:noProof/>
          </w:rPr>
          <w:t>40</w:t>
        </w:r>
      </w:fldSimple>
      <w:r>
        <w:t xml:space="preserve">. </w:t>
      </w:r>
      <w:r w:rsidR="00180ECE" w:rsidRPr="00180ECE">
        <w:rPr>
          <w:b w:val="0"/>
          <w:bCs/>
        </w:rPr>
        <w:t xml:space="preserve">Pretpostavljena efikasnost postrojenja za obradu </w:t>
      </w:r>
      <w:proofErr w:type="spellStart"/>
      <w:r w:rsidR="00180ECE" w:rsidRPr="00180ECE">
        <w:rPr>
          <w:b w:val="0"/>
          <w:bCs/>
        </w:rPr>
        <w:t>mKO</w:t>
      </w:r>
      <w:proofErr w:type="spellEnd"/>
      <w:r w:rsidR="00180ECE" w:rsidRPr="00180ECE">
        <w:rPr>
          <w:b w:val="0"/>
          <w:bCs/>
        </w:rPr>
        <w:t xml:space="preserve"> i očekivani izlazi iz CGO-a </w:t>
      </w:r>
      <w:r w:rsidR="00180ECE">
        <w:rPr>
          <w:b w:val="0"/>
          <w:bCs/>
        </w:rPr>
        <w:t>2035</w:t>
      </w:r>
      <w:r w:rsidR="00180ECE" w:rsidRPr="00180ECE">
        <w:rPr>
          <w:b w:val="0"/>
          <w:bCs/>
        </w:rPr>
        <w:t>.</w:t>
      </w:r>
      <w:r>
        <w:rPr>
          <w:b w:val="0"/>
          <w:bCs/>
        </w:rPr>
        <w:t>– SCENARIJ 1</w:t>
      </w:r>
      <w:bookmarkEnd w:id="254"/>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992"/>
        <w:gridCol w:w="988"/>
        <w:gridCol w:w="1049"/>
        <w:gridCol w:w="1101"/>
        <w:gridCol w:w="1506"/>
        <w:gridCol w:w="1031"/>
        <w:gridCol w:w="992"/>
      </w:tblGrid>
      <w:tr w:rsidR="00180ECE" w:rsidRPr="00747CFD" w14:paraId="4AE384D6" w14:textId="77777777" w:rsidTr="000E10DF">
        <w:trPr>
          <w:trHeight w:val="240"/>
          <w:tblHeader/>
        </w:trPr>
        <w:tc>
          <w:tcPr>
            <w:tcW w:w="9634" w:type="dxa"/>
            <w:gridSpan w:val="8"/>
            <w:shd w:val="clear" w:color="auto" w:fill="auto"/>
            <w:noWrap/>
            <w:vAlign w:val="center"/>
            <w:hideMark/>
          </w:tcPr>
          <w:p w14:paraId="383B02B4" w14:textId="667E0253" w:rsidR="00180ECE" w:rsidRPr="00747CFD" w:rsidRDefault="00D85FCC" w:rsidP="00180ECE">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2035. godina – SCENARIJ 1</w:t>
            </w:r>
          </w:p>
        </w:tc>
      </w:tr>
      <w:tr w:rsidR="00D85FCC" w:rsidRPr="00747CFD" w14:paraId="2E03BF16" w14:textId="77777777" w:rsidTr="000E10DF">
        <w:trPr>
          <w:trHeight w:val="1125"/>
          <w:tblHeader/>
        </w:trPr>
        <w:tc>
          <w:tcPr>
            <w:tcW w:w="1975" w:type="dxa"/>
            <w:shd w:val="clear" w:color="auto" w:fill="002060"/>
            <w:noWrap/>
            <w:vAlign w:val="center"/>
            <w:hideMark/>
          </w:tcPr>
          <w:p w14:paraId="156BF098"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 </w:t>
            </w:r>
          </w:p>
        </w:tc>
        <w:tc>
          <w:tcPr>
            <w:tcW w:w="992" w:type="dxa"/>
            <w:shd w:val="clear" w:color="auto" w:fill="002060"/>
            <w:noWrap/>
            <w:vAlign w:val="center"/>
            <w:hideMark/>
          </w:tcPr>
          <w:p w14:paraId="68F9AB71"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Količina (t)</w:t>
            </w:r>
          </w:p>
        </w:tc>
        <w:tc>
          <w:tcPr>
            <w:tcW w:w="988" w:type="dxa"/>
            <w:shd w:val="clear" w:color="auto" w:fill="002060"/>
            <w:vAlign w:val="center"/>
            <w:hideMark/>
          </w:tcPr>
          <w:p w14:paraId="4D32FF0B"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 xml:space="preserve">Stopa izdvajanja </w:t>
            </w:r>
            <w:proofErr w:type="spellStart"/>
            <w:r w:rsidRPr="00747CFD">
              <w:rPr>
                <w:rFonts w:ascii="Calibri" w:eastAsia="Times New Roman" w:hAnsi="Calibri" w:cs="Calibri"/>
                <w:b/>
                <w:bCs/>
                <w:color w:val="FFFFFF" w:themeColor="background1"/>
                <w:sz w:val="16"/>
                <w:szCs w:val="16"/>
                <w:lang w:eastAsia="hr-HR"/>
              </w:rPr>
              <w:t>reciklata</w:t>
            </w:r>
            <w:proofErr w:type="spellEnd"/>
          </w:p>
        </w:tc>
        <w:tc>
          <w:tcPr>
            <w:tcW w:w="1049" w:type="dxa"/>
            <w:shd w:val="clear" w:color="auto" w:fill="002060"/>
            <w:vAlign w:val="center"/>
            <w:hideMark/>
          </w:tcPr>
          <w:p w14:paraId="386F1F8A" w14:textId="46DAA363" w:rsidR="00180ECE" w:rsidRPr="00747CFD" w:rsidRDefault="001E1A1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 xml:space="preserve"> Izdvojena količina </w:t>
            </w:r>
            <w:proofErr w:type="spellStart"/>
            <w:r w:rsidRPr="00747CFD">
              <w:rPr>
                <w:rFonts w:ascii="Calibri" w:eastAsia="Times New Roman" w:hAnsi="Calibri" w:cs="Calibri"/>
                <w:b/>
                <w:bCs/>
                <w:color w:val="FFFFFF" w:themeColor="background1"/>
                <w:sz w:val="16"/>
                <w:szCs w:val="16"/>
                <w:lang w:eastAsia="hr-HR"/>
              </w:rPr>
              <w:t>reciklata</w:t>
            </w:r>
            <w:proofErr w:type="spellEnd"/>
            <w:r w:rsidRPr="00747CFD">
              <w:rPr>
                <w:rFonts w:ascii="Calibri" w:eastAsia="Times New Roman" w:hAnsi="Calibri" w:cs="Calibri"/>
                <w:b/>
                <w:bCs/>
                <w:color w:val="FFFFFF" w:themeColor="background1"/>
                <w:sz w:val="16"/>
                <w:szCs w:val="16"/>
                <w:lang w:eastAsia="hr-HR"/>
              </w:rPr>
              <w:t xml:space="preserve">  (t/god)</w:t>
            </w:r>
          </w:p>
        </w:tc>
        <w:tc>
          <w:tcPr>
            <w:tcW w:w="1101" w:type="dxa"/>
            <w:shd w:val="clear" w:color="auto" w:fill="002060"/>
            <w:vAlign w:val="center"/>
            <w:hideMark/>
          </w:tcPr>
          <w:p w14:paraId="1A19C31B"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Stopa izdvajanja za energetsku oporabu</w:t>
            </w:r>
          </w:p>
        </w:tc>
        <w:tc>
          <w:tcPr>
            <w:tcW w:w="1506" w:type="dxa"/>
            <w:shd w:val="clear" w:color="auto" w:fill="002060"/>
            <w:vAlign w:val="center"/>
            <w:hideMark/>
          </w:tcPr>
          <w:p w14:paraId="695EB1B5" w14:textId="4CBAF6EA" w:rsidR="00180ECE" w:rsidRPr="00747CFD" w:rsidRDefault="001E1A1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 xml:space="preserve"> Količina koja se upućuje na energetsku oporabu (t/god)</w:t>
            </w:r>
          </w:p>
        </w:tc>
        <w:tc>
          <w:tcPr>
            <w:tcW w:w="1031" w:type="dxa"/>
            <w:shd w:val="clear" w:color="auto" w:fill="002060"/>
            <w:vAlign w:val="center"/>
            <w:hideMark/>
          </w:tcPr>
          <w:p w14:paraId="70D450DB"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Stopa upućivanja na odlaganje</w:t>
            </w:r>
          </w:p>
        </w:tc>
        <w:tc>
          <w:tcPr>
            <w:tcW w:w="992" w:type="dxa"/>
            <w:shd w:val="clear" w:color="auto" w:fill="002060"/>
            <w:noWrap/>
            <w:vAlign w:val="center"/>
            <w:hideMark/>
          </w:tcPr>
          <w:p w14:paraId="29635CBE"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Odlaganje</w:t>
            </w:r>
          </w:p>
          <w:p w14:paraId="1C2ED52D" w14:textId="09F27719" w:rsidR="001E1A1E" w:rsidRPr="00747CFD" w:rsidRDefault="001E1A1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(t/god)</w:t>
            </w:r>
          </w:p>
        </w:tc>
      </w:tr>
      <w:tr w:rsidR="00180ECE" w:rsidRPr="00747CFD" w14:paraId="0A966353" w14:textId="77777777" w:rsidTr="000E10DF">
        <w:trPr>
          <w:trHeight w:val="225"/>
        </w:trPr>
        <w:tc>
          <w:tcPr>
            <w:tcW w:w="1975" w:type="dxa"/>
            <w:shd w:val="clear" w:color="auto" w:fill="auto"/>
            <w:noWrap/>
            <w:vAlign w:val="center"/>
            <w:hideMark/>
          </w:tcPr>
          <w:p w14:paraId="749B2837" w14:textId="77777777" w:rsidR="00180ECE" w:rsidRPr="00747CFD" w:rsidRDefault="00180ECE" w:rsidP="00180ECE">
            <w:pPr>
              <w:spacing w:after="0" w:line="240" w:lineRule="auto"/>
              <w:jc w:val="left"/>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Količina KO</w:t>
            </w:r>
          </w:p>
        </w:tc>
        <w:tc>
          <w:tcPr>
            <w:tcW w:w="992" w:type="dxa"/>
            <w:shd w:val="clear" w:color="auto" w:fill="auto"/>
            <w:noWrap/>
            <w:vAlign w:val="center"/>
            <w:hideMark/>
          </w:tcPr>
          <w:p w14:paraId="7F62C43B" w14:textId="77777777" w:rsidR="00180ECE" w:rsidRPr="00747CFD" w:rsidRDefault="00180ECE" w:rsidP="00180ECE">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2.550.158</w:t>
            </w:r>
          </w:p>
        </w:tc>
        <w:tc>
          <w:tcPr>
            <w:tcW w:w="988" w:type="dxa"/>
            <w:shd w:val="clear" w:color="auto" w:fill="auto"/>
            <w:noWrap/>
            <w:vAlign w:val="center"/>
            <w:hideMark/>
          </w:tcPr>
          <w:p w14:paraId="0B0F0E30"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49" w:type="dxa"/>
            <w:shd w:val="clear" w:color="auto" w:fill="auto"/>
            <w:noWrap/>
            <w:vAlign w:val="center"/>
            <w:hideMark/>
          </w:tcPr>
          <w:p w14:paraId="5B9FF990"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101" w:type="dxa"/>
            <w:shd w:val="clear" w:color="auto" w:fill="auto"/>
            <w:noWrap/>
            <w:vAlign w:val="center"/>
            <w:hideMark/>
          </w:tcPr>
          <w:p w14:paraId="2335F702"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506" w:type="dxa"/>
            <w:shd w:val="clear" w:color="auto" w:fill="auto"/>
            <w:noWrap/>
            <w:vAlign w:val="center"/>
            <w:hideMark/>
          </w:tcPr>
          <w:p w14:paraId="6851DE91"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31" w:type="dxa"/>
            <w:shd w:val="clear" w:color="auto" w:fill="auto"/>
            <w:noWrap/>
            <w:vAlign w:val="center"/>
            <w:hideMark/>
          </w:tcPr>
          <w:p w14:paraId="27D44E86"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auto"/>
            <w:noWrap/>
            <w:vAlign w:val="center"/>
            <w:hideMark/>
          </w:tcPr>
          <w:p w14:paraId="16D52919"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180ECE" w:rsidRPr="00747CFD" w14:paraId="6401B457" w14:textId="77777777" w:rsidTr="000E10DF">
        <w:trPr>
          <w:trHeight w:val="225"/>
        </w:trPr>
        <w:tc>
          <w:tcPr>
            <w:tcW w:w="1975" w:type="dxa"/>
            <w:shd w:val="clear" w:color="auto" w:fill="auto"/>
            <w:noWrap/>
            <w:vAlign w:val="center"/>
            <w:hideMark/>
          </w:tcPr>
          <w:p w14:paraId="466D2651" w14:textId="3B9F42B4" w:rsidR="00180ECE" w:rsidRPr="00747CFD" w:rsidRDefault="00180ECE" w:rsidP="00180ECE">
            <w:pPr>
              <w:spacing w:after="0" w:line="240" w:lineRule="auto"/>
              <w:jc w:val="left"/>
              <w:rPr>
                <w:rFonts w:ascii="Calibri" w:eastAsia="Times New Roman" w:hAnsi="Calibri" w:cs="Calibri"/>
                <w:b/>
                <w:bCs/>
                <w:color w:val="000000"/>
                <w:sz w:val="16"/>
                <w:szCs w:val="16"/>
                <w:lang w:eastAsia="hr-HR"/>
              </w:rPr>
            </w:pPr>
            <w:proofErr w:type="spellStart"/>
            <w:r w:rsidRPr="00747CFD">
              <w:rPr>
                <w:rFonts w:ascii="Calibri" w:eastAsia="Times New Roman" w:hAnsi="Calibri" w:cs="Calibri"/>
                <w:b/>
                <w:bCs/>
                <w:color w:val="000000"/>
                <w:sz w:val="16"/>
                <w:szCs w:val="16"/>
                <w:lang w:eastAsia="hr-HR"/>
              </w:rPr>
              <w:t>mKO</w:t>
            </w:r>
            <w:proofErr w:type="spellEnd"/>
            <w:r w:rsidRPr="00747CFD">
              <w:rPr>
                <w:rFonts w:ascii="Calibri" w:eastAsia="Times New Roman" w:hAnsi="Calibri" w:cs="Calibri"/>
                <w:b/>
                <w:bCs/>
                <w:color w:val="000000"/>
                <w:sz w:val="16"/>
                <w:szCs w:val="16"/>
                <w:lang w:eastAsia="hr-HR"/>
              </w:rPr>
              <w:t xml:space="preserve"> </w:t>
            </w:r>
          </w:p>
        </w:tc>
        <w:tc>
          <w:tcPr>
            <w:tcW w:w="992" w:type="dxa"/>
            <w:shd w:val="clear" w:color="auto" w:fill="auto"/>
            <w:noWrap/>
            <w:vAlign w:val="center"/>
            <w:hideMark/>
          </w:tcPr>
          <w:p w14:paraId="6463CFFC" w14:textId="77777777" w:rsidR="00180ECE" w:rsidRPr="00747CFD" w:rsidRDefault="00180ECE" w:rsidP="00180ECE">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892.555</w:t>
            </w:r>
          </w:p>
        </w:tc>
        <w:tc>
          <w:tcPr>
            <w:tcW w:w="988" w:type="dxa"/>
            <w:shd w:val="clear" w:color="auto" w:fill="auto"/>
            <w:noWrap/>
            <w:vAlign w:val="center"/>
            <w:hideMark/>
          </w:tcPr>
          <w:p w14:paraId="642ED93A"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49" w:type="dxa"/>
            <w:shd w:val="clear" w:color="auto" w:fill="auto"/>
            <w:noWrap/>
            <w:vAlign w:val="center"/>
            <w:hideMark/>
          </w:tcPr>
          <w:p w14:paraId="74506860"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101" w:type="dxa"/>
            <w:shd w:val="clear" w:color="auto" w:fill="auto"/>
            <w:noWrap/>
            <w:vAlign w:val="center"/>
            <w:hideMark/>
          </w:tcPr>
          <w:p w14:paraId="4BC110B4"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506" w:type="dxa"/>
            <w:shd w:val="clear" w:color="auto" w:fill="auto"/>
            <w:noWrap/>
            <w:vAlign w:val="center"/>
            <w:hideMark/>
          </w:tcPr>
          <w:p w14:paraId="48AA9D89"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31" w:type="dxa"/>
            <w:shd w:val="clear" w:color="auto" w:fill="auto"/>
            <w:noWrap/>
            <w:vAlign w:val="center"/>
            <w:hideMark/>
          </w:tcPr>
          <w:p w14:paraId="546A69EF"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auto"/>
            <w:noWrap/>
            <w:vAlign w:val="center"/>
            <w:hideMark/>
          </w:tcPr>
          <w:p w14:paraId="116ED583"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180ECE" w:rsidRPr="00747CFD" w14:paraId="76C9F40A" w14:textId="77777777" w:rsidTr="000E10DF">
        <w:trPr>
          <w:trHeight w:val="225"/>
        </w:trPr>
        <w:tc>
          <w:tcPr>
            <w:tcW w:w="1975" w:type="dxa"/>
            <w:shd w:val="clear" w:color="auto" w:fill="auto"/>
            <w:noWrap/>
            <w:vAlign w:val="center"/>
            <w:hideMark/>
          </w:tcPr>
          <w:p w14:paraId="30705ED3"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Papir i karton</w:t>
            </w:r>
          </w:p>
        </w:tc>
        <w:tc>
          <w:tcPr>
            <w:tcW w:w="992" w:type="dxa"/>
            <w:shd w:val="clear" w:color="auto" w:fill="auto"/>
            <w:noWrap/>
            <w:vAlign w:val="center"/>
            <w:hideMark/>
          </w:tcPr>
          <w:p w14:paraId="61F289BC"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216.195</w:t>
            </w:r>
          </w:p>
        </w:tc>
        <w:tc>
          <w:tcPr>
            <w:tcW w:w="988" w:type="dxa"/>
            <w:shd w:val="clear" w:color="auto" w:fill="auto"/>
            <w:noWrap/>
            <w:vAlign w:val="center"/>
            <w:hideMark/>
          </w:tcPr>
          <w:p w14:paraId="309ADD4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1049" w:type="dxa"/>
            <w:shd w:val="clear" w:color="auto" w:fill="auto"/>
            <w:noWrap/>
            <w:vAlign w:val="center"/>
            <w:hideMark/>
          </w:tcPr>
          <w:p w14:paraId="40277017"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21.619</w:t>
            </w:r>
          </w:p>
        </w:tc>
        <w:tc>
          <w:tcPr>
            <w:tcW w:w="1101" w:type="dxa"/>
            <w:shd w:val="clear" w:color="auto" w:fill="auto"/>
            <w:noWrap/>
            <w:vAlign w:val="center"/>
            <w:hideMark/>
          </w:tcPr>
          <w:p w14:paraId="4403FBE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0,80</w:t>
            </w:r>
          </w:p>
        </w:tc>
        <w:tc>
          <w:tcPr>
            <w:tcW w:w="1506" w:type="dxa"/>
            <w:shd w:val="clear" w:color="auto" w:fill="auto"/>
            <w:noWrap/>
            <w:vAlign w:val="center"/>
            <w:hideMark/>
          </w:tcPr>
          <w:p w14:paraId="67E35C5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172.956</w:t>
            </w:r>
          </w:p>
        </w:tc>
        <w:tc>
          <w:tcPr>
            <w:tcW w:w="1031" w:type="dxa"/>
            <w:shd w:val="clear" w:color="auto" w:fill="auto"/>
            <w:noWrap/>
            <w:vAlign w:val="center"/>
            <w:hideMark/>
          </w:tcPr>
          <w:p w14:paraId="185AD29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92" w:type="dxa"/>
            <w:shd w:val="clear" w:color="auto" w:fill="auto"/>
            <w:noWrap/>
            <w:vAlign w:val="center"/>
            <w:hideMark/>
          </w:tcPr>
          <w:p w14:paraId="6F4CF7C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21.619</w:t>
            </w:r>
          </w:p>
        </w:tc>
      </w:tr>
      <w:tr w:rsidR="00180ECE" w:rsidRPr="00747CFD" w14:paraId="03931EA9" w14:textId="77777777" w:rsidTr="000E10DF">
        <w:trPr>
          <w:trHeight w:val="225"/>
        </w:trPr>
        <w:tc>
          <w:tcPr>
            <w:tcW w:w="1975" w:type="dxa"/>
            <w:shd w:val="clear" w:color="auto" w:fill="auto"/>
            <w:noWrap/>
            <w:vAlign w:val="center"/>
            <w:hideMark/>
          </w:tcPr>
          <w:p w14:paraId="3CA41BBE"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Metal </w:t>
            </w:r>
          </w:p>
        </w:tc>
        <w:tc>
          <w:tcPr>
            <w:tcW w:w="992" w:type="dxa"/>
            <w:shd w:val="clear" w:color="auto" w:fill="auto"/>
            <w:noWrap/>
            <w:vAlign w:val="center"/>
            <w:hideMark/>
          </w:tcPr>
          <w:p w14:paraId="7EC92874"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28.142</w:t>
            </w:r>
          </w:p>
        </w:tc>
        <w:tc>
          <w:tcPr>
            <w:tcW w:w="988" w:type="dxa"/>
            <w:shd w:val="clear" w:color="auto" w:fill="auto"/>
            <w:noWrap/>
            <w:vAlign w:val="center"/>
            <w:hideMark/>
          </w:tcPr>
          <w:p w14:paraId="0621E19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0,90</w:t>
            </w:r>
          </w:p>
        </w:tc>
        <w:tc>
          <w:tcPr>
            <w:tcW w:w="1049" w:type="dxa"/>
            <w:shd w:val="clear" w:color="auto" w:fill="auto"/>
            <w:noWrap/>
            <w:vAlign w:val="center"/>
            <w:hideMark/>
          </w:tcPr>
          <w:p w14:paraId="5CD7B2EC"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25.327</w:t>
            </w:r>
          </w:p>
        </w:tc>
        <w:tc>
          <w:tcPr>
            <w:tcW w:w="1101" w:type="dxa"/>
            <w:shd w:val="clear" w:color="auto" w:fill="auto"/>
            <w:noWrap/>
            <w:vAlign w:val="center"/>
            <w:hideMark/>
          </w:tcPr>
          <w:p w14:paraId="59F7DE8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506" w:type="dxa"/>
            <w:shd w:val="clear" w:color="auto" w:fill="auto"/>
            <w:noWrap/>
            <w:vAlign w:val="center"/>
            <w:hideMark/>
          </w:tcPr>
          <w:p w14:paraId="151FBB6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31" w:type="dxa"/>
            <w:shd w:val="clear" w:color="auto" w:fill="auto"/>
            <w:noWrap/>
            <w:vAlign w:val="center"/>
            <w:hideMark/>
          </w:tcPr>
          <w:p w14:paraId="7D643AC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92" w:type="dxa"/>
            <w:shd w:val="clear" w:color="auto" w:fill="auto"/>
            <w:noWrap/>
            <w:vAlign w:val="center"/>
            <w:hideMark/>
          </w:tcPr>
          <w:p w14:paraId="092FA32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2.814</w:t>
            </w:r>
          </w:p>
        </w:tc>
      </w:tr>
      <w:tr w:rsidR="00180ECE" w:rsidRPr="00747CFD" w14:paraId="66FA2B7A" w14:textId="77777777" w:rsidTr="000E10DF">
        <w:trPr>
          <w:trHeight w:val="225"/>
        </w:trPr>
        <w:tc>
          <w:tcPr>
            <w:tcW w:w="1975" w:type="dxa"/>
            <w:shd w:val="clear" w:color="auto" w:fill="auto"/>
            <w:noWrap/>
            <w:vAlign w:val="center"/>
            <w:hideMark/>
          </w:tcPr>
          <w:p w14:paraId="3E0BE6CD"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Staklo</w:t>
            </w:r>
          </w:p>
        </w:tc>
        <w:tc>
          <w:tcPr>
            <w:tcW w:w="992" w:type="dxa"/>
            <w:shd w:val="clear" w:color="auto" w:fill="auto"/>
            <w:noWrap/>
            <w:vAlign w:val="center"/>
            <w:hideMark/>
          </w:tcPr>
          <w:p w14:paraId="69A2232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41.152</w:t>
            </w:r>
          </w:p>
        </w:tc>
        <w:tc>
          <w:tcPr>
            <w:tcW w:w="988" w:type="dxa"/>
            <w:shd w:val="clear" w:color="auto" w:fill="auto"/>
            <w:noWrap/>
            <w:vAlign w:val="center"/>
            <w:hideMark/>
          </w:tcPr>
          <w:p w14:paraId="0C2BA9D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0,90</w:t>
            </w:r>
          </w:p>
        </w:tc>
        <w:tc>
          <w:tcPr>
            <w:tcW w:w="1049" w:type="dxa"/>
            <w:shd w:val="clear" w:color="auto" w:fill="auto"/>
            <w:noWrap/>
            <w:vAlign w:val="center"/>
            <w:hideMark/>
          </w:tcPr>
          <w:p w14:paraId="021EB38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37.037</w:t>
            </w:r>
          </w:p>
        </w:tc>
        <w:tc>
          <w:tcPr>
            <w:tcW w:w="1101" w:type="dxa"/>
            <w:shd w:val="clear" w:color="auto" w:fill="auto"/>
            <w:noWrap/>
            <w:vAlign w:val="center"/>
            <w:hideMark/>
          </w:tcPr>
          <w:p w14:paraId="6EDA44DD"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506" w:type="dxa"/>
            <w:shd w:val="clear" w:color="auto" w:fill="auto"/>
            <w:noWrap/>
            <w:vAlign w:val="center"/>
            <w:hideMark/>
          </w:tcPr>
          <w:p w14:paraId="4690D80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31" w:type="dxa"/>
            <w:shd w:val="clear" w:color="auto" w:fill="auto"/>
            <w:noWrap/>
            <w:vAlign w:val="center"/>
            <w:hideMark/>
          </w:tcPr>
          <w:p w14:paraId="3DBCA484"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92" w:type="dxa"/>
            <w:shd w:val="clear" w:color="auto" w:fill="auto"/>
            <w:noWrap/>
            <w:vAlign w:val="center"/>
            <w:hideMark/>
          </w:tcPr>
          <w:p w14:paraId="09002E3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4.115</w:t>
            </w:r>
          </w:p>
        </w:tc>
      </w:tr>
      <w:tr w:rsidR="00180ECE" w:rsidRPr="00747CFD" w14:paraId="5714AE4B" w14:textId="77777777" w:rsidTr="000E10DF">
        <w:trPr>
          <w:trHeight w:val="225"/>
        </w:trPr>
        <w:tc>
          <w:tcPr>
            <w:tcW w:w="1975" w:type="dxa"/>
            <w:shd w:val="clear" w:color="auto" w:fill="auto"/>
            <w:noWrap/>
            <w:vAlign w:val="center"/>
            <w:hideMark/>
          </w:tcPr>
          <w:p w14:paraId="2662E14E"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Plastika</w:t>
            </w:r>
          </w:p>
        </w:tc>
        <w:tc>
          <w:tcPr>
            <w:tcW w:w="992" w:type="dxa"/>
            <w:shd w:val="clear" w:color="auto" w:fill="auto"/>
            <w:noWrap/>
            <w:vAlign w:val="center"/>
            <w:hideMark/>
          </w:tcPr>
          <w:p w14:paraId="3A6A3C1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163.682</w:t>
            </w:r>
          </w:p>
        </w:tc>
        <w:tc>
          <w:tcPr>
            <w:tcW w:w="988" w:type="dxa"/>
            <w:shd w:val="clear" w:color="auto" w:fill="auto"/>
            <w:noWrap/>
            <w:vAlign w:val="center"/>
            <w:hideMark/>
          </w:tcPr>
          <w:p w14:paraId="188FEE2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0,20</w:t>
            </w:r>
          </w:p>
        </w:tc>
        <w:tc>
          <w:tcPr>
            <w:tcW w:w="1049" w:type="dxa"/>
            <w:shd w:val="clear" w:color="auto" w:fill="auto"/>
            <w:noWrap/>
            <w:vAlign w:val="center"/>
            <w:hideMark/>
          </w:tcPr>
          <w:p w14:paraId="64B0706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32.736</w:t>
            </w:r>
          </w:p>
        </w:tc>
        <w:tc>
          <w:tcPr>
            <w:tcW w:w="1101" w:type="dxa"/>
            <w:shd w:val="clear" w:color="auto" w:fill="auto"/>
            <w:noWrap/>
            <w:vAlign w:val="center"/>
            <w:hideMark/>
          </w:tcPr>
          <w:p w14:paraId="5FD4697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0,70</w:t>
            </w:r>
          </w:p>
        </w:tc>
        <w:tc>
          <w:tcPr>
            <w:tcW w:w="1506" w:type="dxa"/>
            <w:shd w:val="clear" w:color="auto" w:fill="auto"/>
            <w:noWrap/>
            <w:vAlign w:val="center"/>
            <w:hideMark/>
          </w:tcPr>
          <w:p w14:paraId="72DF02D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114.577</w:t>
            </w:r>
          </w:p>
        </w:tc>
        <w:tc>
          <w:tcPr>
            <w:tcW w:w="1031" w:type="dxa"/>
            <w:shd w:val="clear" w:color="auto" w:fill="auto"/>
            <w:noWrap/>
            <w:vAlign w:val="center"/>
            <w:hideMark/>
          </w:tcPr>
          <w:p w14:paraId="707C378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92" w:type="dxa"/>
            <w:shd w:val="clear" w:color="auto" w:fill="auto"/>
            <w:noWrap/>
            <w:vAlign w:val="center"/>
            <w:hideMark/>
          </w:tcPr>
          <w:p w14:paraId="686A74E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16.368</w:t>
            </w:r>
          </w:p>
        </w:tc>
      </w:tr>
      <w:tr w:rsidR="00180ECE" w:rsidRPr="00747CFD" w14:paraId="04521CBE" w14:textId="77777777" w:rsidTr="000E10DF">
        <w:trPr>
          <w:trHeight w:val="225"/>
        </w:trPr>
        <w:tc>
          <w:tcPr>
            <w:tcW w:w="1975" w:type="dxa"/>
            <w:shd w:val="clear" w:color="auto" w:fill="auto"/>
            <w:noWrap/>
            <w:vAlign w:val="center"/>
            <w:hideMark/>
          </w:tcPr>
          <w:p w14:paraId="4F6F594C"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Biootpad</w:t>
            </w:r>
          </w:p>
        </w:tc>
        <w:tc>
          <w:tcPr>
            <w:tcW w:w="992" w:type="dxa"/>
            <w:shd w:val="clear" w:color="auto" w:fill="auto"/>
            <w:noWrap/>
            <w:vAlign w:val="center"/>
            <w:hideMark/>
          </w:tcPr>
          <w:p w14:paraId="7DC1A19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268.287</w:t>
            </w:r>
          </w:p>
        </w:tc>
        <w:tc>
          <w:tcPr>
            <w:tcW w:w="988" w:type="dxa"/>
            <w:shd w:val="clear" w:color="auto" w:fill="auto"/>
            <w:noWrap/>
            <w:vAlign w:val="center"/>
            <w:hideMark/>
          </w:tcPr>
          <w:p w14:paraId="0860BD54"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049" w:type="dxa"/>
            <w:shd w:val="clear" w:color="auto" w:fill="auto"/>
            <w:noWrap/>
            <w:vAlign w:val="center"/>
            <w:hideMark/>
          </w:tcPr>
          <w:p w14:paraId="024BFE1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01" w:type="dxa"/>
            <w:shd w:val="clear" w:color="auto" w:fill="auto"/>
            <w:noWrap/>
            <w:vAlign w:val="center"/>
            <w:hideMark/>
          </w:tcPr>
          <w:p w14:paraId="385F38C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0,20</w:t>
            </w:r>
          </w:p>
        </w:tc>
        <w:tc>
          <w:tcPr>
            <w:tcW w:w="1506" w:type="dxa"/>
            <w:shd w:val="clear" w:color="auto" w:fill="auto"/>
            <w:noWrap/>
            <w:vAlign w:val="center"/>
            <w:hideMark/>
          </w:tcPr>
          <w:p w14:paraId="3813142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53.657</w:t>
            </w:r>
          </w:p>
        </w:tc>
        <w:tc>
          <w:tcPr>
            <w:tcW w:w="1031" w:type="dxa"/>
            <w:shd w:val="clear" w:color="auto" w:fill="auto"/>
            <w:noWrap/>
            <w:vAlign w:val="center"/>
            <w:hideMark/>
          </w:tcPr>
          <w:p w14:paraId="4EF7DF9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0,80</w:t>
            </w:r>
          </w:p>
        </w:tc>
        <w:tc>
          <w:tcPr>
            <w:tcW w:w="992" w:type="dxa"/>
            <w:shd w:val="clear" w:color="auto" w:fill="auto"/>
            <w:noWrap/>
            <w:vAlign w:val="center"/>
            <w:hideMark/>
          </w:tcPr>
          <w:p w14:paraId="1648DCF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107.315</w:t>
            </w:r>
          </w:p>
        </w:tc>
      </w:tr>
      <w:tr w:rsidR="00180ECE" w:rsidRPr="00747CFD" w14:paraId="333698C8" w14:textId="77777777" w:rsidTr="000E10DF">
        <w:trPr>
          <w:trHeight w:val="225"/>
        </w:trPr>
        <w:tc>
          <w:tcPr>
            <w:tcW w:w="1975" w:type="dxa"/>
            <w:shd w:val="clear" w:color="auto" w:fill="auto"/>
            <w:noWrap/>
            <w:vAlign w:val="center"/>
            <w:hideMark/>
          </w:tcPr>
          <w:p w14:paraId="5D256828"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Glomazni otpad</w:t>
            </w:r>
          </w:p>
        </w:tc>
        <w:tc>
          <w:tcPr>
            <w:tcW w:w="992" w:type="dxa"/>
            <w:shd w:val="clear" w:color="auto" w:fill="auto"/>
            <w:noWrap/>
            <w:vAlign w:val="center"/>
            <w:hideMark/>
          </w:tcPr>
          <w:p w14:paraId="7F19BD24"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23.472</w:t>
            </w:r>
          </w:p>
        </w:tc>
        <w:tc>
          <w:tcPr>
            <w:tcW w:w="988" w:type="dxa"/>
            <w:shd w:val="clear" w:color="auto" w:fill="auto"/>
            <w:noWrap/>
            <w:vAlign w:val="center"/>
            <w:hideMark/>
          </w:tcPr>
          <w:p w14:paraId="1979FC8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049" w:type="dxa"/>
            <w:shd w:val="clear" w:color="auto" w:fill="auto"/>
            <w:noWrap/>
            <w:vAlign w:val="center"/>
            <w:hideMark/>
          </w:tcPr>
          <w:p w14:paraId="77D970A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01" w:type="dxa"/>
            <w:shd w:val="clear" w:color="auto" w:fill="auto"/>
            <w:noWrap/>
            <w:vAlign w:val="center"/>
            <w:hideMark/>
          </w:tcPr>
          <w:p w14:paraId="6BC2A30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506" w:type="dxa"/>
            <w:shd w:val="clear" w:color="auto" w:fill="auto"/>
            <w:noWrap/>
            <w:vAlign w:val="center"/>
            <w:hideMark/>
          </w:tcPr>
          <w:p w14:paraId="24F656E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31" w:type="dxa"/>
            <w:shd w:val="clear" w:color="auto" w:fill="auto"/>
            <w:noWrap/>
            <w:vAlign w:val="center"/>
            <w:hideMark/>
          </w:tcPr>
          <w:p w14:paraId="196FED4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992" w:type="dxa"/>
            <w:shd w:val="clear" w:color="auto" w:fill="auto"/>
            <w:noWrap/>
            <w:vAlign w:val="center"/>
            <w:hideMark/>
          </w:tcPr>
          <w:p w14:paraId="75ED7F3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r>
      <w:tr w:rsidR="00180ECE" w:rsidRPr="00747CFD" w14:paraId="08143F55" w14:textId="77777777" w:rsidTr="000E10DF">
        <w:trPr>
          <w:trHeight w:val="225"/>
        </w:trPr>
        <w:tc>
          <w:tcPr>
            <w:tcW w:w="1975" w:type="dxa"/>
            <w:shd w:val="clear" w:color="auto" w:fill="auto"/>
            <w:noWrap/>
            <w:vAlign w:val="center"/>
            <w:hideMark/>
          </w:tcPr>
          <w:p w14:paraId="508FF9DC"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Električni i elektronički</w:t>
            </w:r>
          </w:p>
        </w:tc>
        <w:tc>
          <w:tcPr>
            <w:tcW w:w="992" w:type="dxa"/>
            <w:shd w:val="clear" w:color="auto" w:fill="auto"/>
            <w:noWrap/>
            <w:vAlign w:val="center"/>
            <w:hideMark/>
          </w:tcPr>
          <w:p w14:paraId="3E71588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17.831</w:t>
            </w:r>
          </w:p>
        </w:tc>
        <w:tc>
          <w:tcPr>
            <w:tcW w:w="988" w:type="dxa"/>
            <w:shd w:val="clear" w:color="auto" w:fill="auto"/>
            <w:noWrap/>
            <w:vAlign w:val="center"/>
            <w:hideMark/>
          </w:tcPr>
          <w:p w14:paraId="1D5DB9DD"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0,80</w:t>
            </w:r>
          </w:p>
        </w:tc>
        <w:tc>
          <w:tcPr>
            <w:tcW w:w="1049" w:type="dxa"/>
            <w:shd w:val="clear" w:color="auto" w:fill="auto"/>
            <w:noWrap/>
            <w:vAlign w:val="center"/>
            <w:hideMark/>
          </w:tcPr>
          <w:p w14:paraId="2FB01B1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14.265</w:t>
            </w:r>
          </w:p>
        </w:tc>
        <w:tc>
          <w:tcPr>
            <w:tcW w:w="1101" w:type="dxa"/>
            <w:shd w:val="clear" w:color="auto" w:fill="auto"/>
            <w:noWrap/>
            <w:vAlign w:val="center"/>
            <w:hideMark/>
          </w:tcPr>
          <w:p w14:paraId="120B357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506" w:type="dxa"/>
            <w:shd w:val="clear" w:color="auto" w:fill="auto"/>
            <w:noWrap/>
            <w:vAlign w:val="center"/>
            <w:hideMark/>
          </w:tcPr>
          <w:p w14:paraId="530EEB5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31" w:type="dxa"/>
            <w:shd w:val="clear" w:color="auto" w:fill="auto"/>
            <w:noWrap/>
            <w:vAlign w:val="center"/>
            <w:hideMark/>
          </w:tcPr>
          <w:p w14:paraId="7E679C5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0,20</w:t>
            </w:r>
          </w:p>
        </w:tc>
        <w:tc>
          <w:tcPr>
            <w:tcW w:w="992" w:type="dxa"/>
            <w:shd w:val="clear" w:color="auto" w:fill="auto"/>
            <w:noWrap/>
            <w:vAlign w:val="center"/>
            <w:hideMark/>
          </w:tcPr>
          <w:p w14:paraId="67E645E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3.566</w:t>
            </w:r>
          </w:p>
        </w:tc>
      </w:tr>
      <w:tr w:rsidR="00180ECE" w:rsidRPr="00747CFD" w14:paraId="1E09F365" w14:textId="77777777" w:rsidTr="000E10DF">
        <w:trPr>
          <w:trHeight w:val="240"/>
        </w:trPr>
        <w:tc>
          <w:tcPr>
            <w:tcW w:w="1975" w:type="dxa"/>
            <w:shd w:val="clear" w:color="auto" w:fill="auto"/>
            <w:noWrap/>
            <w:vAlign w:val="center"/>
            <w:hideMark/>
          </w:tcPr>
          <w:p w14:paraId="0BCE4AE4"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Ostali otpad</w:t>
            </w:r>
          </w:p>
        </w:tc>
        <w:tc>
          <w:tcPr>
            <w:tcW w:w="992" w:type="dxa"/>
            <w:shd w:val="clear" w:color="auto" w:fill="auto"/>
            <w:noWrap/>
            <w:vAlign w:val="center"/>
            <w:hideMark/>
          </w:tcPr>
          <w:p w14:paraId="041BCA5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133.795</w:t>
            </w:r>
          </w:p>
        </w:tc>
        <w:tc>
          <w:tcPr>
            <w:tcW w:w="988" w:type="dxa"/>
            <w:shd w:val="clear" w:color="auto" w:fill="auto"/>
            <w:noWrap/>
            <w:vAlign w:val="center"/>
            <w:hideMark/>
          </w:tcPr>
          <w:p w14:paraId="392E70A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49" w:type="dxa"/>
            <w:shd w:val="clear" w:color="auto" w:fill="auto"/>
            <w:noWrap/>
            <w:vAlign w:val="center"/>
            <w:hideMark/>
          </w:tcPr>
          <w:p w14:paraId="45A58D77"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01" w:type="dxa"/>
            <w:shd w:val="clear" w:color="auto" w:fill="auto"/>
            <w:noWrap/>
            <w:vAlign w:val="center"/>
            <w:hideMark/>
          </w:tcPr>
          <w:p w14:paraId="7B30E84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0,30</w:t>
            </w:r>
          </w:p>
        </w:tc>
        <w:tc>
          <w:tcPr>
            <w:tcW w:w="1506" w:type="dxa"/>
            <w:shd w:val="clear" w:color="auto" w:fill="auto"/>
            <w:noWrap/>
            <w:vAlign w:val="center"/>
            <w:hideMark/>
          </w:tcPr>
          <w:p w14:paraId="1E4C6BD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40.139</w:t>
            </w:r>
          </w:p>
        </w:tc>
        <w:tc>
          <w:tcPr>
            <w:tcW w:w="1031" w:type="dxa"/>
            <w:shd w:val="clear" w:color="auto" w:fill="auto"/>
            <w:noWrap/>
            <w:vAlign w:val="center"/>
            <w:hideMark/>
          </w:tcPr>
          <w:p w14:paraId="74D14AC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0,70</w:t>
            </w:r>
          </w:p>
        </w:tc>
        <w:tc>
          <w:tcPr>
            <w:tcW w:w="992" w:type="dxa"/>
            <w:shd w:val="clear" w:color="auto" w:fill="auto"/>
            <w:noWrap/>
            <w:vAlign w:val="center"/>
            <w:hideMark/>
          </w:tcPr>
          <w:p w14:paraId="1C2DA46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93.657</w:t>
            </w:r>
          </w:p>
        </w:tc>
      </w:tr>
      <w:tr w:rsidR="00180ECE" w:rsidRPr="00747CFD" w14:paraId="41A9EF61" w14:textId="77777777" w:rsidTr="000E10DF">
        <w:trPr>
          <w:trHeight w:val="315"/>
        </w:trPr>
        <w:tc>
          <w:tcPr>
            <w:tcW w:w="2967" w:type="dxa"/>
            <w:gridSpan w:val="2"/>
            <w:shd w:val="clear" w:color="auto" w:fill="E7E6E6" w:themeFill="background2"/>
            <w:noWrap/>
            <w:vAlign w:val="center"/>
            <w:hideMark/>
          </w:tcPr>
          <w:p w14:paraId="7ECB1E9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Ukupna količina (t/god)</w:t>
            </w:r>
          </w:p>
        </w:tc>
        <w:tc>
          <w:tcPr>
            <w:tcW w:w="988" w:type="dxa"/>
            <w:shd w:val="clear" w:color="auto" w:fill="E7E6E6" w:themeFill="background2"/>
            <w:noWrap/>
            <w:vAlign w:val="center"/>
            <w:hideMark/>
          </w:tcPr>
          <w:p w14:paraId="516169D6"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49" w:type="dxa"/>
            <w:shd w:val="clear" w:color="auto" w:fill="E7E6E6" w:themeFill="background2"/>
            <w:noWrap/>
            <w:vAlign w:val="center"/>
            <w:hideMark/>
          </w:tcPr>
          <w:p w14:paraId="21260EA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130.985</w:t>
            </w:r>
          </w:p>
        </w:tc>
        <w:tc>
          <w:tcPr>
            <w:tcW w:w="1101" w:type="dxa"/>
            <w:shd w:val="clear" w:color="auto" w:fill="E7E6E6" w:themeFill="background2"/>
            <w:noWrap/>
            <w:vAlign w:val="center"/>
            <w:hideMark/>
          </w:tcPr>
          <w:p w14:paraId="4C0C392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506" w:type="dxa"/>
            <w:shd w:val="clear" w:color="auto" w:fill="E7E6E6" w:themeFill="background2"/>
            <w:noWrap/>
            <w:vAlign w:val="center"/>
            <w:hideMark/>
          </w:tcPr>
          <w:p w14:paraId="0BF9D1B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381.329</w:t>
            </w:r>
          </w:p>
        </w:tc>
        <w:tc>
          <w:tcPr>
            <w:tcW w:w="1031" w:type="dxa"/>
            <w:shd w:val="clear" w:color="auto" w:fill="E7E6E6" w:themeFill="background2"/>
            <w:noWrap/>
            <w:vAlign w:val="center"/>
            <w:hideMark/>
          </w:tcPr>
          <w:p w14:paraId="09EED13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E7E6E6" w:themeFill="background2"/>
            <w:noWrap/>
            <w:vAlign w:val="center"/>
            <w:hideMark/>
          </w:tcPr>
          <w:p w14:paraId="29DDEBC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249.455</w:t>
            </w:r>
          </w:p>
        </w:tc>
      </w:tr>
      <w:tr w:rsidR="00180ECE" w:rsidRPr="00747CFD" w14:paraId="229DD02C" w14:textId="77777777" w:rsidTr="000E10DF">
        <w:trPr>
          <w:trHeight w:val="315"/>
        </w:trPr>
        <w:tc>
          <w:tcPr>
            <w:tcW w:w="2967" w:type="dxa"/>
            <w:gridSpan w:val="2"/>
            <w:shd w:val="clear" w:color="auto" w:fill="E7E6E6" w:themeFill="background2"/>
            <w:noWrap/>
            <w:vAlign w:val="center"/>
            <w:hideMark/>
          </w:tcPr>
          <w:p w14:paraId="2F5132C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Udio u ulazu u CGO</w:t>
            </w:r>
          </w:p>
        </w:tc>
        <w:tc>
          <w:tcPr>
            <w:tcW w:w="988" w:type="dxa"/>
            <w:shd w:val="clear" w:color="auto" w:fill="E7E6E6" w:themeFill="background2"/>
            <w:noWrap/>
            <w:vAlign w:val="center"/>
            <w:hideMark/>
          </w:tcPr>
          <w:p w14:paraId="5915F4A0"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49" w:type="dxa"/>
            <w:shd w:val="clear" w:color="auto" w:fill="E7E6E6" w:themeFill="background2"/>
            <w:noWrap/>
            <w:vAlign w:val="center"/>
            <w:hideMark/>
          </w:tcPr>
          <w:p w14:paraId="3A56936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w:t>
            </w:r>
          </w:p>
        </w:tc>
        <w:tc>
          <w:tcPr>
            <w:tcW w:w="1101" w:type="dxa"/>
            <w:shd w:val="clear" w:color="auto" w:fill="E7E6E6" w:themeFill="background2"/>
            <w:noWrap/>
            <w:vAlign w:val="center"/>
            <w:hideMark/>
          </w:tcPr>
          <w:p w14:paraId="2661211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506" w:type="dxa"/>
            <w:shd w:val="clear" w:color="auto" w:fill="E7E6E6" w:themeFill="background2"/>
            <w:noWrap/>
            <w:vAlign w:val="center"/>
            <w:hideMark/>
          </w:tcPr>
          <w:p w14:paraId="773E7CC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43%</w:t>
            </w:r>
          </w:p>
        </w:tc>
        <w:tc>
          <w:tcPr>
            <w:tcW w:w="1031" w:type="dxa"/>
            <w:shd w:val="clear" w:color="auto" w:fill="E7E6E6" w:themeFill="background2"/>
            <w:noWrap/>
            <w:vAlign w:val="center"/>
            <w:hideMark/>
          </w:tcPr>
          <w:p w14:paraId="334635A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E7E6E6" w:themeFill="background2"/>
            <w:noWrap/>
            <w:vAlign w:val="center"/>
            <w:hideMark/>
          </w:tcPr>
          <w:p w14:paraId="2784898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28%</w:t>
            </w:r>
          </w:p>
        </w:tc>
      </w:tr>
    </w:tbl>
    <w:p w14:paraId="0DD28548" w14:textId="33B825A1" w:rsidR="00BD4C4B" w:rsidRDefault="00BD4C4B" w:rsidP="00596ABF"/>
    <w:p w14:paraId="053B1708" w14:textId="1973EC7D" w:rsidR="009F75D6" w:rsidRPr="004B4A81" w:rsidRDefault="009F75D6" w:rsidP="009F75D6">
      <w:r w:rsidRPr="004B4A81">
        <w:t xml:space="preserve">Procijenjene količine i sastav </w:t>
      </w:r>
      <w:proofErr w:type="spellStart"/>
      <w:r w:rsidRPr="004B4A81">
        <w:t>mKO</w:t>
      </w:r>
      <w:proofErr w:type="spellEnd"/>
      <w:r w:rsidRPr="004B4A81">
        <w:t xml:space="preserve">-a u ključnim godinama za Scenarij </w:t>
      </w:r>
      <w:r>
        <w:t>2</w:t>
      </w:r>
      <w:r w:rsidRPr="004B4A81">
        <w:t xml:space="preserve"> prikazuje </w:t>
      </w:r>
      <w:r>
        <w:rPr>
          <w:highlight w:val="yellow"/>
        </w:rPr>
        <w:fldChar w:fldCharType="begin"/>
      </w:r>
      <w:r>
        <w:instrText xml:space="preserve"> REF _Ref116285729 \h </w:instrText>
      </w:r>
      <w:r>
        <w:rPr>
          <w:highlight w:val="yellow"/>
        </w:rPr>
      </w:r>
      <w:r>
        <w:rPr>
          <w:highlight w:val="yellow"/>
        </w:rPr>
        <w:fldChar w:fldCharType="separate"/>
      </w:r>
      <w:r w:rsidR="00F37B62">
        <w:t xml:space="preserve">Tablica </w:t>
      </w:r>
      <w:r w:rsidR="00F37B62">
        <w:rPr>
          <w:noProof/>
        </w:rPr>
        <w:t>41</w:t>
      </w:r>
      <w:r>
        <w:rPr>
          <w:highlight w:val="yellow"/>
        </w:rPr>
        <w:fldChar w:fldCharType="end"/>
      </w:r>
      <w:r w:rsidRPr="004B4A81">
        <w:t>.</w:t>
      </w:r>
    </w:p>
    <w:p w14:paraId="1DB4EF4C" w14:textId="18749FF3" w:rsidR="009F75D6" w:rsidRDefault="009F75D6" w:rsidP="009F75D6">
      <w:pPr>
        <w:pStyle w:val="Tablica"/>
      </w:pPr>
      <w:bookmarkStart w:id="255" w:name="_Ref116285729"/>
      <w:bookmarkStart w:id="256" w:name="_Toc125364430"/>
      <w:r>
        <w:t xml:space="preserve">Tablica </w:t>
      </w:r>
      <w:fldSimple w:instr=" SEQ Tablica \* ARABIC ">
        <w:r w:rsidR="00F37B62">
          <w:rPr>
            <w:noProof/>
          </w:rPr>
          <w:t>41</w:t>
        </w:r>
      </w:fldSimple>
      <w:bookmarkEnd w:id="255"/>
      <w:r>
        <w:t xml:space="preserve">. </w:t>
      </w:r>
      <w:r w:rsidRPr="004B4A81">
        <w:rPr>
          <w:b w:val="0"/>
          <w:bCs/>
        </w:rPr>
        <w:t xml:space="preserve">Projekcija kretanja količine i sastava </w:t>
      </w:r>
      <w:proofErr w:type="spellStart"/>
      <w:r w:rsidRPr="004B4A81">
        <w:rPr>
          <w:b w:val="0"/>
          <w:bCs/>
        </w:rPr>
        <w:t>mKO</w:t>
      </w:r>
      <w:proofErr w:type="spellEnd"/>
      <w:r w:rsidRPr="004B4A81">
        <w:rPr>
          <w:b w:val="0"/>
          <w:bCs/>
        </w:rPr>
        <w:t xml:space="preserve"> koji je potrebno </w:t>
      </w:r>
      <w:proofErr w:type="spellStart"/>
      <w:r w:rsidRPr="004B4A81">
        <w:rPr>
          <w:b w:val="0"/>
          <w:bCs/>
        </w:rPr>
        <w:t>oporabiti</w:t>
      </w:r>
      <w:proofErr w:type="spellEnd"/>
      <w:r w:rsidRPr="004B4A81">
        <w:rPr>
          <w:b w:val="0"/>
          <w:bCs/>
        </w:rPr>
        <w:t xml:space="preserve"> i zbrinuti u ključnim godinama</w:t>
      </w:r>
      <w:r>
        <w:rPr>
          <w:b w:val="0"/>
          <w:bCs/>
        </w:rPr>
        <w:t xml:space="preserve"> – SCENARIJ 2</w:t>
      </w:r>
      <w:bookmarkEnd w:id="256"/>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865"/>
        <w:gridCol w:w="695"/>
        <w:gridCol w:w="865"/>
        <w:gridCol w:w="695"/>
        <w:gridCol w:w="865"/>
        <w:gridCol w:w="695"/>
        <w:gridCol w:w="865"/>
        <w:gridCol w:w="695"/>
        <w:gridCol w:w="865"/>
        <w:gridCol w:w="695"/>
      </w:tblGrid>
      <w:tr w:rsidR="00E8509A" w:rsidRPr="00E8509A" w14:paraId="2F776201" w14:textId="77777777" w:rsidTr="00E8509A">
        <w:trPr>
          <w:trHeight w:val="405"/>
        </w:trPr>
        <w:tc>
          <w:tcPr>
            <w:tcW w:w="1273" w:type="dxa"/>
            <w:shd w:val="clear" w:color="auto" w:fill="002060"/>
            <w:noWrap/>
            <w:vAlign w:val="center"/>
            <w:hideMark/>
          </w:tcPr>
          <w:p w14:paraId="414CEDE8" w14:textId="77777777" w:rsidR="009F75D6" w:rsidRPr="00E8509A"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E8509A">
              <w:rPr>
                <w:rFonts w:ascii="Calibri" w:eastAsia="Times New Roman" w:hAnsi="Calibri" w:cs="Calibri"/>
                <w:b/>
                <w:bCs/>
                <w:color w:val="FFFFFF" w:themeColor="background1"/>
                <w:sz w:val="16"/>
                <w:szCs w:val="16"/>
                <w:lang w:eastAsia="hr-HR"/>
              </w:rPr>
              <w:t>Godina</w:t>
            </w:r>
          </w:p>
        </w:tc>
        <w:tc>
          <w:tcPr>
            <w:tcW w:w="865" w:type="dxa"/>
            <w:shd w:val="clear" w:color="auto" w:fill="002060"/>
            <w:noWrap/>
            <w:vAlign w:val="center"/>
            <w:hideMark/>
          </w:tcPr>
          <w:p w14:paraId="3F4FB912" w14:textId="77777777" w:rsidR="009F75D6" w:rsidRPr="00E8509A"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E8509A">
              <w:rPr>
                <w:rFonts w:ascii="Calibri" w:eastAsia="Times New Roman" w:hAnsi="Calibri" w:cs="Calibri"/>
                <w:b/>
                <w:bCs/>
                <w:color w:val="FFFFFF" w:themeColor="background1"/>
                <w:sz w:val="16"/>
                <w:szCs w:val="16"/>
                <w:lang w:eastAsia="hr-HR"/>
              </w:rPr>
              <w:t>2020.</w:t>
            </w:r>
          </w:p>
        </w:tc>
        <w:tc>
          <w:tcPr>
            <w:tcW w:w="695" w:type="dxa"/>
            <w:shd w:val="clear" w:color="auto" w:fill="002060"/>
            <w:vAlign w:val="center"/>
            <w:hideMark/>
          </w:tcPr>
          <w:p w14:paraId="707BAE92" w14:textId="77777777" w:rsidR="009F75D6" w:rsidRPr="00E8509A"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E8509A">
              <w:rPr>
                <w:rFonts w:ascii="Calibri" w:eastAsia="Times New Roman" w:hAnsi="Calibri" w:cs="Calibri"/>
                <w:b/>
                <w:bCs/>
                <w:color w:val="FFFFFF" w:themeColor="background1"/>
                <w:sz w:val="16"/>
                <w:szCs w:val="16"/>
                <w:lang w:eastAsia="hr-HR"/>
              </w:rPr>
              <w:t xml:space="preserve">Udio u </w:t>
            </w:r>
            <w:proofErr w:type="spellStart"/>
            <w:r w:rsidRPr="00E8509A">
              <w:rPr>
                <w:rFonts w:ascii="Calibri" w:eastAsia="Times New Roman" w:hAnsi="Calibri" w:cs="Calibri"/>
                <w:b/>
                <w:bCs/>
                <w:color w:val="FFFFFF" w:themeColor="background1"/>
                <w:sz w:val="16"/>
                <w:szCs w:val="16"/>
                <w:lang w:eastAsia="hr-HR"/>
              </w:rPr>
              <w:t>mKO</w:t>
            </w:r>
            <w:proofErr w:type="spellEnd"/>
          </w:p>
        </w:tc>
        <w:tc>
          <w:tcPr>
            <w:tcW w:w="865" w:type="dxa"/>
            <w:shd w:val="clear" w:color="auto" w:fill="002060"/>
            <w:noWrap/>
            <w:vAlign w:val="center"/>
            <w:hideMark/>
          </w:tcPr>
          <w:p w14:paraId="53E4F85F" w14:textId="77777777" w:rsidR="009F75D6" w:rsidRPr="00E8509A"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E8509A">
              <w:rPr>
                <w:rFonts w:ascii="Calibri" w:eastAsia="Times New Roman" w:hAnsi="Calibri" w:cs="Calibri"/>
                <w:b/>
                <w:bCs/>
                <w:color w:val="FFFFFF" w:themeColor="background1"/>
                <w:sz w:val="16"/>
                <w:szCs w:val="16"/>
                <w:lang w:eastAsia="hr-HR"/>
              </w:rPr>
              <w:t>2025.</w:t>
            </w:r>
          </w:p>
        </w:tc>
        <w:tc>
          <w:tcPr>
            <w:tcW w:w="695" w:type="dxa"/>
            <w:shd w:val="clear" w:color="auto" w:fill="002060"/>
            <w:vAlign w:val="center"/>
            <w:hideMark/>
          </w:tcPr>
          <w:p w14:paraId="12192C8E" w14:textId="77777777" w:rsidR="009F75D6" w:rsidRPr="00E8509A"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E8509A">
              <w:rPr>
                <w:rFonts w:ascii="Calibri" w:eastAsia="Times New Roman" w:hAnsi="Calibri" w:cs="Calibri"/>
                <w:b/>
                <w:bCs/>
                <w:color w:val="FFFFFF" w:themeColor="background1"/>
                <w:sz w:val="16"/>
                <w:szCs w:val="16"/>
                <w:lang w:eastAsia="hr-HR"/>
              </w:rPr>
              <w:t xml:space="preserve">Udio u </w:t>
            </w:r>
            <w:proofErr w:type="spellStart"/>
            <w:r w:rsidRPr="00E8509A">
              <w:rPr>
                <w:rFonts w:ascii="Calibri" w:eastAsia="Times New Roman" w:hAnsi="Calibri" w:cs="Calibri"/>
                <w:b/>
                <w:bCs/>
                <w:color w:val="FFFFFF" w:themeColor="background1"/>
                <w:sz w:val="16"/>
                <w:szCs w:val="16"/>
                <w:lang w:eastAsia="hr-HR"/>
              </w:rPr>
              <w:t>mKO</w:t>
            </w:r>
            <w:proofErr w:type="spellEnd"/>
          </w:p>
        </w:tc>
        <w:tc>
          <w:tcPr>
            <w:tcW w:w="865" w:type="dxa"/>
            <w:shd w:val="clear" w:color="auto" w:fill="002060"/>
            <w:noWrap/>
            <w:vAlign w:val="center"/>
            <w:hideMark/>
          </w:tcPr>
          <w:p w14:paraId="6ACF0778" w14:textId="77777777" w:rsidR="009F75D6" w:rsidRPr="00E8509A"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E8509A">
              <w:rPr>
                <w:rFonts w:ascii="Calibri" w:eastAsia="Times New Roman" w:hAnsi="Calibri" w:cs="Calibri"/>
                <w:b/>
                <w:bCs/>
                <w:color w:val="FFFFFF" w:themeColor="background1"/>
                <w:sz w:val="16"/>
                <w:szCs w:val="16"/>
                <w:lang w:eastAsia="hr-HR"/>
              </w:rPr>
              <w:t>2028.</w:t>
            </w:r>
          </w:p>
        </w:tc>
        <w:tc>
          <w:tcPr>
            <w:tcW w:w="695" w:type="dxa"/>
            <w:shd w:val="clear" w:color="auto" w:fill="002060"/>
            <w:vAlign w:val="center"/>
            <w:hideMark/>
          </w:tcPr>
          <w:p w14:paraId="235E762A" w14:textId="77777777" w:rsidR="009F75D6" w:rsidRPr="00E8509A"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E8509A">
              <w:rPr>
                <w:rFonts w:ascii="Calibri" w:eastAsia="Times New Roman" w:hAnsi="Calibri" w:cs="Calibri"/>
                <w:b/>
                <w:bCs/>
                <w:color w:val="FFFFFF" w:themeColor="background1"/>
                <w:sz w:val="16"/>
                <w:szCs w:val="16"/>
                <w:lang w:eastAsia="hr-HR"/>
              </w:rPr>
              <w:t xml:space="preserve">Udio u </w:t>
            </w:r>
            <w:proofErr w:type="spellStart"/>
            <w:r w:rsidRPr="00E8509A">
              <w:rPr>
                <w:rFonts w:ascii="Calibri" w:eastAsia="Times New Roman" w:hAnsi="Calibri" w:cs="Calibri"/>
                <w:b/>
                <w:bCs/>
                <w:color w:val="FFFFFF" w:themeColor="background1"/>
                <w:sz w:val="16"/>
                <w:szCs w:val="16"/>
                <w:lang w:eastAsia="hr-HR"/>
              </w:rPr>
              <w:t>mKO</w:t>
            </w:r>
            <w:proofErr w:type="spellEnd"/>
          </w:p>
        </w:tc>
        <w:tc>
          <w:tcPr>
            <w:tcW w:w="865" w:type="dxa"/>
            <w:shd w:val="clear" w:color="auto" w:fill="002060"/>
            <w:noWrap/>
            <w:vAlign w:val="center"/>
            <w:hideMark/>
          </w:tcPr>
          <w:p w14:paraId="79E7EE90" w14:textId="77777777" w:rsidR="009F75D6" w:rsidRPr="00E8509A"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E8509A">
              <w:rPr>
                <w:rFonts w:ascii="Calibri" w:eastAsia="Times New Roman" w:hAnsi="Calibri" w:cs="Calibri"/>
                <w:b/>
                <w:bCs/>
                <w:color w:val="FFFFFF" w:themeColor="background1"/>
                <w:sz w:val="16"/>
                <w:szCs w:val="16"/>
                <w:lang w:eastAsia="hr-HR"/>
              </w:rPr>
              <w:t>2030.</w:t>
            </w:r>
          </w:p>
        </w:tc>
        <w:tc>
          <w:tcPr>
            <w:tcW w:w="695" w:type="dxa"/>
            <w:shd w:val="clear" w:color="auto" w:fill="002060"/>
            <w:vAlign w:val="center"/>
            <w:hideMark/>
          </w:tcPr>
          <w:p w14:paraId="51B80B30" w14:textId="77777777" w:rsidR="009F75D6" w:rsidRPr="00E8509A"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E8509A">
              <w:rPr>
                <w:rFonts w:ascii="Calibri" w:eastAsia="Times New Roman" w:hAnsi="Calibri" w:cs="Calibri"/>
                <w:b/>
                <w:bCs/>
                <w:color w:val="FFFFFF" w:themeColor="background1"/>
                <w:sz w:val="16"/>
                <w:szCs w:val="16"/>
                <w:lang w:eastAsia="hr-HR"/>
              </w:rPr>
              <w:t xml:space="preserve">Udio u </w:t>
            </w:r>
            <w:proofErr w:type="spellStart"/>
            <w:r w:rsidRPr="00E8509A">
              <w:rPr>
                <w:rFonts w:ascii="Calibri" w:eastAsia="Times New Roman" w:hAnsi="Calibri" w:cs="Calibri"/>
                <w:b/>
                <w:bCs/>
                <w:color w:val="FFFFFF" w:themeColor="background1"/>
                <w:sz w:val="16"/>
                <w:szCs w:val="16"/>
                <w:lang w:eastAsia="hr-HR"/>
              </w:rPr>
              <w:t>mKO</w:t>
            </w:r>
            <w:proofErr w:type="spellEnd"/>
          </w:p>
        </w:tc>
        <w:tc>
          <w:tcPr>
            <w:tcW w:w="865" w:type="dxa"/>
            <w:shd w:val="clear" w:color="auto" w:fill="002060"/>
            <w:noWrap/>
            <w:vAlign w:val="center"/>
            <w:hideMark/>
          </w:tcPr>
          <w:p w14:paraId="1C921A77" w14:textId="77777777" w:rsidR="009F75D6" w:rsidRPr="00E8509A"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E8509A">
              <w:rPr>
                <w:rFonts w:ascii="Calibri" w:eastAsia="Times New Roman" w:hAnsi="Calibri" w:cs="Calibri"/>
                <w:b/>
                <w:bCs/>
                <w:color w:val="FFFFFF" w:themeColor="background1"/>
                <w:sz w:val="16"/>
                <w:szCs w:val="16"/>
                <w:lang w:eastAsia="hr-HR"/>
              </w:rPr>
              <w:t>2035.</w:t>
            </w:r>
          </w:p>
        </w:tc>
        <w:tc>
          <w:tcPr>
            <w:tcW w:w="695" w:type="dxa"/>
            <w:shd w:val="clear" w:color="auto" w:fill="002060"/>
            <w:vAlign w:val="center"/>
            <w:hideMark/>
          </w:tcPr>
          <w:p w14:paraId="2C0DFB88" w14:textId="77777777" w:rsidR="009F75D6" w:rsidRPr="00E8509A"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E8509A">
              <w:rPr>
                <w:rFonts w:ascii="Calibri" w:eastAsia="Times New Roman" w:hAnsi="Calibri" w:cs="Calibri"/>
                <w:b/>
                <w:bCs/>
                <w:color w:val="FFFFFF" w:themeColor="background1"/>
                <w:sz w:val="16"/>
                <w:szCs w:val="16"/>
                <w:lang w:eastAsia="hr-HR"/>
              </w:rPr>
              <w:t xml:space="preserve">Udio u </w:t>
            </w:r>
            <w:proofErr w:type="spellStart"/>
            <w:r w:rsidRPr="00E8509A">
              <w:rPr>
                <w:rFonts w:ascii="Calibri" w:eastAsia="Times New Roman" w:hAnsi="Calibri" w:cs="Calibri"/>
                <w:b/>
                <w:bCs/>
                <w:color w:val="FFFFFF" w:themeColor="background1"/>
                <w:sz w:val="16"/>
                <w:szCs w:val="16"/>
                <w:lang w:eastAsia="hr-HR"/>
              </w:rPr>
              <w:t>mKO</w:t>
            </w:r>
            <w:proofErr w:type="spellEnd"/>
          </w:p>
        </w:tc>
      </w:tr>
      <w:tr w:rsidR="009F75D6" w:rsidRPr="009F75D6" w14:paraId="058B869C" w14:textId="77777777" w:rsidTr="00E8509A">
        <w:trPr>
          <w:trHeight w:val="300"/>
        </w:trPr>
        <w:tc>
          <w:tcPr>
            <w:tcW w:w="1273" w:type="dxa"/>
            <w:shd w:val="clear" w:color="auto" w:fill="auto"/>
            <w:noWrap/>
            <w:vAlign w:val="center"/>
            <w:hideMark/>
          </w:tcPr>
          <w:p w14:paraId="11F792CA" w14:textId="77777777" w:rsidR="009F75D6" w:rsidRPr="009F75D6" w:rsidRDefault="009F75D6" w:rsidP="009F75D6">
            <w:pPr>
              <w:spacing w:after="0" w:line="240" w:lineRule="auto"/>
              <w:jc w:val="left"/>
              <w:rPr>
                <w:rFonts w:ascii="Calibri" w:eastAsia="Times New Roman" w:hAnsi="Calibri" w:cs="Calibri"/>
                <w:color w:val="000000"/>
                <w:sz w:val="16"/>
                <w:szCs w:val="16"/>
                <w:lang w:eastAsia="hr-HR"/>
              </w:rPr>
            </w:pPr>
            <w:r w:rsidRPr="009F75D6">
              <w:rPr>
                <w:rFonts w:ascii="Calibri" w:eastAsia="Times New Roman" w:hAnsi="Calibri" w:cs="Calibri"/>
                <w:color w:val="000000"/>
                <w:sz w:val="16"/>
                <w:szCs w:val="16"/>
                <w:lang w:eastAsia="hr-HR"/>
              </w:rPr>
              <w:t>Količina (t)</w:t>
            </w:r>
          </w:p>
        </w:tc>
        <w:tc>
          <w:tcPr>
            <w:tcW w:w="865" w:type="dxa"/>
            <w:shd w:val="clear" w:color="auto" w:fill="auto"/>
            <w:noWrap/>
            <w:vAlign w:val="center"/>
            <w:hideMark/>
          </w:tcPr>
          <w:p w14:paraId="61C6FB5D" w14:textId="5E73B3BA"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1.692.966</w:t>
            </w:r>
          </w:p>
        </w:tc>
        <w:tc>
          <w:tcPr>
            <w:tcW w:w="695" w:type="dxa"/>
            <w:shd w:val="clear" w:color="auto" w:fill="E7E6E6" w:themeFill="background2"/>
            <w:vAlign w:val="center"/>
            <w:hideMark/>
          </w:tcPr>
          <w:p w14:paraId="29A61087" w14:textId="2730D8BD"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 </w:t>
            </w:r>
          </w:p>
        </w:tc>
        <w:tc>
          <w:tcPr>
            <w:tcW w:w="865" w:type="dxa"/>
            <w:shd w:val="clear" w:color="auto" w:fill="auto"/>
            <w:noWrap/>
            <w:vAlign w:val="center"/>
            <w:hideMark/>
          </w:tcPr>
          <w:p w14:paraId="62D4DA8A" w14:textId="0F6F16B5"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1.913.143</w:t>
            </w:r>
          </w:p>
        </w:tc>
        <w:tc>
          <w:tcPr>
            <w:tcW w:w="695" w:type="dxa"/>
            <w:shd w:val="clear" w:color="auto" w:fill="E7E6E6" w:themeFill="background2"/>
            <w:vAlign w:val="center"/>
            <w:hideMark/>
          </w:tcPr>
          <w:p w14:paraId="1AD0D59F" w14:textId="6B6FCBF6"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 </w:t>
            </w:r>
          </w:p>
        </w:tc>
        <w:tc>
          <w:tcPr>
            <w:tcW w:w="865" w:type="dxa"/>
            <w:shd w:val="clear" w:color="auto" w:fill="auto"/>
            <w:noWrap/>
            <w:vAlign w:val="center"/>
            <w:hideMark/>
          </w:tcPr>
          <w:p w14:paraId="58A00768" w14:textId="36C5777C"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2.070.164</w:t>
            </w:r>
          </w:p>
        </w:tc>
        <w:tc>
          <w:tcPr>
            <w:tcW w:w="695" w:type="dxa"/>
            <w:shd w:val="clear" w:color="auto" w:fill="E7E6E6" w:themeFill="background2"/>
            <w:vAlign w:val="center"/>
            <w:hideMark/>
          </w:tcPr>
          <w:p w14:paraId="0E490809" w14:textId="33AAD170"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 </w:t>
            </w:r>
          </w:p>
        </w:tc>
        <w:tc>
          <w:tcPr>
            <w:tcW w:w="865" w:type="dxa"/>
            <w:shd w:val="clear" w:color="auto" w:fill="auto"/>
            <w:noWrap/>
            <w:vAlign w:val="center"/>
            <w:hideMark/>
          </w:tcPr>
          <w:p w14:paraId="22C60049" w14:textId="76F7643D"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2.190.300</w:t>
            </w:r>
          </w:p>
        </w:tc>
        <w:tc>
          <w:tcPr>
            <w:tcW w:w="695" w:type="dxa"/>
            <w:shd w:val="clear" w:color="auto" w:fill="E7E6E6" w:themeFill="background2"/>
            <w:vAlign w:val="center"/>
            <w:hideMark/>
          </w:tcPr>
          <w:p w14:paraId="2105C125" w14:textId="631C8A4A"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 </w:t>
            </w:r>
          </w:p>
        </w:tc>
        <w:tc>
          <w:tcPr>
            <w:tcW w:w="865" w:type="dxa"/>
            <w:shd w:val="clear" w:color="auto" w:fill="auto"/>
            <w:noWrap/>
            <w:vAlign w:val="center"/>
            <w:hideMark/>
          </w:tcPr>
          <w:p w14:paraId="74CF6CFF" w14:textId="5AF8A70A"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2.550.158</w:t>
            </w:r>
          </w:p>
        </w:tc>
        <w:tc>
          <w:tcPr>
            <w:tcW w:w="695" w:type="dxa"/>
            <w:shd w:val="clear" w:color="auto" w:fill="E7E6E6" w:themeFill="background2"/>
            <w:vAlign w:val="center"/>
            <w:hideMark/>
          </w:tcPr>
          <w:p w14:paraId="54957A8E" w14:textId="2CE8A6E9"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 </w:t>
            </w:r>
          </w:p>
        </w:tc>
      </w:tr>
      <w:tr w:rsidR="009F75D6" w:rsidRPr="009F75D6" w14:paraId="258919DC" w14:textId="77777777" w:rsidTr="00E8509A">
        <w:trPr>
          <w:trHeight w:val="300"/>
        </w:trPr>
        <w:tc>
          <w:tcPr>
            <w:tcW w:w="1273" w:type="dxa"/>
            <w:shd w:val="clear" w:color="auto" w:fill="auto"/>
            <w:noWrap/>
            <w:vAlign w:val="center"/>
            <w:hideMark/>
          </w:tcPr>
          <w:p w14:paraId="54B7CD29" w14:textId="77777777" w:rsidR="009F75D6" w:rsidRPr="009F75D6" w:rsidRDefault="009F75D6" w:rsidP="009F75D6">
            <w:pPr>
              <w:spacing w:after="0" w:line="240" w:lineRule="auto"/>
              <w:jc w:val="left"/>
              <w:rPr>
                <w:rFonts w:ascii="Calibri" w:eastAsia="Times New Roman" w:hAnsi="Calibri" w:cs="Calibri"/>
                <w:color w:val="000000"/>
                <w:sz w:val="16"/>
                <w:szCs w:val="16"/>
                <w:lang w:eastAsia="hr-HR"/>
              </w:rPr>
            </w:pPr>
            <w:r w:rsidRPr="009F75D6">
              <w:rPr>
                <w:rFonts w:ascii="Calibri" w:eastAsia="Times New Roman" w:hAnsi="Calibri" w:cs="Calibri"/>
                <w:color w:val="000000"/>
                <w:sz w:val="16"/>
                <w:szCs w:val="16"/>
                <w:lang w:eastAsia="hr-HR"/>
              </w:rPr>
              <w:t xml:space="preserve">Nereciklirani dio </w:t>
            </w:r>
            <w:proofErr w:type="spellStart"/>
            <w:r w:rsidRPr="009F75D6">
              <w:rPr>
                <w:rFonts w:ascii="Calibri" w:eastAsia="Times New Roman" w:hAnsi="Calibri" w:cs="Calibri"/>
                <w:color w:val="000000"/>
                <w:sz w:val="16"/>
                <w:szCs w:val="16"/>
                <w:lang w:eastAsia="hr-HR"/>
              </w:rPr>
              <w:t>mKO</w:t>
            </w:r>
            <w:proofErr w:type="spellEnd"/>
          </w:p>
        </w:tc>
        <w:tc>
          <w:tcPr>
            <w:tcW w:w="865" w:type="dxa"/>
            <w:shd w:val="clear" w:color="auto" w:fill="auto"/>
            <w:noWrap/>
            <w:vAlign w:val="center"/>
            <w:hideMark/>
          </w:tcPr>
          <w:p w14:paraId="2A468A78" w14:textId="70B31D43"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846.483</w:t>
            </w:r>
          </w:p>
        </w:tc>
        <w:tc>
          <w:tcPr>
            <w:tcW w:w="695" w:type="dxa"/>
            <w:shd w:val="clear" w:color="auto" w:fill="E7E6E6" w:themeFill="background2"/>
            <w:vAlign w:val="center"/>
            <w:hideMark/>
          </w:tcPr>
          <w:p w14:paraId="6F3AD8A2" w14:textId="36A2F44D"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 </w:t>
            </w:r>
          </w:p>
        </w:tc>
        <w:tc>
          <w:tcPr>
            <w:tcW w:w="865" w:type="dxa"/>
            <w:shd w:val="clear" w:color="auto" w:fill="auto"/>
            <w:noWrap/>
            <w:vAlign w:val="center"/>
            <w:hideMark/>
          </w:tcPr>
          <w:p w14:paraId="3F95C426" w14:textId="4F9381F8"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956.571</w:t>
            </w:r>
          </w:p>
        </w:tc>
        <w:tc>
          <w:tcPr>
            <w:tcW w:w="695" w:type="dxa"/>
            <w:shd w:val="clear" w:color="auto" w:fill="E7E6E6" w:themeFill="background2"/>
            <w:vAlign w:val="center"/>
            <w:hideMark/>
          </w:tcPr>
          <w:p w14:paraId="6F92C509" w14:textId="0AF48A51"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 </w:t>
            </w:r>
          </w:p>
        </w:tc>
        <w:tc>
          <w:tcPr>
            <w:tcW w:w="865" w:type="dxa"/>
            <w:shd w:val="clear" w:color="auto" w:fill="auto"/>
            <w:noWrap/>
            <w:vAlign w:val="center"/>
            <w:hideMark/>
          </w:tcPr>
          <w:p w14:paraId="6C9DE54D" w14:textId="3C48EE30"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972.977</w:t>
            </w:r>
          </w:p>
        </w:tc>
        <w:tc>
          <w:tcPr>
            <w:tcW w:w="695" w:type="dxa"/>
            <w:shd w:val="clear" w:color="auto" w:fill="E7E6E6" w:themeFill="background2"/>
            <w:vAlign w:val="center"/>
            <w:hideMark/>
          </w:tcPr>
          <w:p w14:paraId="00729EB5" w14:textId="26E995C6"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 </w:t>
            </w:r>
          </w:p>
        </w:tc>
        <w:tc>
          <w:tcPr>
            <w:tcW w:w="865" w:type="dxa"/>
            <w:shd w:val="clear" w:color="auto" w:fill="auto"/>
            <w:noWrap/>
            <w:vAlign w:val="center"/>
            <w:hideMark/>
          </w:tcPr>
          <w:p w14:paraId="483F303D" w14:textId="70D0B2A1"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985.635</w:t>
            </w:r>
          </w:p>
        </w:tc>
        <w:tc>
          <w:tcPr>
            <w:tcW w:w="695" w:type="dxa"/>
            <w:shd w:val="clear" w:color="auto" w:fill="E7E6E6" w:themeFill="background2"/>
            <w:vAlign w:val="center"/>
            <w:hideMark/>
          </w:tcPr>
          <w:p w14:paraId="3B2A6DA0" w14:textId="6DE66E6D"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 </w:t>
            </w:r>
          </w:p>
        </w:tc>
        <w:tc>
          <w:tcPr>
            <w:tcW w:w="865" w:type="dxa"/>
            <w:shd w:val="clear" w:color="auto" w:fill="auto"/>
            <w:noWrap/>
            <w:vAlign w:val="center"/>
            <w:hideMark/>
          </w:tcPr>
          <w:p w14:paraId="65BC73C8" w14:textId="46131D27"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1.020.063</w:t>
            </w:r>
          </w:p>
        </w:tc>
        <w:tc>
          <w:tcPr>
            <w:tcW w:w="695" w:type="dxa"/>
            <w:shd w:val="clear" w:color="auto" w:fill="E7E6E6" w:themeFill="background2"/>
            <w:vAlign w:val="center"/>
            <w:hideMark/>
          </w:tcPr>
          <w:p w14:paraId="09B2A5A3" w14:textId="7E241113"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 </w:t>
            </w:r>
          </w:p>
        </w:tc>
      </w:tr>
      <w:tr w:rsidR="009F75D6" w:rsidRPr="009F75D6" w14:paraId="3FFF1F46" w14:textId="77777777" w:rsidTr="00E8509A">
        <w:trPr>
          <w:trHeight w:val="300"/>
        </w:trPr>
        <w:tc>
          <w:tcPr>
            <w:tcW w:w="1273" w:type="dxa"/>
            <w:shd w:val="clear" w:color="auto" w:fill="auto"/>
            <w:noWrap/>
            <w:vAlign w:val="center"/>
            <w:hideMark/>
          </w:tcPr>
          <w:p w14:paraId="17B1D6E1" w14:textId="77777777" w:rsidR="009F75D6" w:rsidRPr="009F75D6" w:rsidRDefault="009F75D6" w:rsidP="009F75D6">
            <w:pPr>
              <w:spacing w:after="0" w:line="240" w:lineRule="auto"/>
              <w:jc w:val="left"/>
              <w:rPr>
                <w:rFonts w:ascii="Calibri" w:eastAsia="Times New Roman" w:hAnsi="Calibri" w:cs="Calibri"/>
                <w:color w:val="000000"/>
                <w:sz w:val="16"/>
                <w:szCs w:val="16"/>
                <w:lang w:eastAsia="hr-HR"/>
              </w:rPr>
            </w:pPr>
            <w:r w:rsidRPr="009F75D6">
              <w:rPr>
                <w:rFonts w:ascii="Calibri" w:eastAsia="Times New Roman" w:hAnsi="Calibri" w:cs="Calibri"/>
                <w:color w:val="000000"/>
                <w:sz w:val="16"/>
                <w:szCs w:val="16"/>
                <w:lang w:eastAsia="hr-HR"/>
              </w:rPr>
              <w:t>Papir i karton</w:t>
            </w:r>
          </w:p>
        </w:tc>
        <w:tc>
          <w:tcPr>
            <w:tcW w:w="865" w:type="dxa"/>
            <w:shd w:val="clear" w:color="auto" w:fill="auto"/>
            <w:noWrap/>
            <w:vAlign w:val="center"/>
            <w:hideMark/>
          </w:tcPr>
          <w:p w14:paraId="1C8D33EE" w14:textId="20D08F0C"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261.152</w:t>
            </w:r>
          </w:p>
        </w:tc>
        <w:tc>
          <w:tcPr>
            <w:tcW w:w="695" w:type="dxa"/>
            <w:shd w:val="clear" w:color="auto" w:fill="E7E6E6" w:themeFill="background2"/>
            <w:noWrap/>
            <w:vAlign w:val="center"/>
            <w:hideMark/>
          </w:tcPr>
          <w:p w14:paraId="700E0228" w14:textId="07A94A5F"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30,85%</w:t>
            </w:r>
          </w:p>
        </w:tc>
        <w:tc>
          <w:tcPr>
            <w:tcW w:w="865" w:type="dxa"/>
            <w:shd w:val="clear" w:color="auto" w:fill="auto"/>
            <w:noWrap/>
            <w:vAlign w:val="center"/>
            <w:hideMark/>
          </w:tcPr>
          <w:p w14:paraId="6475AA6C" w14:textId="2850709A"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250.658</w:t>
            </w:r>
          </w:p>
        </w:tc>
        <w:tc>
          <w:tcPr>
            <w:tcW w:w="695" w:type="dxa"/>
            <w:shd w:val="clear" w:color="auto" w:fill="E7E6E6" w:themeFill="background2"/>
            <w:noWrap/>
            <w:vAlign w:val="center"/>
            <w:hideMark/>
          </w:tcPr>
          <w:p w14:paraId="1117CEAC" w14:textId="643890F8"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26,20%</w:t>
            </w:r>
          </w:p>
        </w:tc>
        <w:tc>
          <w:tcPr>
            <w:tcW w:w="865" w:type="dxa"/>
            <w:shd w:val="clear" w:color="auto" w:fill="auto"/>
            <w:noWrap/>
            <w:vAlign w:val="center"/>
            <w:hideMark/>
          </w:tcPr>
          <w:p w14:paraId="5960635E" w14:textId="4D63F407"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249.807</w:t>
            </w:r>
          </w:p>
        </w:tc>
        <w:tc>
          <w:tcPr>
            <w:tcW w:w="695" w:type="dxa"/>
            <w:shd w:val="clear" w:color="auto" w:fill="E7E6E6" w:themeFill="background2"/>
            <w:noWrap/>
            <w:vAlign w:val="center"/>
            <w:hideMark/>
          </w:tcPr>
          <w:p w14:paraId="61D0E08B" w14:textId="1AD098EE"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25,67%</w:t>
            </w:r>
          </w:p>
        </w:tc>
        <w:tc>
          <w:tcPr>
            <w:tcW w:w="865" w:type="dxa"/>
            <w:shd w:val="clear" w:color="auto" w:fill="auto"/>
            <w:noWrap/>
            <w:vAlign w:val="center"/>
            <w:hideMark/>
          </w:tcPr>
          <w:p w14:paraId="254314B5" w14:textId="21D48FBD"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253.210</w:t>
            </w:r>
          </w:p>
        </w:tc>
        <w:tc>
          <w:tcPr>
            <w:tcW w:w="695" w:type="dxa"/>
            <w:shd w:val="clear" w:color="auto" w:fill="E7E6E6" w:themeFill="background2"/>
            <w:noWrap/>
            <w:vAlign w:val="center"/>
            <w:hideMark/>
          </w:tcPr>
          <w:p w14:paraId="197E1FED" w14:textId="3FFDF23F"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25,69%</w:t>
            </w:r>
          </w:p>
        </w:tc>
        <w:tc>
          <w:tcPr>
            <w:tcW w:w="865" w:type="dxa"/>
            <w:shd w:val="clear" w:color="auto" w:fill="auto"/>
            <w:noWrap/>
            <w:vAlign w:val="center"/>
            <w:hideMark/>
          </w:tcPr>
          <w:p w14:paraId="169B751B" w14:textId="09D48F0A"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255.503</w:t>
            </w:r>
          </w:p>
        </w:tc>
        <w:tc>
          <w:tcPr>
            <w:tcW w:w="695" w:type="dxa"/>
            <w:shd w:val="clear" w:color="auto" w:fill="E7E6E6" w:themeFill="background2"/>
            <w:noWrap/>
            <w:vAlign w:val="center"/>
            <w:hideMark/>
          </w:tcPr>
          <w:p w14:paraId="64E85483" w14:textId="604B9CF7"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25,05%</w:t>
            </w:r>
          </w:p>
        </w:tc>
      </w:tr>
      <w:tr w:rsidR="009F75D6" w:rsidRPr="009F75D6" w14:paraId="3F3D23F1" w14:textId="77777777" w:rsidTr="00E8509A">
        <w:trPr>
          <w:trHeight w:val="300"/>
        </w:trPr>
        <w:tc>
          <w:tcPr>
            <w:tcW w:w="1273" w:type="dxa"/>
            <w:shd w:val="clear" w:color="auto" w:fill="auto"/>
            <w:noWrap/>
            <w:vAlign w:val="center"/>
            <w:hideMark/>
          </w:tcPr>
          <w:p w14:paraId="395F99AC" w14:textId="77777777" w:rsidR="009F75D6" w:rsidRPr="009F75D6" w:rsidRDefault="009F75D6" w:rsidP="009F75D6">
            <w:pPr>
              <w:spacing w:after="0" w:line="240" w:lineRule="auto"/>
              <w:jc w:val="left"/>
              <w:rPr>
                <w:rFonts w:ascii="Calibri" w:eastAsia="Times New Roman" w:hAnsi="Calibri" w:cs="Calibri"/>
                <w:color w:val="000000"/>
                <w:sz w:val="16"/>
                <w:szCs w:val="16"/>
                <w:lang w:eastAsia="hr-HR"/>
              </w:rPr>
            </w:pPr>
            <w:r w:rsidRPr="009F75D6">
              <w:rPr>
                <w:rFonts w:ascii="Calibri" w:eastAsia="Times New Roman" w:hAnsi="Calibri" w:cs="Calibri"/>
                <w:color w:val="000000"/>
                <w:sz w:val="16"/>
                <w:szCs w:val="16"/>
                <w:lang w:eastAsia="hr-HR"/>
              </w:rPr>
              <w:t xml:space="preserve">Metal </w:t>
            </w:r>
          </w:p>
        </w:tc>
        <w:tc>
          <w:tcPr>
            <w:tcW w:w="865" w:type="dxa"/>
            <w:shd w:val="clear" w:color="auto" w:fill="auto"/>
            <w:noWrap/>
            <w:vAlign w:val="center"/>
            <w:hideMark/>
          </w:tcPr>
          <w:p w14:paraId="23971BC6" w14:textId="35E4E8B6"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27.854</w:t>
            </w:r>
          </w:p>
        </w:tc>
        <w:tc>
          <w:tcPr>
            <w:tcW w:w="695" w:type="dxa"/>
            <w:shd w:val="clear" w:color="auto" w:fill="E7E6E6" w:themeFill="background2"/>
            <w:noWrap/>
            <w:vAlign w:val="center"/>
            <w:hideMark/>
          </w:tcPr>
          <w:p w14:paraId="77114EEC" w14:textId="52A952F9"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3,29%</w:t>
            </w:r>
          </w:p>
        </w:tc>
        <w:tc>
          <w:tcPr>
            <w:tcW w:w="865" w:type="dxa"/>
            <w:shd w:val="clear" w:color="auto" w:fill="auto"/>
            <w:noWrap/>
            <w:vAlign w:val="center"/>
            <w:hideMark/>
          </w:tcPr>
          <w:p w14:paraId="6E0DA553" w14:textId="04F1DA52"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21.112</w:t>
            </w:r>
          </w:p>
        </w:tc>
        <w:tc>
          <w:tcPr>
            <w:tcW w:w="695" w:type="dxa"/>
            <w:shd w:val="clear" w:color="auto" w:fill="E7E6E6" w:themeFill="background2"/>
            <w:noWrap/>
            <w:vAlign w:val="center"/>
            <w:hideMark/>
          </w:tcPr>
          <w:p w14:paraId="1C8C4915" w14:textId="3DAEDF76"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2,21%</w:t>
            </w:r>
          </w:p>
        </w:tc>
        <w:tc>
          <w:tcPr>
            <w:tcW w:w="865" w:type="dxa"/>
            <w:shd w:val="clear" w:color="auto" w:fill="auto"/>
            <w:noWrap/>
            <w:vAlign w:val="center"/>
            <w:hideMark/>
          </w:tcPr>
          <w:p w14:paraId="4CDC5BB5" w14:textId="697BD81C"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22.845</w:t>
            </w:r>
          </w:p>
        </w:tc>
        <w:tc>
          <w:tcPr>
            <w:tcW w:w="695" w:type="dxa"/>
            <w:shd w:val="clear" w:color="auto" w:fill="E7E6E6" w:themeFill="background2"/>
            <w:noWrap/>
            <w:vAlign w:val="center"/>
            <w:hideMark/>
          </w:tcPr>
          <w:p w14:paraId="3CB7079F" w14:textId="655003FF"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2,35%</w:t>
            </w:r>
          </w:p>
        </w:tc>
        <w:tc>
          <w:tcPr>
            <w:tcW w:w="865" w:type="dxa"/>
            <w:shd w:val="clear" w:color="auto" w:fill="auto"/>
            <w:noWrap/>
            <w:vAlign w:val="center"/>
            <w:hideMark/>
          </w:tcPr>
          <w:p w14:paraId="54AC2292" w14:textId="6D00FA63"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24.170</w:t>
            </w:r>
          </w:p>
        </w:tc>
        <w:tc>
          <w:tcPr>
            <w:tcW w:w="695" w:type="dxa"/>
            <w:shd w:val="clear" w:color="auto" w:fill="E7E6E6" w:themeFill="background2"/>
            <w:noWrap/>
            <w:vAlign w:val="center"/>
            <w:hideMark/>
          </w:tcPr>
          <w:p w14:paraId="6AB723A3" w14:textId="659301AF"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2,45%</w:t>
            </w:r>
          </w:p>
        </w:tc>
        <w:tc>
          <w:tcPr>
            <w:tcW w:w="865" w:type="dxa"/>
            <w:shd w:val="clear" w:color="auto" w:fill="auto"/>
            <w:noWrap/>
            <w:vAlign w:val="center"/>
            <w:hideMark/>
          </w:tcPr>
          <w:p w14:paraId="0EDF13F0" w14:textId="4DEFF12B"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28.142</w:t>
            </w:r>
          </w:p>
        </w:tc>
        <w:tc>
          <w:tcPr>
            <w:tcW w:w="695" w:type="dxa"/>
            <w:shd w:val="clear" w:color="auto" w:fill="E7E6E6" w:themeFill="background2"/>
            <w:noWrap/>
            <w:vAlign w:val="center"/>
            <w:hideMark/>
          </w:tcPr>
          <w:p w14:paraId="1F0C8AFF" w14:textId="74B64B79"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2,76%</w:t>
            </w:r>
          </w:p>
        </w:tc>
      </w:tr>
      <w:tr w:rsidR="009F75D6" w:rsidRPr="009F75D6" w14:paraId="50311384" w14:textId="77777777" w:rsidTr="00E8509A">
        <w:trPr>
          <w:trHeight w:val="300"/>
        </w:trPr>
        <w:tc>
          <w:tcPr>
            <w:tcW w:w="1273" w:type="dxa"/>
            <w:shd w:val="clear" w:color="auto" w:fill="auto"/>
            <w:noWrap/>
            <w:vAlign w:val="center"/>
            <w:hideMark/>
          </w:tcPr>
          <w:p w14:paraId="27989D15" w14:textId="77777777" w:rsidR="009F75D6" w:rsidRPr="009F75D6" w:rsidRDefault="009F75D6" w:rsidP="009F75D6">
            <w:pPr>
              <w:spacing w:after="0" w:line="240" w:lineRule="auto"/>
              <w:jc w:val="left"/>
              <w:rPr>
                <w:rFonts w:ascii="Calibri" w:eastAsia="Times New Roman" w:hAnsi="Calibri" w:cs="Calibri"/>
                <w:color w:val="000000"/>
                <w:sz w:val="16"/>
                <w:szCs w:val="16"/>
                <w:lang w:eastAsia="hr-HR"/>
              </w:rPr>
            </w:pPr>
            <w:r w:rsidRPr="009F75D6">
              <w:rPr>
                <w:rFonts w:ascii="Calibri" w:eastAsia="Times New Roman" w:hAnsi="Calibri" w:cs="Calibri"/>
                <w:color w:val="000000"/>
                <w:sz w:val="16"/>
                <w:szCs w:val="16"/>
                <w:lang w:eastAsia="hr-HR"/>
              </w:rPr>
              <w:t>Staklo</w:t>
            </w:r>
          </w:p>
        </w:tc>
        <w:tc>
          <w:tcPr>
            <w:tcW w:w="865" w:type="dxa"/>
            <w:shd w:val="clear" w:color="auto" w:fill="auto"/>
            <w:noWrap/>
            <w:vAlign w:val="center"/>
            <w:hideMark/>
          </w:tcPr>
          <w:p w14:paraId="24CF01E0" w14:textId="42BA4A89"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44.734</w:t>
            </w:r>
          </w:p>
        </w:tc>
        <w:tc>
          <w:tcPr>
            <w:tcW w:w="695" w:type="dxa"/>
            <w:shd w:val="clear" w:color="auto" w:fill="E7E6E6" w:themeFill="background2"/>
            <w:noWrap/>
            <w:vAlign w:val="center"/>
            <w:hideMark/>
          </w:tcPr>
          <w:p w14:paraId="3487C0A6" w14:textId="0BFB3B95"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5,28%</w:t>
            </w:r>
          </w:p>
        </w:tc>
        <w:tc>
          <w:tcPr>
            <w:tcW w:w="865" w:type="dxa"/>
            <w:shd w:val="clear" w:color="auto" w:fill="auto"/>
            <w:noWrap/>
            <w:vAlign w:val="center"/>
            <w:hideMark/>
          </w:tcPr>
          <w:p w14:paraId="56F664B7" w14:textId="128120EE"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47.712</w:t>
            </w:r>
          </w:p>
        </w:tc>
        <w:tc>
          <w:tcPr>
            <w:tcW w:w="695" w:type="dxa"/>
            <w:shd w:val="clear" w:color="auto" w:fill="E7E6E6" w:themeFill="background2"/>
            <w:noWrap/>
            <w:vAlign w:val="center"/>
            <w:hideMark/>
          </w:tcPr>
          <w:p w14:paraId="4582941A" w14:textId="684492D2"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4,99%</w:t>
            </w:r>
          </w:p>
        </w:tc>
        <w:tc>
          <w:tcPr>
            <w:tcW w:w="865" w:type="dxa"/>
            <w:shd w:val="clear" w:color="auto" w:fill="auto"/>
            <w:noWrap/>
            <w:vAlign w:val="center"/>
            <w:hideMark/>
          </w:tcPr>
          <w:p w14:paraId="3D787832" w14:textId="7B2EA1B1"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47.550</w:t>
            </w:r>
          </w:p>
        </w:tc>
        <w:tc>
          <w:tcPr>
            <w:tcW w:w="695" w:type="dxa"/>
            <w:shd w:val="clear" w:color="auto" w:fill="E7E6E6" w:themeFill="background2"/>
            <w:noWrap/>
            <w:vAlign w:val="center"/>
            <w:hideMark/>
          </w:tcPr>
          <w:p w14:paraId="51A7EC55" w14:textId="1652A639"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4,89%</w:t>
            </w:r>
          </w:p>
        </w:tc>
        <w:tc>
          <w:tcPr>
            <w:tcW w:w="865" w:type="dxa"/>
            <w:shd w:val="clear" w:color="auto" w:fill="auto"/>
            <w:noWrap/>
            <w:vAlign w:val="center"/>
            <w:hideMark/>
          </w:tcPr>
          <w:p w14:paraId="32224E60" w14:textId="7DDF1F57"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48.198</w:t>
            </w:r>
          </w:p>
        </w:tc>
        <w:tc>
          <w:tcPr>
            <w:tcW w:w="695" w:type="dxa"/>
            <w:shd w:val="clear" w:color="auto" w:fill="E7E6E6" w:themeFill="background2"/>
            <w:noWrap/>
            <w:vAlign w:val="center"/>
            <w:hideMark/>
          </w:tcPr>
          <w:p w14:paraId="69257604" w14:textId="7CFB961F"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4,89%</w:t>
            </w:r>
          </w:p>
        </w:tc>
        <w:tc>
          <w:tcPr>
            <w:tcW w:w="865" w:type="dxa"/>
            <w:shd w:val="clear" w:color="auto" w:fill="auto"/>
            <w:noWrap/>
            <w:vAlign w:val="center"/>
            <w:hideMark/>
          </w:tcPr>
          <w:p w14:paraId="5D2D59AF" w14:textId="54CB8653"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48.634</w:t>
            </w:r>
          </w:p>
        </w:tc>
        <w:tc>
          <w:tcPr>
            <w:tcW w:w="695" w:type="dxa"/>
            <w:shd w:val="clear" w:color="auto" w:fill="E7E6E6" w:themeFill="background2"/>
            <w:noWrap/>
            <w:vAlign w:val="center"/>
            <w:hideMark/>
          </w:tcPr>
          <w:p w14:paraId="2FD66D6F" w14:textId="07E38F8E"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4,77%</w:t>
            </w:r>
          </w:p>
        </w:tc>
      </w:tr>
      <w:tr w:rsidR="009F75D6" w:rsidRPr="009F75D6" w14:paraId="2655DFCC" w14:textId="77777777" w:rsidTr="00E8509A">
        <w:trPr>
          <w:trHeight w:val="300"/>
        </w:trPr>
        <w:tc>
          <w:tcPr>
            <w:tcW w:w="1273" w:type="dxa"/>
            <w:shd w:val="clear" w:color="auto" w:fill="auto"/>
            <w:noWrap/>
            <w:vAlign w:val="center"/>
            <w:hideMark/>
          </w:tcPr>
          <w:p w14:paraId="05C680C7" w14:textId="77777777" w:rsidR="009F75D6" w:rsidRPr="009F75D6" w:rsidRDefault="009F75D6" w:rsidP="009F75D6">
            <w:pPr>
              <w:spacing w:after="0" w:line="240" w:lineRule="auto"/>
              <w:jc w:val="left"/>
              <w:rPr>
                <w:rFonts w:ascii="Calibri" w:eastAsia="Times New Roman" w:hAnsi="Calibri" w:cs="Calibri"/>
                <w:color w:val="000000"/>
                <w:sz w:val="16"/>
                <w:szCs w:val="16"/>
                <w:lang w:eastAsia="hr-HR"/>
              </w:rPr>
            </w:pPr>
            <w:r w:rsidRPr="009F75D6">
              <w:rPr>
                <w:rFonts w:ascii="Calibri" w:eastAsia="Times New Roman" w:hAnsi="Calibri" w:cs="Calibri"/>
                <w:color w:val="000000"/>
                <w:sz w:val="16"/>
                <w:szCs w:val="16"/>
                <w:lang w:eastAsia="hr-HR"/>
              </w:rPr>
              <w:t>Plastika</w:t>
            </w:r>
          </w:p>
        </w:tc>
        <w:tc>
          <w:tcPr>
            <w:tcW w:w="865" w:type="dxa"/>
            <w:shd w:val="clear" w:color="auto" w:fill="auto"/>
            <w:noWrap/>
            <w:vAlign w:val="center"/>
            <w:hideMark/>
          </w:tcPr>
          <w:p w14:paraId="2B471342" w14:textId="66887ABB"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271.528</w:t>
            </w:r>
          </w:p>
        </w:tc>
        <w:tc>
          <w:tcPr>
            <w:tcW w:w="695" w:type="dxa"/>
            <w:shd w:val="clear" w:color="auto" w:fill="E7E6E6" w:themeFill="background2"/>
            <w:noWrap/>
            <w:vAlign w:val="center"/>
            <w:hideMark/>
          </w:tcPr>
          <w:p w14:paraId="60BA90F5" w14:textId="55B5CF50"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32,08%</w:t>
            </w:r>
          </w:p>
        </w:tc>
        <w:tc>
          <w:tcPr>
            <w:tcW w:w="865" w:type="dxa"/>
            <w:shd w:val="clear" w:color="auto" w:fill="auto"/>
            <w:noWrap/>
            <w:vAlign w:val="center"/>
            <w:hideMark/>
          </w:tcPr>
          <w:p w14:paraId="7057F9DE" w14:textId="1B65FF41"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189.774</w:t>
            </w:r>
          </w:p>
        </w:tc>
        <w:tc>
          <w:tcPr>
            <w:tcW w:w="695" w:type="dxa"/>
            <w:shd w:val="clear" w:color="auto" w:fill="E7E6E6" w:themeFill="background2"/>
            <w:noWrap/>
            <w:vAlign w:val="center"/>
            <w:hideMark/>
          </w:tcPr>
          <w:p w14:paraId="7A19A4F1" w14:textId="59D99691"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19,84%</w:t>
            </w:r>
          </w:p>
        </w:tc>
        <w:tc>
          <w:tcPr>
            <w:tcW w:w="865" w:type="dxa"/>
            <w:shd w:val="clear" w:color="auto" w:fill="auto"/>
            <w:noWrap/>
            <w:vAlign w:val="center"/>
            <w:hideMark/>
          </w:tcPr>
          <w:p w14:paraId="44D9B5F3" w14:textId="3508E36C"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189.130</w:t>
            </w:r>
          </w:p>
        </w:tc>
        <w:tc>
          <w:tcPr>
            <w:tcW w:w="695" w:type="dxa"/>
            <w:shd w:val="clear" w:color="auto" w:fill="E7E6E6" w:themeFill="background2"/>
            <w:noWrap/>
            <w:vAlign w:val="center"/>
            <w:hideMark/>
          </w:tcPr>
          <w:p w14:paraId="6F26039E" w14:textId="55E4BAAB"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19,44%</w:t>
            </w:r>
          </w:p>
        </w:tc>
        <w:tc>
          <w:tcPr>
            <w:tcW w:w="865" w:type="dxa"/>
            <w:shd w:val="clear" w:color="auto" w:fill="auto"/>
            <w:noWrap/>
            <w:vAlign w:val="center"/>
            <w:hideMark/>
          </w:tcPr>
          <w:p w14:paraId="2065A429" w14:textId="40BF1CE9"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191.706</w:t>
            </w:r>
          </w:p>
        </w:tc>
        <w:tc>
          <w:tcPr>
            <w:tcW w:w="695" w:type="dxa"/>
            <w:shd w:val="clear" w:color="auto" w:fill="E7E6E6" w:themeFill="background2"/>
            <w:noWrap/>
            <w:vAlign w:val="center"/>
            <w:hideMark/>
          </w:tcPr>
          <w:p w14:paraId="765771C3" w14:textId="6641A016"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19,45%</w:t>
            </w:r>
          </w:p>
        </w:tc>
        <w:tc>
          <w:tcPr>
            <w:tcW w:w="865" w:type="dxa"/>
            <w:shd w:val="clear" w:color="auto" w:fill="auto"/>
            <w:noWrap/>
            <w:vAlign w:val="center"/>
            <w:hideMark/>
          </w:tcPr>
          <w:p w14:paraId="13B440E0" w14:textId="73488160"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193.442</w:t>
            </w:r>
          </w:p>
        </w:tc>
        <w:tc>
          <w:tcPr>
            <w:tcW w:w="695" w:type="dxa"/>
            <w:shd w:val="clear" w:color="auto" w:fill="E7E6E6" w:themeFill="background2"/>
            <w:noWrap/>
            <w:vAlign w:val="center"/>
            <w:hideMark/>
          </w:tcPr>
          <w:p w14:paraId="05298EBF" w14:textId="4BC5B4B5"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18,96%</w:t>
            </w:r>
          </w:p>
        </w:tc>
      </w:tr>
      <w:tr w:rsidR="009F75D6" w:rsidRPr="009F75D6" w14:paraId="3A4E6E3A" w14:textId="77777777" w:rsidTr="00E8509A">
        <w:trPr>
          <w:trHeight w:val="300"/>
        </w:trPr>
        <w:tc>
          <w:tcPr>
            <w:tcW w:w="1273" w:type="dxa"/>
            <w:shd w:val="clear" w:color="auto" w:fill="auto"/>
            <w:noWrap/>
            <w:vAlign w:val="center"/>
            <w:hideMark/>
          </w:tcPr>
          <w:p w14:paraId="4777679B" w14:textId="77777777" w:rsidR="009F75D6" w:rsidRPr="009F75D6" w:rsidRDefault="009F75D6" w:rsidP="009F75D6">
            <w:pPr>
              <w:spacing w:after="0" w:line="240" w:lineRule="auto"/>
              <w:jc w:val="left"/>
              <w:rPr>
                <w:rFonts w:ascii="Calibri" w:eastAsia="Times New Roman" w:hAnsi="Calibri" w:cs="Calibri"/>
                <w:color w:val="000000"/>
                <w:sz w:val="16"/>
                <w:szCs w:val="16"/>
                <w:lang w:eastAsia="hr-HR"/>
              </w:rPr>
            </w:pPr>
            <w:r w:rsidRPr="009F75D6">
              <w:rPr>
                <w:rFonts w:ascii="Calibri" w:eastAsia="Times New Roman" w:hAnsi="Calibri" w:cs="Calibri"/>
                <w:color w:val="000000"/>
                <w:sz w:val="16"/>
                <w:szCs w:val="16"/>
                <w:lang w:eastAsia="hr-HR"/>
              </w:rPr>
              <w:t>Biootpad</w:t>
            </w:r>
          </w:p>
        </w:tc>
        <w:tc>
          <w:tcPr>
            <w:tcW w:w="865" w:type="dxa"/>
            <w:shd w:val="clear" w:color="auto" w:fill="auto"/>
            <w:noWrap/>
            <w:vAlign w:val="center"/>
            <w:hideMark/>
          </w:tcPr>
          <w:p w14:paraId="4ACE7E9F" w14:textId="26B20DEB"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321.842</w:t>
            </w:r>
          </w:p>
        </w:tc>
        <w:tc>
          <w:tcPr>
            <w:tcW w:w="695" w:type="dxa"/>
            <w:shd w:val="clear" w:color="auto" w:fill="E7E6E6" w:themeFill="background2"/>
            <w:noWrap/>
            <w:vAlign w:val="center"/>
            <w:hideMark/>
          </w:tcPr>
          <w:p w14:paraId="6EDC8761" w14:textId="26598C96"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38,02%</w:t>
            </w:r>
          </w:p>
        </w:tc>
        <w:tc>
          <w:tcPr>
            <w:tcW w:w="865" w:type="dxa"/>
            <w:shd w:val="clear" w:color="auto" w:fill="auto"/>
            <w:noWrap/>
            <w:vAlign w:val="center"/>
            <w:hideMark/>
          </w:tcPr>
          <w:p w14:paraId="1D428A7A" w14:textId="5CAE3CA0"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311.054</w:t>
            </w:r>
          </w:p>
        </w:tc>
        <w:tc>
          <w:tcPr>
            <w:tcW w:w="695" w:type="dxa"/>
            <w:shd w:val="clear" w:color="auto" w:fill="E7E6E6" w:themeFill="background2"/>
            <w:noWrap/>
            <w:vAlign w:val="center"/>
            <w:hideMark/>
          </w:tcPr>
          <w:p w14:paraId="1CC73613" w14:textId="1D2833EF"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32,52%</w:t>
            </w:r>
          </w:p>
        </w:tc>
        <w:tc>
          <w:tcPr>
            <w:tcW w:w="865" w:type="dxa"/>
            <w:shd w:val="clear" w:color="auto" w:fill="auto"/>
            <w:noWrap/>
            <w:vAlign w:val="center"/>
            <w:hideMark/>
          </w:tcPr>
          <w:p w14:paraId="217242E2" w14:textId="5286AC9B"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309.998</w:t>
            </w:r>
          </w:p>
        </w:tc>
        <w:tc>
          <w:tcPr>
            <w:tcW w:w="695" w:type="dxa"/>
            <w:shd w:val="clear" w:color="auto" w:fill="E7E6E6" w:themeFill="background2"/>
            <w:noWrap/>
            <w:vAlign w:val="center"/>
            <w:hideMark/>
          </w:tcPr>
          <w:p w14:paraId="377C929F" w14:textId="5D69244A"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31,86%</w:t>
            </w:r>
          </w:p>
        </w:tc>
        <w:tc>
          <w:tcPr>
            <w:tcW w:w="865" w:type="dxa"/>
            <w:shd w:val="clear" w:color="auto" w:fill="auto"/>
            <w:noWrap/>
            <w:vAlign w:val="center"/>
            <w:hideMark/>
          </w:tcPr>
          <w:p w14:paraId="4111B248" w14:textId="535701FB"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314.220</w:t>
            </w:r>
          </w:p>
        </w:tc>
        <w:tc>
          <w:tcPr>
            <w:tcW w:w="695" w:type="dxa"/>
            <w:shd w:val="clear" w:color="auto" w:fill="E7E6E6" w:themeFill="background2"/>
            <w:noWrap/>
            <w:vAlign w:val="center"/>
            <w:hideMark/>
          </w:tcPr>
          <w:p w14:paraId="5EF149CC" w14:textId="675B5658"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31,88%</w:t>
            </w:r>
          </w:p>
        </w:tc>
        <w:tc>
          <w:tcPr>
            <w:tcW w:w="865" w:type="dxa"/>
            <w:shd w:val="clear" w:color="auto" w:fill="auto"/>
            <w:noWrap/>
            <w:vAlign w:val="center"/>
            <w:hideMark/>
          </w:tcPr>
          <w:p w14:paraId="69A9088C" w14:textId="14F9EA86"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317.066</w:t>
            </w:r>
          </w:p>
        </w:tc>
        <w:tc>
          <w:tcPr>
            <w:tcW w:w="695" w:type="dxa"/>
            <w:shd w:val="clear" w:color="auto" w:fill="E7E6E6" w:themeFill="background2"/>
            <w:noWrap/>
            <w:vAlign w:val="center"/>
            <w:hideMark/>
          </w:tcPr>
          <w:p w14:paraId="14B9E337" w14:textId="63B7716D"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31,08%</w:t>
            </w:r>
          </w:p>
        </w:tc>
      </w:tr>
      <w:tr w:rsidR="009F75D6" w:rsidRPr="009F75D6" w14:paraId="4A5F9094" w14:textId="77777777" w:rsidTr="00E8509A">
        <w:trPr>
          <w:trHeight w:val="300"/>
        </w:trPr>
        <w:tc>
          <w:tcPr>
            <w:tcW w:w="1273" w:type="dxa"/>
            <w:shd w:val="clear" w:color="auto" w:fill="auto"/>
            <w:noWrap/>
            <w:vAlign w:val="center"/>
            <w:hideMark/>
          </w:tcPr>
          <w:p w14:paraId="6DE77837" w14:textId="77777777" w:rsidR="009F75D6" w:rsidRPr="009F75D6" w:rsidRDefault="009F75D6" w:rsidP="009F75D6">
            <w:pPr>
              <w:spacing w:after="0" w:line="240" w:lineRule="auto"/>
              <w:jc w:val="left"/>
              <w:rPr>
                <w:rFonts w:ascii="Calibri" w:eastAsia="Times New Roman" w:hAnsi="Calibri" w:cs="Calibri"/>
                <w:color w:val="000000"/>
                <w:sz w:val="16"/>
                <w:szCs w:val="16"/>
                <w:lang w:eastAsia="hr-HR"/>
              </w:rPr>
            </w:pPr>
            <w:r w:rsidRPr="009F75D6">
              <w:rPr>
                <w:rFonts w:ascii="Calibri" w:eastAsia="Times New Roman" w:hAnsi="Calibri" w:cs="Calibri"/>
                <w:color w:val="000000"/>
                <w:sz w:val="16"/>
                <w:szCs w:val="16"/>
                <w:lang w:eastAsia="hr-HR"/>
              </w:rPr>
              <w:t>Glomazni otpad</w:t>
            </w:r>
          </w:p>
        </w:tc>
        <w:tc>
          <w:tcPr>
            <w:tcW w:w="865" w:type="dxa"/>
            <w:shd w:val="clear" w:color="auto" w:fill="auto"/>
            <w:noWrap/>
            <w:vAlign w:val="center"/>
            <w:hideMark/>
          </w:tcPr>
          <w:p w14:paraId="63FBCB51" w14:textId="54204F99"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4.567</w:t>
            </w:r>
          </w:p>
        </w:tc>
        <w:tc>
          <w:tcPr>
            <w:tcW w:w="695" w:type="dxa"/>
            <w:shd w:val="clear" w:color="auto" w:fill="E7E6E6" w:themeFill="background2"/>
            <w:noWrap/>
            <w:vAlign w:val="center"/>
            <w:hideMark/>
          </w:tcPr>
          <w:p w14:paraId="4DB3CDA6" w14:textId="1FD00D7A"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0,54%</w:t>
            </w:r>
          </w:p>
        </w:tc>
        <w:tc>
          <w:tcPr>
            <w:tcW w:w="865" w:type="dxa"/>
            <w:shd w:val="clear" w:color="auto" w:fill="auto"/>
            <w:noWrap/>
            <w:vAlign w:val="center"/>
            <w:hideMark/>
          </w:tcPr>
          <w:p w14:paraId="05E53060" w14:textId="585F2839"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17.609</w:t>
            </w:r>
          </w:p>
        </w:tc>
        <w:tc>
          <w:tcPr>
            <w:tcW w:w="695" w:type="dxa"/>
            <w:shd w:val="clear" w:color="auto" w:fill="E7E6E6" w:themeFill="background2"/>
            <w:noWrap/>
            <w:vAlign w:val="center"/>
            <w:hideMark/>
          </w:tcPr>
          <w:p w14:paraId="447D88E6" w14:textId="1E759510"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1,84%</w:t>
            </w:r>
          </w:p>
        </w:tc>
        <w:tc>
          <w:tcPr>
            <w:tcW w:w="865" w:type="dxa"/>
            <w:shd w:val="clear" w:color="auto" w:fill="auto"/>
            <w:noWrap/>
            <w:vAlign w:val="center"/>
            <w:hideMark/>
          </w:tcPr>
          <w:p w14:paraId="1EF9B7F9" w14:textId="12F5EB0A"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19.054</w:t>
            </w:r>
          </w:p>
        </w:tc>
        <w:tc>
          <w:tcPr>
            <w:tcW w:w="695" w:type="dxa"/>
            <w:shd w:val="clear" w:color="auto" w:fill="E7E6E6" w:themeFill="background2"/>
            <w:noWrap/>
            <w:vAlign w:val="center"/>
            <w:hideMark/>
          </w:tcPr>
          <w:p w14:paraId="6D138BD1" w14:textId="51EFC760"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1,96%</w:t>
            </w:r>
          </w:p>
        </w:tc>
        <w:tc>
          <w:tcPr>
            <w:tcW w:w="865" w:type="dxa"/>
            <w:shd w:val="clear" w:color="auto" w:fill="auto"/>
            <w:noWrap/>
            <w:vAlign w:val="center"/>
            <w:hideMark/>
          </w:tcPr>
          <w:p w14:paraId="21E7D241" w14:textId="56AFA049"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20.159</w:t>
            </w:r>
          </w:p>
        </w:tc>
        <w:tc>
          <w:tcPr>
            <w:tcW w:w="695" w:type="dxa"/>
            <w:shd w:val="clear" w:color="auto" w:fill="E7E6E6" w:themeFill="background2"/>
            <w:noWrap/>
            <w:vAlign w:val="center"/>
            <w:hideMark/>
          </w:tcPr>
          <w:p w14:paraId="5579CEDE" w14:textId="140499FE"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2,05%</w:t>
            </w:r>
          </w:p>
        </w:tc>
        <w:tc>
          <w:tcPr>
            <w:tcW w:w="865" w:type="dxa"/>
            <w:shd w:val="clear" w:color="auto" w:fill="auto"/>
            <w:noWrap/>
            <w:vAlign w:val="center"/>
            <w:hideMark/>
          </w:tcPr>
          <w:p w14:paraId="3D0210E3" w14:textId="4B793443"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23.472</w:t>
            </w:r>
          </w:p>
        </w:tc>
        <w:tc>
          <w:tcPr>
            <w:tcW w:w="695" w:type="dxa"/>
            <w:shd w:val="clear" w:color="auto" w:fill="E7E6E6" w:themeFill="background2"/>
            <w:noWrap/>
            <w:vAlign w:val="center"/>
            <w:hideMark/>
          </w:tcPr>
          <w:p w14:paraId="134EA012" w14:textId="6442C1EE"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2,30%</w:t>
            </w:r>
          </w:p>
        </w:tc>
      </w:tr>
      <w:tr w:rsidR="009F75D6" w:rsidRPr="009F75D6" w14:paraId="4E461A7A" w14:textId="77777777" w:rsidTr="00E8509A">
        <w:trPr>
          <w:trHeight w:val="300"/>
        </w:trPr>
        <w:tc>
          <w:tcPr>
            <w:tcW w:w="1273" w:type="dxa"/>
            <w:shd w:val="clear" w:color="auto" w:fill="auto"/>
            <w:noWrap/>
            <w:vAlign w:val="center"/>
            <w:hideMark/>
          </w:tcPr>
          <w:p w14:paraId="4F3A66E4" w14:textId="77777777" w:rsidR="009F75D6" w:rsidRPr="009F75D6" w:rsidRDefault="009F75D6" w:rsidP="009F75D6">
            <w:pPr>
              <w:spacing w:after="0" w:line="240" w:lineRule="auto"/>
              <w:jc w:val="left"/>
              <w:rPr>
                <w:rFonts w:ascii="Calibri" w:eastAsia="Times New Roman" w:hAnsi="Calibri" w:cs="Calibri"/>
                <w:color w:val="000000"/>
                <w:sz w:val="16"/>
                <w:szCs w:val="16"/>
                <w:lang w:eastAsia="hr-HR"/>
              </w:rPr>
            </w:pPr>
            <w:r w:rsidRPr="009F75D6">
              <w:rPr>
                <w:rFonts w:ascii="Calibri" w:eastAsia="Times New Roman" w:hAnsi="Calibri" w:cs="Calibri"/>
                <w:color w:val="000000"/>
                <w:sz w:val="16"/>
                <w:szCs w:val="16"/>
                <w:lang w:eastAsia="hr-HR"/>
              </w:rPr>
              <w:lastRenderedPageBreak/>
              <w:t>Električni i elektronički</w:t>
            </w:r>
          </w:p>
        </w:tc>
        <w:tc>
          <w:tcPr>
            <w:tcW w:w="865" w:type="dxa"/>
            <w:shd w:val="clear" w:color="auto" w:fill="auto"/>
            <w:noWrap/>
            <w:vAlign w:val="center"/>
            <w:hideMark/>
          </w:tcPr>
          <w:p w14:paraId="0E8A0C9A" w14:textId="3142011C"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10.702</w:t>
            </w:r>
          </w:p>
        </w:tc>
        <w:tc>
          <w:tcPr>
            <w:tcW w:w="695" w:type="dxa"/>
            <w:shd w:val="clear" w:color="auto" w:fill="E7E6E6" w:themeFill="background2"/>
            <w:noWrap/>
            <w:vAlign w:val="center"/>
            <w:hideMark/>
          </w:tcPr>
          <w:p w14:paraId="61122644" w14:textId="1B5A8F03"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1,26%</w:t>
            </w:r>
          </w:p>
        </w:tc>
        <w:tc>
          <w:tcPr>
            <w:tcW w:w="865" w:type="dxa"/>
            <w:shd w:val="clear" w:color="auto" w:fill="auto"/>
            <w:noWrap/>
            <w:vAlign w:val="center"/>
            <w:hideMark/>
          </w:tcPr>
          <w:p w14:paraId="1052F2FF" w14:textId="68CD6643"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13.377</w:t>
            </w:r>
          </w:p>
        </w:tc>
        <w:tc>
          <w:tcPr>
            <w:tcW w:w="695" w:type="dxa"/>
            <w:shd w:val="clear" w:color="auto" w:fill="E7E6E6" w:themeFill="background2"/>
            <w:noWrap/>
            <w:vAlign w:val="center"/>
            <w:hideMark/>
          </w:tcPr>
          <w:p w14:paraId="5940D084" w14:textId="60371BBA"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1,40%</w:t>
            </w:r>
          </w:p>
        </w:tc>
        <w:tc>
          <w:tcPr>
            <w:tcW w:w="865" w:type="dxa"/>
            <w:shd w:val="clear" w:color="auto" w:fill="auto"/>
            <w:noWrap/>
            <w:vAlign w:val="center"/>
            <w:hideMark/>
          </w:tcPr>
          <w:p w14:paraId="268C346B" w14:textId="64432DCC"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14.475</w:t>
            </w:r>
          </w:p>
        </w:tc>
        <w:tc>
          <w:tcPr>
            <w:tcW w:w="695" w:type="dxa"/>
            <w:shd w:val="clear" w:color="auto" w:fill="E7E6E6" w:themeFill="background2"/>
            <w:noWrap/>
            <w:vAlign w:val="center"/>
            <w:hideMark/>
          </w:tcPr>
          <w:p w14:paraId="6BC3A5E4" w14:textId="51B35A39"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1,49%</w:t>
            </w:r>
          </w:p>
        </w:tc>
        <w:tc>
          <w:tcPr>
            <w:tcW w:w="865" w:type="dxa"/>
            <w:shd w:val="clear" w:color="auto" w:fill="auto"/>
            <w:noWrap/>
            <w:vAlign w:val="center"/>
            <w:hideMark/>
          </w:tcPr>
          <w:p w14:paraId="4BBFFE6F" w14:textId="53AC9CCC"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15.315</w:t>
            </w:r>
          </w:p>
        </w:tc>
        <w:tc>
          <w:tcPr>
            <w:tcW w:w="695" w:type="dxa"/>
            <w:shd w:val="clear" w:color="auto" w:fill="E7E6E6" w:themeFill="background2"/>
            <w:noWrap/>
            <w:vAlign w:val="center"/>
            <w:hideMark/>
          </w:tcPr>
          <w:p w14:paraId="1F90C3AA" w14:textId="720A1142"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1,55%</w:t>
            </w:r>
          </w:p>
        </w:tc>
        <w:tc>
          <w:tcPr>
            <w:tcW w:w="865" w:type="dxa"/>
            <w:shd w:val="clear" w:color="auto" w:fill="auto"/>
            <w:noWrap/>
            <w:vAlign w:val="center"/>
            <w:hideMark/>
          </w:tcPr>
          <w:p w14:paraId="0FAF1459" w14:textId="7B725457"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17.831</w:t>
            </w:r>
          </w:p>
        </w:tc>
        <w:tc>
          <w:tcPr>
            <w:tcW w:w="695" w:type="dxa"/>
            <w:shd w:val="clear" w:color="auto" w:fill="E7E6E6" w:themeFill="background2"/>
            <w:noWrap/>
            <w:vAlign w:val="center"/>
            <w:hideMark/>
          </w:tcPr>
          <w:p w14:paraId="4AAC47AA" w14:textId="50747EBE"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1,75%</w:t>
            </w:r>
          </w:p>
        </w:tc>
      </w:tr>
      <w:tr w:rsidR="009F75D6" w:rsidRPr="009F75D6" w14:paraId="49FD483B" w14:textId="77777777" w:rsidTr="00E8509A">
        <w:trPr>
          <w:trHeight w:val="300"/>
        </w:trPr>
        <w:tc>
          <w:tcPr>
            <w:tcW w:w="1273" w:type="dxa"/>
            <w:shd w:val="clear" w:color="auto" w:fill="auto"/>
            <w:noWrap/>
            <w:vAlign w:val="center"/>
            <w:hideMark/>
          </w:tcPr>
          <w:p w14:paraId="72728C5D" w14:textId="77777777" w:rsidR="009F75D6" w:rsidRPr="009F75D6" w:rsidRDefault="009F75D6" w:rsidP="009F75D6">
            <w:pPr>
              <w:spacing w:after="0" w:line="240" w:lineRule="auto"/>
              <w:jc w:val="left"/>
              <w:rPr>
                <w:rFonts w:ascii="Calibri" w:eastAsia="Times New Roman" w:hAnsi="Calibri" w:cs="Calibri"/>
                <w:color w:val="000000"/>
                <w:sz w:val="16"/>
                <w:szCs w:val="16"/>
                <w:lang w:eastAsia="hr-HR"/>
              </w:rPr>
            </w:pPr>
            <w:r w:rsidRPr="009F75D6">
              <w:rPr>
                <w:rFonts w:ascii="Calibri" w:eastAsia="Times New Roman" w:hAnsi="Calibri" w:cs="Calibri"/>
                <w:color w:val="000000"/>
                <w:sz w:val="16"/>
                <w:szCs w:val="16"/>
                <w:lang w:eastAsia="hr-HR"/>
              </w:rPr>
              <w:t>Ostali otpad</w:t>
            </w:r>
          </w:p>
        </w:tc>
        <w:tc>
          <w:tcPr>
            <w:tcW w:w="865" w:type="dxa"/>
            <w:shd w:val="clear" w:color="auto" w:fill="auto"/>
            <w:noWrap/>
            <w:vAlign w:val="center"/>
            <w:hideMark/>
          </w:tcPr>
          <w:p w14:paraId="2F7FC805" w14:textId="4BD39132"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 </w:t>
            </w:r>
          </w:p>
        </w:tc>
        <w:tc>
          <w:tcPr>
            <w:tcW w:w="695" w:type="dxa"/>
            <w:shd w:val="clear" w:color="auto" w:fill="E7E6E6" w:themeFill="background2"/>
            <w:noWrap/>
            <w:vAlign w:val="center"/>
            <w:hideMark/>
          </w:tcPr>
          <w:p w14:paraId="54292196" w14:textId="77777777"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p>
        </w:tc>
        <w:tc>
          <w:tcPr>
            <w:tcW w:w="865" w:type="dxa"/>
            <w:shd w:val="clear" w:color="auto" w:fill="auto"/>
            <w:noWrap/>
            <w:vAlign w:val="center"/>
            <w:hideMark/>
          </w:tcPr>
          <w:p w14:paraId="48FA530E" w14:textId="6123839A"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105.276</w:t>
            </w:r>
          </w:p>
        </w:tc>
        <w:tc>
          <w:tcPr>
            <w:tcW w:w="695" w:type="dxa"/>
            <w:shd w:val="clear" w:color="auto" w:fill="E7E6E6" w:themeFill="background2"/>
            <w:noWrap/>
            <w:vAlign w:val="center"/>
            <w:hideMark/>
          </w:tcPr>
          <w:p w14:paraId="46511894" w14:textId="77777777"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p>
        </w:tc>
        <w:tc>
          <w:tcPr>
            <w:tcW w:w="865" w:type="dxa"/>
            <w:shd w:val="clear" w:color="auto" w:fill="auto"/>
            <w:noWrap/>
            <w:vAlign w:val="center"/>
            <w:hideMark/>
          </w:tcPr>
          <w:p w14:paraId="3028AD19" w14:textId="08BC4524"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120.120</w:t>
            </w:r>
          </w:p>
        </w:tc>
        <w:tc>
          <w:tcPr>
            <w:tcW w:w="695" w:type="dxa"/>
            <w:shd w:val="clear" w:color="auto" w:fill="E7E6E6" w:themeFill="background2"/>
            <w:noWrap/>
            <w:vAlign w:val="center"/>
            <w:hideMark/>
          </w:tcPr>
          <w:p w14:paraId="23856EED" w14:textId="77777777"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p>
        </w:tc>
        <w:tc>
          <w:tcPr>
            <w:tcW w:w="865" w:type="dxa"/>
            <w:shd w:val="clear" w:color="auto" w:fill="auto"/>
            <w:noWrap/>
            <w:vAlign w:val="center"/>
            <w:hideMark/>
          </w:tcPr>
          <w:p w14:paraId="50FD4194" w14:textId="74C04CFF"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118.657</w:t>
            </w:r>
          </w:p>
        </w:tc>
        <w:tc>
          <w:tcPr>
            <w:tcW w:w="695" w:type="dxa"/>
            <w:shd w:val="clear" w:color="auto" w:fill="E7E6E6" w:themeFill="background2"/>
            <w:noWrap/>
            <w:vAlign w:val="center"/>
            <w:hideMark/>
          </w:tcPr>
          <w:p w14:paraId="1EC9AF8C" w14:textId="77777777"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p>
        </w:tc>
        <w:tc>
          <w:tcPr>
            <w:tcW w:w="865" w:type="dxa"/>
            <w:shd w:val="clear" w:color="auto" w:fill="auto"/>
            <w:noWrap/>
            <w:vAlign w:val="center"/>
            <w:hideMark/>
          </w:tcPr>
          <w:p w14:paraId="3A604D19" w14:textId="6F3C4455"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135.973</w:t>
            </w:r>
          </w:p>
        </w:tc>
        <w:tc>
          <w:tcPr>
            <w:tcW w:w="695" w:type="dxa"/>
            <w:shd w:val="clear" w:color="auto" w:fill="E7E6E6" w:themeFill="background2"/>
            <w:noWrap/>
            <w:vAlign w:val="center"/>
            <w:hideMark/>
          </w:tcPr>
          <w:p w14:paraId="1B7A9D9D" w14:textId="77777777"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p>
        </w:tc>
      </w:tr>
    </w:tbl>
    <w:p w14:paraId="14C8E21E" w14:textId="77777777" w:rsidR="009F75D6" w:rsidRDefault="009F75D6" w:rsidP="009F75D6"/>
    <w:p w14:paraId="799754D6" w14:textId="1ECFB4A7" w:rsidR="009F75D6" w:rsidRDefault="009F75D6" w:rsidP="009F75D6">
      <w:pPr>
        <w:pStyle w:val="Tablica"/>
      </w:pPr>
      <w:bookmarkStart w:id="257" w:name="_Toc125364431"/>
      <w:r>
        <w:t xml:space="preserve">Tablica </w:t>
      </w:r>
      <w:fldSimple w:instr=" SEQ Tablica \* ARABIC ">
        <w:r w:rsidR="00F37B62">
          <w:rPr>
            <w:noProof/>
          </w:rPr>
          <w:t>42</w:t>
        </w:r>
      </w:fldSimple>
      <w:r>
        <w:t xml:space="preserve">. </w:t>
      </w:r>
      <w:r w:rsidRPr="00180ECE">
        <w:rPr>
          <w:b w:val="0"/>
          <w:bCs/>
        </w:rPr>
        <w:t xml:space="preserve">Pretpostavljena efikasnost postrojenja za obradu </w:t>
      </w:r>
      <w:proofErr w:type="spellStart"/>
      <w:r w:rsidRPr="00180ECE">
        <w:rPr>
          <w:b w:val="0"/>
          <w:bCs/>
        </w:rPr>
        <w:t>mKO</w:t>
      </w:r>
      <w:proofErr w:type="spellEnd"/>
      <w:r w:rsidRPr="00180ECE">
        <w:rPr>
          <w:b w:val="0"/>
          <w:bCs/>
        </w:rPr>
        <w:t xml:space="preserve"> i očekivani izlazi iz CGO-a 2025.</w:t>
      </w:r>
      <w:r>
        <w:rPr>
          <w:b w:val="0"/>
          <w:bCs/>
        </w:rPr>
        <w:t>– SCENARIJ 2</w:t>
      </w:r>
      <w:bookmarkEnd w:id="257"/>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992"/>
        <w:gridCol w:w="992"/>
        <w:gridCol w:w="1049"/>
        <w:gridCol w:w="1103"/>
        <w:gridCol w:w="1358"/>
        <w:gridCol w:w="1031"/>
        <w:gridCol w:w="993"/>
      </w:tblGrid>
      <w:tr w:rsidR="009F75D6" w:rsidRPr="006F5FDB" w14:paraId="09B721F9" w14:textId="77777777" w:rsidTr="000E10DF">
        <w:trPr>
          <w:trHeight w:val="240"/>
          <w:tblHeader/>
        </w:trPr>
        <w:tc>
          <w:tcPr>
            <w:tcW w:w="9493" w:type="dxa"/>
            <w:gridSpan w:val="8"/>
            <w:shd w:val="clear" w:color="auto" w:fill="auto"/>
            <w:noWrap/>
            <w:vAlign w:val="center"/>
            <w:hideMark/>
          </w:tcPr>
          <w:p w14:paraId="3D9EA1EF" w14:textId="7D9B3D50" w:rsidR="009F75D6" w:rsidRPr="006F5FDB" w:rsidRDefault="005D3E57"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2025. godina – SCENARIJ 2</w:t>
            </w:r>
          </w:p>
        </w:tc>
      </w:tr>
      <w:tr w:rsidR="005D3E57" w:rsidRPr="006F5FDB" w14:paraId="131ACAEF" w14:textId="77777777" w:rsidTr="000E10DF">
        <w:trPr>
          <w:trHeight w:val="1125"/>
          <w:tblHeader/>
        </w:trPr>
        <w:tc>
          <w:tcPr>
            <w:tcW w:w="1975" w:type="dxa"/>
            <w:shd w:val="clear" w:color="auto" w:fill="002060"/>
            <w:noWrap/>
            <w:vAlign w:val="center"/>
            <w:hideMark/>
          </w:tcPr>
          <w:p w14:paraId="519F0042"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 </w:t>
            </w:r>
          </w:p>
        </w:tc>
        <w:tc>
          <w:tcPr>
            <w:tcW w:w="992" w:type="dxa"/>
            <w:shd w:val="clear" w:color="auto" w:fill="002060"/>
            <w:noWrap/>
            <w:vAlign w:val="center"/>
            <w:hideMark/>
          </w:tcPr>
          <w:p w14:paraId="5BD9C3A9"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Količina (t)</w:t>
            </w:r>
          </w:p>
        </w:tc>
        <w:tc>
          <w:tcPr>
            <w:tcW w:w="992" w:type="dxa"/>
            <w:shd w:val="clear" w:color="auto" w:fill="002060"/>
            <w:vAlign w:val="center"/>
            <w:hideMark/>
          </w:tcPr>
          <w:p w14:paraId="4C340283"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 xml:space="preserve">Stopa izdvajanja </w:t>
            </w:r>
            <w:proofErr w:type="spellStart"/>
            <w:r w:rsidRPr="006F5FDB">
              <w:rPr>
                <w:rFonts w:ascii="Calibri" w:eastAsia="Times New Roman" w:hAnsi="Calibri" w:cs="Calibri"/>
                <w:b/>
                <w:bCs/>
                <w:color w:val="FFFFFF" w:themeColor="background1"/>
                <w:sz w:val="16"/>
                <w:szCs w:val="16"/>
                <w:lang w:eastAsia="hr-HR"/>
              </w:rPr>
              <w:t>reciklata</w:t>
            </w:r>
            <w:proofErr w:type="spellEnd"/>
          </w:p>
        </w:tc>
        <w:tc>
          <w:tcPr>
            <w:tcW w:w="1049" w:type="dxa"/>
            <w:shd w:val="clear" w:color="auto" w:fill="002060"/>
            <w:vAlign w:val="center"/>
            <w:hideMark/>
          </w:tcPr>
          <w:p w14:paraId="02512673" w14:textId="67CEC91B" w:rsidR="009F75D6" w:rsidRPr="006F5FDB" w:rsidRDefault="001E1A1E"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 xml:space="preserve"> Izdvojena količina </w:t>
            </w:r>
            <w:proofErr w:type="spellStart"/>
            <w:r w:rsidRPr="006F5FDB">
              <w:rPr>
                <w:rFonts w:ascii="Calibri" w:eastAsia="Times New Roman" w:hAnsi="Calibri" w:cs="Calibri"/>
                <w:b/>
                <w:bCs/>
                <w:color w:val="FFFFFF" w:themeColor="background1"/>
                <w:sz w:val="16"/>
                <w:szCs w:val="16"/>
                <w:lang w:eastAsia="hr-HR"/>
              </w:rPr>
              <w:t>reciklata</w:t>
            </w:r>
            <w:proofErr w:type="spellEnd"/>
            <w:r w:rsidRPr="006F5FDB">
              <w:rPr>
                <w:rFonts w:ascii="Calibri" w:eastAsia="Times New Roman" w:hAnsi="Calibri" w:cs="Calibri"/>
                <w:b/>
                <w:bCs/>
                <w:color w:val="FFFFFF" w:themeColor="background1"/>
                <w:sz w:val="16"/>
                <w:szCs w:val="16"/>
                <w:lang w:eastAsia="hr-HR"/>
              </w:rPr>
              <w:t xml:space="preserve">  (t/god)</w:t>
            </w:r>
          </w:p>
        </w:tc>
        <w:tc>
          <w:tcPr>
            <w:tcW w:w="1103" w:type="dxa"/>
            <w:shd w:val="clear" w:color="auto" w:fill="002060"/>
            <w:vAlign w:val="center"/>
            <w:hideMark/>
          </w:tcPr>
          <w:p w14:paraId="7E3CA87F"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Stopa izdvajanja za energetsku oporabu</w:t>
            </w:r>
          </w:p>
        </w:tc>
        <w:tc>
          <w:tcPr>
            <w:tcW w:w="1358" w:type="dxa"/>
            <w:shd w:val="clear" w:color="auto" w:fill="002060"/>
            <w:vAlign w:val="center"/>
            <w:hideMark/>
          </w:tcPr>
          <w:p w14:paraId="7818FC1C" w14:textId="03060939" w:rsidR="009F75D6" w:rsidRPr="006F5FDB" w:rsidRDefault="001E1A1E"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 xml:space="preserve"> Količina koja se upućuje na energetsku oporabu (t/god)</w:t>
            </w:r>
          </w:p>
        </w:tc>
        <w:tc>
          <w:tcPr>
            <w:tcW w:w="1031" w:type="dxa"/>
            <w:shd w:val="clear" w:color="auto" w:fill="002060"/>
            <w:vAlign w:val="center"/>
            <w:hideMark/>
          </w:tcPr>
          <w:p w14:paraId="718CA532"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Stopa upućivanja na odlaganje</w:t>
            </w:r>
          </w:p>
        </w:tc>
        <w:tc>
          <w:tcPr>
            <w:tcW w:w="993" w:type="dxa"/>
            <w:shd w:val="clear" w:color="auto" w:fill="002060"/>
            <w:noWrap/>
            <w:vAlign w:val="center"/>
            <w:hideMark/>
          </w:tcPr>
          <w:p w14:paraId="3AEFF109"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Odlaganje</w:t>
            </w:r>
          </w:p>
          <w:p w14:paraId="3BAA6613" w14:textId="3CC3BB1B" w:rsidR="001E1A1E" w:rsidRPr="006F5FDB" w:rsidRDefault="001E1A1E"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(t/god)</w:t>
            </w:r>
          </w:p>
        </w:tc>
      </w:tr>
      <w:tr w:rsidR="00F50AC4" w:rsidRPr="006F5FDB" w14:paraId="160DE21C" w14:textId="77777777" w:rsidTr="000E10DF">
        <w:trPr>
          <w:trHeight w:val="225"/>
        </w:trPr>
        <w:tc>
          <w:tcPr>
            <w:tcW w:w="1975" w:type="dxa"/>
            <w:shd w:val="clear" w:color="auto" w:fill="auto"/>
            <w:noWrap/>
            <w:vAlign w:val="center"/>
            <w:hideMark/>
          </w:tcPr>
          <w:p w14:paraId="05E7F91C" w14:textId="77777777" w:rsidR="00F50AC4" w:rsidRPr="006F5FDB" w:rsidRDefault="00F50AC4" w:rsidP="00F50AC4">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Količina KO</w:t>
            </w:r>
          </w:p>
        </w:tc>
        <w:tc>
          <w:tcPr>
            <w:tcW w:w="992" w:type="dxa"/>
            <w:shd w:val="clear" w:color="auto" w:fill="auto"/>
            <w:noWrap/>
            <w:vAlign w:val="center"/>
            <w:hideMark/>
          </w:tcPr>
          <w:p w14:paraId="2F4C692F" w14:textId="560A311B" w:rsidR="00F50AC4" w:rsidRPr="006F5FDB" w:rsidRDefault="00F50AC4" w:rsidP="00F50AC4">
            <w:pPr>
              <w:spacing w:after="0" w:line="240" w:lineRule="auto"/>
              <w:jc w:val="center"/>
              <w:rPr>
                <w:rFonts w:ascii="Calibri" w:eastAsia="Times New Roman" w:hAnsi="Calibri" w:cs="Calibri"/>
                <w:b/>
                <w:bCs/>
                <w:color w:val="000000"/>
                <w:sz w:val="16"/>
                <w:szCs w:val="16"/>
                <w:lang w:eastAsia="hr-HR"/>
              </w:rPr>
            </w:pPr>
            <w:r w:rsidRPr="006F5FDB">
              <w:rPr>
                <w:rFonts w:ascii="Calibri" w:hAnsi="Calibri" w:cs="Calibri"/>
                <w:b/>
                <w:bCs/>
                <w:color w:val="000000"/>
                <w:sz w:val="16"/>
                <w:szCs w:val="16"/>
              </w:rPr>
              <w:t>1.913.143</w:t>
            </w:r>
          </w:p>
        </w:tc>
        <w:tc>
          <w:tcPr>
            <w:tcW w:w="992" w:type="dxa"/>
            <w:shd w:val="clear" w:color="auto" w:fill="auto"/>
            <w:noWrap/>
            <w:vAlign w:val="center"/>
            <w:hideMark/>
          </w:tcPr>
          <w:p w14:paraId="216C0AE4" w14:textId="157A1BB9"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49" w:type="dxa"/>
            <w:shd w:val="clear" w:color="auto" w:fill="auto"/>
            <w:noWrap/>
            <w:vAlign w:val="center"/>
            <w:hideMark/>
          </w:tcPr>
          <w:p w14:paraId="48EA8600" w14:textId="1F5F0940"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03" w:type="dxa"/>
            <w:shd w:val="clear" w:color="auto" w:fill="auto"/>
            <w:noWrap/>
            <w:vAlign w:val="center"/>
            <w:hideMark/>
          </w:tcPr>
          <w:p w14:paraId="6823782D" w14:textId="4615C67F"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358" w:type="dxa"/>
            <w:shd w:val="clear" w:color="auto" w:fill="auto"/>
            <w:noWrap/>
            <w:vAlign w:val="center"/>
            <w:hideMark/>
          </w:tcPr>
          <w:p w14:paraId="33C64FCF" w14:textId="071168DF"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31" w:type="dxa"/>
            <w:shd w:val="clear" w:color="auto" w:fill="auto"/>
            <w:noWrap/>
            <w:vAlign w:val="center"/>
            <w:hideMark/>
          </w:tcPr>
          <w:p w14:paraId="59F07C88" w14:textId="54C3B8AE"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993" w:type="dxa"/>
            <w:shd w:val="clear" w:color="auto" w:fill="auto"/>
            <w:noWrap/>
            <w:vAlign w:val="center"/>
            <w:hideMark/>
          </w:tcPr>
          <w:p w14:paraId="79E6606B" w14:textId="1645B9FB"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r>
      <w:tr w:rsidR="00F50AC4" w:rsidRPr="006F5FDB" w14:paraId="48CAC21E" w14:textId="77777777" w:rsidTr="000E10DF">
        <w:trPr>
          <w:trHeight w:val="225"/>
        </w:trPr>
        <w:tc>
          <w:tcPr>
            <w:tcW w:w="1975" w:type="dxa"/>
            <w:shd w:val="clear" w:color="auto" w:fill="auto"/>
            <w:noWrap/>
            <w:vAlign w:val="center"/>
            <w:hideMark/>
          </w:tcPr>
          <w:p w14:paraId="2DA7FBC1" w14:textId="199C7F37" w:rsidR="00F50AC4" w:rsidRPr="006F5FDB" w:rsidRDefault="00F50AC4" w:rsidP="00F50AC4">
            <w:pPr>
              <w:spacing w:after="0" w:line="240" w:lineRule="auto"/>
              <w:jc w:val="left"/>
              <w:rPr>
                <w:rFonts w:ascii="Calibri" w:eastAsia="Times New Roman" w:hAnsi="Calibri" w:cs="Calibri"/>
                <w:b/>
                <w:bCs/>
                <w:color w:val="000000"/>
                <w:sz w:val="16"/>
                <w:szCs w:val="16"/>
                <w:lang w:eastAsia="hr-HR"/>
              </w:rPr>
            </w:pPr>
            <w:proofErr w:type="spellStart"/>
            <w:r w:rsidRPr="006F5FDB">
              <w:rPr>
                <w:rFonts w:ascii="Calibri" w:eastAsia="Times New Roman" w:hAnsi="Calibri" w:cs="Calibri"/>
                <w:b/>
                <w:bCs/>
                <w:color w:val="000000"/>
                <w:sz w:val="16"/>
                <w:szCs w:val="16"/>
                <w:lang w:eastAsia="hr-HR"/>
              </w:rPr>
              <w:t>mKO</w:t>
            </w:r>
            <w:proofErr w:type="spellEnd"/>
            <w:r w:rsidRPr="006F5FDB">
              <w:rPr>
                <w:rFonts w:ascii="Calibri" w:eastAsia="Times New Roman" w:hAnsi="Calibri" w:cs="Calibri"/>
                <w:b/>
                <w:bCs/>
                <w:color w:val="000000"/>
                <w:sz w:val="16"/>
                <w:szCs w:val="16"/>
                <w:lang w:eastAsia="hr-HR"/>
              </w:rPr>
              <w:t xml:space="preserve"> </w:t>
            </w:r>
          </w:p>
        </w:tc>
        <w:tc>
          <w:tcPr>
            <w:tcW w:w="992" w:type="dxa"/>
            <w:shd w:val="clear" w:color="auto" w:fill="auto"/>
            <w:noWrap/>
            <w:vAlign w:val="center"/>
            <w:hideMark/>
          </w:tcPr>
          <w:p w14:paraId="2071DBB4" w14:textId="72E26794" w:rsidR="00F50AC4" w:rsidRPr="006F5FDB" w:rsidRDefault="00F50AC4" w:rsidP="00F50AC4">
            <w:pPr>
              <w:spacing w:after="0" w:line="240" w:lineRule="auto"/>
              <w:jc w:val="center"/>
              <w:rPr>
                <w:rFonts w:ascii="Calibri" w:eastAsia="Times New Roman" w:hAnsi="Calibri" w:cs="Calibri"/>
                <w:b/>
                <w:bCs/>
                <w:color w:val="000000"/>
                <w:sz w:val="16"/>
                <w:szCs w:val="16"/>
                <w:lang w:eastAsia="hr-HR"/>
              </w:rPr>
            </w:pPr>
            <w:r w:rsidRPr="006F5FDB">
              <w:rPr>
                <w:rFonts w:ascii="Calibri" w:hAnsi="Calibri" w:cs="Calibri"/>
                <w:b/>
                <w:bCs/>
                <w:color w:val="000000"/>
                <w:sz w:val="16"/>
                <w:szCs w:val="16"/>
              </w:rPr>
              <w:t>956.571</w:t>
            </w:r>
          </w:p>
        </w:tc>
        <w:tc>
          <w:tcPr>
            <w:tcW w:w="992" w:type="dxa"/>
            <w:shd w:val="clear" w:color="auto" w:fill="auto"/>
            <w:noWrap/>
            <w:vAlign w:val="center"/>
            <w:hideMark/>
          </w:tcPr>
          <w:p w14:paraId="4B0651E5" w14:textId="6235F6AF"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49" w:type="dxa"/>
            <w:shd w:val="clear" w:color="auto" w:fill="auto"/>
            <w:noWrap/>
            <w:vAlign w:val="center"/>
            <w:hideMark/>
          </w:tcPr>
          <w:p w14:paraId="4C809F4C" w14:textId="45305DBF"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03" w:type="dxa"/>
            <w:shd w:val="clear" w:color="auto" w:fill="auto"/>
            <w:noWrap/>
            <w:vAlign w:val="center"/>
            <w:hideMark/>
          </w:tcPr>
          <w:p w14:paraId="7D6C1008" w14:textId="092F1A3B"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358" w:type="dxa"/>
            <w:shd w:val="clear" w:color="auto" w:fill="auto"/>
            <w:noWrap/>
            <w:vAlign w:val="center"/>
            <w:hideMark/>
          </w:tcPr>
          <w:p w14:paraId="35AFF28D" w14:textId="0975283F"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31" w:type="dxa"/>
            <w:shd w:val="clear" w:color="auto" w:fill="auto"/>
            <w:noWrap/>
            <w:vAlign w:val="center"/>
            <w:hideMark/>
          </w:tcPr>
          <w:p w14:paraId="39F8D793" w14:textId="0107A62F"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993" w:type="dxa"/>
            <w:shd w:val="clear" w:color="auto" w:fill="auto"/>
            <w:noWrap/>
            <w:vAlign w:val="center"/>
            <w:hideMark/>
          </w:tcPr>
          <w:p w14:paraId="1A72FFC4" w14:textId="2C1765A9"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r>
      <w:tr w:rsidR="00F50AC4" w:rsidRPr="006F5FDB" w14:paraId="2478F18F" w14:textId="77777777" w:rsidTr="000E10DF">
        <w:trPr>
          <w:trHeight w:val="225"/>
        </w:trPr>
        <w:tc>
          <w:tcPr>
            <w:tcW w:w="1975" w:type="dxa"/>
            <w:shd w:val="clear" w:color="auto" w:fill="auto"/>
            <w:noWrap/>
            <w:vAlign w:val="center"/>
            <w:hideMark/>
          </w:tcPr>
          <w:p w14:paraId="2585D06B"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Papir i karton</w:t>
            </w:r>
          </w:p>
        </w:tc>
        <w:tc>
          <w:tcPr>
            <w:tcW w:w="992" w:type="dxa"/>
            <w:shd w:val="clear" w:color="auto" w:fill="auto"/>
            <w:noWrap/>
            <w:vAlign w:val="center"/>
            <w:hideMark/>
          </w:tcPr>
          <w:p w14:paraId="19995258" w14:textId="5CEFBAD0"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250.658</w:t>
            </w:r>
          </w:p>
        </w:tc>
        <w:tc>
          <w:tcPr>
            <w:tcW w:w="992" w:type="dxa"/>
            <w:shd w:val="clear" w:color="auto" w:fill="auto"/>
            <w:noWrap/>
            <w:vAlign w:val="center"/>
            <w:hideMark/>
          </w:tcPr>
          <w:p w14:paraId="29F8B9A9" w14:textId="41FC372B"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1049" w:type="dxa"/>
            <w:shd w:val="clear" w:color="auto" w:fill="auto"/>
            <w:noWrap/>
            <w:vAlign w:val="center"/>
            <w:hideMark/>
          </w:tcPr>
          <w:p w14:paraId="45F74B01" w14:textId="5B6EE85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25.066</w:t>
            </w:r>
          </w:p>
        </w:tc>
        <w:tc>
          <w:tcPr>
            <w:tcW w:w="1103" w:type="dxa"/>
            <w:shd w:val="clear" w:color="auto" w:fill="auto"/>
            <w:noWrap/>
            <w:vAlign w:val="center"/>
            <w:hideMark/>
          </w:tcPr>
          <w:p w14:paraId="3B05518F" w14:textId="021CD5A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1358" w:type="dxa"/>
            <w:shd w:val="clear" w:color="auto" w:fill="auto"/>
            <w:noWrap/>
            <w:vAlign w:val="center"/>
            <w:hideMark/>
          </w:tcPr>
          <w:p w14:paraId="5616BFE0" w14:textId="5E5563C2"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25.066</w:t>
            </w:r>
          </w:p>
        </w:tc>
        <w:tc>
          <w:tcPr>
            <w:tcW w:w="1031" w:type="dxa"/>
            <w:shd w:val="clear" w:color="auto" w:fill="auto"/>
            <w:noWrap/>
            <w:vAlign w:val="center"/>
            <w:hideMark/>
          </w:tcPr>
          <w:p w14:paraId="41CBE7EA" w14:textId="2B3843B1"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0,80</w:t>
            </w:r>
          </w:p>
        </w:tc>
        <w:tc>
          <w:tcPr>
            <w:tcW w:w="993" w:type="dxa"/>
            <w:shd w:val="clear" w:color="auto" w:fill="auto"/>
            <w:noWrap/>
            <w:vAlign w:val="center"/>
            <w:hideMark/>
          </w:tcPr>
          <w:p w14:paraId="468CD94B" w14:textId="464C515D"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200.526</w:t>
            </w:r>
          </w:p>
        </w:tc>
      </w:tr>
      <w:tr w:rsidR="00F50AC4" w:rsidRPr="006F5FDB" w14:paraId="1E75FA20" w14:textId="77777777" w:rsidTr="000E10DF">
        <w:trPr>
          <w:trHeight w:val="225"/>
        </w:trPr>
        <w:tc>
          <w:tcPr>
            <w:tcW w:w="1975" w:type="dxa"/>
            <w:shd w:val="clear" w:color="auto" w:fill="auto"/>
            <w:noWrap/>
            <w:vAlign w:val="center"/>
            <w:hideMark/>
          </w:tcPr>
          <w:p w14:paraId="4ED7B039"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Metal </w:t>
            </w:r>
          </w:p>
        </w:tc>
        <w:tc>
          <w:tcPr>
            <w:tcW w:w="992" w:type="dxa"/>
            <w:shd w:val="clear" w:color="auto" w:fill="auto"/>
            <w:noWrap/>
            <w:vAlign w:val="center"/>
            <w:hideMark/>
          </w:tcPr>
          <w:p w14:paraId="43905A2A" w14:textId="6482DFE9"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21.112</w:t>
            </w:r>
          </w:p>
        </w:tc>
        <w:tc>
          <w:tcPr>
            <w:tcW w:w="992" w:type="dxa"/>
            <w:shd w:val="clear" w:color="auto" w:fill="auto"/>
            <w:noWrap/>
            <w:vAlign w:val="center"/>
            <w:hideMark/>
          </w:tcPr>
          <w:p w14:paraId="13DFE6D6" w14:textId="7F0699EB"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0,90</w:t>
            </w:r>
          </w:p>
        </w:tc>
        <w:tc>
          <w:tcPr>
            <w:tcW w:w="1049" w:type="dxa"/>
            <w:shd w:val="clear" w:color="auto" w:fill="auto"/>
            <w:noWrap/>
            <w:vAlign w:val="center"/>
            <w:hideMark/>
          </w:tcPr>
          <w:p w14:paraId="0FA75099" w14:textId="673BA66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19.001</w:t>
            </w:r>
          </w:p>
        </w:tc>
        <w:tc>
          <w:tcPr>
            <w:tcW w:w="1103" w:type="dxa"/>
            <w:shd w:val="clear" w:color="auto" w:fill="auto"/>
            <w:noWrap/>
            <w:vAlign w:val="center"/>
            <w:hideMark/>
          </w:tcPr>
          <w:p w14:paraId="20CBC18B" w14:textId="1DE6337B"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358" w:type="dxa"/>
            <w:shd w:val="clear" w:color="auto" w:fill="auto"/>
            <w:noWrap/>
            <w:vAlign w:val="center"/>
            <w:hideMark/>
          </w:tcPr>
          <w:p w14:paraId="43CCC1AB" w14:textId="0FDBCFA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031" w:type="dxa"/>
            <w:shd w:val="clear" w:color="auto" w:fill="auto"/>
            <w:noWrap/>
            <w:vAlign w:val="center"/>
            <w:hideMark/>
          </w:tcPr>
          <w:p w14:paraId="212EA499" w14:textId="5B25640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993" w:type="dxa"/>
            <w:shd w:val="clear" w:color="auto" w:fill="auto"/>
            <w:noWrap/>
            <w:vAlign w:val="center"/>
            <w:hideMark/>
          </w:tcPr>
          <w:p w14:paraId="156D5581" w14:textId="6FCDB75A"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2.111</w:t>
            </w:r>
          </w:p>
        </w:tc>
      </w:tr>
      <w:tr w:rsidR="00F50AC4" w:rsidRPr="006F5FDB" w14:paraId="578CD6A6" w14:textId="77777777" w:rsidTr="000E10DF">
        <w:trPr>
          <w:trHeight w:val="225"/>
        </w:trPr>
        <w:tc>
          <w:tcPr>
            <w:tcW w:w="1975" w:type="dxa"/>
            <w:shd w:val="clear" w:color="auto" w:fill="auto"/>
            <w:noWrap/>
            <w:vAlign w:val="center"/>
            <w:hideMark/>
          </w:tcPr>
          <w:p w14:paraId="2F09634F"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Staklo</w:t>
            </w:r>
          </w:p>
        </w:tc>
        <w:tc>
          <w:tcPr>
            <w:tcW w:w="992" w:type="dxa"/>
            <w:shd w:val="clear" w:color="auto" w:fill="auto"/>
            <w:noWrap/>
            <w:vAlign w:val="center"/>
            <w:hideMark/>
          </w:tcPr>
          <w:p w14:paraId="1633A4B2" w14:textId="11F8D9C6"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47.712</w:t>
            </w:r>
          </w:p>
        </w:tc>
        <w:tc>
          <w:tcPr>
            <w:tcW w:w="992" w:type="dxa"/>
            <w:shd w:val="clear" w:color="auto" w:fill="auto"/>
            <w:noWrap/>
            <w:vAlign w:val="center"/>
            <w:hideMark/>
          </w:tcPr>
          <w:p w14:paraId="5641EFB8" w14:textId="7F352B52"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0,90</w:t>
            </w:r>
          </w:p>
        </w:tc>
        <w:tc>
          <w:tcPr>
            <w:tcW w:w="1049" w:type="dxa"/>
            <w:shd w:val="clear" w:color="auto" w:fill="auto"/>
            <w:noWrap/>
            <w:vAlign w:val="center"/>
            <w:hideMark/>
          </w:tcPr>
          <w:p w14:paraId="3A964261" w14:textId="6A06D1FB"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42.941</w:t>
            </w:r>
          </w:p>
        </w:tc>
        <w:tc>
          <w:tcPr>
            <w:tcW w:w="1103" w:type="dxa"/>
            <w:shd w:val="clear" w:color="auto" w:fill="auto"/>
            <w:noWrap/>
            <w:vAlign w:val="center"/>
            <w:hideMark/>
          </w:tcPr>
          <w:p w14:paraId="317D6997" w14:textId="35E6EFF9"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358" w:type="dxa"/>
            <w:shd w:val="clear" w:color="auto" w:fill="auto"/>
            <w:noWrap/>
            <w:vAlign w:val="center"/>
            <w:hideMark/>
          </w:tcPr>
          <w:p w14:paraId="3348A457" w14:textId="11C4ED9A"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031" w:type="dxa"/>
            <w:shd w:val="clear" w:color="auto" w:fill="auto"/>
            <w:noWrap/>
            <w:vAlign w:val="center"/>
            <w:hideMark/>
          </w:tcPr>
          <w:p w14:paraId="04D57952" w14:textId="7100D81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993" w:type="dxa"/>
            <w:shd w:val="clear" w:color="auto" w:fill="auto"/>
            <w:noWrap/>
            <w:vAlign w:val="center"/>
            <w:hideMark/>
          </w:tcPr>
          <w:p w14:paraId="0C9BFEDB" w14:textId="7D164B92"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4.771</w:t>
            </w:r>
          </w:p>
        </w:tc>
      </w:tr>
      <w:tr w:rsidR="00F50AC4" w:rsidRPr="006F5FDB" w14:paraId="4AAAFDB8" w14:textId="77777777" w:rsidTr="000E10DF">
        <w:trPr>
          <w:trHeight w:val="225"/>
        </w:trPr>
        <w:tc>
          <w:tcPr>
            <w:tcW w:w="1975" w:type="dxa"/>
            <w:shd w:val="clear" w:color="auto" w:fill="auto"/>
            <w:noWrap/>
            <w:vAlign w:val="center"/>
            <w:hideMark/>
          </w:tcPr>
          <w:p w14:paraId="511375E5"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Plastika</w:t>
            </w:r>
          </w:p>
        </w:tc>
        <w:tc>
          <w:tcPr>
            <w:tcW w:w="992" w:type="dxa"/>
            <w:shd w:val="clear" w:color="auto" w:fill="auto"/>
            <w:noWrap/>
            <w:vAlign w:val="center"/>
            <w:hideMark/>
          </w:tcPr>
          <w:p w14:paraId="729EB8FE" w14:textId="42923885"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189.774</w:t>
            </w:r>
          </w:p>
        </w:tc>
        <w:tc>
          <w:tcPr>
            <w:tcW w:w="992" w:type="dxa"/>
            <w:shd w:val="clear" w:color="auto" w:fill="auto"/>
            <w:noWrap/>
            <w:vAlign w:val="center"/>
            <w:hideMark/>
          </w:tcPr>
          <w:p w14:paraId="4E2BCA34" w14:textId="5105B06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0,20</w:t>
            </w:r>
          </w:p>
        </w:tc>
        <w:tc>
          <w:tcPr>
            <w:tcW w:w="1049" w:type="dxa"/>
            <w:shd w:val="clear" w:color="auto" w:fill="auto"/>
            <w:noWrap/>
            <w:vAlign w:val="center"/>
            <w:hideMark/>
          </w:tcPr>
          <w:p w14:paraId="00F91652" w14:textId="4BD8F9C3"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37.955</w:t>
            </w:r>
          </w:p>
        </w:tc>
        <w:tc>
          <w:tcPr>
            <w:tcW w:w="1103" w:type="dxa"/>
            <w:shd w:val="clear" w:color="auto" w:fill="auto"/>
            <w:noWrap/>
            <w:vAlign w:val="center"/>
            <w:hideMark/>
          </w:tcPr>
          <w:p w14:paraId="6ED9EAB4" w14:textId="3E7F5689"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0,40</w:t>
            </w:r>
          </w:p>
        </w:tc>
        <w:tc>
          <w:tcPr>
            <w:tcW w:w="1358" w:type="dxa"/>
            <w:shd w:val="clear" w:color="auto" w:fill="auto"/>
            <w:noWrap/>
            <w:vAlign w:val="center"/>
            <w:hideMark/>
          </w:tcPr>
          <w:p w14:paraId="390DEDF5" w14:textId="28C139B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75.910</w:t>
            </w:r>
          </w:p>
        </w:tc>
        <w:tc>
          <w:tcPr>
            <w:tcW w:w="1031" w:type="dxa"/>
            <w:shd w:val="clear" w:color="auto" w:fill="auto"/>
            <w:noWrap/>
            <w:vAlign w:val="center"/>
            <w:hideMark/>
          </w:tcPr>
          <w:p w14:paraId="666EAB0A" w14:textId="471692C1"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0,60</w:t>
            </w:r>
          </w:p>
        </w:tc>
        <w:tc>
          <w:tcPr>
            <w:tcW w:w="993" w:type="dxa"/>
            <w:shd w:val="clear" w:color="auto" w:fill="auto"/>
            <w:noWrap/>
            <w:vAlign w:val="center"/>
            <w:hideMark/>
          </w:tcPr>
          <w:p w14:paraId="3EA49312" w14:textId="13B4659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113.864</w:t>
            </w:r>
          </w:p>
        </w:tc>
      </w:tr>
      <w:tr w:rsidR="00F50AC4" w:rsidRPr="006F5FDB" w14:paraId="0F85BC77" w14:textId="77777777" w:rsidTr="000E10DF">
        <w:trPr>
          <w:trHeight w:val="225"/>
        </w:trPr>
        <w:tc>
          <w:tcPr>
            <w:tcW w:w="1975" w:type="dxa"/>
            <w:shd w:val="clear" w:color="auto" w:fill="auto"/>
            <w:noWrap/>
            <w:vAlign w:val="center"/>
            <w:hideMark/>
          </w:tcPr>
          <w:p w14:paraId="1CD45011"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Biootpad</w:t>
            </w:r>
          </w:p>
        </w:tc>
        <w:tc>
          <w:tcPr>
            <w:tcW w:w="992" w:type="dxa"/>
            <w:shd w:val="clear" w:color="auto" w:fill="auto"/>
            <w:noWrap/>
            <w:vAlign w:val="center"/>
            <w:hideMark/>
          </w:tcPr>
          <w:p w14:paraId="181055F3" w14:textId="575C71D1"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311.054</w:t>
            </w:r>
          </w:p>
        </w:tc>
        <w:tc>
          <w:tcPr>
            <w:tcW w:w="992" w:type="dxa"/>
            <w:shd w:val="clear" w:color="auto" w:fill="auto"/>
            <w:noWrap/>
            <w:vAlign w:val="center"/>
            <w:hideMark/>
          </w:tcPr>
          <w:p w14:paraId="45BE007A" w14:textId="2FBEBBAF"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049" w:type="dxa"/>
            <w:shd w:val="clear" w:color="auto" w:fill="auto"/>
            <w:noWrap/>
            <w:vAlign w:val="center"/>
            <w:hideMark/>
          </w:tcPr>
          <w:p w14:paraId="252520D0" w14:textId="171E6C1D"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103" w:type="dxa"/>
            <w:shd w:val="clear" w:color="auto" w:fill="auto"/>
            <w:noWrap/>
            <w:vAlign w:val="center"/>
            <w:hideMark/>
          </w:tcPr>
          <w:p w14:paraId="1C6892E6" w14:textId="2A321AEB"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1358" w:type="dxa"/>
            <w:shd w:val="clear" w:color="auto" w:fill="auto"/>
            <w:noWrap/>
            <w:vAlign w:val="center"/>
            <w:hideMark/>
          </w:tcPr>
          <w:p w14:paraId="72D83208" w14:textId="1DCB37A5"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31.105</w:t>
            </w:r>
          </w:p>
        </w:tc>
        <w:tc>
          <w:tcPr>
            <w:tcW w:w="1031" w:type="dxa"/>
            <w:shd w:val="clear" w:color="auto" w:fill="auto"/>
            <w:noWrap/>
            <w:vAlign w:val="center"/>
            <w:hideMark/>
          </w:tcPr>
          <w:p w14:paraId="6B044AC0" w14:textId="7AD8E4D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0,90</w:t>
            </w:r>
          </w:p>
        </w:tc>
        <w:tc>
          <w:tcPr>
            <w:tcW w:w="993" w:type="dxa"/>
            <w:shd w:val="clear" w:color="auto" w:fill="auto"/>
            <w:noWrap/>
            <w:vAlign w:val="center"/>
            <w:hideMark/>
          </w:tcPr>
          <w:p w14:paraId="1EB48CAE" w14:textId="09403A1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139.974</w:t>
            </w:r>
          </w:p>
        </w:tc>
      </w:tr>
      <w:tr w:rsidR="00F50AC4" w:rsidRPr="006F5FDB" w14:paraId="6A2B51EA" w14:textId="77777777" w:rsidTr="000E10DF">
        <w:trPr>
          <w:trHeight w:val="225"/>
        </w:trPr>
        <w:tc>
          <w:tcPr>
            <w:tcW w:w="1975" w:type="dxa"/>
            <w:shd w:val="clear" w:color="auto" w:fill="auto"/>
            <w:noWrap/>
            <w:vAlign w:val="center"/>
            <w:hideMark/>
          </w:tcPr>
          <w:p w14:paraId="189BDF20"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Glomazni otpad</w:t>
            </w:r>
          </w:p>
        </w:tc>
        <w:tc>
          <w:tcPr>
            <w:tcW w:w="992" w:type="dxa"/>
            <w:shd w:val="clear" w:color="auto" w:fill="auto"/>
            <w:noWrap/>
            <w:vAlign w:val="center"/>
            <w:hideMark/>
          </w:tcPr>
          <w:p w14:paraId="2ECB8373" w14:textId="74B7C981"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17.609</w:t>
            </w:r>
          </w:p>
        </w:tc>
        <w:tc>
          <w:tcPr>
            <w:tcW w:w="992" w:type="dxa"/>
            <w:shd w:val="clear" w:color="auto" w:fill="auto"/>
            <w:noWrap/>
            <w:vAlign w:val="center"/>
            <w:hideMark/>
          </w:tcPr>
          <w:p w14:paraId="507EAECA" w14:textId="0E4ED001"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049" w:type="dxa"/>
            <w:shd w:val="clear" w:color="auto" w:fill="auto"/>
            <w:noWrap/>
            <w:vAlign w:val="center"/>
            <w:hideMark/>
          </w:tcPr>
          <w:p w14:paraId="27045752" w14:textId="73AD0132"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103" w:type="dxa"/>
            <w:shd w:val="clear" w:color="auto" w:fill="auto"/>
            <w:noWrap/>
            <w:vAlign w:val="center"/>
            <w:hideMark/>
          </w:tcPr>
          <w:p w14:paraId="6C96B9C1" w14:textId="462735A1"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358" w:type="dxa"/>
            <w:shd w:val="clear" w:color="auto" w:fill="auto"/>
            <w:noWrap/>
            <w:vAlign w:val="center"/>
            <w:hideMark/>
          </w:tcPr>
          <w:p w14:paraId="6D612090" w14:textId="065CF96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031" w:type="dxa"/>
            <w:shd w:val="clear" w:color="auto" w:fill="auto"/>
            <w:noWrap/>
            <w:vAlign w:val="center"/>
            <w:hideMark/>
          </w:tcPr>
          <w:p w14:paraId="422B3377" w14:textId="78F7B0CA"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993" w:type="dxa"/>
            <w:shd w:val="clear" w:color="auto" w:fill="auto"/>
            <w:noWrap/>
            <w:vAlign w:val="center"/>
            <w:hideMark/>
          </w:tcPr>
          <w:p w14:paraId="0E623F84" w14:textId="0E9F208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r>
      <w:tr w:rsidR="00F50AC4" w:rsidRPr="006F5FDB" w14:paraId="40345CFE" w14:textId="77777777" w:rsidTr="000E10DF">
        <w:trPr>
          <w:trHeight w:val="225"/>
        </w:trPr>
        <w:tc>
          <w:tcPr>
            <w:tcW w:w="1975" w:type="dxa"/>
            <w:shd w:val="clear" w:color="auto" w:fill="auto"/>
            <w:noWrap/>
            <w:vAlign w:val="center"/>
            <w:hideMark/>
          </w:tcPr>
          <w:p w14:paraId="1AF2693C"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Električni i elektronički</w:t>
            </w:r>
          </w:p>
        </w:tc>
        <w:tc>
          <w:tcPr>
            <w:tcW w:w="992" w:type="dxa"/>
            <w:shd w:val="clear" w:color="auto" w:fill="auto"/>
            <w:noWrap/>
            <w:vAlign w:val="center"/>
            <w:hideMark/>
          </w:tcPr>
          <w:p w14:paraId="60BBD380" w14:textId="1C1B4F63"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13.377</w:t>
            </w:r>
          </w:p>
        </w:tc>
        <w:tc>
          <w:tcPr>
            <w:tcW w:w="992" w:type="dxa"/>
            <w:shd w:val="clear" w:color="auto" w:fill="auto"/>
            <w:noWrap/>
            <w:vAlign w:val="center"/>
            <w:hideMark/>
          </w:tcPr>
          <w:p w14:paraId="20ADB1E4" w14:textId="39774759"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0,80</w:t>
            </w:r>
          </w:p>
        </w:tc>
        <w:tc>
          <w:tcPr>
            <w:tcW w:w="1049" w:type="dxa"/>
            <w:shd w:val="clear" w:color="auto" w:fill="auto"/>
            <w:noWrap/>
            <w:vAlign w:val="center"/>
            <w:hideMark/>
          </w:tcPr>
          <w:p w14:paraId="428E29E1" w14:textId="7D753C6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10.701</w:t>
            </w:r>
          </w:p>
        </w:tc>
        <w:tc>
          <w:tcPr>
            <w:tcW w:w="1103" w:type="dxa"/>
            <w:shd w:val="clear" w:color="auto" w:fill="auto"/>
            <w:noWrap/>
            <w:vAlign w:val="center"/>
            <w:hideMark/>
          </w:tcPr>
          <w:p w14:paraId="62E98377" w14:textId="7FE36D93"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358" w:type="dxa"/>
            <w:shd w:val="clear" w:color="auto" w:fill="auto"/>
            <w:noWrap/>
            <w:vAlign w:val="center"/>
            <w:hideMark/>
          </w:tcPr>
          <w:p w14:paraId="33654732" w14:textId="4FA3389A"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031" w:type="dxa"/>
            <w:shd w:val="clear" w:color="auto" w:fill="auto"/>
            <w:noWrap/>
            <w:vAlign w:val="center"/>
            <w:hideMark/>
          </w:tcPr>
          <w:p w14:paraId="4F691045" w14:textId="1CA5990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0,20</w:t>
            </w:r>
          </w:p>
        </w:tc>
        <w:tc>
          <w:tcPr>
            <w:tcW w:w="993" w:type="dxa"/>
            <w:shd w:val="clear" w:color="auto" w:fill="auto"/>
            <w:noWrap/>
            <w:vAlign w:val="center"/>
            <w:hideMark/>
          </w:tcPr>
          <w:p w14:paraId="0CA20F5F" w14:textId="65129E1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2.675</w:t>
            </w:r>
          </w:p>
        </w:tc>
      </w:tr>
      <w:tr w:rsidR="00F50AC4" w:rsidRPr="006F5FDB" w14:paraId="4808D38C" w14:textId="77777777" w:rsidTr="000E10DF">
        <w:trPr>
          <w:trHeight w:val="240"/>
        </w:trPr>
        <w:tc>
          <w:tcPr>
            <w:tcW w:w="1975" w:type="dxa"/>
            <w:shd w:val="clear" w:color="auto" w:fill="auto"/>
            <w:noWrap/>
            <w:vAlign w:val="center"/>
            <w:hideMark/>
          </w:tcPr>
          <w:p w14:paraId="33E05FEE"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Ostali otpad</w:t>
            </w:r>
          </w:p>
        </w:tc>
        <w:tc>
          <w:tcPr>
            <w:tcW w:w="992" w:type="dxa"/>
            <w:shd w:val="clear" w:color="auto" w:fill="auto"/>
            <w:noWrap/>
            <w:vAlign w:val="center"/>
            <w:hideMark/>
          </w:tcPr>
          <w:p w14:paraId="41CCF744" w14:textId="7710AED1"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105.276</w:t>
            </w:r>
          </w:p>
        </w:tc>
        <w:tc>
          <w:tcPr>
            <w:tcW w:w="992" w:type="dxa"/>
            <w:shd w:val="clear" w:color="auto" w:fill="auto"/>
            <w:noWrap/>
            <w:vAlign w:val="center"/>
            <w:hideMark/>
          </w:tcPr>
          <w:p w14:paraId="6F36C251" w14:textId="29C42FB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49" w:type="dxa"/>
            <w:shd w:val="clear" w:color="auto" w:fill="auto"/>
            <w:noWrap/>
            <w:vAlign w:val="center"/>
            <w:hideMark/>
          </w:tcPr>
          <w:p w14:paraId="22C99CBB" w14:textId="4DDC43A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103" w:type="dxa"/>
            <w:shd w:val="clear" w:color="auto" w:fill="auto"/>
            <w:noWrap/>
            <w:vAlign w:val="center"/>
            <w:hideMark/>
          </w:tcPr>
          <w:p w14:paraId="2B8E7CCA" w14:textId="71B04CA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1358" w:type="dxa"/>
            <w:shd w:val="clear" w:color="auto" w:fill="auto"/>
            <w:noWrap/>
            <w:vAlign w:val="center"/>
            <w:hideMark/>
          </w:tcPr>
          <w:p w14:paraId="14561678" w14:textId="3FA311B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10.528</w:t>
            </w:r>
          </w:p>
        </w:tc>
        <w:tc>
          <w:tcPr>
            <w:tcW w:w="1031" w:type="dxa"/>
            <w:shd w:val="clear" w:color="auto" w:fill="auto"/>
            <w:noWrap/>
            <w:vAlign w:val="center"/>
            <w:hideMark/>
          </w:tcPr>
          <w:p w14:paraId="45A8BF34" w14:textId="7FB35FED"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0,90</w:t>
            </w:r>
          </w:p>
        </w:tc>
        <w:tc>
          <w:tcPr>
            <w:tcW w:w="993" w:type="dxa"/>
            <w:shd w:val="clear" w:color="auto" w:fill="auto"/>
            <w:noWrap/>
            <w:vAlign w:val="center"/>
            <w:hideMark/>
          </w:tcPr>
          <w:p w14:paraId="75BBFDE9" w14:textId="430F1249"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94.748</w:t>
            </w:r>
          </w:p>
        </w:tc>
      </w:tr>
      <w:tr w:rsidR="00F50AC4" w:rsidRPr="006F5FDB" w14:paraId="0C050500" w14:textId="77777777" w:rsidTr="000E10DF">
        <w:trPr>
          <w:trHeight w:val="315"/>
        </w:trPr>
        <w:tc>
          <w:tcPr>
            <w:tcW w:w="2967" w:type="dxa"/>
            <w:gridSpan w:val="2"/>
            <w:shd w:val="clear" w:color="auto" w:fill="E7E6E6" w:themeFill="background2"/>
            <w:noWrap/>
            <w:vAlign w:val="center"/>
            <w:hideMark/>
          </w:tcPr>
          <w:p w14:paraId="15A87E19" w14:textId="7777777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Ukupna količina (t/god)</w:t>
            </w:r>
          </w:p>
        </w:tc>
        <w:tc>
          <w:tcPr>
            <w:tcW w:w="992" w:type="dxa"/>
            <w:shd w:val="clear" w:color="auto" w:fill="E7E6E6" w:themeFill="background2"/>
            <w:noWrap/>
            <w:vAlign w:val="center"/>
            <w:hideMark/>
          </w:tcPr>
          <w:p w14:paraId="7BFA4F8F" w14:textId="21EA6D04"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49" w:type="dxa"/>
            <w:shd w:val="clear" w:color="auto" w:fill="E7E6E6" w:themeFill="background2"/>
            <w:noWrap/>
            <w:vAlign w:val="center"/>
            <w:hideMark/>
          </w:tcPr>
          <w:p w14:paraId="4CCB0FEB" w14:textId="710ED386"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135.663</w:t>
            </w:r>
          </w:p>
        </w:tc>
        <w:tc>
          <w:tcPr>
            <w:tcW w:w="1103" w:type="dxa"/>
            <w:shd w:val="clear" w:color="auto" w:fill="E7E6E6" w:themeFill="background2"/>
            <w:noWrap/>
            <w:vAlign w:val="center"/>
            <w:hideMark/>
          </w:tcPr>
          <w:p w14:paraId="252E84A9" w14:textId="00F7B17A"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358" w:type="dxa"/>
            <w:shd w:val="clear" w:color="auto" w:fill="E7E6E6" w:themeFill="background2"/>
            <w:noWrap/>
            <w:vAlign w:val="center"/>
            <w:hideMark/>
          </w:tcPr>
          <w:p w14:paraId="04A41C84" w14:textId="3BC1C3B5"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142.608</w:t>
            </w:r>
          </w:p>
        </w:tc>
        <w:tc>
          <w:tcPr>
            <w:tcW w:w="1031" w:type="dxa"/>
            <w:shd w:val="clear" w:color="auto" w:fill="E7E6E6" w:themeFill="background2"/>
            <w:noWrap/>
            <w:vAlign w:val="center"/>
            <w:hideMark/>
          </w:tcPr>
          <w:p w14:paraId="26E6B49E" w14:textId="5DA3DE49"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993" w:type="dxa"/>
            <w:shd w:val="clear" w:color="auto" w:fill="E7E6E6" w:themeFill="background2"/>
            <w:noWrap/>
            <w:vAlign w:val="center"/>
            <w:hideMark/>
          </w:tcPr>
          <w:p w14:paraId="7BABE1DE" w14:textId="1E52BF33"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558.671</w:t>
            </w:r>
          </w:p>
        </w:tc>
      </w:tr>
      <w:tr w:rsidR="00F50AC4" w:rsidRPr="006F5FDB" w14:paraId="0BD83EF6" w14:textId="77777777" w:rsidTr="000E10DF">
        <w:trPr>
          <w:trHeight w:val="315"/>
        </w:trPr>
        <w:tc>
          <w:tcPr>
            <w:tcW w:w="2967" w:type="dxa"/>
            <w:gridSpan w:val="2"/>
            <w:shd w:val="clear" w:color="auto" w:fill="E7E6E6" w:themeFill="background2"/>
            <w:noWrap/>
            <w:vAlign w:val="center"/>
            <w:hideMark/>
          </w:tcPr>
          <w:p w14:paraId="379D9483" w14:textId="7777777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Udio u ulazu u CGO</w:t>
            </w:r>
          </w:p>
        </w:tc>
        <w:tc>
          <w:tcPr>
            <w:tcW w:w="992" w:type="dxa"/>
            <w:shd w:val="clear" w:color="auto" w:fill="E7E6E6" w:themeFill="background2"/>
            <w:noWrap/>
            <w:vAlign w:val="center"/>
            <w:hideMark/>
          </w:tcPr>
          <w:p w14:paraId="33573251" w14:textId="5E1CDFCB"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49" w:type="dxa"/>
            <w:shd w:val="clear" w:color="auto" w:fill="E7E6E6" w:themeFill="background2"/>
            <w:noWrap/>
            <w:vAlign w:val="center"/>
            <w:hideMark/>
          </w:tcPr>
          <w:p w14:paraId="33322744" w14:textId="7C3F35F9"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14%</w:t>
            </w:r>
          </w:p>
        </w:tc>
        <w:tc>
          <w:tcPr>
            <w:tcW w:w="1103" w:type="dxa"/>
            <w:shd w:val="clear" w:color="auto" w:fill="E7E6E6" w:themeFill="background2"/>
            <w:noWrap/>
            <w:vAlign w:val="center"/>
            <w:hideMark/>
          </w:tcPr>
          <w:p w14:paraId="26192D60" w14:textId="342373C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358" w:type="dxa"/>
            <w:shd w:val="clear" w:color="auto" w:fill="E7E6E6" w:themeFill="background2"/>
            <w:noWrap/>
            <w:vAlign w:val="center"/>
            <w:hideMark/>
          </w:tcPr>
          <w:p w14:paraId="2EEE9544" w14:textId="272A1113"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15%</w:t>
            </w:r>
          </w:p>
        </w:tc>
        <w:tc>
          <w:tcPr>
            <w:tcW w:w="1031" w:type="dxa"/>
            <w:shd w:val="clear" w:color="auto" w:fill="E7E6E6" w:themeFill="background2"/>
            <w:noWrap/>
            <w:vAlign w:val="center"/>
            <w:hideMark/>
          </w:tcPr>
          <w:p w14:paraId="11E11FEE" w14:textId="3F0BCE2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993" w:type="dxa"/>
            <w:shd w:val="clear" w:color="auto" w:fill="E7E6E6" w:themeFill="background2"/>
            <w:noWrap/>
            <w:vAlign w:val="center"/>
            <w:hideMark/>
          </w:tcPr>
          <w:p w14:paraId="0492B938" w14:textId="2616676B"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58%</w:t>
            </w:r>
          </w:p>
        </w:tc>
      </w:tr>
    </w:tbl>
    <w:p w14:paraId="01F41DE4" w14:textId="77777777" w:rsidR="009F75D6" w:rsidRDefault="009F75D6" w:rsidP="009F75D6"/>
    <w:p w14:paraId="0D2B61FD" w14:textId="56CC52CE" w:rsidR="009F75D6" w:rsidRDefault="009F75D6" w:rsidP="009F75D6">
      <w:pPr>
        <w:pStyle w:val="Tablica"/>
      </w:pPr>
      <w:bookmarkStart w:id="258" w:name="_Toc125364432"/>
      <w:r>
        <w:t xml:space="preserve">Tablica </w:t>
      </w:r>
      <w:fldSimple w:instr=" SEQ Tablica \* ARABIC ">
        <w:r w:rsidR="00F37B62">
          <w:rPr>
            <w:noProof/>
          </w:rPr>
          <w:t>43</w:t>
        </w:r>
      </w:fldSimple>
      <w:r>
        <w:t xml:space="preserve">. </w:t>
      </w:r>
      <w:r w:rsidRPr="00180ECE">
        <w:rPr>
          <w:b w:val="0"/>
          <w:bCs/>
        </w:rPr>
        <w:t xml:space="preserve">Pretpostavljena efikasnost postrojenja za obradu </w:t>
      </w:r>
      <w:proofErr w:type="spellStart"/>
      <w:r w:rsidRPr="00180ECE">
        <w:rPr>
          <w:b w:val="0"/>
          <w:bCs/>
        </w:rPr>
        <w:t>mKO</w:t>
      </w:r>
      <w:proofErr w:type="spellEnd"/>
      <w:r w:rsidRPr="00180ECE">
        <w:rPr>
          <w:b w:val="0"/>
          <w:bCs/>
        </w:rPr>
        <w:t xml:space="preserve"> i očekivani izlazi iz CGO-a </w:t>
      </w:r>
      <w:r>
        <w:rPr>
          <w:b w:val="0"/>
          <w:bCs/>
        </w:rPr>
        <w:t>2028</w:t>
      </w:r>
      <w:r w:rsidRPr="00180ECE">
        <w:rPr>
          <w:b w:val="0"/>
          <w:bCs/>
        </w:rPr>
        <w:t>.</w:t>
      </w:r>
      <w:r>
        <w:rPr>
          <w:b w:val="0"/>
          <w:bCs/>
        </w:rPr>
        <w:t>– SCENARIJ 2</w:t>
      </w:r>
      <w:bookmarkEnd w:id="258"/>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51"/>
        <w:gridCol w:w="988"/>
        <w:gridCol w:w="1179"/>
        <w:gridCol w:w="1142"/>
        <w:gridCol w:w="1126"/>
        <w:gridCol w:w="1134"/>
        <w:gridCol w:w="993"/>
      </w:tblGrid>
      <w:tr w:rsidR="00C262BD" w:rsidRPr="006F5FDB" w14:paraId="3BD7F7E0" w14:textId="77777777" w:rsidTr="000E10DF">
        <w:trPr>
          <w:trHeight w:val="240"/>
          <w:tblHeader/>
        </w:trPr>
        <w:tc>
          <w:tcPr>
            <w:tcW w:w="9493" w:type="dxa"/>
            <w:gridSpan w:val="8"/>
            <w:shd w:val="clear" w:color="auto" w:fill="auto"/>
            <w:noWrap/>
            <w:vAlign w:val="center"/>
            <w:hideMark/>
          </w:tcPr>
          <w:p w14:paraId="545AD631" w14:textId="646A1F5F" w:rsidR="009F75D6" w:rsidRPr="006F5FDB" w:rsidRDefault="005D3E57"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2028. godina – SCENARIJ 2</w:t>
            </w:r>
          </w:p>
        </w:tc>
      </w:tr>
      <w:tr w:rsidR="00C262BD" w:rsidRPr="006F5FDB" w14:paraId="32B74451" w14:textId="77777777" w:rsidTr="000E10DF">
        <w:trPr>
          <w:trHeight w:val="1125"/>
          <w:tblHeader/>
        </w:trPr>
        <w:tc>
          <w:tcPr>
            <w:tcW w:w="1980" w:type="dxa"/>
            <w:shd w:val="clear" w:color="auto" w:fill="002060"/>
            <w:noWrap/>
            <w:vAlign w:val="center"/>
            <w:hideMark/>
          </w:tcPr>
          <w:p w14:paraId="674D0E03"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 </w:t>
            </w:r>
          </w:p>
        </w:tc>
        <w:tc>
          <w:tcPr>
            <w:tcW w:w="951" w:type="dxa"/>
            <w:shd w:val="clear" w:color="auto" w:fill="002060"/>
            <w:noWrap/>
            <w:vAlign w:val="center"/>
            <w:hideMark/>
          </w:tcPr>
          <w:p w14:paraId="121F676D"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Količina (t)</w:t>
            </w:r>
          </w:p>
        </w:tc>
        <w:tc>
          <w:tcPr>
            <w:tcW w:w="988" w:type="dxa"/>
            <w:shd w:val="clear" w:color="auto" w:fill="002060"/>
            <w:vAlign w:val="center"/>
            <w:hideMark/>
          </w:tcPr>
          <w:p w14:paraId="59CF8E5F"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 xml:space="preserve">Stopa izdvajanja </w:t>
            </w:r>
            <w:proofErr w:type="spellStart"/>
            <w:r w:rsidRPr="006F5FDB">
              <w:rPr>
                <w:rFonts w:ascii="Calibri" w:eastAsia="Times New Roman" w:hAnsi="Calibri" w:cs="Calibri"/>
                <w:b/>
                <w:bCs/>
                <w:color w:val="FFFFFF" w:themeColor="background1"/>
                <w:sz w:val="16"/>
                <w:szCs w:val="16"/>
                <w:lang w:eastAsia="hr-HR"/>
              </w:rPr>
              <w:t>reciklata</w:t>
            </w:r>
            <w:proofErr w:type="spellEnd"/>
          </w:p>
        </w:tc>
        <w:tc>
          <w:tcPr>
            <w:tcW w:w="1179" w:type="dxa"/>
            <w:shd w:val="clear" w:color="auto" w:fill="002060"/>
            <w:vAlign w:val="center"/>
            <w:hideMark/>
          </w:tcPr>
          <w:p w14:paraId="0A95C12F" w14:textId="23C91A9B" w:rsidR="009F75D6" w:rsidRPr="006F5FDB" w:rsidRDefault="001E1A1E"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 xml:space="preserve"> Izdvojena količina </w:t>
            </w:r>
            <w:proofErr w:type="spellStart"/>
            <w:r w:rsidRPr="006F5FDB">
              <w:rPr>
                <w:rFonts w:ascii="Calibri" w:eastAsia="Times New Roman" w:hAnsi="Calibri" w:cs="Calibri"/>
                <w:b/>
                <w:bCs/>
                <w:color w:val="FFFFFF" w:themeColor="background1"/>
                <w:sz w:val="16"/>
                <w:szCs w:val="16"/>
                <w:lang w:eastAsia="hr-HR"/>
              </w:rPr>
              <w:t>reciklata</w:t>
            </w:r>
            <w:proofErr w:type="spellEnd"/>
            <w:r w:rsidRPr="006F5FDB">
              <w:rPr>
                <w:rFonts w:ascii="Calibri" w:eastAsia="Times New Roman" w:hAnsi="Calibri" w:cs="Calibri"/>
                <w:b/>
                <w:bCs/>
                <w:color w:val="FFFFFF" w:themeColor="background1"/>
                <w:sz w:val="16"/>
                <w:szCs w:val="16"/>
                <w:lang w:eastAsia="hr-HR"/>
              </w:rPr>
              <w:t xml:space="preserve">  (t/god)</w:t>
            </w:r>
          </w:p>
        </w:tc>
        <w:tc>
          <w:tcPr>
            <w:tcW w:w="1142" w:type="dxa"/>
            <w:shd w:val="clear" w:color="auto" w:fill="002060"/>
            <w:vAlign w:val="center"/>
            <w:hideMark/>
          </w:tcPr>
          <w:p w14:paraId="2E20E66A"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Stopa izdvajanja za energetsku oporabu</w:t>
            </w:r>
          </w:p>
        </w:tc>
        <w:tc>
          <w:tcPr>
            <w:tcW w:w="1126" w:type="dxa"/>
            <w:shd w:val="clear" w:color="auto" w:fill="002060"/>
            <w:vAlign w:val="center"/>
            <w:hideMark/>
          </w:tcPr>
          <w:p w14:paraId="3F344F25" w14:textId="750E6A92" w:rsidR="009F75D6" w:rsidRPr="006F5FDB" w:rsidRDefault="001E1A1E"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 xml:space="preserve"> Količina koja se upućuje na energetsku oporabu (t/god)</w:t>
            </w:r>
          </w:p>
        </w:tc>
        <w:tc>
          <w:tcPr>
            <w:tcW w:w="1134" w:type="dxa"/>
            <w:shd w:val="clear" w:color="auto" w:fill="002060"/>
            <w:vAlign w:val="center"/>
            <w:hideMark/>
          </w:tcPr>
          <w:p w14:paraId="54CD01BA"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Stopa upućivanja na odlaganje</w:t>
            </w:r>
          </w:p>
        </w:tc>
        <w:tc>
          <w:tcPr>
            <w:tcW w:w="993" w:type="dxa"/>
            <w:shd w:val="clear" w:color="auto" w:fill="002060"/>
            <w:noWrap/>
            <w:vAlign w:val="center"/>
            <w:hideMark/>
          </w:tcPr>
          <w:p w14:paraId="06E5A48A"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Odlaganje</w:t>
            </w:r>
          </w:p>
          <w:p w14:paraId="57C81AC1" w14:textId="3171BC71" w:rsidR="001E1A1E" w:rsidRPr="006F5FDB" w:rsidRDefault="001E1A1E"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(t/god)</w:t>
            </w:r>
          </w:p>
        </w:tc>
      </w:tr>
      <w:tr w:rsidR="00C262BD" w:rsidRPr="006F5FDB" w14:paraId="7CD6978A" w14:textId="77777777" w:rsidTr="000E10DF">
        <w:trPr>
          <w:trHeight w:val="225"/>
        </w:trPr>
        <w:tc>
          <w:tcPr>
            <w:tcW w:w="1980" w:type="dxa"/>
            <w:shd w:val="clear" w:color="auto" w:fill="auto"/>
            <w:noWrap/>
            <w:vAlign w:val="center"/>
            <w:hideMark/>
          </w:tcPr>
          <w:p w14:paraId="3BC4A7F9" w14:textId="77777777" w:rsidR="00F50AC4" w:rsidRPr="006F5FDB" w:rsidRDefault="00F50AC4" w:rsidP="00F50AC4">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Količina KO</w:t>
            </w:r>
          </w:p>
        </w:tc>
        <w:tc>
          <w:tcPr>
            <w:tcW w:w="951" w:type="dxa"/>
            <w:shd w:val="clear" w:color="auto" w:fill="auto"/>
            <w:noWrap/>
            <w:vAlign w:val="center"/>
            <w:hideMark/>
          </w:tcPr>
          <w:p w14:paraId="026CDF6A" w14:textId="670597C8" w:rsidR="00F50AC4" w:rsidRPr="006F5FDB" w:rsidRDefault="00F50AC4" w:rsidP="00F50AC4">
            <w:pPr>
              <w:spacing w:after="0" w:line="240" w:lineRule="auto"/>
              <w:jc w:val="center"/>
              <w:rPr>
                <w:rFonts w:ascii="Calibri" w:eastAsia="Times New Roman" w:hAnsi="Calibri" w:cs="Calibri"/>
                <w:b/>
                <w:bCs/>
                <w:color w:val="000000"/>
                <w:sz w:val="16"/>
                <w:szCs w:val="16"/>
                <w:lang w:eastAsia="hr-HR"/>
              </w:rPr>
            </w:pPr>
            <w:r w:rsidRPr="006F5FDB">
              <w:rPr>
                <w:rFonts w:ascii="Calibri" w:hAnsi="Calibri" w:cs="Calibri"/>
                <w:b/>
                <w:bCs/>
                <w:color w:val="000000"/>
                <w:sz w:val="16"/>
                <w:szCs w:val="16"/>
              </w:rPr>
              <w:t>2.070.164</w:t>
            </w:r>
          </w:p>
        </w:tc>
        <w:tc>
          <w:tcPr>
            <w:tcW w:w="988" w:type="dxa"/>
            <w:shd w:val="clear" w:color="auto" w:fill="auto"/>
            <w:noWrap/>
            <w:vAlign w:val="center"/>
            <w:hideMark/>
          </w:tcPr>
          <w:p w14:paraId="25C3A4D3" w14:textId="02680AEC"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79" w:type="dxa"/>
            <w:shd w:val="clear" w:color="auto" w:fill="auto"/>
            <w:noWrap/>
            <w:vAlign w:val="center"/>
            <w:hideMark/>
          </w:tcPr>
          <w:p w14:paraId="5D96F8C9" w14:textId="49A3F374"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42" w:type="dxa"/>
            <w:shd w:val="clear" w:color="auto" w:fill="auto"/>
            <w:noWrap/>
            <w:vAlign w:val="center"/>
            <w:hideMark/>
          </w:tcPr>
          <w:p w14:paraId="03D32877" w14:textId="18F4412C"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26" w:type="dxa"/>
            <w:shd w:val="clear" w:color="auto" w:fill="auto"/>
            <w:noWrap/>
            <w:vAlign w:val="center"/>
            <w:hideMark/>
          </w:tcPr>
          <w:p w14:paraId="56C410DB" w14:textId="3A14FC62"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34" w:type="dxa"/>
            <w:shd w:val="clear" w:color="auto" w:fill="auto"/>
            <w:noWrap/>
            <w:vAlign w:val="center"/>
            <w:hideMark/>
          </w:tcPr>
          <w:p w14:paraId="3AC7812B" w14:textId="265968F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993" w:type="dxa"/>
            <w:shd w:val="clear" w:color="auto" w:fill="auto"/>
            <w:noWrap/>
            <w:vAlign w:val="center"/>
            <w:hideMark/>
          </w:tcPr>
          <w:p w14:paraId="12B31FC6" w14:textId="190E6374"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r>
      <w:tr w:rsidR="00C262BD" w:rsidRPr="006F5FDB" w14:paraId="7F623D84" w14:textId="77777777" w:rsidTr="000E10DF">
        <w:trPr>
          <w:trHeight w:val="225"/>
        </w:trPr>
        <w:tc>
          <w:tcPr>
            <w:tcW w:w="1980" w:type="dxa"/>
            <w:shd w:val="clear" w:color="auto" w:fill="auto"/>
            <w:noWrap/>
            <w:vAlign w:val="center"/>
            <w:hideMark/>
          </w:tcPr>
          <w:p w14:paraId="4F807434" w14:textId="451B6112" w:rsidR="00F50AC4" w:rsidRPr="006F5FDB" w:rsidRDefault="00F50AC4" w:rsidP="00F50AC4">
            <w:pPr>
              <w:spacing w:after="0" w:line="240" w:lineRule="auto"/>
              <w:jc w:val="left"/>
              <w:rPr>
                <w:rFonts w:ascii="Calibri" w:eastAsia="Times New Roman" w:hAnsi="Calibri" w:cs="Calibri"/>
                <w:b/>
                <w:bCs/>
                <w:color w:val="000000"/>
                <w:sz w:val="16"/>
                <w:szCs w:val="16"/>
                <w:lang w:eastAsia="hr-HR"/>
              </w:rPr>
            </w:pPr>
            <w:proofErr w:type="spellStart"/>
            <w:r w:rsidRPr="006F5FDB">
              <w:rPr>
                <w:rFonts w:ascii="Calibri" w:eastAsia="Times New Roman" w:hAnsi="Calibri" w:cs="Calibri"/>
                <w:b/>
                <w:bCs/>
                <w:color w:val="000000"/>
                <w:sz w:val="16"/>
                <w:szCs w:val="16"/>
                <w:lang w:eastAsia="hr-HR"/>
              </w:rPr>
              <w:t>mKO</w:t>
            </w:r>
            <w:proofErr w:type="spellEnd"/>
            <w:r w:rsidRPr="006F5FDB">
              <w:rPr>
                <w:rFonts w:ascii="Calibri" w:eastAsia="Times New Roman" w:hAnsi="Calibri" w:cs="Calibri"/>
                <w:b/>
                <w:bCs/>
                <w:color w:val="000000"/>
                <w:sz w:val="16"/>
                <w:szCs w:val="16"/>
                <w:lang w:eastAsia="hr-HR"/>
              </w:rPr>
              <w:t xml:space="preserve"> </w:t>
            </w:r>
          </w:p>
        </w:tc>
        <w:tc>
          <w:tcPr>
            <w:tcW w:w="951" w:type="dxa"/>
            <w:shd w:val="clear" w:color="auto" w:fill="auto"/>
            <w:noWrap/>
            <w:vAlign w:val="center"/>
            <w:hideMark/>
          </w:tcPr>
          <w:p w14:paraId="0DF6DE76" w14:textId="190527DC" w:rsidR="00F50AC4" w:rsidRPr="006F5FDB" w:rsidRDefault="00F50AC4" w:rsidP="00F50AC4">
            <w:pPr>
              <w:spacing w:after="0" w:line="240" w:lineRule="auto"/>
              <w:jc w:val="center"/>
              <w:rPr>
                <w:rFonts w:ascii="Calibri" w:eastAsia="Times New Roman" w:hAnsi="Calibri" w:cs="Calibri"/>
                <w:b/>
                <w:bCs/>
                <w:color w:val="000000"/>
                <w:sz w:val="16"/>
                <w:szCs w:val="16"/>
                <w:lang w:eastAsia="hr-HR"/>
              </w:rPr>
            </w:pPr>
            <w:r w:rsidRPr="006F5FDB">
              <w:rPr>
                <w:rFonts w:ascii="Calibri" w:hAnsi="Calibri" w:cs="Calibri"/>
                <w:b/>
                <w:bCs/>
                <w:color w:val="000000"/>
                <w:sz w:val="16"/>
                <w:szCs w:val="16"/>
              </w:rPr>
              <w:t>972.977</w:t>
            </w:r>
          </w:p>
        </w:tc>
        <w:tc>
          <w:tcPr>
            <w:tcW w:w="988" w:type="dxa"/>
            <w:shd w:val="clear" w:color="auto" w:fill="auto"/>
            <w:noWrap/>
            <w:vAlign w:val="center"/>
            <w:hideMark/>
          </w:tcPr>
          <w:p w14:paraId="52C11A1A" w14:textId="5080FAFB"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79" w:type="dxa"/>
            <w:shd w:val="clear" w:color="auto" w:fill="auto"/>
            <w:noWrap/>
            <w:vAlign w:val="center"/>
            <w:hideMark/>
          </w:tcPr>
          <w:p w14:paraId="55132AFD" w14:textId="6F812A3A"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42" w:type="dxa"/>
            <w:shd w:val="clear" w:color="auto" w:fill="auto"/>
            <w:noWrap/>
            <w:vAlign w:val="center"/>
            <w:hideMark/>
          </w:tcPr>
          <w:p w14:paraId="5B651A0E" w14:textId="65ED35BB"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26" w:type="dxa"/>
            <w:shd w:val="clear" w:color="auto" w:fill="auto"/>
            <w:noWrap/>
            <w:vAlign w:val="center"/>
            <w:hideMark/>
          </w:tcPr>
          <w:p w14:paraId="50A56560" w14:textId="3EADA462"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34" w:type="dxa"/>
            <w:shd w:val="clear" w:color="auto" w:fill="auto"/>
            <w:noWrap/>
            <w:vAlign w:val="center"/>
            <w:hideMark/>
          </w:tcPr>
          <w:p w14:paraId="742EE8FE" w14:textId="4F1AA702"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993" w:type="dxa"/>
            <w:shd w:val="clear" w:color="auto" w:fill="auto"/>
            <w:noWrap/>
            <w:vAlign w:val="center"/>
            <w:hideMark/>
          </w:tcPr>
          <w:p w14:paraId="46AD3F4D" w14:textId="433BAB11"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r>
      <w:tr w:rsidR="00C262BD" w:rsidRPr="006F5FDB" w14:paraId="64D65728" w14:textId="77777777" w:rsidTr="000E10DF">
        <w:trPr>
          <w:trHeight w:val="225"/>
        </w:trPr>
        <w:tc>
          <w:tcPr>
            <w:tcW w:w="1980" w:type="dxa"/>
            <w:shd w:val="clear" w:color="auto" w:fill="auto"/>
            <w:noWrap/>
            <w:vAlign w:val="center"/>
            <w:hideMark/>
          </w:tcPr>
          <w:p w14:paraId="76DEFB45"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Papir i karton</w:t>
            </w:r>
          </w:p>
        </w:tc>
        <w:tc>
          <w:tcPr>
            <w:tcW w:w="951" w:type="dxa"/>
            <w:shd w:val="clear" w:color="auto" w:fill="auto"/>
            <w:noWrap/>
            <w:vAlign w:val="center"/>
            <w:hideMark/>
          </w:tcPr>
          <w:p w14:paraId="635A6BE4" w14:textId="232FAFA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249.807</w:t>
            </w:r>
          </w:p>
        </w:tc>
        <w:tc>
          <w:tcPr>
            <w:tcW w:w="988" w:type="dxa"/>
            <w:shd w:val="clear" w:color="auto" w:fill="auto"/>
            <w:noWrap/>
            <w:vAlign w:val="center"/>
            <w:hideMark/>
          </w:tcPr>
          <w:p w14:paraId="1EEA0457" w14:textId="7DF9A60F"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1179" w:type="dxa"/>
            <w:shd w:val="clear" w:color="auto" w:fill="auto"/>
            <w:noWrap/>
            <w:vAlign w:val="center"/>
            <w:hideMark/>
          </w:tcPr>
          <w:p w14:paraId="12B53069" w14:textId="42B572C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24.981</w:t>
            </w:r>
          </w:p>
        </w:tc>
        <w:tc>
          <w:tcPr>
            <w:tcW w:w="1142" w:type="dxa"/>
            <w:shd w:val="clear" w:color="auto" w:fill="auto"/>
            <w:noWrap/>
            <w:vAlign w:val="center"/>
            <w:hideMark/>
          </w:tcPr>
          <w:p w14:paraId="4C0EE577" w14:textId="37D3ED4F"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1126" w:type="dxa"/>
            <w:shd w:val="clear" w:color="auto" w:fill="auto"/>
            <w:noWrap/>
            <w:vAlign w:val="center"/>
            <w:hideMark/>
          </w:tcPr>
          <w:p w14:paraId="7285DE58" w14:textId="3CD97652"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24.981</w:t>
            </w:r>
          </w:p>
        </w:tc>
        <w:tc>
          <w:tcPr>
            <w:tcW w:w="1134" w:type="dxa"/>
            <w:shd w:val="clear" w:color="auto" w:fill="auto"/>
            <w:noWrap/>
            <w:vAlign w:val="center"/>
            <w:hideMark/>
          </w:tcPr>
          <w:p w14:paraId="14AFC730" w14:textId="0B151202"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0,80</w:t>
            </w:r>
          </w:p>
        </w:tc>
        <w:tc>
          <w:tcPr>
            <w:tcW w:w="993" w:type="dxa"/>
            <w:shd w:val="clear" w:color="auto" w:fill="auto"/>
            <w:noWrap/>
            <w:vAlign w:val="center"/>
            <w:hideMark/>
          </w:tcPr>
          <w:p w14:paraId="36794199" w14:textId="0EA8274A"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199.845</w:t>
            </w:r>
          </w:p>
        </w:tc>
      </w:tr>
      <w:tr w:rsidR="00C262BD" w:rsidRPr="006F5FDB" w14:paraId="19191D44" w14:textId="77777777" w:rsidTr="000E10DF">
        <w:trPr>
          <w:trHeight w:val="225"/>
        </w:trPr>
        <w:tc>
          <w:tcPr>
            <w:tcW w:w="1980" w:type="dxa"/>
            <w:shd w:val="clear" w:color="auto" w:fill="auto"/>
            <w:noWrap/>
            <w:vAlign w:val="center"/>
            <w:hideMark/>
          </w:tcPr>
          <w:p w14:paraId="0DDA8BCD"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Metal </w:t>
            </w:r>
          </w:p>
        </w:tc>
        <w:tc>
          <w:tcPr>
            <w:tcW w:w="951" w:type="dxa"/>
            <w:shd w:val="clear" w:color="auto" w:fill="auto"/>
            <w:noWrap/>
            <w:vAlign w:val="center"/>
            <w:hideMark/>
          </w:tcPr>
          <w:p w14:paraId="1431EB07" w14:textId="388CF31D"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22.845</w:t>
            </w:r>
          </w:p>
        </w:tc>
        <w:tc>
          <w:tcPr>
            <w:tcW w:w="988" w:type="dxa"/>
            <w:shd w:val="clear" w:color="auto" w:fill="auto"/>
            <w:noWrap/>
            <w:vAlign w:val="center"/>
            <w:hideMark/>
          </w:tcPr>
          <w:p w14:paraId="5A121DD2" w14:textId="4179224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0,90</w:t>
            </w:r>
          </w:p>
        </w:tc>
        <w:tc>
          <w:tcPr>
            <w:tcW w:w="1179" w:type="dxa"/>
            <w:shd w:val="clear" w:color="auto" w:fill="auto"/>
            <w:noWrap/>
            <w:vAlign w:val="center"/>
            <w:hideMark/>
          </w:tcPr>
          <w:p w14:paraId="040ED690" w14:textId="4B8725D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20.560</w:t>
            </w:r>
          </w:p>
        </w:tc>
        <w:tc>
          <w:tcPr>
            <w:tcW w:w="1142" w:type="dxa"/>
            <w:shd w:val="clear" w:color="auto" w:fill="auto"/>
            <w:noWrap/>
            <w:vAlign w:val="center"/>
            <w:hideMark/>
          </w:tcPr>
          <w:p w14:paraId="4849FA8C" w14:textId="4B1875A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126" w:type="dxa"/>
            <w:shd w:val="clear" w:color="auto" w:fill="auto"/>
            <w:noWrap/>
            <w:vAlign w:val="center"/>
            <w:hideMark/>
          </w:tcPr>
          <w:p w14:paraId="591DBB74" w14:textId="54FF95F9"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134" w:type="dxa"/>
            <w:shd w:val="clear" w:color="auto" w:fill="auto"/>
            <w:noWrap/>
            <w:vAlign w:val="center"/>
            <w:hideMark/>
          </w:tcPr>
          <w:p w14:paraId="64AD2EE0" w14:textId="0A1A532D"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993" w:type="dxa"/>
            <w:shd w:val="clear" w:color="auto" w:fill="auto"/>
            <w:noWrap/>
            <w:vAlign w:val="center"/>
            <w:hideMark/>
          </w:tcPr>
          <w:p w14:paraId="62EC2A21" w14:textId="21C907B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2.284</w:t>
            </w:r>
          </w:p>
        </w:tc>
      </w:tr>
      <w:tr w:rsidR="00C262BD" w:rsidRPr="006F5FDB" w14:paraId="509F3F6E" w14:textId="77777777" w:rsidTr="000E10DF">
        <w:trPr>
          <w:trHeight w:val="225"/>
        </w:trPr>
        <w:tc>
          <w:tcPr>
            <w:tcW w:w="1980" w:type="dxa"/>
            <w:shd w:val="clear" w:color="auto" w:fill="auto"/>
            <w:noWrap/>
            <w:vAlign w:val="center"/>
            <w:hideMark/>
          </w:tcPr>
          <w:p w14:paraId="7384750B"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Staklo</w:t>
            </w:r>
          </w:p>
        </w:tc>
        <w:tc>
          <w:tcPr>
            <w:tcW w:w="951" w:type="dxa"/>
            <w:shd w:val="clear" w:color="auto" w:fill="auto"/>
            <w:noWrap/>
            <w:vAlign w:val="center"/>
            <w:hideMark/>
          </w:tcPr>
          <w:p w14:paraId="3B8B21CE" w14:textId="396602D2"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47.550</w:t>
            </w:r>
          </w:p>
        </w:tc>
        <w:tc>
          <w:tcPr>
            <w:tcW w:w="988" w:type="dxa"/>
            <w:shd w:val="clear" w:color="auto" w:fill="auto"/>
            <w:noWrap/>
            <w:vAlign w:val="center"/>
            <w:hideMark/>
          </w:tcPr>
          <w:p w14:paraId="639CAA95" w14:textId="6A0940C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0,90</w:t>
            </w:r>
          </w:p>
        </w:tc>
        <w:tc>
          <w:tcPr>
            <w:tcW w:w="1179" w:type="dxa"/>
            <w:shd w:val="clear" w:color="auto" w:fill="auto"/>
            <w:noWrap/>
            <w:vAlign w:val="center"/>
            <w:hideMark/>
          </w:tcPr>
          <w:p w14:paraId="0C4912AA" w14:textId="162D0C5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42.795</w:t>
            </w:r>
          </w:p>
        </w:tc>
        <w:tc>
          <w:tcPr>
            <w:tcW w:w="1142" w:type="dxa"/>
            <w:shd w:val="clear" w:color="auto" w:fill="auto"/>
            <w:noWrap/>
            <w:vAlign w:val="center"/>
            <w:hideMark/>
          </w:tcPr>
          <w:p w14:paraId="6A5DB2E3" w14:textId="65759129"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126" w:type="dxa"/>
            <w:shd w:val="clear" w:color="auto" w:fill="auto"/>
            <w:noWrap/>
            <w:vAlign w:val="center"/>
            <w:hideMark/>
          </w:tcPr>
          <w:p w14:paraId="27A491F9" w14:textId="6A35996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134" w:type="dxa"/>
            <w:shd w:val="clear" w:color="auto" w:fill="auto"/>
            <w:noWrap/>
            <w:vAlign w:val="center"/>
            <w:hideMark/>
          </w:tcPr>
          <w:p w14:paraId="6F80B952" w14:textId="46CF9E0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993" w:type="dxa"/>
            <w:shd w:val="clear" w:color="auto" w:fill="auto"/>
            <w:noWrap/>
            <w:vAlign w:val="center"/>
            <w:hideMark/>
          </w:tcPr>
          <w:p w14:paraId="38528403" w14:textId="49F0E153"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4.755</w:t>
            </w:r>
          </w:p>
        </w:tc>
      </w:tr>
      <w:tr w:rsidR="00C262BD" w:rsidRPr="006F5FDB" w14:paraId="47FC5F61" w14:textId="77777777" w:rsidTr="000E10DF">
        <w:trPr>
          <w:trHeight w:val="225"/>
        </w:trPr>
        <w:tc>
          <w:tcPr>
            <w:tcW w:w="1980" w:type="dxa"/>
            <w:shd w:val="clear" w:color="auto" w:fill="auto"/>
            <w:noWrap/>
            <w:vAlign w:val="center"/>
            <w:hideMark/>
          </w:tcPr>
          <w:p w14:paraId="08513EB9"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Plastika</w:t>
            </w:r>
          </w:p>
        </w:tc>
        <w:tc>
          <w:tcPr>
            <w:tcW w:w="951" w:type="dxa"/>
            <w:shd w:val="clear" w:color="auto" w:fill="auto"/>
            <w:noWrap/>
            <w:vAlign w:val="center"/>
            <w:hideMark/>
          </w:tcPr>
          <w:p w14:paraId="2FDFF7EE" w14:textId="753A09A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189.130</w:t>
            </w:r>
          </w:p>
        </w:tc>
        <w:tc>
          <w:tcPr>
            <w:tcW w:w="988" w:type="dxa"/>
            <w:shd w:val="clear" w:color="auto" w:fill="auto"/>
            <w:noWrap/>
            <w:vAlign w:val="center"/>
            <w:hideMark/>
          </w:tcPr>
          <w:p w14:paraId="3E372C32" w14:textId="5BB0765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0,20</w:t>
            </w:r>
          </w:p>
        </w:tc>
        <w:tc>
          <w:tcPr>
            <w:tcW w:w="1179" w:type="dxa"/>
            <w:shd w:val="clear" w:color="auto" w:fill="auto"/>
            <w:noWrap/>
            <w:vAlign w:val="center"/>
            <w:hideMark/>
          </w:tcPr>
          <w:p w14:paraId="65A73F9F" w14:textId="3824C78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37.826</w:t>
            </w:r>
          </w:p>
        </w:tc>
        <w:tc>
          <w:tcPr>
            <w:tcW w:w="1142" w:type="dxa"/>
            <w:shd w:val="clear" w:color="auto" w:fill="auto"/>
            <w:noWrap/>
            <w:vAlign w:val="center"/>
            <w:hideMark/>
          </w:tcPr>
          <w:p w14:paraId="5C409F36" w14:textId="3940654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0,40</w:t>
            </w:r>
          </w:p>
        </w:tc>
        <w:tc>
          <w:tcPr>
            <w:tcW w:w="1126" w:type="dxa"/>
            <w:shd w:val="clear" w:color="auto" w:fill="auto"/>
            <w:noWrap/>
            <w:vAlign w:val="center"/>
            <w:hideMark/>
          </w:tcPr>
          <w:p w14:paraId="3628BC66" w14:textId="4F7FFC46"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75.652</w:t>
            </w:r>
          </w:p>
        </w:tc>
        <w:tc>
          <w:tcPr>
            <w:tcW w:w="1134" w:type="dxa"/>
            <w:shd w:val="clear" w:color="auto" w:fill="auto"/>
            <w:noWrap/>
            <w:vAlign w:val="center"/>
            <w:hideMark/>
          </w:tcPr>
          <w:p w14:paraId="53D07077" w14:textId="5421B57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0,60</w:t>
            </w:r>
          </w:p>
        </w:tc>
        <w:tc>
          <w:tcPr>
            <w:tcW w:w="993" w:type="dxa"/>
            <w:shd w:val="clear" w:color="auto" w:fill="auto"/>
            <w:noWrap/>
            <w:vAlign w:val="center"/>
            <w:hideMark/>
          </w:tcPr>
          <w:p w14:paraId="7E777625" w14:textId="7F80B19F"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113.478</w:t>
            </w:r>
          </w:p>
        </w:tc>
      </w:tr>
      <w:tr w:rsidR="00C262BD" w:rsidRPr="006F5FDB" w14:paraId="395490E9" w14:textId="77777777" w:rsidTr="000E10DF">
        <w:trPr>
          <w:trHeight w:val="225"/>
        </w:trPr>
        <w:tc>
          <w:tcPr>
            <w:tcW w:w="1980" w:type="dxa"/>
            <w:shd w:val="clear" w:color="auto" w:fill="auto"/>
            <w:noWrap/>
            <w:vAlign w:val="center"/>
            <w:hideMark/>
          </w:tcPr>
          <w:p w14:paraId="37E3E27B"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Biootpad</w:t>
            </w:r>
          </w:p>
        </w:tc>
        <w:tc>
          <w:tcPr>
            <w:tcW w:w="951" w:type="dxa"/>
            <w:shd w:val="clear" w:color="auto" w:fill="auto"/>
            <w:noWrap/>
            <w:vAlign w:val="center"/>
            <w:hideMark/>
          </w:tcPr>
          <w:p w14:paraId="3C746525" w14:textId="1BB0C016"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309.998</w:t>
            </w:r>
          </w:p>
        </w:tc>
        <w:tc>
          <w:tcPr>
            <w:tcW w:w="988" w:type="dxa"/>
            <w:shd w:val="clear" w:color="auto" w:fill="auto"/>
            <w:noWrap/>
            <w:vAlign w:val="center"/>
            <w:hideMark/>
          </w:tcPr>
          <w:p w14:paraId="58591BD3" w14:textId="4B2F91B0"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179" w:type="dxa"/>
            <w:shd w:val="clear" w:color="auto" w:fill="auto"/>
            <w:noWrap/>
            <w:vAlign w:val="center"/>
            <w:hideMark/>
          </w:tcPr>
          <w:p w14:paraId="6D8D5041" w14:textId="214046B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142" w:type="dxa"/>
            <w:shd w:val="clear" w:color="auto" w:fill="auto"/>
            <w:noWrap/>
            <w:vAlign w:val="center"/>
            <w:hideMark/>
          </w:tcPr>
          <w:p w14:paraId="614CCF50" w14:textId="3A385700"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1126" w:type="dxa"/>
            <w:shd w:val="clear" w:color="auto" w:fill="auto"/>
            <w:noWrap/>
            <w:vAlign w:val="center"/>
            <w:hideMark/>
          </w:tcPr>
          <w:p w14:paraId="5ABA1A16" w14:textId="0BDECC4D"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31.000</w:t>
            </w:r>
          </w:p>
        </w:tc>
        <w:tc>
          <w:tcPr>
            <w:tcW w:w="1134" w:type="dxa"/>
            <w:shd w:val="clear" w:color="auto" w:fill="auto"/>
            <w:noWrap/>
            <w:vAlign w:val="center"/>
            <w:hideMark/>
          </w:tcPr>
          <w:p w14:paraId="308798A8" w14:textId="10788BF3"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0,90</w:t>
            </w:r>
          </w:p>
        </w:tc>
        <w:tc>
          <w:tcPr>
            <w:tcW w:w="993" w:type="dxa"/>
            <w:shd w:val="clear" w:color="auto" w:fill="auto"/>
            <w:noWrap/>
            <w:vAlign w:val="center"/>
            <w:hideMark/>
          </w:tcPr>
          <w:p w14:paraId="5CF836A0" w14:textId="6A485620"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139.499</w:t>
            </w:r>
          </w:p>
        </w:tc>
      </w:tr>
      <w:tr w:rsidR="00C262BD" w:rsidRPr="006F5FDB" w14:paraId="4CA8A5FD" w14:textId="77777777" w:rsidTr="000E10DF">
        <w:trPr>
          <w:trHeight w:val="225"/>
        </w:trPr>
        <w:tc>
          <w:tcPr>
            <w:tcW w:w="1980" w:type="dxa"/>
            <w:shd w:val="clear" w:color="auto" w:fill="auto"/>
            <w:noWrap/>
            <w:vAlign w:val="center"/>
            <w:hideMark/>
          </w:tcPr>
          <w:p w14:paraId="7C480CFD"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Glomazni otpad</w:t>
            </w:r>
          </w:p>
        </w:tc>
        <w:tc>
          <w:tcPr>
            <w:tcW w:w="951" w:type="dxa"/>
            <w:shd w:val="clear" w:color="auto" w:fill="auto"/>
            <w:noWrap/>
            <w:vAlign w:val="center"/>
            <w:hideMark/>
          </w:tcPr>
          <w:p w14:paraId="732737A6" w14:textId="172071EF"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19.054</w:t>
            </w:r>
          </w:p>
        </w:tc>
        <w:tc>
          <w:tcPr>
            <w:tcW w:w="988" w:type="dxa"/>
            <w:shd w:val="clear" w:color="auto" w:fill="auto"/>
            <w:noWrap/>
            <w:vAlign w:val="center"/>
            <w:hideMark/>
          </w:tcPr>
          <w:p w14:paraId="428ED151" w14:textId="1CE7E99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179" w:type="dxa"/>
            <w:shd w:val="clear" w:color="auto" w:fill="auto"/>
            <w:noWrap/>
            <w:vAlign w:val="center"/>
            <w:hideMark/>
          </w:tcPr>
          <w:p w14:paraId="7C00ED8F" w14:textId="13716AC5"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142" w:type="dxa"/>
            <w:shd w:val="clear" w:color="auto" w:fill="auto"/>
            <w:noWrap/>
            <w:vAlign w:val="center"/>
            <w:hideMark/>
          </w:tcPr>
          <w:p w14:paraId="4AA67EAF" w14:textId="569EBED6"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126" w:type="dxa"/>
            <w:shd w:val="clear" w:color="auto" w:fill="auto"/>
            <w:noWrap/>
            <w:vAlign w:val="center"/>
            <w:hideMark/>
          </w:tcPr>
          <w:p w14:paraId="7056E39A" w14:textId="1BB004B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134" w:type="dxa"/>
            <w:shd w:val="clear" w:color="auto" w:fill="auto"/>
            <w:noWrap/>
            <w:vAlign w:val="center"/>
            <w:hideMark/>
          </w:tcPr>
          <w:p w14:paraId="50667797" w14:textId="3721FAA5"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993" w:type="dxa"/>
            <w:shd w:val="clear" w:color="auto" w:fill="auto"/>
            <w:noWrap/>
            <w:vAlign w:val="center"/>
            <w:hideMark/>
          </w:tcPr>
          <w:p w14:paraId="0606C462" w14:textId="6F41AE1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r>
      <w:tr w:rsidR="00C262BD" w:rsidRPr="006F5FDB" w14:paraId="5A283C40" w14:textId="77777777" w:rsidTr="000E10DF">
        <w:trPr>
          <w:trHeight w:val="225"/>
        </w:trPr>
        <w:tc>
          <w:tcPr>
            <w:tcW w:w="1980" w:type="dxa"/>
            <w:shd w:val="clear" w:color="auto" w:fill="auto"/>
            <w:noWrap/>
            <w:vAlign w:val="center"/>
            <w:hideMark/>
          </w:tcPr>
          <w:p w14:paraId="7CF4B233"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Električni i elektronički</w:t>
            </w:r>
          </w:p>
        </w:tc>
        <w:tc>
          <w:tcPr>
            <w:tcW w:w="951" w:type="dxa"/>
            <w:shd w:val="clear" w:color="auto" w:fill="auto"/>
            <w:noWrap/>
            <w:vAlign w:val="center"/>
            <w:hideMark/>
          </w:tcPr>
          <w:p w14:paraId="52653FD1" w14:textId="774F0B1A"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14.475</w:t>
            </w:r>
          </w:p>
        </w:tc>
        <w:tc>
          <w:tcPr>
            <w:tcW w:w="988" w:type="dxa"/>
            <w:shd w:val="clear" w:color="auto" w:fill="auto"/>
            <w:noWrap/>
            <w:vAlign w:val="center"/>
            <w:hideMark/>
          </w:tcPr>
          <w:p w14:paraId="114E2758" w14:textId="2F2229E1"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0,80</w:t>
            </w:r>
          </w:p>
        </w:tc>
        <w:tc>
          <w:tcPr>
            <w:tcW w:w="1179" w:type="dxa"/>
            <w:shd w:val="clear" w:color="auto" w:fill="auto"/>
            <w:noWrap/>
            <w:vAlign w:val="center"/>
            <w:hideMark/>
          </w:tcPr>
          <w:p w14:paraId="7E481C74" w14:textId="329A20BF"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11.580</w:t>
            </w:r>
          </w:p>
        </w:tc>
        <w:tc>
          <w:tcPr>
            <w:tcW w:w="1142" w:type="dxa"/>
            <w:shd w:val="clear" w:color="auto" w:fill="auto"/>
            <w:noWrap/>
            <w:vAlign w:val="center"/>
            <w:hideMark/>
          </w:tcPr>
          <w:p w14:paraId="2F7884E7" w14:textId="01CEA52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126" w:type="dxa"/>
            <w:shd w:val="clear" w:color="auto" w:fill="auto"/>
            <w:noWrap/>
            <w:vAlign w:val="center"/>
            <w:hideMark/>
          </w:tcPr>
          <w:p w14:paraId="3D8F6803" w14:textId="34921291"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134" w:type="dxa"/>
            <w:shd w:val="clear" w:color="auto" w:fill="auto"/>
            <w:noWrap/>
            <w:vAlign w:val="center"/>
            <w:hideMark/>
          </w:tcPr>
          <w:p w14:paraId="4196099D" w14:textId="217DA3D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0,20</w:t>
            </w:r>
          </w:p>
        </w:tc>
        <w:tc>
          <w:tcPr>
            <w:tcW w:w="993" w:type="dxa"/>
            <w:shd w:val="clear" w:color="auto" w:fill="auto"/>
            <w:noWrap/>
            <w:vAlign w:val="center"/>
            <w:hideMark/>
          </w:tcPr>
          <w:p w14:paraId="33FBB3A9" w14:textId="4FB43B6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2.895</w:t>
            </w:r>
          </w:p>
        </w:tc>
      </w:tr>
      <w:tr w:rsidR="00C262BD" w:rsidRPr="006F5FDB" w14:paraId="5A823D0B" w14:textId="77777777" w:rsidTr="000E10DF">
        <w:trPr>
          <w:trHeight w:val="240"/>
        </w:trPr>
        <w:tc>
          <w:tcPr>
            <w:tcW w:w="1980" w:type="dxa"/>
            <w:shd w:val="clear" w:color="auto" w:fill="auto"/>
            <w:noWrap/>
            <w:vAlign w:val="center"/>
            <w:hideMark/>
          </w:tcPr>
          <w:p w14:paraId="549C45A1"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Ostali otpad</w:t>
            </w:r>
          </w:p>
        </w:tc>
        <w:tc>
          <w:tcPr>
            <w:tcW w:w="951" w:type="dxa"/>
            <w:shd w:val="clear" w:color="auto" w:fill="auto"/>
            <w:noWrap/>
            <w:vAlign w:val="center"/>
            <w:hideMark/>
          </w:tcPr>
          <w:p w14:paraId="0A281E4A" w14:textId="5232F76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120.120</w:t>
            </w:r>
          </w:p>
        </w:tc>
        <w:tc>
          <w:tcPr>
            <w:tcW w:w="988" w:type="dxa"/>
            <w:shd w:val="clear" w:color="auto" w:fill="auto"/>
            <w:noWrap/>
            <w:vAlign w:val="center"/>
            <w:hideMark/>
          </w:tcPr>
          <w:p w14:paraId="401EA678" w14:textId="1D8347C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79" w:type="dxa"/>
            <w:shd w:val="clear" w:color="auto" w:fill="auto"/>
            <w:noWrap/>
            <w:vAlign w:val="center"/>
            <w:hideMark/>
          </w:tcPr>
          <w:p w14:paraId="72E51C29" w14:textId="4D72F603"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142" w:type="dxa"/>
            <w:shd w:val="clear" w:color="auto" w:fill="auto"/>
            <w:noWrap/>
            <w:vAlign w:val="center"/>
            <w:hideMark/>
          </w:tcPr>
          <w:p w14:paraId="5A76578A" w14:textId="2486D79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1126" w:type="dxa"/>
            <w:shd w:val="clear" w:color="auto" w:fill="auto"/>
            <w:noWrap/>
            <w:vAlign w:val="center"/>
            <w:hideMark/>
          </w:tcPr>
          <w:p w14:paraId="090932B6" w14:textId="645DDEA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12.012</w:t>
            </w:r>
          </w:p>
        </w:tc>
        <w:tc>
          <w:tcPr>
            <w:tcW w:w="1134" w:type="dxa"/>
            <w:shd w:val="clear" w:color="auto" w:fill="auto"/>
            <w:noWrap/>
            <w:vAlign w:val="center"/>
            <w:hideMark/>
          </w:tcPr>
          <w:p w14:paraId="40EB20F9" w14:textId="7212DD75"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0,90</w:t>
            </w:r>
          </w:p>
        </w:tc>
        <w:tc>
          <w:tcPr>
            <w:tcW w:w="993" w:type="dxa"/>
            <w:shd w:val="clear" w:color="auto" w:fill="auto"/>
            <w:noWrap/>
            <w:vAlign w:val="center"/>
            <w:hideMark/>
          </w:tcPr>
          <w:p w14:paraId="175CB46B" w14:textId="5CE0FE79"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108.108</w:t>
            </w:r>
          </w:p>
        </w:tc>
      </w:tr>
      <w:tr w:rsidR="00C262BD" w:rsidRPr="006F5FDB" w14:paraId="1E1900F8" w14:textId="77777777" w:rsidTr="000E10DF">
        <w:trPr>
          <w:trHeight w:val="315"/>
        </w:trPr>
        <w:tc>
          <w:tcPr>
            <w:tcW w:w="2931" w:type="dxa"/>
            <w:gridSpan w:val="2"/>
            <w:shd w:val="clear" w:color="auto" w:fill="E7E6E6" w:themeFill="background2"/>
            <w:noWrap/>
            <w:vAlign w:val="center"/>
            <w:hideMark/>
          </w:tcPr>
          <w:p w14:paraId="516CB679" w14:textId="7777777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Ukupna količina (t/god)</w:t>
            </w:r>
          </w:p>
        </w:tc>
        <w:tc>
          <w:tcPr>
            <w:tcW w:w="988" w:type="dxa"/>
            <w:shd w:val="clear" w:color="auto" w:fill="E7E6E6" w:themeFill="background2"/>
            <w:noWrap/>
            <w:vAlign w:val="center"/>
            <w:hideMark/>
          </w:tcPr>
          <w:p w14:paraId="52A113E0" w14:textId="45D2B35E"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79" w:type="dxa"/>
            <w:shd w:val="clear" w:color="auto" w:fill="E7E6E6" w:themeFill="background2"/>
            <w:noWrap/>
            <w:vAlign w:val="center"/>
            <w:hideMark/>
          </w:tcPr>
          <w:p w14:paraId="08846300" w14:textId="617294ED"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137.741</w:t>
            </w:r>
          </w:p>
        </w:tc>
        <w:tc>
          <w:tcPr>
            <w:tcW w:w="1142" w:type="dxa"/>
            <w:shd w:val="clear" w:color="auto" w:fill="E7E6E6" w:themeFill="background2"/>
            <w:noWrap/>
            <w:vAlign w:val="center"/>
            <w:hideMark/>
          </w:tcPr>
          <w:p w14:paraId="59D6BCAF" w14:textId="307CFDD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26" w:type="dxa"/>
            <w:shd w:val="clear" w:color="auto" w:fill="E7E6E6" w:themeFill="background2"/>
            <w:noWrap/>
            <w:vAlign w:val="center"/>
            <w:hideMark/>
          </w:tcPr>
          <w:p w14:paraId="1E115C92" w14:textId="48E4D1D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143.644</w:t>
            </w:r>
          </w:p>
        </w:tc>
        <w:tc>
          <w:tcPr>
            <w:tcW w:w="1134" w:type="dxa"/>
            <w:shd w:val="clear" w:color="auto" w:fill="E7E6E6" w:themeFill="background2"/>
            <w:noWrap/>
            <w:vAlign w:val="center"/>
            <w:hideMark/>
          </w:tcPr>
          <w:p w14:paraId="1B18FC19" w14:textId="6073D46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993" w:type="dxa"/>
            <w:shd w:val="clear" w:color="auto" w:fill="E7E6E6" w:themeFill="background2"/>
            <w:noWrap/>
            <w:vAlign w:val="center"/>
            <w:hideMark/>
          </w:tcPr>
          <w:p w14:paraId="288C0142" w14:textId="019FE75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570.865</w:t>
            </w:r>
          </w:p>
        </w:tc>
      </w:tr>
      <w:tr w:rsidR="00C262BD" w:rsidRPr="006F5FDB" w14:paraId="60D9712F" w14:textId="77777777" w:rsidTr="000E10DF">
        <w:trPr>
          <w:trHeight w:val="315"/>
        </w:trPr>
        <w:tc>
          <w:tcPr>
            <w:tcW w:w="2931" w:type="dxa"/>
            <w:gridSpan w:val="2"/>
            <w:shd w:val="clear" w:color="auto" w:fill="E7E6E6" w:themeFill="background2"/>
            <w:noWrap/>
            <w:vAlign w:val="center"/>
            <w:hideMark/>
          </w:tcPr>
          <w:p w14:paraId="4046E237" w14:textId="7777777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Udio u ulazu u CGO</w:t>
            </w:r>
          </w:p>
        </w:tc>
        <w:tc>
          <w:tcPr>
            <w:tcW w:w="988" w:type="dxa"/>
            <w:shd w:val="clear" w:color="auto" w:fill="E7E6E6" w:themeFill="background2"/>
            <w:noWrap/>
            <w:vAlign w:val="center"/>
            <w:hideMark/>
          </w:tcPr>
          <w:p w14:paraId="7A6133B1" w14:textId="6388EC5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79" w:type="dxa"/>
            <w:shd w:val="clear" w:color="auto" w:fill="E7E6E6" w:themeFill="background2"/>
            <w:noWrap/>
            <w:vAlign w:val="center"/>
            <w:hideMark/>
          </w:tcPr>
          <w:p w14:paraId="7E08F3B9" w14:textId="1C1168C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14%</w:t>
            </w:r>
          </w:p>
        </w:tc>
        <w:tc>
          <w:tcPr>
            <w:tcW w:w="1142" w:type="dxa"/>
            <w:shd w:val="clear" w:color="auto" w:fill="E7E6E6" w:themeFill="background2"/>
            <w:noWrap/>
            <w:vAlign w:val="center"/>
            <w:hideMark/>
          </w:tcPr>
          <w:p w14:paraId="387B0C19" w14:textId="610D8ADA"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26" w:type="dxa"/>
            <w:shd w:val="clear" w:color="auto" w:fill="E7E6E6" w:themeFill="background2"/>
            <w:noWrap/>
            <w:vAlign w:val="center"/>
            <w:hideMark/>
          </w:tcPr>
          <w:p w14:paraId="638BF9B7" w14:textId="68F4E69B"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15%</w:t>
            </w:r>
          </w:p>
        </w:tc>
        <w:tc>
          <w:tcPr>
            <w:tcW w:w="1134" w:type="dxa"/>
            <w:shd w:val="clear" w:color="auto" w:fill="E7E6E6" w:themeFill="background2"/>
            <w:noWrap/>
            <w:vAlign w:val="center"/>
            <w:hideMark/>
          </w:tcPr>
          <w:p w14:paraId="0BF7CB22" w14:textId="261930F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993" w:type="dxa"/>
            <w:shd w:val="clear" w:color="auto" w:fill="E7E6E6" w:themeFill="background2"/>
            <w:noWrap/>
            <w:vAlign w:val="center"/>
            <w:hideMark/>
          </w:tcPr>
          <w:p w14:paraId="3C388F2C" w14:textId="57F6DC1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59%</w:t>
            </w:r>
          </w:p>
        </w:tc>
      </w:tr>
    </w:tbl>
    <w:p w14:paraId="10D80EFD" w14:textId="77777777" w:rsidR="009F75D6" w:rsidRDefault="009F75D6" w:rsidP="009F75D6"/>
    <w:p w14:paraId="4BC3BD80" w14:textId="49D04B27" w:rsidR="009F75D6" w:rsidRDefault="009F75D6" w:rsidP="009F75D6">
      <w:pPr>
        <w:pStyle w:val="Tablica"/>
      </w:pPr>
      <w:bookmarkStart w:id="259" w:name="_Toc125364433"/>
      <w:r>
        <w:t xml:space="preserve">Tablica </w:t>
      </w:r>
      <w:fldSimple w:instr=" SEQ Tablica \* ARABIC ">
        <w:r w:rsidR="00F37B62">
          <w:rPr>
            <w:noProof/>
          </w:rPr>
          <w:t>44</w:t>
        </w:r>
      </w:fldSimple>
      <w:r>
        <w:t xml:space="preserve">. </w:t>
      </w:r>
      <w:r w:rsidRPr="00180ECE">
        <w:rPr>
          <w:b w:val="0"/>
          <w:bCs/>
        </w:rPr>
        <w:t xml:space="preserve">Pretpostavljena efikasnost postrojenja za obradu </w:t>
      </w:r>
      <w:proofErr w:type="spellStart"/>
      <w:r w:rsidRPr="00180ECE">
        <w:rPr>
          <w:b w:val="0"/>
          <w:bCs/>
        </w:rPr>
        <w:t>mKO</w:t>
      </w:r>
      <w:proofErr w:type="spellEnd"/>
      <w:r w:rsidRPr="00180ECE">
        <w:rPr>
          <w:b w:val="0"/>
          <w:bCs/>
        </w:rPr>
        <w:t xml:space="preserve"> i očekivani izlazi iz CGO-a </w:t>
      </w:r>
      <w:r>
        <w:rPr>
          <w:b w:val="0"/>
          <w:bCs/>
        </w:rPr>
        <w:t>2030</w:t>
      </w:r>
      <w:r w:rsidRPr="00180ECE">
        <w:rPr>
          <w:b w:val="0"/>
          <w:bCs/>
        </w:rPr>
        <w:t>.</w:t>
      </w:r>
      <w:r>
        <w:rPr>
          <w:b w:val="0"/>
          <w:bCs/>
        </w:rPr>
        <w:t>– SCENARIJ 2</w:t>
      </w:r>
      <w:bookmarkEnd w:id="259"/>
    </w:p>
    <w:tbl>
      <w:tblP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992"/>
        <w:gridCol w:w="988"/>
        <w:gridCol w:w="1030"/>
        <w:gridCol w:w="1101"/>
        <w:gridCol w:w="1031"/>
        <w:gridCol w:w="1022"/>
        <w:gridCol w:w="956"/>
      </w:tblGrid>
      <w:tr w:rsidR="009F75D6" w:rsidRPr="006F5FDB" w14:paraId="3AEB53D8" w14:textId="77777777" w:rsidTr="00F50AC4">
        <w:trPr>
          <w:trHeight w:val="240"/>
          <w:tblHeader/>
        </w:trPr>
        <w:tc>
          <w:tcPr>
            <w:tcW w:w="9095" w:type="dxa"/>
            <w:gridSpan w:val="8"/>
            <w:shd w:val="clear" w:color="auto" w:fill="auto"/>
            <w:noWrap/>
            <w:vAlign w:val="center"/>
            <w:hideMark/>
          </w:tcPr>
          <w:p w14:paraId="2F49BD2E" w14:textId="389EB5F9" w:rsidR="009F75D6" w:rsidRPr="006F5FDB" w:rsidRDefault="005D3E57"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2030. godina – SCENARIJ 2</w:t>
            </w:r>
          </w:p>
        </w:tc>
      </w:tr>
      <w:tr w:rsidR="005D3E57" w:rsidRPr="006F5FDB" w14:paraId="43866E44" w14:textId="77777777" w:rsidTr="005D3E57">
        <w:trPr>
          <w:trHeight w:val="1125"/>
          <w:tblHeader/>
        </w:trPr>
        <w:tc>
          <w:tcPr>
            <w:tcW w:w="1975" w:type="dxa"/>
            <w:shd w:val="clear" w:color="auto" w:fill="002060"/>
            <w:noWrap/>
            <w:vAlign w:val="center"/>
            <w:hideMark/>
          </w:tcPr>
          <w:p w14:paraId="70FC5FE8"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 </w:t>
            </w:r>
          </w:p>
        </w:tc>
        <w:tc>
          <w:tcPr>
            <w:tcW w:w="992" w:type="dxa"/>
            <w:shd w:val="clear" w:color="auto" w:fill="002060"/>
            <w:noWrap/>
            <w:vAlign w:val="center"/>
            <w:hideMark/>
          </w:tcPr>
          <w:p w14:paraId="1CF82A57"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Količina (t)</w:t>
            </w:r>
          </w:p>
        </w:tc>
        <w:tc>
          <w:tcPr>
            <w:tcW w:w="988" w:type="dxa"/>
            <w:shd w:val="clear" w:color="auto" w:fill="002060"/>
            <w:vAlign w:val="center"/>
            <w:hideMark/>
          </w:tcPr>
          <w:p w14:paraId="777D042C"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 xml:space="preserve">Stopa izdvajanja </w:t>
            </w:r>
            <w:proofErr w:type="spellStart"/>
            <w:r w:rsidRPr="006F5FDB">
              <w:rPr>
                <w:rFonts w:ascii="Calibri" w:eastAsia="Times New Roman" w:hAnsi="Calibri" w:cs="Calibri"/>
                <w:b/>
                <w:bCs/>
                <w:color w:val="FFFFFF" w:themeColor="background1"/>
                <w:sz w:val="16"/>
                <w:szCs w:val="16"/>
                <w:lang w:eastAsia="hr-HR"/>
              </w:rPr>
              <w:t>reciklata</w:t>
            </w:r>
            <w:proofErr w:type="spellEnd"/>
          </w:p>
        </w:tc>
        <w:tc>
          <w:tcPr>
            <w:tcW w:w="1030" w:type="dxa"/>
            <w:shd w:val="clear" w:color="auto" w:fill="002060"/>
            <w:vAlign w:val="center"/>
            <w:hideMark/>
          </w:tcPr>
          <w:p w14:paraId="12161182" w14:textId="4667B718" w:rsidR="009F75D6" w:rsidRPr="006F5FDB" w:rsidRDefault="001E1A1E"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 xml:space="preserve"> Izdvojena količina </w:t>
            </w:r>
            <w:proofErr w:type="spellStart"/>
            <w:r w:rsidRPr="006F5FDB">
              <w:rPr>
                <w:rFonts w:ascii="Calibri" w:eastAsia="Times New Roman" w:hAnsi="Calibri" w:cs="Calibri"/>
                <w:b/>
                <w:bCs/>
                <w:color w:val="FFFFFF" w:themeColor="background1"/>
                <w:sz w:val="16"/>
                <w:szCs w:val="16"/>
                <w:lang w:eastAsia="hr-HR"/>
              </w:rPr>
              <w:t>reciklata</w:t>
            </w:r>
            <w:proofErr w:type="spellEnd"/>
            <w:r w:rsidRPr="006F5FDB">
              <w:rPr>
                <w:rFonts w:ascii="Calibri" w:eastAsia="Times New Roman" w:hAnsi="Calibri" w:cs="Calibri"/>
                <w:b/>
                <w:bCs/>
                <w:color w:val="FFFFFF" w:themeColor="background1"/>
                <w:sz w:val="16"/>
                <w:szCs w:val="16"/>
                <w:lang w:eastAsia="hr-HR"/>
              </w:rPr>
              <w:t xml:space="preserve">  (t/god)</w:t>
            </w:r>
          </w:p>
        </w:tc>
        <w:tc>
          <w:tcPr>
            <w:tcW w:w="1101" w:type="dxa"/>
            <w:shd w:val="clear" w:color="auto" w:fill="002060"/>
            <w:vAlign w:val="center"/>
            <w:hideMark/>
          </w:tcPr>
          <w:p w14:paraId="73AA7613"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Stopa izdvajanja za energetsku oporabu</w:t>
            </w:r>
          </w:p>
        </w:tc>
        <w:tc>
          <w:tcPr>
            <w:tcW w:w="1031" w:type="dxa"/>
            <w:shd w:val="clear" w:color="auto" w:fill="002060"/>
            <w:vAlign w:val="center"/>
            <w:hideMark/>
          </w:tcPr>
          <w:p w14:paraId="6D80AC8A" w14:textId="13E7FF78" w:rsidR="009F75D6" w:rsidRPr="006F5FDB" w:rsidRDefault="001E1A1E"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 xml:space="preserve"> Količina koja se upućuje na energetsku oporabu (t/god)</w:t>
            </w:r>
          </w:p>
        </w:tc>
        <w:tc>
          <w:tcPr>
            <w:tcW w:w="1022" w:type="dxa"/>
            <w:shd w:val="clear" w:color="auto" w:fill="002060"/>
            <w:vAlign w:val="center"/>
            <w:hideMark/>
          </w:tcPr>
          <w:p w14:paraId="7C680ADD"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Stopa upućivanja na odlaganje</w:t>
            </w:r>
          </w:p>
        </w:tc>
        <w:tc>
          <w:tcPr>
            <w:tcW w:w="956" w:type="dxa"/>
            <w:shd w:val="clear" w:color="auto" w:fill="002060"/>
            <w:noWrap/>
            <w:vAlign w:val="center"/>
            <w:hideMark/>
          </w:tcPr>
          <w:p w14:paraId="7357000F"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Odlaganje</w:t>
            </w:r>
          </w:p>
          <w:p w14:paraId="3E75AD4E" w14:textId="723FABC2" w:rsidR="001E1A1E" w:rsidRPr="006F5FDB" w:rsidRDefault="001E1A1E"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(t/god)</w:t>
            </w:r>
          </w:p>
        </w:tc>
      </w:tr>
      <w:tr w:rsidR="00F50AC4" w:rsidRPr="006F5FDB" w14:paraId="5660B002" w14:textId="77777777" w:rsidTr="00F50AC4">
        <w:trPr>
          <w:trHeight w:val="225"/>
        </w:trPr>
        <w:tc>
          <w:tcPr>
            <w:tcW w:w="1975" w:type="dxa"/>
            <w:shd w:val="clear" w:color="auto" w:fill="auto"/>
            <w:noWrap/>
            <w:vAlign w:val="center"/>
            <w:hideMark/>
          </w:tcPr>
          <w:p w14:paraId="1740F3E2" w14:textId="77777777" w:rsidR="00F50AC4" w:rsidRPr="006F5FDB" w:rsidRDefault="00F50AC4" w:rsidP="00F50AC4">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Količina KO</w:t>
            </w:r>
          </w:p>
        </w:tc>
        <w:tc>
          <w:tcPr>
            <w:tcW w:w="992" w:type="dxa"/>
            <w:shd w:val="clear" w:color="auto" w:fill="auto"/>
            <w:noWrap/>
            <w:vAlign w:val="center"/>
            <w:hideMark/>
          </w:tcPr>
          <w:p w14:paraId="31D8DC06" w14:textId="4EC8F16C" w:rsidR="00F50AC4" w:rsidRPr="006F5FDB" w:rsidRDefault="00F50AC4" w:rsidP="00F50AC4">
            <w:pPr>
              <w:spacing w:after="0" w:line="240" w:lineRule="auto"/>
              <w:jc w:val="center"/>
              <w:rPr>
                <w:rFonts w:ascii="Calibri" w:eastAsia="Times New Roman" w:hAnsi="Calibri" w:cs="Calibri"/>
                <w:b/>
                <w:bCs/>
                <w:color w:val="000000"/>
                <w:sz w:val="16"/>
                <w:szCs w:val="16"/>
                <w:lang w:eastAsia="hr-HR"/>
              </w:rPr>
            </w:pPr>
            <w:r w:rsidRPr="006F5FDB">
              <w:rPr>
                <w:rFonts w:ascii="Calibri" w:hAnsi="Calibri" w:cs="Calibri"/>
                <w:b/>
                <w:bCs/>
                <w:color w:val="000000"/>
                <w:sz w:val="16"/>
                <w:szCs w:val="16"/>
              </w:rPr>
              <w:t>2.190.300</w:t>
            </w:r>
          </w:p>
        </w:tc>
        <w:tc>
          <w:tcPr>
            <w:tcW w:w="988" w:type="dxa"/>
            <w:shd w:val="clear" w:color="auto" w:fill="auto"/>
            <w:noWrap/>
            <w:vAlign w:val="center"/>
            <w:hideMark/>
          </w:tcPr>
          <w:p w14:paraId="677DB17D" w14:textId="4BA685EA"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30" w:type="dxa"/>
            <w:shd w:val="clear" w:color="auto" w:fill="auto"/>
            <w:noWrap/>
            <w:vAlign w:val="center"/>
            <w:hideMark/>
          </w:tcPr>
          <w:p w14:paraId="5C0EE40C" w14:textId="2A65F850"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01" w:type="dxa"/>
            <w:shd w:val="clear" w:color="auto" w:fill="auto"/>
            <w:noWrap/>
            <w:vAlign w:val="center"/>
            <w:hideMark/>
          </w:tcPr>
          <w:p w14:paraId="424F7FD1" w14:textId="3D4EE385"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31" w:type="dxa"/>
            <w:shd w:val="clear" w:color="auto" w:fill="auto"/>
            <w:noWrap/>
            <w:vAlign w:val="center"/>
            <w:hideMark/>
          </w:tcPr>
          <w:p w14:paraId="7EE75E7F" w14:textId="12BF615C"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22" w:type="dxa"/>
            <w:shd w:val="clear" w:color="auto" w:fill="auto"/>
            <w:noWrap/>
            <w:vAlign w:val="center"/>
            <w:hideMark/>
          </w:tcPr>
          <w:p w14:paraId="0D212BB8" w14:textId="4507F35D"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956" w:type="dxa"/>
            <w:shd w:val="clear" w:color="auto" w:fill="auto"/>
            <w:noWrap/>
            <w:vAlign w:val="center"/>
            <w:hideMark/>
          </w:tcPr>
          <w:p w14:paraId="4C96F5CE" w14:textId="4C26DE20"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r>
      <w:tr w:rsidR="00F50AC4" w:rsidRPr="006F5FDB" w14:paraId="7FC65531" w14:textId="77777777" w:rsidTr="00F50AC4">
        <w:trPr>
          <w:trHeight w:val="225"/>
        </w:trPr>
        <w:tc>
          <w:tcPr>
            <w:tcW w:w="1975" w:type="dxa"/>
            <w:shd w:val="clear" w:color="auto" w:fill="auto"/>
            <w:noWrap/>
            <w:vAlign w:val="center"/>
            <w:hideMark/>
          </w:tcPr>
          <w:p w14:paraId="564D2434" w14:textId="464059B6" w:rsidR="00F50AC4" w:rsidRPr="006F5FDB" w:rsidRDefault="00F50AC4" w:rsidP="00F50AC4">
            <w:pPr>
              <w:spacing w:after="0" w:line="240" w:lineRule="auto"/>
              <w:jc w:val="left"/>
              <w:rPr>
                <w:rFonts w:ascii="Calibri" w:eastAsia="Times New Roman" w:hAnsi="Calibri" w:cs="Calibri"/>
                <w:b/>
                <w:bCs/>
                <w:color w:val="000000"/>
                <w:sz w:val="16"/>
                <w:szCs w:val="16"/>
                <w:lang w:eastAsia="hr-HR"/>
              </w:rPr>
            </w:pPr>
            <w:proofErr w:type="spellStart"/>
            <w:r w:rsidRPr="006F5FDB">
              <w:rPr>
                <w:rFonts w:ascii="Calibri" w:eastAsia="Times New Roman" w:hAnsi="Calibri" w:cs="Calibri"/>
                <w:b/>
                <w:bCs/>
                <w:color w:val="000000"/>
                <w:sz w:val="16"/>
                <w:szCs w:val="16"/>
                <w:lang w:eastAsia="hr-HR"/>
              </w:rPr>
              <w:t>mKO</w:t>
            </w:r>
            <w:proofErr w:type="spellEnd"/>
            <w:r w:rsidRPr="006F5FDB">
              <w:rPr>
                <w:rFonts w:ascii="Calibri" w:eastAsia="Times New Roman" w:hAnsi="Calibri" w:cs="Calibri"/>
                <w:b/>
                <w:bCs/>
                <w:color w:val="000000"/>
                <w:sz w:val="16"/>
                <w:szCs w:val="16"/>
                <w:lang w:eastAsia="hr-HR"/>
              </w:rPr>
              <w:t xml:space="preserve"> </w:t>
            </w:r>
          </w:p>
        </w:tc>
        <w:tc>
          <w:tcPr>
            <w:tcW w:w="992" w:type="dxa"/>
            <w:shd w:val="clear" w:color="auto" w:fill="auto"/>
            <w:noWrap/>
            <w:vAlign w:val="center"/>
            <w:hideMark/>
          </w:tcPr>
          <w:p w14:paraId="6872B2CF" w14:textId="2CFCEB14" w:rsidR="00F50AC4" w:rsidRPr="006F5FDB" w:rsidRDefault="00F50AC4" w:rsidP="00F50AC4">
            <w:pPr>
              <w:spacing w:after="0" w:line="240" w:lineRule="auto"/>
              <w:jc w:val="center"/>
              <w:rPr>
                <w:rFonts w:ascii="Calibri" w:eastAsia="Times New Roman" w:hAnsi="Calibri" w:cs="Calibri"/>
                <w:b/>
                <w:bCs/>
                <w:color w:val="000000"/>
                <w:sz w:val="16"/>
                <w:szCs w:val="16"/>
                <w:lang w:eastAsia="hr-HR"/>
              </w:rPr>
            </w:pPr>
            <w:r w:rsidRPr="006F5FDB">
              <w:rPr>
                <w:rFonts w:ascii="Calibri" w:hAnsi="Calibri" w:cs="Calibri"/>
                <w:b/>
                <w:bCs/>
                <w:color w:val="000000"/>
                <w:sz w:val="16"/>
                <w:szCs w:val="16"/>
              </w:rPr>
              <w:t>985.635</w:t>
            </w:r>
          </w:p>
        </w:tc>
        <w:tc>
          <w:tcPr>
            <w:tcW w:w="988" w:type="dxa"/>
            <w:shd w:val="clear" w:color="auto" w:fill="auto"/>
            <w:noWrap/>
            <w:vAlign w:val="center"/>
            <w:hideMark/>
          </w:tcPr>
          <w:p w14:paraId="134299D3" w14:textId="270024D1"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30" w:type="dxa"/>
            <w:shd w:val="clear" w:color="auto" w:fill="auto"/>
            <w:noWrap/>
            <w:vAlign w:val="center"/>
            <w:hideMark/>
          </w:tcPr>
          <w:p w14:paraId="7D13F955" w14:textId="1A48C1EB"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01" w:type="dxa"/>
            <w:shd w:val="clear" w:color="auto" w:fill="auto"/>
            <w:noWrap/>
            <w:vAlign w:val="center"/>
            <w:hideMark/>
          </w:tcPr>
          <w:p w14:paraId="02512F3D" w14:textId="7241123E"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31" w:type="dxa"/>
            <w:shd w:val="clear" w:color="auto" w:fill="auto"/>
            <w:noWrap/>
            <w:vAlign w:val="center"/>
            <w:hideMark/>
          </w:tcPr>
          <w:p w14:paraId="7F8DE649" w14:textId="6AAAE2D6"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22" w:type="dxa"/>
            <w:shd w:val="clear" w:color="auto" w:fill="auto"/>
            <w:noWrap/>
            <w:vAlign w:val="center"/>
            <w:hideMark/>
          </w:tcPr>
          <w:p w14:paraId="01C88865" w14:textId="3201D5C0"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956" w:type="dxa"/>
            <w:shd w:val="clear" w:color="auto" w:fill="auto"/>
            <w:noWrap/>
            <w:vAlign w:val="center"/>
            <w:hideMark/>
          </w:tcPr>
          <w:p w14:paraId="05253747" w14:textId="2F4B5581"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r>
      <w:tr w:rsidR="00F50AC4" w:rsidRPr="006F5FDB" w14:paraId="1B9F5EB4" w14:textId="77777777" w:rsidTr="00F50AC4">
        <w:trPr>
          <w:trHeight w:val="225"/>
        </w:trPr>
        <w:tc>
          <w:tcPr>
            <w:tcW w:w="1975" w:type="dxa"/>
            <w:shd w:val="clear" w:color="auto" w:fill="auto"/>
            <w:noWrap/>
            <w:vAlign w:val="center"/>
            <w:hideMark/>
          </w:tcPr>
          <w:p w14:paraId="76BF24AF"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lastRenderedPageBreak/>
              <w:t>Papir i karton</w:t>
            </w:r>
          </w:p>
        </w:tc>
        <w:tc>
          <w:tcPr>
            <w:tcW w:w="992" w:type="dxa"/>
            <w:shd w:val="clear" w:color="auto" w:fill="auto"/>
            <w:noWrap/>
            <w:vAlign w:val="center"/>
            <w:hideMark/>
          </w:tcPr>
          <w:p w14:paraId="1DEF5439" w14:textId="647701E2"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253.210</w:t>
            </w:r>
          </w:p>
        </w:tc>
        <w:tc>
          <w:tcPr>
            <w:tcW w:w="988" w:type="dxa"/>
            <w:shd w:val="clear" w:color="auto" w:fill="auto"/>
            <w:noWrap/>
            <w:vAlign w:val="center"/>
            <w:hideMark/>
          </w:tcPr>
          <w:p w14:paraId="017ED1EC" w14:textId="6ACA41D1"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1030" w:type="dxa"/>
            <w:shd w:val="clear" w:color="auto" w:fill="auto"/>
            <w:noWrap/>
            <w:vAlign w:val="center"/>
            <w:hideMark/>
          </w:tcPr>
          <w:p w14:paraId="7947FB96" w14:textId="37DC99D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25.321</w:t>
            </w:r>
          </w:p>
        </w:tc>
        <w:tc>
          <w:tcPr>
            <w:tcW w:w="1101" w:type="dxa"/>
            <w:shd w:val="clear" w:color="auto" w:fill="auto"/>
            <w:noWrap/>
            <w:vAlign w:val="center"/>
            <w:hideMark/>
          </w:tcPr>
          <w:p w14:paraId="598B93D1" w14:textId="09CF7425"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1031" w:type="dxa"/>
            <w:shd w:val="clear" w:color="auto" w:fill="auto"/>
            <w:noWrap/>
            <w:vAlign w:val="center"/>
            <w:hideMark/>
          </w:tcPr>
          <w:p w14:paraId="5AB294B6" w14:textId="0D097460"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25.321</w:t>
            </w:r>
          </w:p>
        </w:tc>
        <w:tc>
          <w:tcPr>
            <w:tcW w:w="1022" w:type="dxa"/>
            <w:shd w:val="clear" w:color="auto" w:fill="auto"/>
            <w:noWrap/>
            <w:vAlign w:val="center"/>
            <w:hideMark/>
          </w:tcPr>
          <w:p w14:paraId="0FFFF784" w14:textId="3E78C705"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0,80</w:t>
            </w:r>
          </w:p>
        </w:tc>
        <w:tc>
          <w:tcPr>
            <w:tcW w:w="956" w:type="dxa"/>
            <w:shd w:val="clear" w:color="auto" w:fill="auto"/>
            <w:noWrap/>
            <w:vAlign w:val="center"/>
            <w:hideMark/>
          </w:tcPr>
          <w:p w14:paraId="69C73DEB" w14:textId="242A171A"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202.568</w:t>
            </w:r>
          </w:p>
        </w:tc>
      </w:tr>
      <w:tr w:rsidR="00F50AC4" w:rsidRPr="006F5FDB" w14:paraId="1B61CC92" w14:textId="77777777" w:rsidTr="00F50AC4">
        <w:trPr>
          <w:trHeight w:val="225"/>
        </w:trPr>
        <w:tc>
          <w:tcPr>
            <w:tcW w:w="1975" w:type="dxa"/>
            <w:shd w:val="clear" w:color="auto" w:fill="auto"/>
            <w:noWrap/>
            <w:vAlign w:val="center"/>
            <w:hideMark/>
          </w:tcPr>
          <w:p w14:paraId="4C00DC4F"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Metal </w:t>
            </w:r>
          </w:p>
        </w:tc>
        <w:tc>
          <w:tcPr>
            <w:tcW w:w="992" w:type="dxa"/>
            <w:shd w:val="clear" w:color="auto" w:fill="auto"/>
            <w:noWrap/>
            <w:vAlign w:val="center"/>
            <w:hideMark/>
          </w:tcPr>
          <w:p w14:paraId="58109006" w14:textId="0B7D4BF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24.170</w:t>
            </w:r>
          </w:p>
        </w:tc>
        <w:tc>
          <w:tcPr>
            <w:tcW w:w="988" w:type="dxa"/>
            <w:shd w:val="clear" w:color="auto" w:fill="auto"/>
            <w:noWrap/>
            <w:vAlign w:val="center"/>
            <w:hideMark/>
          </w:tcPr>
          <w:p w14:paraId="0E722168" w14:textId="7EE6E17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0,90</w:t>
            </w:r>
          </w:p>
        </w:tc>
        <w:tc>
          <w:tcPr>
            <w:tcW w:w="1030" w:type="dxa"/>
            <w:shd w:val="clear" w:color="auto" w:fill="auto"/>
            <w:noWrap/>
            <w:vAlign w:val="center"/>
            <w:hideMark/>
          </w:tcPr>
          <w:p w14:paraId="4B78437C" w14:textId="6FD9704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21.753</w:t>
            </w:r>
          </w:p>
        </w:tc>
        <w:tc>
          <w:tcPr>
            <w:tcW w:w="1101" w:type="dxa"/>
            <w:shd w:val="clear" w:color="auto" w:fill="auto"/>
            <w:noWrap/>
            <w:vAlign w:val="center"/>
            <w:hideMark/>
          </w:tcPr>
          <w:p w14:paraId="5FC1C86F" w14:textId="5F896231"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031" w:type="dxa"/>
            <w:shd w:val="clear" w:color="auto" w:fill="auto"/>
            <w:noWrap/>
            <w:vAlign w:val="center"/>
            <w:hideMark/>
          </w:tcPr>
          <w:p w14:paraId="283322BE" w14:textId="0032762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022" w:type="dxa"/>
            <w:shd w:val="clear" w:color="auto" w:fill="auto"/>
            <w:noWrap/>
            <w:vAlign w:val="center"/>
            <w:hideMark/>
          </w:tcPr>
          <w:p w14:paraId="4CC89363" w14:textId="2B9B7BE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956" w:type="dxa"/>
            <w:shd w:val="clear" w:color="auto" w:fill="auto"/>
            <w:noWrap/>
            <w:vAlign w:val="center"/>
            <w:hideMark/>
          </w:tcPr>
          <w:p w14:paraId="45CB17EE" w14:textId="58B74FC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2.417</w:t>
            </w:r>
          </w:p>
        </w:tc>
      </w:tr>
      <w:tr w:rsidR="00F50AC4" w:rsidRPr="006F5FDB" w14:paraId="4EC9ACB4" w14:textId="77777777" w:rsidTr="00F50AC4">
        <w:trPr>
          <w:trHeight w:val="225"/>
        </w:trPr>
        <w:tc>
          <w:tcPr>
            <w:tcW w:w="1975" w:type="dxa"/>
            <w:shd w:val="clear" w:color="auto" w:fill="auto"/>
            <w:noWrap/>
            <w:vAlign w:val="center"/>
            <w:hideMark/>
          </w:tcPr>
          <w:p w14:paraId="11F1BEFB"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Staklo</w:t>
            </w:r>
          </w:p>
        </w:tc>
        <w:tc>
          <w:tcPr>
            <w:tcW w:w="992" w:type="dxa"/>
            <w:shd w:val="clear" w:color="auto" w:fill="auto"/>
            <w:noWrap/>
            <w:vAlign w:val="center"/>
            <w:hideMark/>
          </w:tcPr>
          <w:p w14:paraId="023850AB" w14:textId="64E9456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48.198</w:t>
            </w:r>
          </w:p>
        </w:tc>
        <w:tc>
          <w:tcPr>
            <w:tcW w:w="988" w:type="dxa"/>
            <w:shd w:val="clear" w:color="auto" w:fill="auto"/>
            <w:noWrap/>
            <w:vAlign w:val="center"/>
            <w:hideMark/>
          </w:tcPr>
          <w:p w14:paraId="457B6D6A" w14:textId="1E27619D"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0,90</w:t>
            </w:r>
          </w:p>
        </w:tc>
        <w:tc>
          <w:tcPr>
            <w:tcW w:w="1030" w:type="dxa"/>
            <w:shd w:val="clear" w:color="auto" w:fill="auto"/>
            <w:noWrap/>
            <w:vAlign w:val="center"/>
            <w:hideMark/>
          </w:tcPr>
          <w:p w14:paraId="2B214551" w14:textId="77C3BED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43.378</w:t>
            </w:r>
          </w:p>
        </w:tc>
        <w:tc>
          <w:tcPr>
            <w:tcW w:w="1101" w:type="dxa"/>
            <w:shd w:val="clear" w:color="auto" w:fill="auto"/>
            <w:noWrap/>
            <w:vAlign w:val="center"/>
            <w:hideMark/>
          </w:tcPr>
          <w:p w14:paraId="366CFBAF" w14:textId="2838314A"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031" w:type="dxa"/>
            <w:shd w:val="clear" w:color="auto" w:fill="auto"/>
            <w:noWrap/>
            <w:vAlign w:val="center"/>
            <w:hideMark/>
          </w:tcPr>
          <w:p w14:paraId="0E003873" w14:textId="1E19E72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022" w:type="dxa"/>
            <w:shd w:val="clear" w:color="auto" w:fill="auto"/>
            <w:noWrap/>
            <w:vAlign w:val="center"/>
            <w:hideMark/>
          </w:tcPr>
          <w:p w14:paraId="39825F61" w14:textId="4C5CCA00"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956" w:type="dxa"/>
            <w:shd w:val="clear" w:color="auto" w:fill="auto"/>
            <w:noWrap/>
            <w:vAlign w:val="center"/>
            <w:hideMark/>
          </w:tcPr>
          <w:p w14:paraId="5991F0A4" w14:textId="04D3843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4.820</w:t>
            </w:r>
          </w:p>
        </w:tc>
      </w:tr>
      <w:tr w:rsidR="00F50AC4" w:rsidRPr="006F5FDB" w14:paraId="1607AAE9" w14:textId="77777777" w:rsidTr="00F50AC4">
        <w:trPr>
          <w:trHeight w:val="225"/>
        </w:trPr>
        <w:tc>
          <w:tcPr>
            <w:tcW w:w="1975" w:type="dxa"/>
            <w:shd w:val="clear" w:color="auto" w:fill="auto"/>
            <w:noWrap/>
            <w:vAlign w:val="center"/>
            <w:hideMark/>
          </w:tcPr>
          <w:p w14:paraId="29F3492A"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Plastika</w:t>
            </w:r>
          </w:p>
        </w:tc>
        <w:tc>
          <w:tcPr>
            <w:tcW w:w="992" w:type="dxa"/>
            <w:shd w:val="clear" w:color="auto" w:fill="auto"/>
            <w:noWrap/>
            <w:vAlign w:val="center"/>
            <w:hideMark/>
          </w:tcPr>
          <w:p w14:paraId="754A8694" w14:textId="013F2F0B"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191.706</w:t>
            </w:r>
          </w:p>
        </w:tc>
        <w:tc>
          <w:tcPr>
            <w:tcW w:w="988" w:type="dxa"/>
            <w:shd w:val="clear" w:color="auto" w:fill="auto"/>
            <w:noWrap/>
            <w:vAlign w:val="center"/>
            <w:hideMark/>
          </w:tcPr>
          <w:p w14:paraId="4719D00E" w14:textId="4210CD2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0,20</w:t>
            </w:r>
          </w:p>
        </w:tc>
        <w:tc>
          <w:tcPr>
            <w:tcW w:w="1030" w:type="dxa"/>
            <w:shd w:val="clear" w:color="auto" w:fill="auto"/>
            <w:noWrap/>
            <w:vAlign w:val="center"/>
            <w:hideMark/>
          </w:tcPr>
          <w:p w14:paraId="444F7F54" w14:textId="0EFC61C6"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38.341</w:t>
            </w:r>
          </w:p>
        </w:tc>
        <w:tc>
          <w:tcPr>
            <w:tcW w:w="1101" w:type="dxa"/>
            <w:shd w:val="clear" w:color="auto" w:fill="auto"/>
            <w:noWrap/>
            <w:vAlign w:val="center"/>
            <w:hideMark/>
          </w:tcPr>
          <w:p w14:paraId="38D495FA" w14:textId="3BBEC3AD"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0,40</w:t>
            </w:r>
          </w:p>
        </w:tc>
        <w:tc>
          <w:tcPr>
            <w:tcW w:w="1031" w:type="dxa"/>
            <w:shd w:val="clear" w:color="auto" w:fill="auto"/>
            <w:noWrap/>
            <w:vAlign w:val="center"/>
            <w:hideMark/>
          </w:tcPr>
          <w:p w14:paraId="4E8A7734" w14:textId="74B2D95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76.682</w:t>
            </w:r>
          </w:p>
        </w:tc>
        <w:tc>
          <w:tcPr>
            <w:tcW w:w="1022" w:type="dxa"/>
            <w:shd w:val="clear" w:color="auto" w:fill="auto"/>
            <w:noWrap/>
            <w:vAlign w:val="center"/>
            <w:hideMark/>
          </w:tcPr>
          <w:p w14:paraId="310BE87F" w14:textId="0BF9004F"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0,60</w:t>
            </w:r>
          </w:p>
        </w:tc>
        <w:tc>
          <w:tcPr>
            <w:tcW w:w="956" w:type="dxa"/>
            <w:shd w:val="clear" w:color="auto" w:fill="auto"/>
            <w:noWrap/>
            <w:vAlign w:val="center"/>
            <w:hideMark/>
          </w:tcPr>
          <w:p w14:paraId="30E32B7A" w14:textId="53C6C8D6"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115.024</w:t>
            </w:r>
          </w:p>
        </w:tc>
      </w:tr>
      <w:tr w:rsidR="00F50AC4" w:rsidRPr="006F5FDB" w14:paraId="3D1AC480" w14:textId="77777777" w:rsidTr="00F50AC4">
        <w:trPr>
          <w:trHeight w:val="225"/>
        </w:trPr>
        <w:tc>
          <w:tcPr>
            <w:tcW w:w="1975" w:type="dxa"/>
            <w:shd w:val="clear" w:color="auto" w:fill="auto"/>
            <w:noWrap/>
            <w:vAlign w:val="center"/>
            <w:hideMark/>
          </w:tcPr>
          <w:p w14:paraId="3F3459FA"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Biootpad</w:t>
            </w:r>
          </w:p>
        </w:tc>
        <w:tc>
          <w:tcPr>
            <w:tcW w:w="992" w:type="dxa"/>
            <w:shd w:val="clear" w:color="auto" w:fill="auto"/>
            <w:noWrap/>
            <w:vAlign w:val="center"/>
            <w:hideMark/>
          </w:tcPr>
          <w:p w14:paraId="566CA18A" w14:textId="682554E0"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314.220</w:t>
            </w:r>
          </w:p>
        </w:tc>
        <w:tc>
          <w:tcPr>
            <w:tcW w:w="988" w:type="dxa"/>
            <w:shd w:val="clear" w:color="auto" w:fill="auto"/>
            <w:noWrap/>
            <w:vAlign w:val="center"/>
            <w:hideMark/>
          </w:tcPr>
          <w:p w14:paraId="207DFD2E" w14:textId="5FD07B05"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030" w:type="dxa"/>
            <w:shd w:val="clear" w:color="auto" w:fill="auto"/>
            <w:noWrap/>
            <w:vAlign w:val="center"/>
            <w:hideMark/>
          </w:tcPr>
          <w:p w14:paraId="1C66A395" w14:textId="620C3B82"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101" w:type="dxa"/>
            <w:shd w:val="clear" w:color="auto" w:fill="auto"/>
            <w:noWrap/>
            <w:vAlign w:val="center"/>
            <w:hideMark/>
          </w:tcPr>
          <w:p w14:paraId="289E44C0" w14:textId="4B368A9B"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1031" w:type="dxa"/>
            <w:shd w:val="clear" w:color="auto" w:fill="auto"/>
            <w:noWrap/>
            <w:vAlign w:val="center"/>
            <w:hideMark/>
          </w:tcPr>
          <w:p w14:paraId="5AC04760" w14:textId="19B1E34A"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31.422</w:t>
            </w:r>
          </w:p>
        </w:tc>
        <w:tc>
          <w:tcPr>
            <w:tcW w:w="1022" w:type="dxa"/>
            <w:shd w:val="clear" w:color="auto" w:fill="auto"/>
            <w:noWrap/>
            <w:vAlign w:val="center"/>
            <w:hideMark/>
          </w:tcPr>
          <w:p w14:paraId="1D7F0E9C" w14:textId="5BD19781"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0,90</w:t>
            </w:r>
          </w:p>
        </w:tc>
        <w:tc>
          <w:tcPr>
            <w:tcW w:w="956" w:type="dxa"/>
            <w:shd w:val="clear" w:color="auto" w:fill="auto"/>
            <w:noWrap/>
            <w:vAlign w:val="center"/>
            <w:hideMark/>
          </w:tcPr>
          <w:p w14:paraId="2E603D41" w14:textId="393E557F"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141.399</w:t>
            </w:r>
          </w:p>
        </w:tc>
      </w:tr>
      <w:tr w:rsidR="00F50AC4" w:rsidRPr="006F5FDB" w14:paraId="66CC4EFD" w14:textId="77777777" w:rsidTr="00F50AC4">
        <w:trPr>
          <w:trHeight w:val="225"/>
        </w:trPr>
        <w:tc>
          <w:tcPr>
            <w:tcW w:w="1975" w:type="dxa"/>
            <w:shd w:val="clear" w:color="auto" w:fill="auto"/>
            <w:noWrap/>
            <w:vAlign w:val="center"/>
            <w:hideMark/>
          </w:tcPr>
          <w:p w14:paraId="46F12CD4"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Glomazni otpad</w:t>
            </w:r>
          </w:p>
        </w:tc>
        <w:tc>
          <w:tcPr>
            <w:tcW w:w="992" w:type="dxa"/>
            <w:shd w:val="clear" w:color="auto" w:fill="auto"/>
            <w:noWrap/>
            <w:vAlign w:val="center"/>
            <w:hideMark/>
          </w:tcPr>
          <w:p w14:paraId="2D51A20D" w14:textId="0FFEE39A"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20.159</w:t>
            </w:r>
          </w:p>
        </w:tc>
        <w:tc>
          <w:tcPr>
            <w:tcW w:w="988" w:type="dxa"/>
            <w:shd w:val="clear" w:color="auto" w:fill="auto"/>
            <w:noWrap/>
            <w:vAlign w:val="center"/>
            <w:hideMark/>
          </w:tcPr>
          <w:p w14:paraId="2FC288D1" w14:textId="632C2693"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030" w:type="dxa"/>
            <w:shd w:val="clear" w:color="auto" w:fill="auto"/>
            <w:noWrap/>
            <w:vAlign w:val="center"/>
            <w:hideMark/>
          </w:tcPr>
          <w:p w14:paraId="55078753" w14:textId="74A32666"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101" w:type="dxa"/>
            <w:shd w:val="clear" w:color="auto" w:fill="auto"/>
            <w:noWrap/>
            <w:vAlign w:val="center"/>
            <w:hideMark/>
          </w:tcPr>
          <w:p w14:paraId="1CDF6D58" w14:textId="068865A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031" w:type="dxa"/>
            <w:shd w:val="clear" w:color="auto" w:fill="auto"/>
            <w:noWrap/>
            <w:vAlign w:val="center"/>
            <w:hideMark/>
          </w:tcPr>
          <w:p w14:paraId="42729BEA" w14:textId="65D3E8E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022" w:type="dxa"/>
            <w:shd w:val="clear" w:color="auto" w:fill="auto"/>
            <w:noWrap/>
            <w:vAlign w:val="center"/>
            <w:hideMark/>
          </w:tcPr>
          <w:p w14:paraId="41D43CC5" w14:textId="2FED75A2"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956" w:type="dxa"/>
            <w:shd w:val="clear" w:color="auto" w:fill="auto"/>
            <w:noWrap/>
            <w:vAlign w:val="center"/>
            <w:hideMark/>
          </w:tcPr>
          <w:p w14:paraId="062C2677" w14:textId="34B1C66F"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r>
      <w:tr w:rsidR="00F50AC4" w:rsidRPr="006F5FDB" w14:paraId="547ABE08" w14:textId="77777777" w:rsidTr="00F50AC4">
        <w:trPr>
          <w:trHeight w:val="225"/>
        </w:trPr>
        <w:tc>
          <w:tcPr>
            <w:tcW w:w="1975" w:type="dxa"/>
            <w:shd w:val="clear" w:color="auto" w:fill="auto"/>
            <w:noWrap/>
            <w:vAlign w:val="center"/>
            <w:hideMark/>
          </w:tcPr>
          <w:p w14:paraId="46FF1CBF"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Električni i elektronički</w:t>
            </w:r>
          </w:p>
        </w:tc>
        <w:tc>
          <w:tcPr>
            <w:tcW w:w="992" w:type="dxa"/>
            <w:shd w:val="clear" w:color="auto" w:fill="auto"/>
            <w:noWrap/>
            <w:vAlign w:val="center"/>
            <w:hideMark/>
          </w:tcPr>
          <w:p w14:paraId="43FEA740" w14:textId="2B0560AF"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15.315</w:t>
            </w:r>
          </w:p>
        </w:tc>
        <w:tc>
          <w:tcPr>
            <w:tcW w:w="988" w:type="dxa"/>
            <w:shd w:val="clear" w:color="auto" w:fill="auto"/>
            <w:noWrap/>
            <w:vAlign w:val="center"/>
            <w:hideMark/>
          </w:tcPr>
          <w:p w14:paraId="1B631041" w14:textId="245E5980"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0,80</w:t>
            </w:r>
          </w:p>
        </w:tc>
        <w:tc>
          <w:tcPr>
            <w:tcW w:w="1030" w:type="dxa"/>
            <w:shd w:val="clear" w:color="auto" w:fill="auto"/>
            <w:noWrap/>
            <w:vAlign w:val="center"/>
            <w:hideMark/>
          </w:tcPr>
          <w:p w14:paraId="42734476" w14:textId="515CDF4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12.252</w:t>
            </w:r>
          </w:p>
        </w:tc>
        <w:tc>
          <w:tcPr>
            <w:tcW w:w="1101" w:type="dxa"/>
            <w:shd w:val="clear" w:color="auto" w:fill="auto"/>
            <w:noWrap/>
            <w:vAlign w:val="center"/>
            <w:hideMark/>
          </w:tcPr>
          <w:p w14:paraId="5B163B35" w14:textId="6D8E8BEB"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031" w:type="dxa"/>
            <w:shd w:val="clear" w:color="auto" w:fill="auto"/>
            <w:noWrap/>
            <w:vAlign w:val="center"/>
            <w:hideMark/>
          </w:tcPr>
          <w:p w14:paraId="7EEA4002" w14:textId="1952830D"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022" w:type="dxa"/>
            <w:shd w:val="clear" w:color="auto" w:fill="auto"/>
            <w:noWrap/>
            <w:vAlign w:val="center"/>
            <w:hideMark/>
          </w:tcPr>
          <w:p w14:paraId="7BA6922C" w14:textId="25D83BB6"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0,20</w:t>
            </w:r>
          </w:p>
        </w:tc>
        <w:tc>
          <w:tcPr>
            <w:tcW w:w="956" w:type="dxa"/>
            <w:shd w:val="clear" w:color="auto" w:fill="auto"/>
            <w:noWrap/>
            <w:vAlign w:val="center"/>
            <w:hideMark/>
          </w:tcPr>
          <w:p w14:paraId="40428F28" w14:textId="4775BB12"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3.063</w:t>
            </w:r>
          </w:p>
        </w:tc>
      </w:tr>
      <w:tr w:rsidR="00F50AC4" w:rsidRPr="006F5FDB" w14:paraId="535A9D2E" w14:textId="77777777" w:rsidTr="00F50AC4">
        <w:trPr>
          <w:trHeight w:val="240"/>
        </w:trPr>
        <w:tc>
          <w:tcPr>
            <w:tcW w:w="1975" w:type="dxa"/>
            <w:shd w:val="clear" w:color="auto" w:fill="auto"/>
            <w:noWrap/>
            <w:vAlign w:val="center"/>
            <w:hideMark/>
          </w:tcPr>
          <w:p w14:paraId="03D92435"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Ostali otpad</w:t>
            </w:r>
          </w:p>
        </w:tc>
        <w:tc>
          <w:tcPr>
            <w:tcW w:w="992" w:type="dxa"/>
            <w:shd w:val="clear" w:color="auto" w:fill="auto"/>
            <w:noWrap/>
            <w:vAlign w:val="center"/>
            <w:hideMark/>
          </w:tcPr>
          <w:p w14:paraId="3C4EBCED" w14:textId="4AEDFF90"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118.657</w:t>
            </w:r>
          </w:p>
        </w:tc>
        <w:tc>
          <w:tcPr>
            <w:tcW w:w="988" w:type="dxa"/>
            <w:shd w:val="clear" w:color="auto" w:fill="auto"/>
            <w:noWrap/>
            <w:vAlign w:val="center"/>
            <w:hideMark/>
          </w:tcPr>
          <w:p w14:paraId="33B2A85D" w14:textId="604D7CB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30" w:type="dxa"/>
            <w:shd w:val="clear" w:color="auto" w:fill="auto"/>
            <w:noWrap/>
            <w:vAlign w:val="center"/>
            <w:hideMark/>
          </w:tcPr>
          <w:p w14:paraId="67F1D093" w14:textId="4A2A5252"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101" w:type="dxa"/>
            <w:shd w:val="clear" w:color="auto" w:fill="auto"/>
            <w:noWrap/>
            <w:vAlign w:val="center"/>
            <w:hideMark/>
          </w:tcPr>
          <w:p w14:paraId="42DB7A9C" w14:textId="56C14536"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1031" w:type="dxa"/>
            <w:shd w:val="clear" w:color="auto" w:fill="auto"/>
            <w:noWrap/>
            <w:vAlign w:val="center"/>
            <w:hideMark/>
          </w:tcPr>
          <w:p w14:paraId="78FB7907" w14:textId="56751112"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11.866</w:t>
            </w:r>
          </w:p>
        </w:tc>
        <w:tc>
          <w:tcPr>
            <w:tcW w:w="1022" w:type="dxa"/>
            <w:shd w:val="clear" w:color="auto" w:fill="auto"/>
            <w:noWrap/>
            <w:vAlign w:val="center"/>
            <w:hideMark/>
          </w:tcPr>
          <w:p w14:paraId="625EF0E2" w14:textId="3F5C34C1"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0,90</w:t>
            </w:r>
          </w:p>
        </w:tc>
        <w:tc>
          <w:tcPr>
            <w:tcW w:w="956" w:type="dxa"/>
            <w:shd w:val="clear" w:color="auto" w:fill="auto"/>
            <w:noWrap/>
            <w:vAlign w:val="center"/>
            <w:hideMark/>
          </w:tcPr>
          <w:p w14:paraId="6F4C0B4E" w14:textId="471D6D13"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106.791</w:t>
            </w:r>
          </w:p>
        </w:tc>
      </w:tr>
      <w:tr w:rsidR="00F50AC4" w:rsidRPr="006F5FDB" w14:paraId="4EA771A2" w14:textId="77777777" w:rsidTr="005D3E57">
        <w:trPr>
          <w:trHeight w:val="315"/>
        </w:trPr>
        <w:tc>
          <w:tcPr>
            <w:tcW w:w="2967" w:type="dxa"/>
            <w:gridSpan w:val="2"/>
            <w:shd w:val="clear" w:color="auto" w:fill="E7E6E6" w:themeFill="background2"/>
            <w:noWrap/>
            <w:vAlign w:val="center"/>
            <w:hideMark/>
          </w:tcPr>
          <w:p w14:paraId="564CD2A3" w14:textId="7777777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Ukupna količina (t/god)</w:t>
            </w:r>
          </w:p>
        </w:tc>
        <w:tc>
          <w:tcPr>
            <w:tcW w:w="988" w:type="dxa"/>
            <w:shd w:val="clear" w:color="auto" w:fill="E7E6E6" w:themeFill="background2"/>
            <w:noWrap/>
            <w:vAlign w:val="center"/>
            <w:hideMark/>
          </w:tcPr>
          <w:p w14:paraId="5C39AAC1" w14:textId="17FC3C8D"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30" w:type="dxa"/>
            <w:shd w:val="clear" w:color="auto" w:fill="E7E6E6" w:themeFill="background2"/>
            <w:noWrap/>
            <w:vAlign w:val="center"/>
            <w:hideMark/>
          </w:tcPr>
          <w:p w14:paraId="2B588B67" w14:textId="4E2F59F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141.045</w:t>
            </w:r>
          </w:p>
        </w:tc>
        <w:tc>
          <w:tcPr>
            <w:tcW w:w="1101" w:type="dxa"/>
            <w:shd w:val="clear" w:color="auto" w:fill="E7E6E6" w:themeFill="background2"/>
            <w:noWrap/>
            <w:vAlign w:val="center"/>
            <w:hideMark/>
          </w:tcPr>
          <w:p w14:paraId="7EE8A75C" w14:textId="225A37E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31" w:type="dxa"/>
            <w:shd w:val="clear" w:color="auto" w:fill="E7E6E6" w:themeFill="background2"/>
            <w:noWrap/>
            <w:vAlign w:val="center"/>
            <w:hideMark/>
          </w:tcPr>
          <w:p w14:paraId="3E69766C" w14:textId="4614DFF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145.291</w:t>
            </w:r>
          </w:p>
        </w:tc>
        <w:tc>
          <w:tcPr>
            <w:tcW w:w="1022" w:type="dxa"/>
            <w:shd w:val="clear" w:color="auto" w:fill="E7E6E6" w:themeFill="background2"/>
            <w:noWrap/>
            <w:vAlign w:val="center"/>
            <w:hideMark/>
          </w:tcPr>
          <w:p w14:paraId="6EF0ECC4" w14:textId="2333899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956" w:type="dxa"/>
            <w:shd w:val="clear" w:color="auto" w:fill="E7E6E6" w:themeFill="background2"/>
            <w:noWrap/>
            <w:vAlign w:val="center"/>
            <w:hideMark/>
          </w:tcPr>
          <w:p w14:paraId="2BB80BBF" w14:textId="0FD6AFB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576.081</w:t>
            </w:r>
          </w:p>
        </w:tc>
      </w:tr>
      <w:tr w:rsidR="00F50AC4" w:rsidRPr="006F5FDB" w14:paraId="250952B2" w14:textId="77777777" w:rsidTr="005D3E57">
        <w:trPr>
          <w:trHeight w:val="315"/>
        </w:trPr>
        <w:tc>
          <w:tcPr>
            <w:tcW w:w="2967" w:type="dxa"/>
            <w:gridSpan w:val="2"/>
            <w:shd w:val="clear" w:color="auto" w:fill="E7E6E6" w:themeFill="background2"/>
            <w:noWrap/>
            <w:vAlign w:val="center"/>
            <w:hideMark/>
          </w:tcPr>
          <w:p w14:paraId="08BF2620" w14:textId="7777777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Udio u ulazu u CGO</w:t>
            </w:r>
          </w:p>
        </w:tc>
        <w:tc>
          <w:tcPr>
            <w:tcW w:w="988" w:type="dxa"/>
            <w:shd w:val="clear" w:color="auto" w:fill="E7E6E6" w:themeFill="background2"/>
            <w:noWrap/>
            <w:vAlign w:val="center"/>
            <w:hideMark/>
          </w:tcPr>
          <w:p w14:paraId="28265E09" w14:textId="17DD86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30" w:type="dxa"/>
            <w:shd w:val="clear" w:color="auto" w:fill="E7E6E6" w:themeFill="background2"/>
            <w:noWrap/>
            <w:vAlign w:val="center"/>
            <w:hideMark/>
          </w:tcPr>
          <w:p w14:paraId="62F252E3" w14:textId="411A861D"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14%</w:t>
            </w:r>
          </w:p>
        </w:tc>
        <w:tc>
          <w:tcPr>
            <w:tcW w:w="1101" w:type="dxa"/>
            <w:shd w:val="clear" w:color="auto" w:fill="E7E6E6" w:themeFill="background2"/>
            <w:noWrap/>
            <w:vAlign w:val="center"/>
            <w:hideMark/>
          </w:tcPr>
          <w:p w14:paraId="0562C395" w14:textId="2BFD43B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31" w:type="dxa"/>
            <w:shd w:val="clear" w:color="auto" w:fill="E7E6E6" w:themeFill="background2"/>
            <w:noWrap/>
            <w:vAlign w:val="center"/>
            <w:hideMark/>
          </w:tcPr>
          <w:p w14:paraId="38F5DAEF" w14:textId="115057D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15%</w:t>
            </w:r>
          </w:p>
        </w:tc>
        <w:tc>
          <w:tcPr>
            <w:tcW w:w="1022" w:type="dxa"/>
            <w:shd w:val="clear" w:color="auto" w:fill="E7E6E6" w:themeFill="background2"/>
            <w:noWrap/>
            <w:vAlign w:val="center"/>
            <w:hideMark/>
          </w:tcPr>
          <w:p w14:paraId="4ADCD851" w14:textId="74EB27B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956" w:type="dxa"/>
            <w:shd w:val="clear" w:color="auto" w:fill="E7E6E6" w:themeFill="background2"/>
            <w:noWrap/>
            <w:vAlign w:val="center"/>
            <w:hideMark/>
          </w:tcPr>
          <w:p w14:paraId="15637EEF" w14:textId="7799055B"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58%</w:t>
            </w:r>
          </w:p>
        </w:tc>
      </w:tr>
    </w:tbl>
    <w:p w14:paraId="71B62F28" w14:textId="77777777" w:rsidR="009F75D6" w:rsidRDefault="009F75D6" w:rsidP="009F75D6"/>
    <w:p w14:paraId="753C1015" w14:textId="0B24E524" w:rsidR="009F75D6" w:rsidRDefault="009F75D6" w:rsidP="009F75D6">
      <w:pPr>
        <w:pStyle w:val="Tablica"/>
      </w:pPr>
      <w:bookmarkStart w:id="260" w:name="_Toc125364434"/>
      <w:r>
        <w:t xml:space="preserve">Tablica </w:t>
      </w:r>
      <w:fldSimple w:instr=" SEQ Tablica \* ARABIC ">
        <w:r w:rsidR="00F37B62">
          <w:rPr>
            <w:noProof/>
          </w:rPr>
          <w:t>45</w:t>
        </w:r>
      </w:fldSimple>
      <w:r>
        <w:t xml:space="preserve">. </w:t>
      </w:r>
      <w:r w:rsidRPr="00180ECE">
        <w:rPr>
          <w:b w:val="0"/>
          <w:bCs/>
        </w:rPr>
        <w:t xml:space="preserve">Pretpostavljena efikasnost postrojenja za obradu </w:t>
      </w:r>
      <w:proofErr w:type="spellStart"/>
      <w:r w:rsidRPr="00180ECE">
        <w:rPr>
          <w:b w:val="0"/>
          <w:bCs/>
        </w:rPr>
        <w:t>mKO</w:t>
      </w:r>
      <w:proofErr w:type="spellEnd"/>
      <w:r w:rsidRPr="00180ECE">
        <w:rPr>
          <w:b w:val="0"/>
          <w:bCs/>
        </w:rPr>
        <w:t xml:space="preserve"> i očekivani izlazi iz CGO-a </w:t>
      </w:r>
      <w:r>
        <w:rPr>
          <w:b w:val="0"/>
          <w:bCs/>
        </w:rPr>
        <w:t>2035</w:t>
      </w:r>
      <w:r w:rsidRPr="00180ECE">
        <w:rPr>
          <w:b w:val="0"/>
          <w:bCs/>
        </w:rPr>
        <w:t>.</w:t>
      </w:r>
      <w:r>
        <w:rPr>
          <w:b w:val="0"/>
          <w:bCs/>
        </w:rPr>
        <w:t>– SCENARIJ 2</w:t>
      </w:r>
      <w:bookmarkEnd w:id="260"/>
    </w:p>
    <w:tbl>
      <w:tblP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992"/>
        <w:gridCol w:w="988"/>
        <w:gridCol w:w="1030"/>
        <w:gridCol w:w="1101"/>
        <w:gridCol w:w="1031"/>
        <w:gridCol w:w="1022"/>
        <w:gridCol w:w="956"/>
      </w:tblGrid>
      <w:tr w:rsidR="009F75D6" w:rsidRPr="006F5FDB" w14:paraId="28500BD6" w14:textId="77777777" w:rsidTr="005B6ED7">
        <w:trPr>
          <w:trHeight w:val="240"/>
          <w:tblHeader/>
        </w:trPr>
        <w:tc>
          <w:tcPr>
            <w:tcW w:w="9095" w:type="dxa"/>
            <w:gridSpan w:val="8"/>
            <w:shd w:val="clear" w:color="auto" w:fill="auto"/>
            <w:noWrap/>
            <w:vAlign w:val="center"/>
            <w:hideMark/>
          </w:tcPr>
          <w:p w14:paraId="1C41EDE4" w14:textId="725DB0CD" w:rsidR="009F75D6" w:rsidRPr="006F5FDB" w:rsidRDefault="005D3E57" w:rsidP="00CC41BC">
            <w:pPr>
              <w:spacing w:after="0" w:line="240" w:lineRule="auto"/>
              <w:jc w:val="center"/>
              <w:rPr>
                <w:rFonts w:ascii="Calibri" w:eastAsia="Times New Roman" w:hAnsi="Calibri" w:cs="Calibri"/>
                <w:b/>
                <w:bCs/>
                <w:color w:val="000000"/>
                <w:sz w:val="16"/>
                <w:szCs w:val="18"/>
                <w:lang w:eastAsia="hr-HR"/>
              </w:rPr>
            </w:pPr>
            <w:r w:rsidRPr="006F5FDB">
              <w:rPr>
                <w:rFonts w:ascii="Calibri" w:eastAsia="Times New Roman" w:hAnsi="Calibri" w:cs="Calibri"/>
                <w:b/>
                <w:bCs/>
                <w:color w:val="000000"/>
                <w:sz w:val="16"/>
                <w:szCs w:val="18"/>
                <w:lang w:eastAsia="hr-HR"/>
              </w:rPr>
              <w:t>2035. godina – SCENARIJ 2</w:t>
            </w:r>
          </w:p>
        </w:tc>
      </w:tr>
      <w:tr w:rsidR="005D3E57" w:rsidRPr="006F5FDB" w14:paraId="3220FFC4" w14:textId="77777777" w:rsidTr="005B6ED7">
        <w:trPr>
          <w:trHeight w:val="1125"/>
          <w:tblHeader/>
        </w:trPr>
        <w:tc>
          <w:tcPr>
            <w:tcW w:w="1975" w:type="dxa"/>
            <w:shd w:val="clear" w:color="auto" w:fill="002060"/>
            <w:noWrap/>
            <w:vAlign w:val="center"/>
            <w:hideMark/>
          </w:tcPr>
          <w:p w14:paraId="21E2D993"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8"/>
                <w:lang w:eastAsia="hr-HR"/>
              </w:rPr>
            </w:pPr>
            <w:r w:rsidRPr="006F5FDB">
              <w:rPr>
                <w:rFonts w:ascii="Calibri" w:eastAsia="Times New Roman" w:hAnsi="Calibri" w:cs="Calibri"/>
                <w:b/>
                <w:bCs/>
                <w:color w:val="FFFFFF" w:themeColor="background1"/>
                <w:sz w:val="16"/>
                <w:szCs w:val="18"/>
                <w:lang w:eastAsia="hr-HR"/>
              </w:rPr>
              <w:t> </w:t>
            </w:r>
          </w:p>
        </w:tc>
        <w:tc>
          <w:tcPr>
            <w:tcW w:w="992" w:type="dxa"/>
            <w:shd w:val="clear" w:color="auto" w:fill="002060"/>
            <w:noWrap/>
            <w:vAlign w:val="center"/>
            <w:hideMark/>
          </w:tcPr>
          <w:p w14:paraId="16C1A529"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8"/>
                <w:lang w:eastAsia="hr-HR"/>
              </w:rPr>
            </w:pPr>
            <w:r w:rsidRPr="006F5FDB">
              <w:rPr>
                <w:rFonts w:ascii="Calibri" w:eastAsia="Times New Roman" w:hAnsi="Calibri" w:cs="Calibri"/>
                <w:b/>
                <w:bCs/>
                <w:color w:val="FFFFFF" w:themeColor="background1"/>
                <w:sz w:val="16"/>
                <w:szCs w:val="18"/>
                <w:lang w:eastAsia="hr-HR"/>
              </w:rPr>
              <w:t>Količina (t)</w:t>
            </w:r>
          </w:p>
        </w:tc>
        <w:tc>
          <w:tcPr>
            <w:tcW w:w="988" w:type="dxa"/>
            <w:shd w:val="clear" w:color="auto" w:fill="002060"/>
            <w:vAlign w:val="center"/>
            <w:hideMark/>
          </w:tcPr>
          <w:p w14:paraId="1DE9D7AF"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8"/>
                <w:lang w:eastAsia="hr-HR"/>
              </w:rPr>
            </w:pPr>
            <w:r w:rsidRPr="006F5FDB">
              <w:rPr>
                <w:rFonts w:ascii="Calibri" w:eastAsia="Times New Roman" w:hAnsi="Calibri" w:cs="Calibri"/>
                <w:b/>
                <w:bCs/>
                <w:color w:val="FFFFFF" w:themeColor="background1"/>
                <w:sz w:val="16"/>
                <w:szCs w:val="18"/>
                <w:lang w:eastAsia="hr-HR"/>
              </w:rPr>
              <w:t xml:space="preserve">Stopa izdvajanja </w:t>
            </w:r>
            <w:proofErr w:type="spellStart"/>
            <w:r w:rsidRPr="006F5FDB">
              <w:rPr>
                <w:rFonts w:ascii="Calibri" w:eastAsia="Times New Roman" w:hAnsi="Calibri" w:cs="Calibri"/>
                <w:b/>
                <w:bCs/>
                <w:color w:val="FFFFFF" w:themeColor="background1"/>
                <w:sz w:val="16"/>
                <w:szCs w:val="18"/>
                <w:lang w:eastAsia="hr-HR"/>
              </w:rPr>
              <w:t>reciklata</w:t>
            </w:r>
            <w:proofErr w:type="spellEnd"/>
          </w:p>
        </w:tc>
        <w:tc>
          <w:tcPr>
            <w:tcW w:w="1030" w:type="dxa"/>
            <w:shd w:val="clear" w:color="auto" w:fill="002060"/>
            <w:vAlign w:val="center"/>
            <w:hideMark/>
          </w:tcPr>
          <w:p w14:paraId="2F041A7C" w14:textId="2DBE8105" w:rsidR="009F75D6" w:rsidRPr="006F5FDB" w:rsidRDefault="001E1A1E" w:rsidP="00CC41BC">
            <w:pPr>
              <w:spacing w:after="0" w:line="240" w:lineRule="auto"/>
              <w:jc w:val="center"/>
              <w:rPr>
                <w:rFonts w:ascii="Calibri" w:eastAsia="Times New Roman" w:hAnsi="Calibri" w:cs="Calibri"/>
                <w:b/>
                <w:bCs/>
                <w:color w:val="FFFFFF" w:themeColor="background1"/>
                <w:sz w:val="16"/>
                <w:szCs w:val="18"/>
                <w:lang w:eastAsia="hr-HR"/>
              </w:rPr>
            </w:pPr>
            <w:r w:rsidRPr="006F5FDB">
              <w:rPr>
                <w:rFonts w:ascii="Calibri" w:eastAsia="Times New Roman" w:hAnsi="Calibri" w:cs="Calibri"/>
                <w:b/>
                <w:bCs/>
                <w:color w:val="FFFFFF" w:themeColor="background1"/>
                <w:sz w:val="16"/>
                <w:szCs w:val="18"/>
                <w:lang w:eastAsia="hr-HR"/>
              </w:rPr>
              <w:t xml:space="preserve"> Izdvojena količina </w:t>
            </w:r>
            <w:proofErr w:type="spellStart"/>
            <w:r w:rsidRPr="006F5FDB">
              <w:rPr>
                <w:rFonts w:ascii="Calibri" w:eastAsia="Times New Roman" w:hAnsi="Calibri" w:cs="Calibri"/>
                <w:b/>
                <w:bCs/>
                <w:color w:val="FFFFFF" w:themeColor="background1"/>
                <w:sz w:val="16"/>
                <w:szCs w:val="18"/>
                <w:lang w:eastAsia="hr-HR"/>
              </w:rPr>
              <w:t>reciklata</w:t>
            </w:r>
            <w:proofErr w:type="spellEnd"/>
            <w:r w:rsidRPr="006F5FDB">
              <w:rPr>
                <w:rFonts w:ascii="Calibri" w:eastAsia="Times New Roman" w:hAnsi="Calibri" w:cs="Calibri"/>
                <w:b/>
                <w:bCs/>
                <w:color w:val="FFFFFF" w:themeColor="background1"/>
                <w:sz w:val="16"/>
                <w:szCs w:val="18"/>
                <w:lang w:eastAsia="hr-HR"/>
              </w:rPr>
              <w:t xml:space="preserve">  (t/god)</w:t>
            </w:r>
          </w:p>
        </w:tc>
        <w:tc>
          <w:tcPr>
            <w:tcW w:w="1101" w:type="dxa"/>
            <w:shd w:val="clear" w:color="auto" w:fill="002060"/>
            <w:vAlign w:val="center"/>
            <w:hideMark/>
          </w:tcPr>
          <w:p w14:paraId="4B78CC94"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8"/>
                <w:lang w:eastAsia="hr-HR"/>
              </w:rPr>
            </w:pPr>
            <w:r w:rsidRPr="006F5FDB">
              <w:rPr>
                <w:rFonts w:ascii="Calibri" w:eastAsia="Times New Roman" w:hAnsi="Calibri" w:cs="Calibri"/>
                <w:b/>
                <w:bCs/>
                <w:color w:val="FFFFFF" w:themeColor="background1"/>
                <w:sz w:val="16"/>
                <w:szCs w:val="18"/>
                <w:lang w:eastAsia="hr-HR"/>
              </w:rPr>
              <w:t>Stopa izdvajanja za energetsku oporabu</w:t>
            </w:r>
          </w:p>
        </w:tc>
        <w:tc>
          <w:tcPr>
            <w:tcW w:w="1031" w:type="dxa"/>
            <w:shd w:val="clear" w:color="auto" w:fill="002060"/>
            <w:vAlign w:val="center"/>
            <w:hideMark/>
          </w:tcPr>
          <w:p w14:paraId="744D392E" w14:textId="006877DC" w:rsidR="009F75D6" w:rsidRPr="006F5FDB" w:rsidRDefault="001E1A1E" w:rsidP="00CC41BC">
            <w:pPr>
              <w:spacing w:after="0" w:line="240" w:lineRule="auto"/>
              <w:jc w:val="center"/>
              <w:rPr>
                <w:rFonts w:ascii="Calibri" w:eastAsia="Times New Roman" w:hAnsi="Calibri" w:cs="Calibri"/>
                <w:b/>
                <w:bCs/>
                <w:color w:val="FFFFFF" w:themeColor="background1"/>
                <w:sz w:val="16"/>
                <w:szCs w:val="18"/>
                <w:lang w:eastAsia="hr-HR"/>
              </w:rPr>
            </w:pPr>
            <w:r w:rsidRPr="006F5FDB">
              <w:rPr>
                <w:rFonts w:ascii="Calibri" w:eastAsia="Times New Roman" w:hAnsi="Calibri" w:cs="Calibri"/>
                <w:b/>
                <w:bCs/>
                <w:color w:val="FFFFFF" w:themeColor="background1"/>
                <w:sz w:val="16"/>
                <w:szCs w:val="18"/>
                <w:lang w:eastAsia="hr-HR"/>
              </w:rPr>
              <w:t xml:space="preserve"> Količina koja se upućuje na energetsku oporabu (t/god)</w:t>
            </w:r>
          </w:p>
        </w:tc>
        <w:tc>
          <w:tcPr>
            <w:tcW w:w="1022" w:type="dxa"/>
            <w:shd w:val="clear" w:color="auto" w:fill="002060"/>
            <w:vAlign w:val="center"/>
            <w:hideMark/>
          </w:tcPr>
          <w:p w14:paraId="51979DBC"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8"/>
                <w:lang w:eastAsia="hr-HR"/>
              </w:rPr>
            </w:pPr>
            <w:r w:rsidRPr="006F5FDB">
              <w:rPr>
                <w:rFonts w:ascii="Calibri" w:eastAsia="Times New Roman" w:hAnsi="Calibri" w:cs="Calibri"/>
                <w:b/>
                <w:bCs/>
                <w:color w:val="FFFFFF" w:themeColor="background1"/>
                <w:sz w:val="16"/>
                <w:szCs w:val="18"/>
                <w:lang w:eastAsia="hr-HR"/>
              </w:rPr>
              <w:t>Stopa upućivanja na odlaganje</w:t>
            </w:r>
          </w:p>
        </w:tc>
        <w:tc>
          <w:tcPr>
            <w:tcW w:w="956" w:type="dxa"/>
            <w:shd w:val="clear" w:color="auto" w:fill="002060"/>
            <w:noWrap/>
            <w:vAlign w:val="center"/>
            <w:hideMark/>
          </w:tcPr>
          <w:p w14:paraId="16E0A096"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8"/>
                <w:lang w:eastAsia="hr-HR"/>
              </w:rPr>
            </w:pPr>
            <w:r w:rsidRPr="006F5FDB">
              <w:rPr>
                <w:rFonts w:ascii="Calibri" w:eastAsia="Times New Roman" w:hAnsi="Calibri" w:cs="Calibri"/>
                <w:b/>
                <w:bCs/>
                <w:color w:val="FFFFFF" w:themeColor="background1"/>
                <w:sz w:val="16"/>
                <w:szCs w:val="18"/>
                <w:lang w:eastAsia="hr-HR"/>
              </w:rPr>
              <w:t>Odlaganje</w:t>
            </w:r>
          </w:p>
          <w:p w14:paraId="408B113C" w14:textId="427D5396" w:rsidR="001E1A1E" w:rsidRPr="006F5FDB" w:rsidRDefault="001E1A1E" w:rsidP="00CC41BC">
            <w:pPr>
              <w:spacing w:after="0" w:line="240" w:lineRule="auto"/>
              <w:jc w:val="center"/>
              <w:rPr>
                <w:rFonts w:ascii="Calibri" w:eastAsia="Times New Roman" w:hAnsi="Calibri" w:cs="Calibri"/>
                <w:b/>
                <w:bCs/>
                <w:color w:val="FFFFFF" w:themeColor="background1"/>
                <w:sz w:val="16"/>
                <w:szCs w:val="18"/>
                <w:lang w:eastAsia="hr-HR"/>
              </w:rPr>
            </w:pPr>
            <w:r w:rsidRPr="006F5FDB">
              <w:rPr>
                <w:rFonts w:ascii="Calibri" w:eastAsia="Times New Roman" w:hAnsi="Calibri" w:cs="Calibri"/>
                <w:b/>
                <w:bCs/>
                <w:color w:val="FFFFFF" w:themeColor="background1"/>
                <w:sz w:val="16"/>
                <w:szCs w:val="18"/>
                <w:lang w:eastAsia="hr-HR"/>
              </w:rPr>
              <w:t>(t/god)</w:t>
            </w:r>
          </w:p>
        </w:tc>
      </w:tr>
      <w:tr w:rsidR="00F50AC4" w:rsidRPr="006F5FDB" w14:paraId="2073553D" w14:textId="77777777" w:rsidTr="005B6ED7">
        <w:trPr>
          <w:trHeight w:val="225"/>
        </w:trPr>
        <w:tc>
          <w:tcPr>
            <w:tcW w:w="1975" w:type="dxa"/>
            <w:shd w:val="clear" w:color="auto" w:fill="auto"/>
            <w:noWrap/>
            <w:vAlign w:val="center"/>
            <w:hideMark/>
          </w:tcPr>
          <w:p w14:paraId="3700DB4B" w14:textId="77777777" w:rsidR="00F50AC4" w:rsidRPr="006F5FDB" w:rsidRDefault="00F50AC4" w:rsidP="00F50AC4">
            <w:pPr>
              <w:spacing w:after="0" w:line="240" w:lineRule="auto"/>
              <w:jc w:val="left"/>
              <w:rPr>
                <w:rFonts w:ascii="Calibri" w:eastAsia="Times New Roman" w:hAnsi="Calibri" w:cs="Calibri"/>
                <w:b/>
                <w:bCs/>
                <w:color w:val="000000"/>
                <w:sz w:val="16"/>
                <w:szCs w:val="18"/>
                <w:lang w:eastAsia="hr-HR"/>
              </w:rPr>
            </w:pPr>
            <w:r w:rsidRPr="006F5FDB">
              <w:rPr>
                <w:rFonts w:ascii="Calibri" w:eastAsia="Times New Roman" w:hAnsi="Calibri" w:cs="Calibri"/>
                <w:b/>
                <w:bCs/>
                <w:color w:val="000000"/>
                <w:sz w:val="16"/>
                <w:szCs w:val="18"/>
                <w:lang w:eastAsia="hr-HR"/>
              </w:rPr>
              <w:t>Količina KO</w:t>
            </w:r>
          </w:p>
        </w:tc>
        <w:tc>
          <w:tcPr>
            <w:tcW w:w="992" w:type="dxa"/>
            <w:shd w:val="clear" w:color="auto" w:fill="auto"/>
            <w:noWrap/>
            <w:vAlign w:val="center"/>
            <w:hideMark/>
          </w:tcPr>
          <w:p w14:paraId="36E9A4F6" w14:textId="3E0E826E" w:rsidR="00F50AC4" w:rsidRPr="006F5FDB" w:rsidRDefault="00F50AC4" w:rsidP="00F50AC4">
            <w:pPr>
              <w:spacing w:after="0" w:line="240" w:lineRule="auto"/>
              <w:jc w:val="center"/>
              <w:rPr>
                <w:rFonts w:ascii="Calibri" w:eastAsia="Times New Roman" w:hAnsi="Calibri" w:cs="Calibri"/>
                <w:b/>
                <w:bCs/>
                <w:color w:val="000000"/>
                <w:sz w:val="16"/>
                <w:szCs w:val="18"/>
                <w:lang w:eastAsia="hr-HR"/>
              </w:rPr>
            </w:pPr>
            <w:r w:rsidRPr="006F5FDB">
              <w:rPr>
                <w:rFonts w:ascii="Calibri" w:hAnsi="Calibri" w:cs="Calibri"/>
                <w:b/>
                <w:bCs/>
                <w:color w:val="000000"/>
                <w:sz w:val="16"/>
                <w:szCs w:val="18"/>
              </w:rPr>
              <w:t>2.550.158</w:t>
            </w:r>
          </w:p>
        </w:tc>
        <w:tc>
          <w:tcPr>
            <w:tcW w:w="988" w:type="dxa"/>
            <w:shd w:val="clear" w:color="auto" w:fill="auto"/>
            <w:noWrap/>
            <w:vAlign w:val="center"/>
            <w:hideMark/>
          </w:tcPr>
          <w:p w14:paraId="3C6A4D9B" w14:textId="3BE6A79F"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1030" w:type="dxa"/>
            <w:shd w:val="clear" w:color="auto" w:fill="auto"/>
            <w:noWrap/>
            <w:vAlign w:val="center"/>
            <w:hideMark/>
          </w:tcPr>
          <w:p w14:paraId="552FFDC9" w14:textId="51BFD22E"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1101" w:type="dxa"/>
            <w:shd w:val="clear" w:color="auto" w:fill="auto"/>
            <w:noWrap/>
            <w:vAlign w:val="center"/>
            <w:hideMark/>
          </w:tcPr>
          <w:p w14:paraId="2D27F6FD" w14:textId="5B8C765E"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1031" w:type="dxa"/>
            <w:shd w:val="clear" w:color="auto" w:fill="auto"/>
            <w:noWrap/>
            <w:vAlign w:val="center"/>
            <w:hideMark/>
          </w:tcPr>
          <w:p w14:paraId="713B221F" w14:textId="132C8574"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1022" w:type="dxa"/>
            <w:shd w:val="clear" w:color="auto" w:fill="auto"/>
            <w:noWrap/>
            <w:vAlign w:val="center"/>
            <w:hideMark/>
          </w:tcPr>
          <w:p w14:paraId="0498F3C7" w14:textId="15BF9145"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956" w:type="dxa"/>
            <w:shd w:val="clear" w:color="auto" w:fill="auto"/>
            <w:noWrap/>
            <w:vAlign w:val="center"/>
            <w:hideMark/>
          </w:tcPr>
          <w:p w14:paraId="7ACCDE26" w14:textId="0DD40849"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r>
      <w:tr w:rsidR="00F50AC4" w:rsidRPr="006F5FDB" w14:paraId="403CBBA8" w14:textId="77777777" w:rsidTr="005B6ED7">
        <w:trPr>
          <w:trHeight w:val="225"/>
        </w:trPr>
        <w:tc>
          <w:tcPr>
            <w:tcW w:w="1975" w:type="dxa"/>
            <w:shd w:val="clear" w:color="auto" w:fill="auto"/>
            <w:noWrap/>
            <w:vAlign w:val="center"/>
            <w:hideMark/>
          </w:tcPr>
          <w:p w14:paraId="0399BB56" w14:textId="42CADAA2" w:rsidR="00F50AC4" w:rsidRPr="006F5FDB" w:rsidRDefault="00F50AC4" w:rsidP="00F50AC4">
            <w:pPr>
              <w:spacing w:after="0" w:line="240" w:lineRule="auto"/>
              <w:jc w:val="left"/>
              <w:rPr>
                <w:rFonts w:ascii="Calibri" w:eastAsia="Times New Roman" w:hAnsi="Calibri" w:cs="Calibri"/>
                <w:b/>
                <w:bCs/>
                <w:color w:val="000000"/>
                <w:sz w:val="16"/>
                <w:szCs w:val="18"/>
                <w:lang w:eastAsia="hr-HR"/>
              </w:rPr>
            </w:pPr>
            <w:proofErr w:type="spellStart"/>
            <w:r w:rsidRPr="006F5FDB">
              <w:rPr>
                <w:rFonts w:ascii="Calibri" w:eastAsia="Times New Roman" w:hAnsi="Calibri" w:cs="Calibri"/>
                <w:b/>
                <w:bCs/>
                <w:color w:val="000000"/>
                <w:sz w:val="16"/>
                <w:szCs w:val="18"/>
                <w:lang w:eastAsia="hr-HR"/>
              </w:rPr>
              <w:t>mKO</w:t>
            </w:r>
            <w:proofErr w:type="spellEnd"/>
            <w:r w:rsidRPr="006F5FDB">
              <w:rPr>
                <w:rFonts w:ascii="Calibri" w:eastAsia="Times New Roman" w:hAnsi="Calibri" w:cs="Calibri"/>
                <w:b/>
                <w:bCs/>
                <w:color w:val="000000"/>
                <w:sz w:val="16"/>
                <w:szCs w:val="18"/>
                <w:lang w:eastAsia="hr-HR"/>
              </w:rPr>
              <w:t xml:space="preserve"> </w:t>
            </w:r>
          </w:p>
        </w:tc>
        <w:tc>
          <w:tcPr>
            <w:tcW w:w="992" w:type="dxa"/>
            <w:shd w:val="clear" w:color="auto" w:fill="auto"/>
            <w:noWrap/>
            <w:vAlign w:val="center"/>
            <w:hideMark/>
          </w:tcPr>
          <w:p w14:paraId="3BB4923B" w14:textId="51C80E08" w:rsidR="00F50AC4" w:rsidRPr="006F5FDB" w:rsidRDefault="00F50AC4" w:rsidP="00F50AC4">
            <w:pPr>
              <w:spacing w:after="0" w:line="240" w:lineRule="auto"/>
              <w:jc w:val="center"/>
              <w:rPr>
                <w:rFonts w:ascii="Calibri" w:eastAsia="Times New Roman" w:hAnsi="Calibri" w:cs="Calibri"/>
                <w:b/>
                <w:bCs/>
                <w:color w:val="000000"/>
                <w:sz w:val="16"/>
                <w:szCs w:val="18"/>
                <w:lang w:eastAsia="hr-HR"/>
              </w:rPr>
            </w:pPr>
            <w:r w:rsidRPr="006F5FDB">
              <w:rPr>
                <w:rFonts w:ascii="Calibri" w:hAnsi="Calibri" w:cs="Calibri"/>
                <w:b/>
                <w:bCs/>
                <w:color w:val="000000"/>
                <w:sz w:val="16"/>
                <w:szCs w:val="18"/>
              </w:rPr>
              <w:t>1.020.063</w:t>
            </w:r>
          </w:p>
        </w:tc>
        <w:tc>
          <w:tcPr>
            <w:tcW w:w="988" w:type="dxa"/>
            <w:shd w:val="clear" w:color="auto" w:fill="auto"/>
            <w:noWrap/>
            <w:vAlign w:val="center"/>
            <w:hideMark/>
          </w:tcPr>
          <w:p w14:paraId="195ABFEC" w14:textId="62C1E509"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1030" w:type="dxa"/>
            <w:shd w:val="clear" w:color="auto" w:fill="auto"/>
            <w:noWrap/>
            <w:vAlign w:val="center"/>
            <w:hideMark/>
          </w:tcPr>
          <w:p w14:paraId="49817615" w14:textId="186F53F3"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1101" w:type="dxa"/>
            <w:shd w:val="clear" w:color="auto" w:fill="auto"/>
            <w:noWrap/>
            <w:vAlign w:val="center"/>
            <w:hideMark/>
          </w:tcPr>
          <w:p w14:paraId="069BEA0F" w14:textId="155736C2"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1031" w:type="dxa"/>
            <w:shd w:val="clear" w:color="auto" w:fill="auto"/>
            <w:noWrap/>
            <w:vAlign w:val="center"/>
            <w:hideMark/>
          </w:tcPr>
          <w:p w14:paraId="266F008A" w14:textId="1E09ECC1"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1022" w:type="dxa"/>
            <w:shd w:val="clear" w:color="auto" w:fill="auto"/>
            <w:noWrap/>
            <w:vAlign w:val="center"/>
            <w:hideMark/>
          </w:tcPr>
          <w:p w14:paraId="0B7485BA" w14:textId="2518F390"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956" w:type="dxa"/>
            <w:shd w:val="clear" w:color="auto" w:fill="auto"/>
            <w:noWrap/>
            <w:vAlign w:val="center"/>
            <w:hideMark/>
          </w:tcPr>
          <w:p w14:paraId="103AF103" w14:textId="68659330"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r>
      <w:tr w:rsidR="00F50AC4" w:rsidRPr="006F5FDB" w14:paraId="5F2A1DF9" w14:textId="77777777" w:rsidTr="005B6ED7">
        <w:trPr>
          <w:trHeight w:val="225"/>
        </w:trPr>
        <w:tc>
          <w:tcPr>
            <w:tcW w:w="1975" w:type="dxa"/>
            <w:shd w:val="clear" w:color="auto" w:fill="auto"/>
            <w:noWrap/>
            <w:vAlign w:val="center"/>
            <w:hideMark/>
          </w:tcPr>
          <w:p w14:paraId="74F80561" w14:textId="77777777"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eastAsia="Times New Roman" w:hAnsi="Calibri" w:cs="Calibri"/>
                <w:color w:val="000000"/>
                <w:sz w:val="16"/>
                <w:szCs w:val="18"/>
                <w:lang w:eastAsia="hr-HR"/>
              </w:rPr>
              <w:t>Papir i karton</w:t>
            </w:r>
          </w:p>
        </w:tc>
        <w:tc>
          <w:tcPr>
            <w:tcW w:w="992" w:type="dxa"/>
            <w:shd w:val="clear" w:color="auto" w:fill="auto"/>
            <w:noWrap/>
            <w:vAlign w:val="center"/>
            <w:hideMark/>
          </w:tcPr>
          <w:p w14:paraId="69F342E9" w14:textId="102E7E1A"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255.503</w:t>
            </w:r>
          </w:p>
        </w:tc>
        <w:tc>
          <w:tcPr>
            <w:tcW w:w="988" w:type="dxa"/>
            <w:shd w:val="clear" w:color="auto" w:fill="auto"/>
            <w:noWrap/>
            <w:vAlign w:val="center"/>
            <w:hideMark/>
          </w:tcPr>
          <w:p w14:paraId="345ADB68" w14:textId="71E0C34C"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0,10</w:t>
            </w:r>
          </w:p>
        </w:tc>
        <w:tc>
          <w:tcPr>
            <w:tcW w:w="1030" w:type="dxa"/>
            <w:shd w:val="clear" w:color="auto" w:fill="auto"/>
            <w:noWrap/>
            <w:vAlign w:val="center"/>
            <w:hideMark/>
          </w:tcPr>
          <w:p w14:paraId="1C9FFACD" w14:textId="67DF52AB"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25.550</w:t>
            </w:r>
          </w:p>
        </w:tc>
        <w:tc>
          <w:tcPr>
            <w:tcW w:w="1101" w:type="dxa"/>
            <w:shd w:val="clear" w:color="auto" w:fill="auto"/>
            <w:noWrap/>
            <w:vAlign w:val="center"/>
            <w:hideMark/>
          </w:tcPr>
          <w:p w14:paraId="40655208" w14:textId="4F8C2648"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0,10</w:t>
            </w:r>
          </w:p>
        </w:tc>
        <w:tc>
          <w:tcPr>
            <w:tcW w:w="1031" w:type="dxa"/>
            <w:shd w:val="clear" w:color="auto" w:fill="auto"/>
            <w:noWrap/>
            <w:vAlign w:val="center"/>
            <w:hideMark/>
          </w:tcPr>
          <w:p w14:paraId="0A08C24B" w14:textId="3C41133D"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25.550</w:t>
            </w:r>
          </w:p>
        </w:tc>
        <w:tc>
          <w:tcPr>
            <w:tcW w:w="1022" w:type="dxa"/>
            <w:shd w:val="clear" w:color="auto" w:fill="auto"/>
            <w:noWrap/>
            <w:vAlign w:val="center"/>
            <w:hideMark/>
          </w:tcPr>
          <w:p w14:paraId="0D12725E" w14:textId="3E69B0D3"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0,80</w:t>
            </w:r>
          </w:p>
        </w:tc>
        <w:tc>
          <w:tcPr>
            <w:tcW w:w="956" w:type="dxa"/>
            <w:shd w:val="clear" w:color="auto" w:fill="auto"/>
            <w:noWrap/>
            <w:vAlign w:val="center"/>
            <w:hideMark/>
          </w:tcPr>
          <w:p w14:paraId="17BA3FB1" w14:textId="6CF3F094"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204.402</w:t>
            </w:r>
          </w:p>
        </w:tc>
      </w:tr>
      <w:tr w:rsidR="00F50AC4" w:rsidRPr="006F5FDB" w14:paraId="5CEFE562" w14:textId="77777777" w:rsidTr="005B6ED7">
        <w:trPr>
          <w:trHeight w:val="225"/>
        </w:trPr>
        <w:tc>
          <w:tcPr>
            <w:tcW w:w="1975" w:type="dxa"/>
            <w:shd w:val="clear" w:color="auto" w:fill="auto"/>
            <w:noWrap/>
            <w:vAlign w:val="center"/>
            <w:hideMark/>
          </w:tcPr>
          <w:p w14:paraId="6DCCCDE5" w14:textId="77777777"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eastAsia="Times New Roman" w:hAnsi="Calibri" w:cs="Calibri"/>
                <w:color w:val="000000"/>
                <w:sz w:val="16"/>
                <w:szCs w:val="18"/>
                <w:lang w:eastAsia="hr-HR"/>
              </w:rPr>
              <w:t xml:space="preserve">Metal </w:t>
            </w:r>
          </w:p>
        </w:tc>
        <w:tc>
          <w:tcPr>
            <w:tcW w:w="992" w:type="dxa"/>
            <w:shd w:val="clear" w:color="auto" w:fill="auto"/>
            <w:noWrap/>
            <w:vAlign w:val="center"/>
            <w:hideMark/>
          </w:tcPr>
          <w:p w14:paraId="6503AE5E" w14:textId="6330C6E8"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28.142</w:t>
            </w:r>
          </w:p>
        </w:tc>
        <w:tc>
          <w:tcPr>
            <w:tcW w:w="988" w:type="dxa"/>
            <w:shd w:val="clear" w:color="auto" w:fill="auto"/>
            <w:noWrap/>
            <w:vAlign w:val="center"/>
            <w:hideMark/>
          </w:tcPr>
          <w:p w14:paraId="594546CE" w14:textId="2F673817"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0,90</w:t>
            </w:r>
          </w:p>
        </w:tc>
        <w:tc>
          <w:tcPr>
            <w:tcW w:w="1030" w:type="dxa"/>
            <w:shd w:val="clear" w:color="auto" w:fill="auto"/>
            <w:noWrap/>
            <w:vAlign w:val="center"/>
            <w:hideMark/>
          </w:tcPr>
          <w:p w14:paraId="51BA33F0" w14:textId="104EBC78"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25.327</w:t>
            </w:r>
          </w:p>
        </w:tc>
        <w:tc>
          <w:tcPr>
            <w:tcW w:w="1101" w:type="dxa"/>
            <w:shd w:val="clear" w:color="auto" w:fill="auto"/>
            <w:noWrap/>
            <w:vAlign w:val="center"/>
            <w:hideMark/>
          </w:tcPr>
          <w:p w14:paraId="6F6755A0" w14:textId="35065C23"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0,00</w:t>
            </w:r>
          </w:p>
        </w:tc>
        <w:tc>
          <w:tcPr>
            <w:tcW w:w="1031" w:type="dxa"/>
            <w:shd w:val="clear" w:color="auto" w:fill="auto"/>
            <w:noWrap/>
            <w:vAlign w:val="center"/>
            <w:hideMark/>
          </w:tcPr>
          <w:p w14:paraId="6A4CDA5A" w14:textId="14BC94F7"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w:t>
            </w:r>
          </w:p>
        </w:tc>
        <w:tc>
          <w:tcPr>
            <w:tcW w:w="1022" w:type="dxa"/>
            <w:shd w:val="clear" w:color="auto" w:fill="auto"/>
            <w:noWrap/>
            <w:vAlign w:val="center"/>
            <w:hideMark/>
          </w:tcPr>
          <w:p w14:paraId="21619905" w14:textId="4A719420"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0,10</w:t>
            </w:r>
          </w:p>
        </w:tc>
        <w:tc>
          <w:tcPr>
            <w:tcW w:w="956" w:type="dxa"/>
            <w:shd w:val="clear" w:color="auto" w:fill="auto"/>
            <w:noWrap/>
            <w:vAlign w:val="center"/>
            <w:hideMark/>
          </w:tcPr>
          <w:p w14:paraId="383824FE" w14:textId="4765B830"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2.814</w:t>
            </w:r>
          </w:p>
        </w:tc>
      </w:tr>
      <w:tr w:rsidR="00F50AC4" w:rsidRPr="006F5FDB" w14:paraId="0E530F04" w14:textId="77777777" w:rsidTr="005B6ED7">
        <w:trPr>
          <w:trHeight w:val="225"/>
        </w:trPr>
        <w:tc>
          <w:tcPr>
            <w:tcW w:w="1975" w:type="dxa"/>
            <w:shd w:val="clear" w:color="auto" w:fill="auto"/>
            <w:noWrap/>
            <w:vAlign w:val="center"/>
            <w:hideMark/>
          </w:tcPr>
          <w:p w14:paraId="7A3FDAE2" w14:textId="77777777"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eastAsia="Times New Roman" w:hAnsi="Calibri" w:cs="Calibri"/>
                <w:color w:val="000000"/>
                <w:sz w:val="16"/>
                <w:szCs w:val="18"/>
                <w:lang w:eastAsia="hr-HR"/>
              </w:rPr>
              <w:t>Staklo</w:t>
            </w:r>
          </w:p>
        </w:tc>
        <w:tc>
          <w:tcPr>
            <w:tcW w:w="992" w:type="dxa"/>
            <w:shd w:val="clear" w:color="auto" w:fill="auto"/>
            <w:noWrap/>
            <w:vAlign w:val="center"/>
            <w:hideMark/>
          </w:tcPr>
          <w:p w14:paraId="7EBCFAB9" w14:textId="5BD396AA"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48.634</w:t>
            </w:r>
          </w:p>
        </w:tc>
        <w:tc>
          <w:tcPr>
            <w:tcW w:w="988" w:type="dxa"/>
            <w:shd w:val="clear" w:color="auto" w:fill="auto"/>
            <w:noWrap/>
            <w:vAlign w:val="center"/>
            <w:hideMark/>
          </w:tcPr>
          <w:p w14:paraId="32EB7754" w14:textId="61ED247E"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0,90</w:t>
            </w:r>
          </w:p>
        </w:tc>
        <w:tc>
          <w:tcPr>
            <w:tcW w:w="1030" w:type="dxa"/>
            <w:shd w:val="clear" w:color="auto" w:fill="auto"/>
            <w:noWrap/>
            <w:vAlign w:val="center"/>
            <w:hideMark/>
          </w:tcPr>
          <w:p w14:paraId="0E4DAF8E" w14:textId="0151A7C2"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43.771</w:t>
            </w:r>
          </w:p>
        </w:tc>
        <w:tc>
          <w:tcPr>
            <w:tcW w:w="1101" w:type="dxa"/>
            <w:shd w:val="clear" w:color="auto" w:fill="auto"/>
            <w:noWrap/>
            <w:vAlign w:val="center"/>
            <w:hideMark/>
          </w:tcPr>
          <w:p w14:paraId="55548C7D" w14:textId="17BB0A0A"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0,00</w:t>
            </w:r>
          </w:p>
        </w:tc>
        <w:tc>
          <w:tcPr>
            <w:tcW w:w="1031" w:type="dxa"/>
            <w:shd w:val="clear" w:color="auto" w:fill="auto"/>
            <w:noWrap/>
            <w:vAlign w:val="center"/>
            <w:hideMark/>
          </w:tcPr>
          <w:p w14:paraId="279E7034" w14:textId="3B68597E"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w:t>
            </w:r>
          </w:p>
        </w:tc>
        <w:tc>
          <w:tcPr>
            <w:tcW w:w="1022" w:type="dxa"/>
            <w:shd w:val="clear" w:color="auto" w:fill="auto"/>
            <w:noWrap/>
            <w:vAlign w:val="center"/>
            <w:hideMark/>
          </w:tcPr>
          <w:p w14:paraId="044337BD" w14:textId="3FBCF7F8"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0,10</w:t>
            </w:r>
          </w:p>
        </w:tc>
        <w:tc>
          <w:tcPr>
            <w:tcW w:w="956" w:type="dxa"/>
            <w:shd w:val="clear" w:color="auto" w:fill="auto"/>
            <w:noWrap/>
            <w:vAlign w:val="center"/>
            <w:hideMark/>
          </w:tcPr>
          <w:p w14:paraId="21BDEDA8" w14:textId="3D983EBE"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4.863</w:t>
            </w:r>
          </w:p>
        </w:tc>
      </w:tr>
      <w:tr w:rsidR="00F50AC4" w:rsidRPr="006F5FDB" w14:paraId="70479598" w14:textId="77777777" w:rsidTr="005B6ED7">
        <w:trPr>
          <w:trHeight w:val="225"/>
        </w:trPr>
        <w:tc>
          <w:tcPr>
            <w:tcW w:w="1975" w:type="dxa"/>
            <w:shd w:val="clear" w:color="auto" w:fill="auto"/>
            <w:noWrap/>
            <w:vAlign w:val="center"/>
            <w:hideMark/>
          </w:tcPr>
          <w:p w14:paraId="2373BCC9" w14:textId="77777777"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eastAsia="Times New Roman" w:hAnsi="Calibri" w:cs="Calibri"/>
                <w:color w:val="000000"/>
                <w:sz w:val="16"/>
                <w:szCs w:val="18"/>
                <w:lang w:eastAsia="hr-HR"/>
              </w:rPr>
              <w:t>Plastika</w:t>
            </w:r>
          </w:p>
        </w:tc>
        <w:tc>
          <w:tcPr>
            <w:tcW w:w="992" w:type="dxa"/>
            <w:shd w:val="clear" w:color="auto" w:fill="auto"/>
            <w:noWrap/>
            <w:vAlign w:val="center"/>
            <w:hideMark/>
          </w:tcPr>
          <w:p w14:paraId="2A1E2491" w14:textId="1C97CB65"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193.442</w:t>
            </w:r>
          </w:p>
        </w:tc>
        <w:tc>
          <w:tcPr>
            <w:tcW w:w="988" w:type="dxa"/>
            <w:shd w:val="clear" w:color="auto" w:fill="auto"/>
            <w:noWrap/>
            <w:vAlign w:val="center"/>
            <w:hideMark/>
          </w:tcPr>
          <w:p w14:paraId="616D9555" w14:textId="116E485D"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0,20</w:t>
            </w:r>
          </w:p>
        </w:tc>
        <w:tc>
          <w:tcPr>
            <w:tcW w:w="1030" w:type="dxa"/>
            <w:shd w:val="clear" w:color="auto" w:fill="auto"/>
            <w:noWrap/>
            <w:vAlign w:val="center"/>
            <w:hideMark/>
          </w:tcPr>
          <w:p w14:paraId="4406C2BC" w14:textId="3978693D"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38.688</w:t>
            </w:r>
          </w:p>
        </w:tc>
        <w:tc>
          <w:tcPr>
            <w:tcW w:w="1101" w:type="dxa"/>
            <w:shd w:val="clear" w:color="auto" w:fill="auto"/>
            <w:noWrap/>
            <w:vAlign w:val="center"/>
            <w:hideMark/>
          </w:tcPr>
          <w:p w14:paraId="52696C81" w14:textId="10AE159C"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0,40</w:t>
            </w:r>
          </w:p>
        </w:tc>
        <w:tc>
          <w:tcPr>
            <w:tcW w:w="1031" w:type="dxa"/>
            <w:shd w:val="clear" w:color="auto" w:fill="auto"/>
            <w:noWrap/>
            <w:vAlign w:val="center"/>
            <w:hideMark/>
          </w:tcPr>
          <w:p w14:paraId="31747245" w14:textId="19C89653"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77.377</w:t>
            </w:r>
          </w:p>
        </w:tc>
        <w:tc>
          <w:tcPr>
            <w:tcW w:w="1022" w:type="dxa"/>
            <w:shd w:val="clear" w:color="auto" w:fill="auto"/>
            <w:noWrap/>
            <w:vAlign w:val="center"/>
            <w:hideMark/>
          </w:tcPr>
          <w:p w14:paraId="5B50A000" w14:textId="726044DC"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0,60</w:t>
            </w:r>
          </w:p>
        </w:tc>
        <w:tc>
          <w:tcPr>
            <w:tcW w:w="956" w:type="dxa"/>
            <w:shd w:val="clear" w:color="auto" w:fill="auto"/>
            <w:noWrap/>
            <w:vAlign w:val="center"/>
            <w:hideMark/>
          </w:tcPr>
          <w:p w14:paraId="3F16FF29" w14:textId="67898E60"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116.065</w:t>
            </w:r>
          </w:p>
        </w:tc>
      </w:tr>
      <w:tr w:rsidR="00F50AC4" w:rsidRPr="006F5FDB" w14:paraId="04E90E46" w14:textId="77777777" w:rsidTr="005B6ED7">
        <w:trPr>
          <w:trHeight w:val="225"/>
        </w:trPr>
        <w:tc>
          <w:tcPr>
            <w:tcW w:w="1975" w:type="dxa"/>
            <w:shd w:val="clear" w:color="auto" w:fill="auto"/>
            <w:noWrap/>
            <w:vAlign w:val="center"/>
            <w:hideMark/>
          </w:tcPr>
          <w:p w14:paraId="0542CFEC" w14:textId="77777777"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eastAsia="Times New Roman" w:hAnsi="Calibri" w:cs="Calibri"/>
                <w:color w:val="000000"/>
                <w:sz w:val="16"/>
                <w:szCs w:val="18"/>
                <w:lang w:eastAsia="hr-HR"/>
              </w:rPr>
              <w:t>Biootpad</w:t>
            </w:r>
          </w:p>
        </w:tc>
        <w:tc>
          <w:tcPr>
            <w:tcW w:w="992" w:type="dxa"/>
            <w:shd w:val="clear" w:color="auto" w:fill="auto"/>
            <w:noWrap/>
            <w:vAlign w:val="center"/>
            <w:hideMark/>
          </w:tcPr>
          <w:p w14:paraId="6F2F5331" w14:textId="4CAB670B"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317.066</w:t>
            </w:r>
          </w:p>
        </w:tc>
        <w:tc>
          <w:tcPr>
            <w:tcW w:w="988" w:type="dxa"/>
            <w:shd w:val="clear" w:color="auto" w:fill="auto"/>
            <w:noWrap/>
            <w:vAlign w:val="center"/>
            <w:hideMark/>
          </w:tcPr>
          <w:p w14:paraId="0597836E" w14:textId="2FB88515"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0,00</w:t>
            </w:r>
          </w:p>
        </w:tc>
        <w:tc>
          <w:tcPr>
            <w:tcW w:w="1030" w:type="dxa"/>
            <w:shd w:val="clear" w:color="auto" w:fill="auto"/>
            <w:noWrap/>
            <w:vAlign w:val="center"/>
            <w:hideMark/>
          </w:tcPr>
          <w:p w14:paraId="2099B38F" w14:textId="3D9D5479"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w:t>
            </w:r>
          </w:p>
        </w:tc>
        <w:tc>
          <w:tcPr>
            <w:tcW w:w="1101" w:type="dxa"/>
            <w:shd w:val="clear" w:color="auto" w:fill="auto"/>
            <w:noWrap/>
            <w:vAlign w:val="center"/>
            <w:hideMark/>
          </w:tcPr>
          <w:p w14:paraId="438A28F3" w14:textId="4067DBBB"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0,10</w:t>
            </w:r>
          </w:p>
        </w:tc>
        <w:tc>
          <w:tcPr>
            <w:tcW w:w="1031" w:type="dxa"/>
            <w:shd w:val="clear" w:color="auto" w:fill="auto"/>
            <w:noWrap/>
            <w:vAlign w:val="center"/>
            <w:hideMark/>
          </w:tcPr>
          <w:p w14:paraId="2651CE5E" w14:textId="2F9659BD"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31.707</w:t>
            </w:r>
          </w:p>
        </w:tc>
        <w:tc>
          <w:tcPr>
            <w:tcW w:w="1022" w:type="dxa"/>
            <w:shd w:val="clear" w:color="auto" w:fill="auto"/>
            <w:noWrap/>
            <w:vAlign w:val="center"/>
            <w:hideMark/>
          </w:tcPr>
          <w:p w14:paraId="2B66A8B1" w14:textId="56897DC3"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0,90</w:t>
            </w:r>
          </w:p>
        </w:tc>
        <w:tc>
          <w:tcPr>
            <w:tcW w:w="956" w:type="dxa"/>
            <w:shd w:val="clear" w:color="auto" w:fill="auto"/>
            <w:noWrap/>
            <w:vAlign w:val="center"/>
            <w:hideMark/>
          </w:tcPr>
          <w:p w14:paraId="1C625F27" w14:textId="6EADD000"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142.680</w:t>
            </w:r>
          </w:p>
        </w:tc>
      </w:tr>
      <w:tr w:rsidR="00F50AC4" w:rsidRPr="006F5FDB" w14:paraId="1B287505" w14:textId="77777777" w:rsidTr="005B6ED7">
        <w:trPr>
          <w:trHeight w:val="225"/>
        </w:trPr>
        <w:tc>
          <w:tcPr>
            <w:tcW w:w="1975" w:type="dxa"/>
            <w:shd w:val="clear" w:color="auto" w:fill="auto"/>
            <w:noWrap/>
            <w:vAlign w:val="center"/>
            <w:hideMark/>
          </w:tcPr>
          <w:p w14:paraId="7BD54242" w14:textId="77777777"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eastAsia="Times New Roman" w:hAnsi="Calibri" w:cs="Calibri"/>
                <w:color w:val="000000"/>
                <w:sz w:val="16"/>
                <w:szCs w:val="18"/>
                <w:lang w:eastAsia="hr-HR"/>
              </w:rPr>
              <w:t>Glomazni otpad</w:t>
            </w:r>
          </w:p>
        </w:tc>
        <w:tc>
          <w:tcPr>
            <w:tcW w:w="992" w:type="dxa"/>
            <w:shd w:val="clear" w:color="auto" w:fill="auto"/>
            <w:noWrap/>
            <w:vAlign w:val="center"/>
            <w:hideMark/>
          </w:tcPr>
          <w:p w14:paraId="3F5BCBF9" w14:textId="447CFC28"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23.472</w:t>
            </w:r>
          </w:p>
        </w:tc>
        <w:tc>
          <w:tcPr>
            <w:tcW w:w="988" w:type="dxa"/>
            <w:shd w:val="clear" w:color="auto" w:fill="auto"/>
            <w:noWrap/>
            <w:vAlign w:val="center"/>
            <w:hideMark/>
          </w:tcPr>
          <w:p w14:paraId="3FACDBCF" w14:textId="4D8A7E2D"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0,00</w:t>
            </w:r>
          </w:p>
        </w:tc>
        <w:tc>
          <w:tcPr>
            <w:tcW w:w="1030" w:type="dxa"/>
            <w:shd w:val="clear" w:color="auto" w:fill="auto"/>
            <w:noWrap/>
            <w:vAlign w:val="center"/>
            <w:hideMark/>
          </w:tcPr>
          <w:p w14:paraId="6579718F" w14:textId="7A8E1FBD"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w:t>
            </w:r>
          </w:p>
        </w:tc>
        <w:tc>
          <w:tcPr>
            <w:tcW w:w="1101" w:type="dxa"/>
            <w:shd w:val="clear" w:color="auto" w:fill="auto"/>
            <w:noWrap/>
            <w:vAlign w:val="center"/>
            <w:hideMark/>
          </w:tcPr>
          <w:p w14:paraId="7F066139" w14:textId="619CBF34"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0,00</w:t>
            </w:r>
          </w:p>
        </w:tc>
        <w:tc>
          <w:tcPr>
            <w:tcW w:w="1031" w:type="dxa"/>
            <w:shd w:val="clear" w:color="auto" w:fill="auto"/>
            <w:noWrap/>
            <w:vAlign w:val="center"/>
            <w:hideMark/>
          </w:tcPr>
          <w:p w14:paraId="32CCC596" w14:textId="606E7E98"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w:t>
            </w:r>
          </w:p>
        </w:tc>
        <w:tc>
          <w:tcPr>
            <w:tcW w:w="1022" w:type="dxa"/>
            <w:shd w:val="clear" w:color="auto" w:fill="auto"/>
            <w:noWrap/>
            <w:vAlign w:val="center"/>
            <w:hideMark/>
          </w:tcPr>
          <w:p w14:paraId="74C4EB53" w14:textId="1076308B"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0,00</w:t>
            </w:r>
          </w:p>
        </w:tc>
        <w:tc>
          <w:tcPr>
            <w:tcW w:w="956" w:type="dxa"/>
            <w:shd w:val="clear" w:color="auto" w:fill="auto"/>
            <w:noWrap/>
            <w:vAlign w:val="center"/>
            <w:hideMark/>
          </w:tcPr>
          <w:p w14:paraId="4184B534" w14:textId="6D6C8B39"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w:t>
            </w:r>
          </w:p>
        </w:tc>
      </w:tr>
      <w:tr w:rsidR="00F50AC4" w:rsidRPr="006F5FDB" w14:paraId="3B567437" w14:textId="77777777" w:rsidTr="005B6ED7">
        <w:trPr>
          <w:trHeight w:val="225"/>
        </w:trPr>
        <w:tc>
          <w:tcPr>
            <w:tcW w:w="1975" w:type="dxa"/>
            <w:shd w:val="clear" w:color="auto" w:fill="auto"/>
            <w:noWrap/>
            <w:vAlign w:val="center"/>
            <w:hideMark/>
          </w:tcPr>
          <w:p w14:paraId="7A1DEE38" w14:textId="77777777"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eastAsia="Times New Roman" w:hAnsi="Calibri" w:cs="Calibri"/>
                <w:color w:val="000000"/>
                <w:sz w:val="16"/>
                <w:szCs w:val="18"/>
                <w:lang w:eastAsia="hr-HR"/>
              </w:rPr>
              <w:t>Električni i elektronički</w:t>
            </w:r>
          </w:p>
        </w:tc>
        <w:tc>
          <w:tcPr>
            <w:tcW w:w="992" w:type="dxa"/>
            <w:shd w:val="clear" w:color="auto" w:fill="auto"/>
            <w:noWrap/>
            <w:vAlign w:val="center"/>
            <w:hideMark/>
          </w:tcPr>
          <w:p w14:paraId="6948DD64" w14:textId="6499755C"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17.831</w:t>
            </w:r>
          </w:p>
        </w:tc>
        <w:tc>
          <w:tcPr>
            <w:tcW w:w="988" w:type="dxa"/>
            <w:shd w:val="clear" w:color="auto" w:fill="auto"/>
            <w:noWrap/>
            <w:vAlign w:val="center"/>
            <w:hideMark/>
          </w:tcPr>
          <w:p w14:paraId="2B6239B1" w14:textId="7E82C597"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0,80</w:t>
            </w:r>
          </w:p>
        </w:tc>
        <w:tc>
          <w:tcPr>
            <w:tcW w:w="1030" w:type="dxa"/>
            <w:shd w:val="clear" w:color="auto" w:fill="auto"/>
            <w:noWrap/>
            <w:vAlign w:val="center"/>
            <w:hideMark/>
          </w:tcPr>
          <w:p w14:paraId="724C1882" w14:textId="1A9FCB3C"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14.265</w:t>
            </w:r>
          </w:p>
        </w:tc>
        <w:tc>
          <w:tcPr>
            <w:tcW w:w="1101" w:type="dxa"/>
            <w:shd w:val="clear" w:color="auto" w:fill="auto"/>
            <w:noWrap/>
            <w:vAlign w:val="center"/>
            <w:hideMark/>
          </w:tcPr>
          <w:p w14:paraId="6C5531EE" w14:textId="02685E84"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0,00</w:t>
            </w:r>
          </w:p>
        </w:tc>
        <w:tc>
          <w:tcPr>
            <w:tcW w:w="1031" w:type="dxa"/>
            <w:shd w:val="clear" w:color="auto" w:fill="auto"/>
            <w:noWrap/>
            <w:vAlign w:val="center"/>
            <w:hideMark/>
          </w:tcPr>
          <w:p w14:paraId="1B69574C" w14:textId="5B10CFCF"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w:t>
            </w:r>
          </w:p>
        </w:tc>
        <w:tc>
          <w:tcPr>
            <w:tcW w:w="1022" w:type="dxa"/>
            <w:shd w:val="clear" w:color="auto" w:fill="auto"/>
            <w:noWrap/>
            <w:vAlign w:val="center"/>
            <w:hideMark/>
          </w:tcPr>
          <w:p w14:paraId="3346BE60" w14:textId="567722CE"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0,20</w:t>
            </w:r>
          </w:p>
        </w:tc>
        <w:tc>
          <w:tcPr>
            <w:tcW w:w="956" w:type="dxa"/>
            <w:shd w:val="clear" w:color="auto" w:fill="auto"/>
            <w:noWrap/>
            <w:vAlign w:val="center"/>
            <w:hideMark/>
          </w:tcPr>
          <w:p w14:paraId="3C023275" w14:textId="2E3E3A09"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3.566</w:t>
            </w:r>
          </w:p>
        </w:tc>
      </w:tr>
      <w:tr w:rsidR="00F50AC4" w:rsidRPr="006F5FDB" w14:paraId="4D1AAAB7" w14:textId="77777777" w:rsidTr="005B6ED7">
        <w:trPr>
          <w:trHeight w:val="240"/>
        </w:trPr>
        <w:tc>
          <w:tcPr>
            <w:tcW w:w="1975" w:type="dxa"/>
            <w:shd w:val="clear" w:color="auto" w:fill="auto"/>
            <w:noWrap/>
            <w:vAlign w:val="center"/>
            <w:hideMark/>
          </w:tcPr>
          <w:p w14:paraId="7EB54748" w14:textId="77777777"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eastAsia="Times New Roman" w:hAnsi="Calibri" w:cs="Calibri"/>
                <w:color w:val="000000"/>
                <w:sz w:val="16"/>
                <w:szCs w:val="18"/>
                <w:lang w:eastAsia="hr-HR"/>
              </w:rPr>
              <w:t>Ostali otpad</w:t>
            </w:r>
          </w:p>
        </w:tc>
        <w:tc>
          <w:tcPr>
            <w:tcW w:w="992" w:type="dxa"/>
            <w:shd w:val="clear" w:color="auto" w:fill="auto"/>
            <w:noWrap/>
            <w:vAlign w:val="center"/>
            <w:hideMark/>
          </w:tcPr>
          <w:p w14:paraId="0B7C852D" w14:textId="1039D7B1"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135.973</w:t>
            </w:r>
          </w:p>
        </w:tc>
        <w:tc>
          <w:tcPr>
            <w:tcW w:w="988" w:type="dxa"/>
            <w:shd w:val="clear" w:color="auto" w:fill="auto"/>
            <w:noWrap/>
            <w:vAlign w:val="center"/>
            <w:hideMark/>
          </w:tcPr>
          <w:p w14:paraId="430DD81A" w14:textId="270A90B0"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1030" w:type="dxa"/>
            <w:shd w:val="clear" w:color="auto" w:fill="auto"/>
            <w:noWrap/>
            <w:vAlign w:val="center"/>
            <w:hideMark/>
          </w:tcPr>
          <w:p w14:paraId="05284599" w14:textId="2C7BBFFD"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w:t>
            </w:r>
          </w:p>
        </w:tc>
        <w:tc>
          <w:tcPr>
            <w:tcW w:w="1101" w:type="dxa"/>
            <w:shd w:val="clear" w:color="auto" w:fill="auto"/>
            <w:noWrap/>
            <w:vAlign w:val="center"/>
            <w:hideMark/>
          </w:tcPr>
          <w:p w14:paraId="7502C47D" w14:textId="4A99A065"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0,10</w:t>
            </w:r>
          </w:p>
        </w:tc>
        <w:tc>
          <w:tcPr>
            <w:tcW w:w="1031" w:type="dxa"/>
            <w:shd w:val="clear" w:color="auto" w:fill="auto"/>
            <w:noWrap/>
            <w:vAlign w:val="center"/>
            <w:hideMark/>
          </w:tcPr>
          <w:p w14:paraId="0638DB50" w14:textId="794A20E3"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13.597</w:t>
            </w:r>
          </w:p>
        </w:tc>
        <w:tc>
          <w:tcPr>
            <w:tcW w:w="1022" w:type="dxa"/>
            <w:shd w:val="clear" w:color="auto" w:fill="auto"/>
            <w:noWrap/>
            <w:vAlign w:val="center"/>
            <w:hideMark/>
          </w:tcPr>
          <w:p w14:paraId="4E422EC1" w14:textId="47BABE6C"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0,90</w:t>
            </w:r>
          </w:p>
        </w:tc>
        <w:tc>
          <w:tcPr>
            <w:tcW w:w="956" w:type="dxa"/>
            <w:shd w:val="clear" w:color="auto" w:fill="auto"/>
            <w:noWrap/>
            <w:vAlign w:val="center"/>
            <w:hideMark/>
          </w:tcPr>
          <w:p w14:paraId="5C087FC6" w14:textId="340292A8"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122.376</w:t>
            </w:r>
          </w:p>
        </w:tc>
      </w:tr>
      <w:tr w:rsidR="00F50AC4" w:rsidRPr="006F5FDB" w14:paraId="6B21770F" w14:textId="77777777" w:rsidTr="005B6ED7">
        <w:trPr>
          <w:trHeight w:val="315"/>
        </w:trPr>
        <w:tc>
          <w:tcPr>
            <w:tcW w:w="2967" w:type="dxa"/>
            <w:gridSpan w:val="2"/>
            <w:shd w:val="clear" w:color="auto" w:fill="E7E6E6" w:themeFill="background2"/>
            <w:noWrap/>
            <w:vAlign w:val="center"/>
            <w:hideMark/>
          </w:tcPr>
          <w:p w14:paraId="13141BE1" w14:textId="77777777"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eastAsia="Times New Roman" w:hAnsi="Calibri" w:cs="Calibri"/>
                <w:color w:val="000000"/>
                <w:sz w:val="16"/>
                <w:szCs w:val="18"/>
                <w:lang w:eastAsia="hr-HR"/>
              </w:rPr>
              <w:t>Ukupna količina (t/god)</w:t>
            </w:r>
          </w:p>
        </w:tc>
        <w:tc>
          <w:tcPr>
            <w:tcW w:w="988" w:type="dxa"/>
            <w:shd w:val="clear" w:color="auto" w:fill="E7E6E6" w:themeFill="background2"/>
            <w:noWrap/>
            <w:vAlign w:val="center"/>
            <w:hideMark/>
          </w:tcPr>
          <w:p w14:paraId="057E41B6" w14:textId="3072DBD9"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1030" w:type="dxa"/>
            <w:shd w:val="clear" w:color="auto" w:fill="E7E6E6" w:themeFill="background2"/>
            <w:noWrap/>
            <w:vAlign w:val="center"/>
            <w:hideMark/>
          </w:tcPr>
          <w:p w14:paraId="57AB94B8" w14:textId="6F844766"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147.602</w:t>
            </w:r>
          </w:p>
        </w:tc>
        <w:tc>
          <w:tcPr>
            <w:tcW w:w="1101" w:type="dxa"/>
            <w:shd w:val="clear" w:color="auto" w:fill="E7E6E6" w:themeFill="background2"/>
            <w:noWrap/>
            <w:vAlign w:val="center"/>
            <w:hideMark/>
          </w:tcPr>
          <w:p w14:paraId="6C753A1F" w14:textId="54665D28"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1031" w:type="dxa"/>
            <w:shd w:val="clear" w:color="auto" w:fill="E7E6E6" w:themeFill="background2"/>
            <w:noWrap/>
            <w:vAlign w:val="center"/>
            <w:hideMark/>
          </w:tcPr>
          <w:p w14:paraId="6843AAF3" w14:textId="7A83C338"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148.231</w:t>
            </w:r>
          </w:p>
        </w:tc>
        <w:tc>
          <w:tcPr>
            <w:tcW w:w="1022" w:type="dxa"/>
            <w:shd w:val="clear" w:color="auto" w:fill="E7E6E6" w:themeFill="background2"/>
            <w:noWrap/>
            <w:vAlign w:val="center"/>
            <w:hideMark/>
          </w:tcPr>
          <w:p w14:paraId="07021781" w14:textId="12FF490F"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956" w:type="dxa"/>
            <w:shd w:val="clear" w:color="auto" w:fill="E7E6E6" w:themeFill="background2"/>
            <w:noWrap/>
            <w:vAlign w:val="center"/>
            <w:hideMark/>
          </w:tcPr>
          <w:p w14:paraId="764C6090" w14:textId="03D69A24"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596.767</w:t>
            </w:r>
          </w:p>
        </w:tc>
      </w:tr>
      <w:tr w:rsidR="00F50AC4" w:rsidRPr="006F5FDB" w14:paraId="5129A08D" w14:textId="77777777" w:rsidTr="005B6ED7">
        <w:trPr>
          <w:trHeight w:val="315"/>
        </w:trPr>
        <w:tc>
          <w:tcPr>
            <w:tcW w:w="2967" w:type="dxa"/>
            <w:gridSpan w:val="2"/>
            <w:shd w:val="clear" w:color="auto" w:fill="E7E6E6" w:themeFill="background2"/>
            <w:noWrap/>
            <w:vAlign w:val="center"/>
            <w:hideMark/>
          </w:tcPr>
          <w:p w14:paraId="7DE1794D" w14:textId="77777777"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eastAsia="Times New Roman" w:hAnsi="Calibri" w:cs="Calibri"/>
                <w:color w:val="000000"/>
                <w:sz w:val="16"/>
                <w:szCs w:val="18"/>
                <w:lang w:eastAsia="hr-HR"/>
              </w:rPr>
              <w:t>Udio u ulazu u CGO</w:t>
            </w:r>
          </w:p>
        </w:tc>
        <w:tc>
          <w:tcPr>
            <w:tcW w:w="988" w:type="dxa"/>
            <w:shd w:val="clear" w:color="auto" w:fill="E7E6E6" w:themeFill="background2"/>
            <w:noWrap/>
            <w:vAlign w:val="center"/>
            <w:hideMark/>
          </w:tcPr>
          <w:p w14:paraId="4DF76CBE" w14:textId="7A8C8EB6"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1030" w:type="dxa"/>
            <w:shd w:val="clear" w:color="auto" w:fill="E7E6E6" w:themeFill="background2"/>
            <w:noWrap/>
            <w:vAlign w:val="center"/>
            <w:hideMark/>
          </w:tcPr>
          <w:p w14:paraId="281392E9" w14:textId="5FD4C431"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14%</w:t>
            </w:r>
          </w:p>
        </w:tc>
        <w:tc>
          <w:tcPr>
            <w:tcW w:w="1101" w:type="dxa"/>
            <w:shd w:val="clear" w:color="auto" w:fill="E7E6E6" w:themeFill="background2"/>
            <w:noWrap/>
            <w:vAlign w:val="center"/>
            <w:hideMark/>
          </w:tcPr>
          <w:p w14:paraId="11F7BEFA" w14:textId="000D100C"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1031" w:type="dxa"/>
            <w:shd w:val="clear" w:color="auto" w:fill="E7E6E6" w:themeFill="background2"/>
            <w:noWrap/>
            <w:vAlign w:val="center"/>
            <w:hideMark/>
          </w:tcPr>
          <w:p w14:paraId="6866377D" w14:textId="34656D09"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15%</w:t>
            </w:r>
          </w:p>
        </w:tc>
        <w:tc>
          <w:tcPr>
            <w:tcW w:w="1022" w:type="dxa"/>
            <w:shd w:val="clear" w:color="auto" w:fill="E7E6E6" w:themeFill="background2"/>
            <w:noWrap/>
            <w:vAlign w:val="center"/>
            <w:hideMark/>
          </w:tcPr>
          <w:p w14:paraId="346B98DE" w14:textId="6346B386"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956" w:type="dxa"/>
            <w:shd w:val="clear" w:color="auto" w:fill="E7E6E6" w:themeFill="background2"/>
            <w:noWrap/>
            <w:vAlign w:val="center"/>
            <w:hideMark/>
          </w:tcPr>
          <w:p w14:paraId="1ED44A0D" w14:textId="0D36E86B"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59%</w:t>
            </w:r>
          </w:p>
        </w:tc>
      </w:tr>
    </w:tbl>
    <w:p w14:paraId="4501142B" w14:textId="77777777" w:rsidR="009F75D6" w:rsidRDefault="009F75D6" w:rsidP="009F75D6"/>
    <w:p w14:paraId="7A230BA2" w14:textId="77777777" w:rsidR="00210652" w:rsidRDefault="00210652" w:rsidP="00210652">
      <w:r>
        <w:t xml:space="preserve">Uzimajući u obzire rizike za ispunjenjem postavljenih ciljeva pripreme za ponovnu uporabu i </w:t>
      </w:r>
      <w:proofErr w:type="spellStart"/>
      <w:r>
        <w:t>recikljiranje</w:t>
      </w:r>
      <w:proofErr w:type="spellEnd"/>
      <w:r>
        <w:t xml:space="preserve"> kao i predviđeni način obrade </w:t>
      </w:r>
      <w:proofErr w:type="spellStart"/>
      <w:r>
        <w:t>mKO</w:t>
      </w:r>
      <w:proofErr w:type="spellEnd"/>
      <w:r>
        <w:t xml:space="preserve">-a (mehaničko-biološka obrada, energetska oporaba, odlaganje i/ili spaljivanje), postoji odgovarajuća rezerva u vidu predviđenog izdvajanja i pripreme za ponovnu uporabu i recikliranje iskoristivih sastavnica otpada kroz obradu </w:t>
      </w:r>
      <w:proofErr w:type="spellStart"/>
      <w:r>
        <w:t>mKO</w:t>
      </w:r>
      <w:proofErr w:type="spellEnd"/>
      <w:r>
        <w:t xml:space="preserve"> tijekom koje će se izdvajati metal, plastika, papir i karton, električni i elektronički otpad i staklo a kojih prema očekivanom sastavu </w:t>
      </w:r>
      <w:proofErr w:type="spellStart"/>
      <w:r>
        <w:t>mKO</w:t>
      </w:r>
      <w:proofErr w:type="spellEnd"/>
      <w:r>
        <w:t>-a može biti oko i više od 10 % mase ulaza u proces obrade.</w:t>
      </w:r>
    </w:p>
    <w:p w14:paraId="3A8856F3" w14:textId="2018B8AF" w:rsidR="00180ECE" w:rsidRDefault="00210652" w:rsidP="00210652">
      <w:r>
        <w:t xml:space="preserve">Sumarni prikaz kretanja količina obuhvaćenih sustavom gospodarenja komunalnim otpadom daje </w:t>
      </w:r>
      <w:r>
        <w:fldChar w:fldCharType="begin"/>
      </w:r>
      <w:r>
        <w:instrText xml:space="preserve"> REF _Ref116286017 \h </w:instrText>
      </w:r>
      <w:r>
        <w:fldChar w:fldCharType="separate"/>
      </w:r>
      <w:r w:rsidR="00F37B62">
        <w:t xml:space="preserve">Tablica </w:t>
      </w:r>
      <w:r w:rsidR="00F37B62">
        <w:rPr>
          <w:noProof/>
        </w:rPr>
        <w:t>46</w:t>
      </w:r>
      <w:r>
        <w:fldChar w:fldCharType="end"/>
      </w:r>
      <w:r w:rsidR="002F2E13">
        <w:t xml:space="preserve"> </w:t>
      </w:r>
      <w:r>
        <w:t xml:space="preserve">za Scenarij 1 i </w:t>
      </w:r>
      <w:r>
        <w:fldChar w:fldCharType="begin"/>
      </w:r>
      <w:r>
        <w:instrText xml:space="preserve"> REF _Ref116286023 \h </w:instrText>
      </w:r>
      <w:r>
        <w:fldChar w:fldCharType="separate"/>
      </w:r>
      <w:r w:rsidR="00F37B62">
        <w:t xml:space="preserve">Tablica </w:t>
      </w:r>
      <w:r w:rsidR="00F37B62">
        <w:rPr>
          <w:noProof/>
        </w:rPr>
        <w:t>47</w:t>
      </w:r>
      <w:r>
        <w:fldChar w:fldCharType="end"/>
      </w:r>
      <w:r>
        <w:t xml:space="preserve"> za Scenarij 2.</w:t>
      </w:r>
    </w:p>
    <w:p w14:paraId="10E0D11F" w14:textId="2FB426CE" w:rsidR="00210652" w:rsidRDefault="00210652" w:rsidP="00210652">
      <w:pPr>
        <w:pStyle w:val="Tablica"/>
      </w:pPr>
      <w:bookmarkStart w:id="261" w:name="_Ref116286017"/>
      <w:bookmarkStart w:id="262" w:name="_Toc125364435"/>
      <w:r>
        <w:t xml:space="preserve">Tablica </w:t>
      </w:r>
      <w:fldSimple w:instr=" SEQ Tablica \* ARABIC ">
        <w:r w:rsidR="00F37B62">
          <w:rPr>
            <w:noProof/>
          </w:rPr>
          <w:t>46</w:t>
        </w:r>
      </w:fldSimple>
      <w:bookmarkEnd w:id="261"/>
      <w:r>
        <w:t xml:space="preserve">. </w:t>
      </w:r>
      <w:r>
        <w:rPr>
          <w:b w:val="0"/>
          <w:bCs/>
        </w:rPr>
        <w:t>Ključne količine komunalnog otpada u razdoblju od 2025.-2035. – SCENARIJ 1</w:t>
      </w:r>
      <w:bookmarkEnd w:id="262"/>
    </w:p>
    <w:tbl>
      <w:tblPr>
        <w:tblW w:w="9103" w:type="dxa"/>
        <w:tblLayout w:type="fixed"/>
        <w:tblLook w:val="04A0" w:firstRow="1" w:lastRow="0" w:firstColumn="1" w:lastColumn="0" w:noHBand="0" w:noVBand="1"/>
      </w:tblPr>
      <w:tblGrid>
        <w:gridCol w:w="1129"/>
        <w:gridCol w:w="993"/>
        <w:gridCol w:w="1024"/>
        <w:gridCol w:w="1244"/>
        <w:gridCol w:w="1701"/>
        <w:gridCol w:w="1275"/>
        <w:gridCol w:w="1737"/>
      </w:tblGrid>
      <w:tr w:rsidR="00EB6E5A" w:rsidRPr="00210652" w14:paraId="764B6771" w14:textId="77777777" w:rsidTr="00EB6E5A">
        <w:trPr>
          <w:trHeight w:val="225"/>
        </w:trPr>
        <w:tc>
          <w:tcPr>
            <w:tcW w:w="9103"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1E95DCFC"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Komunalni otpad u 2025.</w:t>
            </w:r>
          </w:p>
        </w:tc>
      </w:tr>
      <w:tr w:rsidR="00210652" w:rsidRPr="00210652" w14:paraId="48D52235" w14:textId="77777777" w:rsidTr="00EB6E5A">
        <w:trPr>
          <w:trHeight w:val="225"/>
        </w:trPr>
        <w:tc>
          <w:tcPr>
            <w:tcW w:w="9103"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45CC4739"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1.913.143</w:t>
            </w:r>
          </w:p>
        </w:tc>
      </w:tr>
      <w:tr w:rsidR="00210652" w:rsidRPr="00210652" w14:paraId="182BB477" w14:textId="77777777" w:rsidTr="00210652">
        <w:trPr>
          <w:trHeight w:val="870"/>
        </w:trPr>
        <w:tc>
          <w:tcPr>
            <w:tcW w:w="1129" w:type="dxa"/>
            <w:tcBorders>
              <w:top w:val="nil"/>
              <w:left w:val="single" w:sz="4" w:space="0" w:color="auto"/>
              <w:bottom w:val="single" w:sz="4" w:space="0" w:color="auto"/>
              <w:right w:val="single" w:sz="4" w:space="0" w:color="auto"/>
            </w:tcBorders>
            <w:shd w:val="clear" w:color="000000" w:fill="CFCCBB"/>
            <w:vAlign w:val="center"/>
            <w:hideMark/>
          </w:tcPr>
          <w:p w14:paraId="338E368D"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proofErr w:type="spellStart"/>
            <w:r w:rsidRPr="00210652">
              <w:rPr>
                <w:rFonts w:ascii="Calibri" w:eastAsia="Times New Roman" w:hAnsi="Calibri" w:cs="Calibri"/>
                <w:color w:val="000000"/>
                <w:sz w:val="18"/>
                <w:szCs w:val="18"/>
                <w:lang w:eastAsia="hr-HR"/>
              </w:rPr>
              <w:lastRenderedPageBreak/>
              <w:t>mKO</w:t>
            </w:r>
            <w:proofErr w:type="spellEnd"/>
          </w:p>
        </w:tc>
        <w:tc>
          <w:tcPr>
            <w:tcW w:w="2017" w:type="dxa"/>
            <w:gridSpan w:val="2"/>
            <w:tcBorders>
              <w:top w:val="single" w:sz="4" w:space="0" w:color="auto"/>
              <w:left w:val="nil"/>
              <w:bottom w:val="single" w:sz="4" w:space="0" w:color="auto"/>
              <w:right w:val="single" w:sz="4" w:space="0" w:color="auto"/>
            </w:tcBorders>
            <w:shd w:val="clear" w:color="000000" w:fill="D6C8D6"/>
            <w:vAlign w:val="center"/>
            <w:hideMark/>
          </w:tcPr>
          <w:p w14:paraId="71CF9D41" w14:textId="7B325D0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Izdvojene nečistoće prilikom sortiranja (13 %) </w:t>
            </w:r>
          </w:p>
        </w:tc>
        <w:tc>
          <w:tcPr>
            <w:tcW w:w="5957" w:type="dxa"/>
            <w:gridSpan w:val="4"/>
            <w:tcBorders>
              <w:top w:val="single" w:sz="4" w:space="0" w:color="auto"/>
              <w:left w:val="nil"/>
              <w:bottom w:val="single" w:sz="4" w:space="0" w:color="auto"/>
              <w:right w:val="single" w:sz="4" w:space="0" w:color="auto"/>
            </w:tcBorders>
            <w:shd w:val="clear" w:color="000000" w:fill="92D050"/>
            <w:vAlign w:val="center"/>
            <w:hideMark/>
          </w:tcPr>
          <w:p w14:paraId="44D0C53E"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Odvojeno prikupljeni komunalni otpad (prvenstveno papir, karton, staklo, plastika, metal, biootpad i dr.) </w:t>
            </w:r>
          </w:p>
        </w:tc>
      </w:tr>
      <w:tr w:rsidR="00210652" w:rsidRPr="00210652" w14:paraId="3491B232" w14:textId="77777777" w:rsidTr="00210652">
        <w:trPr>
          <w:trHeight w:val="225"/>
        </w:trPr>
        <w:tc>
          <w:tcPr>
            <w:tcW w:w="1129" w:type="dxa"/>
            <w:tcBorders>
              <w:top w:val="nil"/>
              <w:left w:val="single" w:sz="4" w:space="0" w:color="auto"/>
              <w:bottom w:val="single" w:sz="4" w:space="0" w:color="auto"/>
              <w:right w:val="single" w:sz="4" w:space="0" w:color="auto"/>
            </w:tcBorders>
            <w:shd w:val="clear" w:color="000000" w:fill="CFCCBB"/>
            <w:noWrap/>
            <w:vAlign w:val="center"/>
            <w:hideMark/>
          </w:tcPr>
          <w:p w14:paraId="5FB70402"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724.905</w:t>
            </w:r>
          </w:p>
        </w:tc>
        <w:tc>
          <w:tcPr>
            <w:tcW w:w="2017" w:type="dxa"/>
            <w:gridSpan w:val="2"/>
            <w:tcBorders>
              <w:top w:val="single" w:sz="4" w:space="0" w:color="auto"/>
              <w:left w:val="nil"/>
              <w:bottom w:val="single" w:sz="4" w:space="0" w:color="auto"/>
              <w:right w:val="single" w:sz="4" w:space="0" w:color="auto"/>
            </w:tcBorders>
            <w:shd w:val="clear" w:color="000000" w:fill="D6C8D6"/>
            <w:noWrap/>
            <w:vAlign w:val="center"/>
            <w:hideMark/>
          </w:tcPr>
          <w:p w14:paraId="0B21A535"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136.009</w:t>
            </w:r>
          </w:p>
        </w:tc>
        <w:tc>
          <w:tcPr>
            <w:tcW w:w="5957" w:type="dxa"/>
            <w:gridSpan w:val="4"/>
            <w:tcBorders>
              <w:top w:val="single" w:sz="4" w:space="0" w:color="auto"/>
              <w:left w:val="nil"/>
              <w:bottom w:val="single" w:sz="4" w:space="0" w:color="auto"/>
              <w:right w:val="single" w:sz="4" w:space="0" w:color="auto"/>
            </w:tcBorders>
            <w:shd w:val="clear" w:color="000000" w:fill="92D050"/>
            <w:noWrap/>
            <w:vAlign w:val="center"/>
            <w:hideMark/>
          </w:tcPr>
          <w:p w14:paraId="24CBABFC"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1.046.225</w:t>
            </w:r>
          </w:p>
        </w:tc>
      </w:tr>
      <w:tr w:rsidR="00210652" w:rsidRPr="00210652" w14:paraId="2E888657" w14:textId="77777777" w:rsidTr="00210652">
        <w:trPr>
          <w:trHeight w:val="225"/>
        </w:trPr>
        <w:tc>
          <w:tcPr>
            <w:tcW w:w="3146" w:type="dxa"/>
            <w:gridSpan w:val="3"/>
            <w:tcBorders>
              <w:top w:val="single" w:sz="4" w:space="0" w:color="auto"/>
              <w:left w:val="single" w:sz="4" w:space="0" w:color="auto"/>
              <w:bottom w:val="single" w:sz="4" w:space="0" w:color="auto"/>
              <w:right w:val="single" w:sz="4" w:space="0" w:color="auto"/>
            </w:tcBorders>
            <w:shd w:val="clear" w:color="000000" w:fill="CFCCBB"/>
            <w:noWrap/>
            <w:vAlign w:val="center"/>
            <w:hideMark/>
          </w:tcPr>
          <w:p w14:paraId="546E0539"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860.914</w:t>
            </w:r>
          </w:p>
        </w:tc>
        <w:tc>
          <w:tcPr>
            <w:tcW w:w="2945"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1BCB4C7A"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Suhi </w:t>
            </w:r>
            <w:proofErr w:type="spellStart"/>
            <w:r w:rsidRPr="00210652">
              <w:rPr>
                <w:rFonts w:ascii="Calibri" w:eastAsia="Times New Roman" w:hAnsi="Calibri" w:cs="Calibri"/>
                <w:color w:val="000000"/>
                <w:sz w:val="18"/>
                <w:szCs w:val="18"/>
                <w:lang w:eastAsia="hr-HR"/>
              </w:rPr>
              <w:t>reciklat</w:t>
            </w:r>
            <w:proofErr w:type="spellEnd"/>
            <w:r w:rsidRPr="00210652">
              <w:rPr>
                <w:rFonts w:ascii="Calibri" w:eastAsia="Times New Roman" w:hAnsi="Calibri" w:cs="Calibri"/>
                <w:color w:val="000000"/>
                <w:sz w:val="18"/>
                <w:szCs w:val="18"/>
                <w:lang w:eastAsia="hr-HR"/>
              </w:rPr>
              <w:t xml:space="preserve"> - papir, karton, staklo, plastika, metal i dr.</w:t>
            </w:r>
          </w:p>
        </w:tc>
        <w:tc>
          <w:tcPr>
            <w:tcW w:w="3012" w:type="dxa"/>
            <w:gridSpan w:val="2"/>
            <w:tcBorders>
              <w:top w:val="single" w:sz="4" w:space="0" w:color="auto"/>
              <w:left w:val="nil"/>
              <w:bottom w:val="single" w:sz="4" w:space="0" w:color="auto"/>
              <w:right w:val="single" w:sz="4" w:space="0" w:color="auto"/>
            </w:tcBorders>
            <w:shd w:val="clear" w:color="000000" w:fill="E0EADE"/>
            <w:noWrap/>
            <w:vAlign w:val="center"/>
            <w:hideMark/>
          </w:tcPr>
          <w:p w14:paraId="6141A5F5"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Biootpad</w:t>
            </w:r>
          </w:p>
        </w:tc>
      </w:tr>
      <w:tr w:rsidR="00210652" w:rsidRPr="00210652" w14:paraId="7EB6B22E" w14:textId="77777777" w:rsidTr="00210652">
        <w:trPr>
          <w:trHeight w:val="912"/>
        </w:trPr>
        <w:tc>
          <w:tcPr>
            <w:tcW w:w="314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68562"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Ulaz u centar za gospodarenje otpadom</w:t>
            </w:r>
          </w:p>
        </w:tc>
        <w:tc>
          <w:tcPr>
            <w:tcW w:w="2945"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1787C8E9"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Ulaz u sustav odvojenog prikupljanja</w:t>
            </w:r>
          </w:p>
        </w:tc>
        <w:tc>
          <w:tcPr>
            <w:tcW w:w="3012" w:type="dxa"/>
            <w:gridSpan w:val="2"/>
            <w:tcBorders>
              <w:top w:val="single" w:sz="4" w:space="0" w:color="auto"/>
              <w:left w:val="nil"/>
              <w:bottom w:val="single" w:sz="4" w:space="0" w:color="auto"/>
              <w:right w:val="single" w:sz="4" w:space="0" w:color="auto"/>
            </w:tcBorders>
            <w:shd w:val="clear" w:color="000000" w:fill="E0EADE"/>
            <w:vAlign w:val="center"/>
            <w:hideMark/>
          </w:tcPr>
          <w:p w14:paraId="4F3350FC"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Recikliranje - ulaz u biološku obradu</w:t>
            </w:r>
            <w:r w:rsidRPr="00210652">
              <w:rPr>
                <w:rFonts w:ascii="Calibri" w:eastAsia="Times New Roman" w:hAnsi="Calibri" w:cs="Calibri"/>
                <w:color w:val="000000"/>
                <w:sz w:val="18"/>
                <w:szCs w:val="18"/>
                <w:lang w:eastAsia="hr-HR"/>
              </w:rPr>
              <w:br/>
            </w:r>
            <w:proofErr w:type="spellStart"/>
            <w:r w:rsidRPr="00210652">
              <w:rPr>
                <w:rFonts w:ascii="Calibri" w:eastAsia="Times New Roman" w:hAnsi="Calibri" w:cs="Calibri"/>
                <w:color w:val="000000"/>
                <w:sz w:val="18"/>
                <w:szCs w:val="18"/>
                <w:lang w:eastAsia="hr-HR"/>
              </w:rPr>
              <w:t>kompostane</w:t>
            </w:r>
            <w:proofErr w:type="spellEnd"/>
            <w:r w:rsidRPr="00210652">
              <w:rPr>
                <w:rFonts w:ascii="Calibri" w:eastAsia="Times New Roman" w:hAnsi="Calibri" w:cs="Calibri"/>
                <w:color w:val="000000"/>
                <w:sz w:val="18"/>
                <w:szCs w:val="18"/>
                <w:lang w:eastAsia="hr-HR"/>
              </w:rPr>
              <w:t xml:space="preserve"> ili postrojenja za anaerobnu digestiju)</w:t>
            </w:r>
          </w:p>
        </w:tc>
      </w:tr>
      <w:tr w:rsidR="00210652" w:rsidRPr="00210652" w14:paraId="3DDD5CEB" w14:textId="77777777" w:rsidTr="00210652">
        <w:trPr>
          <w:trHeight w:val="225"/>
        </w:trPr>
        <w:tc>
          <w:tcPr>
            <w:tcW w:w="3146" w:type="dxa"/>
            <w:gridSpan w:val="3"/>
            <w:vMerge/>
            <w:tcBorders>
              <w:top w:val="single" w:sz="4" w:space="0" w:color="auto"/>
              <w:left w:val="single" w:sz="4" w:space="0" w:color="auto"/>
              <w:bottom w:val="single" w:sz="4" w:space="0" w:color="auto"/>
              <w:right w:val="single" w:sz="4" w:space="0" w:color="auto"/>
            </w:tcBorders>
            <w:vAlign w:val="center"/>
            <w:hideMark/>
          </w:tcPr>
          <w:p w14:paraId="41DE785C"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294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EBC3FC3"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660.649</w:t>
            </w:r>
          </w:p>
        </w:tc>
        <w:tc>
          <w:tcPr>
            <w:tcW w:w="30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E6C340"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385.575</w:t>
            </w:r>
          </w:p>
        </w:tc>
      </w:tr>
      <w:tr w:rsidR="00210652" w:rsidRPr="00210652" w14:paraId="27E7F213" w14:textId="77777777" w:rsidTr="00210652">
        <w:trPr>
          <w:trHeight w:val="8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0428812"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proofErr w:type="spellStart"/>
            <w:r w:rsidRPr="00210652">
              <w:rPr>
                <w:rFonts w:ascii="Calibri" w:eastAsia="Times New Roman" w:hAnsi="Calibri" w:cs="Calibri"/>
                <w:color w:val="000000"/>
                <w:sz w:val="18"/>
                <w:szCs w:val="18"/>
                <w:lang w:eastAsia="hr-HR"/>
              </w:rPr>
              <w:t>Reciklati</w:t>
            </w:r>
            <w:proofErr w:type="spellEnd"/>
            <w:r w:rsidRPr="00210652">
              <w:rPr>
                <w:rFonts w:ascii="Calibri" w:eastAsia="Times New Roman" w:hAnsi="Calibri" w:cs="Calibri"/>
                <w:color w:val="000000"/>
                <w:sz w:val="18"/>
                <w:szCs w:val="18"/>
                <w:lang w:eastAsia="hr-HR"/>
              </w:rPr>
              <w:t xml:space="preserve"> predani na reciklažu</w:t>
            </w:r>
          </w:p>
        </w:tc>
        <w:tc>
          <w:tcPr>
            <w:tcW w:w="993" w:type="dxa"/>
            <w:tcBorders>
              <w:top w:val="nil"/>
              <w:left w:val="nil"/>
              <w:bottom w:val="single" w:sz="4" w:space="0" w:color="auto"/>
              <w:right w:val="single" w:sz="4" w:space="0" w:color="auto"/>
            </w:tcBorders>
            <w:shd w:val="clear" w:color="auto" w:fill="auto"/>
            <w:vAlign w:val="center"/>
            <w:hideMark/>
          </w:tcPr>
          <w:p w14:paraId="436B1F89"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Odlaganje</w:t>
            </w:r>
          </w:p>
        </w:tc>
        <w:tc>
          <w:tcPr>
            <w:tcW w:w="1024" w:type="dxa"/>
            <w:tcBorders>
              <w:top w:val="nil"/>
              <w:left w:val="nil"/>
              <w:bottom w:val="single" w:sz="4" w:space="0" w:color="auto"/>
              <w:right w:val="single" w:sz="4" w:space="0" w:color="auto"/>
            </w:tcBorders>
            <w:shd w:val="clear" w:color="auto" w:fill="auto"/>
            <w:vAlign w:val="center"/>
            <w:hideMark/>
          </w:tcPr>
          <w:p w14:paraId="7FA5B47D"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Energetska oporaba</w:t>
            </w:r>
          </w:p>
        </w:tc>
        <w:tc>
          <w:tcPr>
            <w:tcW w:w="1244" w:type="dxa"/>
            <w:vMerge w:val="restart"/>
            <w:tcBorders>
              <w:top w:val="nil"/>
              <w:left w:val="single" w:sz="4" w:space="0" w:color="auto"/>
              <w:bottom w:val="single" w:sz="4" w:space="0" w:color="000000"/>
              <w:right w:val="single" w:sz="4" w:space="0" w:color="auto"/>
            </w:tcBorders>
            <w:shd w:val="clear" w:color="auto" w:fill="auto"/>
            <w:vAlign w:val="center"/>
            <w:hideMark/>
          </w:tcPr>
          <w:p w14:paraId="130A2AEE"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proofErr w:type="spellStart"/>
            <w:r w:rsidRPr="00210652">
              <w:rPr>
                <w:rFonts w:ascii="Calibri" w:eastAsia="Times New Roman" w:hAnsi="Calibri" w:cs="Calibri"/>
                <w:color w:val="000000"/>
                <w:sz w:val="18"/>
                <w:szCs w:val="18"/>
                <w:lang w:eastAsia="hr-HR"/>
              </w:rPr>
              <w:t>Reciklati</w:t>
            </w:r>
            <w:proofErr w:type="spellEnd"/>
            <w:r w:rsidRPr="00210652">
              <w:rPr>
                <w:rFonts w:ascii="Calibri" w:eastAsia="Times New Roman" w:hAnsi="Calibri" w:cs="Calibri"/>
                <w:color w:val="000000"/>
                <w:sz w:val="18"/>
                <w:szCs w:val="18"/>
                <w:lang w:eastAsia="hr-HR"/>
              </w:rPr>
              <w:t xml:space="preserve"> predani na reciklažu</w:t>
            </w:r>
          </w:p>
        </w:tc>
        <w:tc>
          <w:tcPr>
            <w:tcW w:w="1701"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081DA855" w14:textId="5627DE83"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Izdvojene nečistoće prilikom sortiranja (13 % - </w:t>
            </w:r>
            <w:r w:rsidR="00B00709">
              <w:rPr>
                <w:rFonts w:ascii="Calibri" w:eastAsia="Times New Roman" w:hAnsi="Calibri" w:cs="Calibri"/>
                <w:color w:val="000000"/>
                <w:sz w:val="18"/>
                <w:szCs w:val="18"/>
                <w:lang w:eastAsia="hr-HR"/>
              </w:rPr>
              <w:t>ulazi u obradu na CGO</w:t>
            </w:r>
            <w:r w:rsidRPr="00210652">
              <w:rPr>
                <w:rFonts w:ascii="Calibri" w:eastAsia="Times New Roman" w:hAnsi="Calibri" w:cs="Calibri"/>
                <w:color w:val="000000"/>
                <w:sz w:val="18"/>
                <w:szCs w:val="18"/>
                <w:lang w:eastAsia="hr-HR"/>
              </w:rPr>
              <w:t xml:space="preserve">) </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74CF7D5F" w14:textId="5D4F3D26"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Kompost/</w:t>
            </w:r>
            <w:r>
              <w:rPr>
                <w:rFonts w:ascii="Calibri" w:eastAsia="Times New Roman" w:hAnsi="Calibri" w:cs="Calibri"/>
                <w:color w:val="000000"/>
                <w:sz w:val="18"/>
                <w:szCs w:val="18"/>
                <w:lang w:eastAsia="hr-HR"/>
              </w:rPr>
              <w:t xml:space="preserve"> </w:t>
            </w:r>
            <w:proofErr w:type="spellStart"/>
            <w:r w:rsidRPr="00210652">
              <w:rPr>
                <w:rFonts w:ascii="Calibri" w:eastAsia="Times New Roman" w:hAnsi="Calibri" w:cs="Calibri"/>
                <w:color w:val="000000"/>
                <w:sz w:val="18"/>
                <w:szCs w:val="18"/>
                <w:lang w:eastAsia="hr-HR"/>
              </w:rPr>
              <w:t>digestat</w:t>
            </w:r>
            <w:proofErr w:type="spellEnd"/>
          </w:p>
        </w:tc>
        <w:tc>
          <w:tcPr>
            <w:tcW w:w="1734"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5709A411" w14:textId="529022ED"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Izdvojene nečistoće prilikom sortiranja (13 % - </w:t>
            </w:r>
            <w:r w:rsidR="00B00709">
              <w:rPr>
                <w:rFonts w:ascii="Calibri" w:eastAsia="Times New Roman" w:hAnsi="Calibri" w:cs="Calibri"/>
                <w:color w:val="000000"/>
                <w:sz w:val="18"/>
                <w:szCs w:val="18"/>
                <w:lang w:eastAsia="hr-HR"/>
              </w:rPr>
              <w:t>ulazi na obradu u CGO</w:t>
            </w:r>
            <w:r w:rsidRPr="00210652">
              <w:rPr>
                <w:rFonts w:ascii="Calibri" w:eastAsia="Times New Roman" w:hAnsi="Calibri" w:cs="Calibri"/>
                <w:color w:val="000000"/>
                <w:sz w:val="18"/>
                <w:szCs w:val="18"/>
                <w:lang w:eastAsia="hr-HR"/>
              </w:rPr>
              <w:t xml:space="preserve">) </w:t>
            </w:r>
          </w:p>
        </w:tc>
      </w:tr>
      <w:tr w:rsidR="00210652" w:rsidRPr="00210652" w14:paraId="12CF3A60" w14:textId="77777777" w:rsidTr="00210652">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83E8AD6"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14%</w:t>
            </w:r>
          </w:p>
        </w:tc>
        <w:tc>
          <w:tcPr>
            <w:tcW w:w="993" w:type="dxa"/>
            <w:tcBorders>
              <w:top w:val="nil"/>
              <w:left w:val="nil"/>
              <w:bottom w:val="single" w:sz="4" w:space="0" w:color="auto"/>
              <w:right w:val="single" w:sz="4" w:space="0" w:color="auto"/>
            </w:tcBorders>
            <w:shd w:val="clear" w:color="auto" w:fill="auto"/>
            <w:vAlign w:val="center"/>
            <w:hideMark/>
          </w:tcPr>
          <w:p w14:paraId="6260F59A"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27%</w:t>
            </w:r>
          </w:p>
        </w:tc>
        <w:tc>
          <w:tcPr>
            <w:tcW w:w="1024" w:type="dxa"/>
            <w:tcBorders>
              <w:top w:val="nil"/>
              <w:left w:val="nil"/>
              <w:bottom w:val="single" w:sz="4" w:space="0" w:color="auto"/>
              <w:right w:val="single" w:sz="4" w:space="0" w:color="auto"/>
            </w:tcBorders>
            <w:shd w:val="clear" w:color="auto" w:fill="auto"/>
            <w:vAlign w:val="center"/>
            <w:hideMark/>
          </w:tcPr>
          <w:p w14:paraId="3CBB0830"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44%</w:t>
            </w:r>
          </w:p>
        </w:tc>
        <w:tc>
          <w:tcPr>
            <w:tcW w:w="1244" w:type="dxa"/>
            <w:vMerge/>
            <w:tcBorders>
              <w:top w:val="nil"/>
              <w:left w:val="single" w:sz="4" w:space="0" w:color="auto"/>
              <w:bottom w:val="single" w:sz="4" w:space="0" w:color="000000"/>
              <w:right w:val="single" w:sz="4" w:space="0" w:color="auto"/>
            </w:tcBorders>
            <w:vAlign w:val="center"/>
            <w:hideMark/>
          </w:tcPr>
          <w:p w14:paraId="6E35DAD9"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1701" w:type="dxa"/>
            <w:vMerge/>
            <w:tcBorders>
              <w:top w:val="nil"/>
              <w:left w:val="single" w:sz="4" w:space="0" w:color="auto"/>
              <w:bottom w:val="single" w:sz="4" w:space="0" w:color="000000"/>
              <w:right w:val="single" w:sz="4" w:space="0" w:color="auto"/>
            </w:tcBorders>
            <w:vAlign w:val="center"/>
            <w:hideMark/>
          </w:tcPr>
          <w:p w14:paraId="2319A6A1"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1275" w:type="dxa"/>
            <w:vMerge/>
            <w:tcBorders>
              <w:top w:val="nil"/>
              <w:left w:val="single" w:sz="4" w:space="0" w:color="auto"/>
              <w:bottom w:val="single" w:sz="4" w:space="0" w:color="000000"/>
              <w:right w:val="single" w:sz="4" w:space="0" w:color="auto"/>
            </w:tcBorders>
            <w:vAlign w:val="center"/>
            <w:hideMark/>
          </w:tcPr>
          <w:p w14:paraId="2A1A2244"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1734" w:type="dxa"/>
            <w:vMerge/>
            <w:tcBorders>
              <w:top w:val="nil"/>
              <w:left w:val="single" w:sz="4" w:space="0" w:color="auto"/>
              <w:bottom w:val="single" w:sz="4" w:space="0" w:color="000000"/>
              <w:right w:val="single" w:sz="4" w:space="0" w:color="auto"/>
            </w:tcBorders>
            <w:vAlign w:val="center"/>
            <w:hideMark/>
          </w:tcPr>
          <w:p w14:paraId="47A151E3"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r>
      <w:tr w:rsidR="00210652" w:rsidRPr="00210652" w14:paraId="4496894E" w14:textId="77777777" w:rsidTr="00210652">
        <w:trPr>
          <w:trHeight w:val="22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2FF1E3D"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123.197</w:t>
            </w:r>
          </w:p>
        </w:tc>
        <w:tc>
          <w:tcPr>
            <w:tcW w:w="993" w:type="dxa"/>
            <w:tcBorders>
              <w:top w:val="nil"/>
              <w:left w:val="nil"/>
              <w:bottom w:val="single" w:sz="4" w:space="0" w:color="auto"/>
              <w:right w:val="single" w:sz="4" w:space="0" w:color="auto"/>
            </w:tcBorders>
            <w:shd w:val="clear" w:color="auto" w:fill="auto"/>
            <w:noWrap/>
            <w:vAlign w:val="center"/>
            <w:hideMark/>
          </w:tcPr>
          <w:p w14:paraId="0037C7D5"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230.191</w:t>
            </w:r>
          </w:p>
        </w:tc>
        <w:tc>
          <w:tcPr>
            <w:tcW w:w="1024" w:type="dxa"/>
            <w:tcBorders>
              <w:top w:val="nil"/>
              <w:left w:val="nil"/>
              <w:bottom w:val="single" w:sz="4" w:space="0" w:color="auto"/>
              <w:right w:val="single" w:sz="4" w:space="0" w:color="auto"/>
            </w:tcBorders>
            <w:shd w:val="clear" w:color="auto" w:fill="auto"/>
            <w:noWrap/>
            <w:vAlign w:val="center"/>
            <w:hideMark/>
          </w:tcPr>
          <w:p w14:paraId="76F9D64C"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380.133</w:t>
            </w:r>
          </w:p>
        </w:tc>
        <w:tc>
          <w:tcPr>
            <w:tcW w:w="1244" w:type="dxa"/>
            <w:tcBorders>
              <w:top w:val="nil"/>
              <w:left w:val="nil"/>
              <w:bottom w:val="single" w:sz="4" w:space="0" w:color="auto"/>
              <w:right w:val="single" w:sz="4" w:space="0" w:color="auto"/>
            </w:tcBorders>
            <w:shd w:val="clear" w:color="auto" w:fill="auto"/>
            <w:noWrap/>
            <w:vAlign w:val="center"/>
            <w:hideMark/>
          </w:tcPr>
          <w:p w14:paraId="699F09FC"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574.765</w:t>
            </w:r>
          </w:p>
        </w:tc>
        <w:tc>
          <w:tcPr>
            <w:tcW w:w="1701" w:type="dxa"/>
            <w:tcBorders>
              <w:top w:val="nil"/>
              <w:left w:val="nil"/>
              <w:bottom w:val="single" w:sz="4" w:space="0" w:color="auto"/>
              <w:right w:val="single" w:sz="4" w:space="0" w:color="auto"/>
            </w:tcBorders>
            <w:shd w:val="clear" w:color="000000" w:fill="D6C8D6"/>
            <w:vAlign w:val="center"/>
            <w:hideMark/>
          </w:tcPr>
          <w:p w14:paraId="154EF1D3"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85.884</w:t>
            </w:r>
          </w:p>
        </w:tc>
        <w:tc>
          <w:tcPr>
            <w:tcW w:w="1275" w:type="dxa"/>
            <w:tcBorders>
              <w:top w:val="nil"/>
              <w:left w:val="nil"/>
              <w:bottom w:val="single" w:sz="4" w:space="0" w:color="auto"/>
              <w:right w:val="single" w:sz="4" w:space="0" w:color="auto"/>
            </w:tcBorders>
            <w:shd w:val="clear" w:color="auto" w:fill="auto"/>
            <w:noWrap/>
            <w:vAlign w:val="center"/>
            <w:hideMark/>
          </w:tcPr>
          <w:p w14:paraId="109FE700"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167.725</w:t>
            </w:r>
          </w:p>
        </w:tc>
        <w:tc>
          <w:tcPr>
            <w:tcW w:w="1734" w:type="dxa"/>
            <w:tcBorders>
              <w:top w:val="nil"/>
              <w:left w:val="nil"/>
              <w:bottom w:val="single" w:sz="4" w:space="0" w:color="auto"/>
              <w:right w:val="single" w:sz="4" w:space="0" w:color="auto"/>
            </w:tcBorders>
            <w:shd w:val="clear" w:color="000000" w:fill="D6C8D6"/>
            <w:vAlign w:val="center"/>
            <w:hideMark/>
          </w:tcPr>
          <w:p w14:paraId="616D9914"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50.125</w:t>
            </w:r>
          </w:p>
        </w:tc>
      </w:tr>
      <w:tr w:rsidR="00210652" w:rsidRPr="00210652" w14:paraId="15A9A405" w14:textId="77777777" w:rsidTr="00210652">
        <w:trPr>
          <w:trHeight w:val="510"/>
        </w:trPr>
        <w:tc>
          <w:tcPr>
            <w:tcW w:w="1129" w:type="dxa"/>
            <w:tcBorders>
              <w:top w:val="nil"/>
              <w:left w:val="nil"/>
              <w:bottom w:val="nil"/>
              <w:right w:val="nil"/>
            </w:tcBorders>
            <w:shd w:val="clear" w:color="auto" w:fill="auto"/>
            <w:noWrap/>
            <w:vAlign w:val="bottom"/>
            <w:hideMark/>
          </w:tcPr>
          <w:p w14:paraId="5E1E4489"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p>
        </w:tc>
        <w:tc>
          <w:tcPr>
            <w:tcW w:w="993" w:type="dxa"/>
            <w:tcBorders>
              <w:top w:val="nil"/>
              <w:left w:val="nil"/>
              <w:bottom w:val="nil"/>
              <w:right w:val="nil"/>
            </w:tcBorders>
            <w:shd w:val="clear" w:color="auto" w:fill="auto"/>
            <w:noWrap/>
            <w:vAlign w:val="bottom"/>
            <w:hideMark/>
          </w:tcPr>
          <w:p w14:paraId="4A381562" w14:textId="77777777" w:rsidR="00210652" w:rsidRPr="00210652" w:rsidRDefault="00210652" w:rsidP="00210652">
            <w:pPr>
              <w:spacing w:after="0" w:line="240" w:lineRule="auto"/>
              <w:jc w:val="left"/>
              <w:rPr>
                <w:rFonts w:ascii="Times New Roman" w:eastAsia="Times New Roman" w:hAnsi="Times New Roman" w:cs="Times New Roman"/>
                <w:sz w:val="18"/>
                <w:szCs w:val="18"/>
                <w:lang w:eastAsia="hr-HR"/>
              </w:rPr>
            </w:pPr>
          </w:p>
        </w:tc>
        <w:tc>
          <w:tcPr>
            <w:tcW w:w="1024" w:type="dxa"/>
            <w:tcBorders>
              <w:top w:val="nil"/>
              <w:left w:val="nil"/>
              <w:bottom w:val="nil"/>
              <w:right w:val="nil"/>
            </w:tcBorders>
            <w:shd w:val="clear" w:color="auto" w:fill="auto"/>
            <w:noWrap/>
            <w:vAlign w:val="bottom"/>
            <w:hideMark/>
          </w:tcPr>
          <w:p w14:paraId="649933BB" w14:textId="77777777" w:rsidR="00210652" w:rsidRPr="00210652" w:rsidRDefault="00210652" w:rsidP="00210652">
            <w:pPr>
              <w:spacing w:after="0" w:line="240" w:lineRule="auto"/>
              <w:jc w:val="left"/>
              <w:rPr>
                <w:rFonts w:ascii="Times New Roman" w:eastAsia="Times New Roman" w:hAnsi="Times New Roman" w:cs="Times New Roman"/>
                <w:sz w:val="18"/>
                <w:szCs w:val="18"/>
                <w:lang w:eastAsia="hr-HR"/>
              </w:rPr>
            </w:pPr>
          </w:p>
        </w:tc>
        <w:tc>
          <w:tcPr>
            <w:tcW w:w="1244" w:type="dxa"/>
            <w:tcBorders>
              <w:top w:val="nil"/>
              <w:left w:val="nil"/>
              <w:bottom w:val="nil"/>
              <w:right w:val="nil"/>
            </w:tcBorders>
            <w:shd w:val="clear" w:color="auto" w:fill="auto"/>
            <w:noWrap/>
            <w:vAlign w:val="bottom"/>
            <w:hideMark/>
          </w:tcPr>
          <w:p w14:paraId="646272AF" w14:textId="77777777" w:rsidR="00210652" w:rsidRPr="00210652" w:rsidRDefault="00210652" w:rsidP="00210652">
            <w:pPr>
              <w:spacing w:after="0" w:line="240" w:lineRule="auto"/>
              <w:jc w:val="left"/>
              <w:rPr>
                <w:rFonts w:ascii="Times New Roman" w:eastAsia="Times New Roman" w:hAnsi="Times New Roman" w:cs="Times New Roman"/>
                <w:sz w:val="18"/>
                <w:szCs w:val="18"/>
                <w:lang w:eastAsia="hr-HR"/>
              </w:rPr>
            </w:pPr>
          </w:p>
        </w:tc>
        <w:tc>
          <w:tcPr>
            <w:tcW w:w="1701" w:type="dxa"/>
            <w:tcBorders>
              <w:top w:val="nil"/>
              <w:left w:val="nil"/>
              <w:bottom w:val="nil"/>
              <w:right w:val="nil"/>
            </w:tcBorders>
            <w:shd w:val="clear" w:color="auto" w:fill="auto"/>
            <w:noWrap/>
            <w:vAlign w:val="bottom"/>
            <w:hideMark/>
          </w:tcPr>
          <w:p w14:paraId="2FD6970A" w14:textId="77777777" w:rsidR="00210652" w:rsidRPr="00210652" w:rsidRDefault="00210652" w:rsidP="00210652">
            <w:pPr>
              <w:spacing w:after="0" w:line="240" w:lineRule="auto"/>
              <w:jc w:val="left"/>
              <w:rPr>
                <w:rFonts w:ascii="Times New Roman" w:eastAsia="Times New Roman" w:hAnsi="Times New Roman" w:cs="Times New Roman"/>
                <w:sz w:val="18"/>
                <w:szCs w:val="18"/>
                <w:lang w:eastAsia="hr-HR"/>
              </w:rPr>
            </w:pPr>
          </w:p>
        </w:tc>
        <w:tc>
          <w:tcPr>
            <w:tcW w:w="1275" w:type="dxa"/>
            <w:tcBorders>
              <w:top w:val="nil"/>
              <w:left w:val="nil"/>
              <w:bottom w:val="nil"/>
              <w:right w:val="nil"/>
            </w:tcBorders>
            <w:shd w:val="clear" w:color="auto" w:fill="auto"/>
            <w:noWrap/>
            <w:vAlign w:val="bottom"/>
            <w:hideMark/>
          </w:tcPr>
          <w:p w14:paraId="566D30F3" w14:textId="77777777" w:rsidR="00210652" w:rsidRPr="00210652" w:rsidRDefault="00210652" w:rsidP="00210652">
            <w:pPr>
              <w:spacing w:after="0" w:line="240" w:lineRule="auto"/>
              <w:jc w:val="left"/>
              <w:rPr>
                <w:rFonts w:ascii="Times New Roman" w:eastAsia="Times New Roman" w:hAnsi="Times New Roman" w:cs="Times New Roman"/>
                <w:sz w:val="18"/>
                <w:szCs w:val="18"/>
                <w:lang w:eastAsia="hr-HR"/>
              </w:rPr>
            </w:pPr>
          </w:p>
        </w:tc>
        <w:tc>
          <w:tcPr>
            <w:tcW w:w="1734" w:type="dxa"/>
            <w:tcBorders>
              <w:top w:val="nil"/>
              <w:left w:val="nil"/>
              <w:bottom w:val="nil"/>
              <w:right w:val="nil"/>
            </w:tcBorders>
            <w:shd w:val="clear" w:color="auto" w:fill="auto"/>
            <w:noWrap/>
            <w:vAlign w:val="bottom"/>
            <w:hideMark/>
          </w:tcPr>
          <w:p w14:paraId="35FBBDB5" w14:textId="77777777" w:rsidR="00210652" w:rsidRPr="00210652" w:rsidRDefault="00210652" w:rsidP="00210652">
            <w:pPr>
              <w:spacing w:after="0" w:line="240" w:lineRule="auto"/>
              <w:jc w:val="left"/>
              <w:rPr>
                <w:rFonts w:ascii="Times New Roman" w:eastAsia="Times New Roman" w:hAnsi="Times New Roman" w:cs="Times New Roman"/>
                <w:sz w:val="18"/>
                <w:szCs w:val="18"/>
                <w:lang w:eastAsia="hr-HR"/>
              </w:rPr>
            </w:pPr>
          </w:p>
        </w:tc>
      </w:tr>
      <w:tr w:rsidR="00210652" w:rsidRPr="00210652" w14:paraId="0BB14A25" w14:textId="77777777" w:rsidTr="00210652">
        <w:trPr>
          <w:trHeight w:val="225"/>
        </w:trPr>
        <w:tc>
          <w:tcPr>
            <w:tcW w:w="9103"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2806106F"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Komunalni otpad u 2028.</w:t>
            </w:r>
          </w:p>
        </w:tc>
      </w:tr>
      <w:tr w:rsidR="00210652" w:rsidRPr="00210652" w14:paraId="6D2D30CD" w14:textId="77777777" w:rsidTr="00210652">
        <w:trPr>
          <w:trHeight w:val="225"/>
        </w:trPr>
        <w:tc>
          <w:tcPr>
            <w:tcW w:w="9103"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2B761C6C"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2.070.164</w:t>
            </w:r>
          </w:p>
        </w:tc>
      </w:tr>
      <w:tr w:rsidR="00210652" w:rsidRPr="00210652" w14:paraId="5AF09DF0" w14:textId="77777777" w:rsidTr="00210652">
        <w:trPr>
          <w:trHeight w:val="870"/>
        </w:trPr>
        <w:tc>
          <w:tcPr>
            <w:tcW w:w="1129" w:type="dxa"/>
            <w:tcBorders>
              <w:top w:val="nil"/>
              <w:left w:val="single" w:sz="4" w:space="0" w:color="auto"/>
              <w:bottom w:val="single" w:sz="4" w:space="0" w:color="auto"/>
              <w:right w:val="single" w:sz="4" w:space="0" w:color="auto"/>
            </w:tcBorders>
            <w:shd w:val="clear" w:color="000000" w:fill="CFCCBB"/>
            <w:vAlign w:val="center"/>
            <w:hideMark/>
          </w:tcPr>
          <w:p w14:paraId="79B612F1"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Miješani komunalni otpad </w:t>
            </w:r>
          </w:p>
        </w:tc>
        <w:tc>
          <w:tcPr>
            <w:tcW w:w="2017" w:type="dxa"/>
            <w:gridSpan w:val="2"/>
            <w:tcBorders>
              <w:top w:val="single" w:sz="4" w:space="0" w:color="auto"/>
              <w:left w:val="nil"/>
              <w:bottom w:val="single" w:sz="4" w:space="0" w:color="auto"/>
              <w:right w:val="single" w:sz="4" w:space="0" w:color="auto"/>
            </w:tcBorders>
            <w:shd w:val="clear" w:color="000000" w:fill="D6C8D6"/>
            <w:vAlign w:val="center"/>
            <w:hideMark/>
          </w:tcPr>
          <w:p w14:paraId="5901AC19" w14:textId="7E98C80B" w:rsidR="00210652" w:rsidRPr="00210652" w:rsidRDefault="00210652" w:rsidP="001E1A1E">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Izdvojene nečistoće prilikom sortiranja (13 %) </w:t>
            </w:r>
          </w:p>
        </w:tc>
        <w:tc>
          <w:tcPr>
            <w:tcW w:w="5957" w:type="dxa"/>
            <w:gridSpan w:val="4"/>
            <w:tcBorders>
              <w:top w:val="single" w:sz="4" w:space="0" w:color="auto"/>
              <w:left w:val="nil"/>
              <w:bottom w:val="single" w:sz="4" w:space="0" w:color="auto"/>
              <w:right w:val="single" w:sz="4" w:space="0" w:color="auto"/>
            </w:tcBorders>
            <w:shd w:val="clear" w:color="000000" w:fill="92D050"/>
            <w:vAlign w:val="center"/>
            <w:hideMark/>
          </w:tcPr>
          <w:p w14:paraId="3034215C"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Odvojeno prikupljeni komunalni otpad (prvenstveno papir, karton, staklo, plastika, metal, biootpad i dr.) </w:t>
            </w:r>
          </w:p>
        </w:tc>
      </w:tr>
      <w:tr w:rsidR="00210652" w:rsidRPr="00210652" w14:paraId="53A805F5" w14:textId="77777777" w:rsidTr="00210652">
        <w:trPr>
          <w:trHeight w:val="225"/>
        </w:trPr>
        <w:tc>
          <w:tcPr>
            <w:tcW w:w="1129" w:type="dxa"/>
            <w:tcBorders>
              <w:top w:val="nil"/>
              <w:left w:val="single" w:sz="4" w:space="0" w:color="auto"/>
              <w:bottom w:val="single" w:sz="4" w:space="0" w:color="auto"/>
              <w:right w:val="single" w:sz="4" w:space="0" w:color="auto"/>
            </w:tcBorders>
            <w:shd w:val="clear" w:color="000000" w:fill="CFCCBB"/>
            <w:noWrap/>
            <w:vAlign w:val="center"/>
            <w:hideMark/>
          </w:tcPr>
          <w:p w14:paraId="5BE7E005"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712.022</w:t>
            </w:r>
          </w:p>
        </w:tc>
        <w:tc>
          <w:tcPr>
            <w:tcW w:w="2017" w:type="dxa"/>
            <w:gridSpan w:val="2"/>
            <w:tcBorders>
              <w:top w:val="single" w:sz="4" w:space="0" w:color="auto"/>
              <w:left w:val="nil"/>
              <w:bottom w:val="single" w:sz="4" w:space="0" w:color="auto"/>
              <w:right w:val="single" w:sz="4" w:space="0" w:color="auto"/>
            </w:tcBorders>
            <w:shd w:val="clear" w:color="000000" w:fill="D6C8D6"/>
            <w:noWrap/>
            <w:vAlign w:val="center"/>
            <w:hideMark/>
          </w:tcPr>
          <w:p w14:paraId="698A05DE"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157.447</w:t>
            </w:r>
          </w:p>
        </w:tc>
        <w:tc>
          <w:tcPr>
            <w:tcW w:w="5957" w:type="dxa"/>
            <w:gridSpan w:val="4"/>
            <w:tcBorders>
              <w:top w:val="single" w:sz="4" w:space="0" w:color="auto"/>
              <w:left w:val="nil"/>
              <w:bottom w:val="single" w:sz="4" w:space="0" w:color="auto"/>
              <w:right w:val="single" w:sz="4" w:space="0" w:color="auto"/>
            </w:tcBorders>
            <w:shd w:val="clear" w:color="000000" w:fill="92D050"/>
            <w:noWrap/>
            <w:vAlign w:val="center"/>
            <w:hideMark/>
          </w:tcPr>
          <w:p w14:paraId="6F0FFE9F"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1.211.133</w:t>
            </w:r>
          </w:p>
        </w:tc>
      </w:tr>
      <w:tr w:rsidR="00210652" w:rsidRPr="00210652" w14:paraId="07A90293" w14:textId="77777777" w:rsidTr="00210652">
        <w:trPr>
          <w:trHeight w:val="225"/>
        </w:trPr>
        <w:tc>
          <w:tcPr>
            <w:tcW w:w="3146" w:type="dxa"/>
            <w:gridSpan w:val="3"/>
            <w:tcBorders>
              <w:top w:val="single" w:sz="4" w:space="0" w:color="auto"/>
              <w:left w:val="single" w:sz="4" w:space="0" w:color="auto"/>
              <w:bottom w:val="single" w:sz="4" w:space="0" w:color="auto"/>
              <w:right w:val="single" w:sz="4" w:space="0" w:color="auto"/>
            </w:tcBorders>
            <w:shd w:val="clear" w:color="000000" w:fill="CFCCBB"/>
            <w:noWrap/>
            <w:vAlign w:val="center"/>
            <w:hideMark/>
          </w:tcPr>
          <w:p w14:paraId="6FF96CEE"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869.469</w:t>
            </w:r>
          </w:p>
        </w:tc>
        <w:tc>
          <w:tcPr>
            <w:tcW w:w="2945"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4ED4DA00"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Suhi </w:t>
            </w:r>
            <w:proofErr w:type="spellStart"/>
            <w:r w:rsidRPr="00210652">
              <w:rPr>
                <w:rFonts w:ascii="Calibri" w:eastAsia="Times New Roman" w:hAnsi="Calibri" w:cs="Calibri"/>
                <w:color w:val="000000"/>
                <w:sz w:val="18"/>
                <w:szCs w:val="18"/>
                <w:lang w:eastAsia="hr-HR"/>
              </w:rPr>
              <w:t>reciklat</w:t>
            </w:r>
            <w:proofErr w:type="spellEnd"/>
            <w:r w:rsidRPr="00210652">
              <w:rPr>
                <w:rFonts w:ascii="Calibri" w:eastAsia="Times New Roman" w:hAnsi="Calibri" w:cs="Calibri"/>
                <w:color w:val="000000"/>
                <w:sz w:val="18"/>
                <w:szCs w:val="18"/>
                <w:lang w:eastAsia="hr-HR"/>
              </w:rPr>
              <w:t xml:space="preserve"> - papir, karton, staklo, plastika, metal i dr.</w:t>
            </w:r>
          </w:p>
        </w:tc>
        <w:tc>
          <w:tcPr>
            <w:tcW w:w="3012" w:type="dxa"/>
            <w:gridSpan w:val="2"/>
            <w:tcBorders>
              <w:top w:val="single" w:sz="4" w:space="0" w:color="auto"/>
              <w:left w:val="nil"/>
              <w:bottom w:val="single" w:sz="4" w:space="0" w:color="auto"/>
              <w:right w:val="single" w:sz="4" w:space="0" w:color="auto"/>
            </w:tcBorders>
            <w:shd w:val="clear" w:color="000000" w:fill="E0EADE"/>
            <w:noWrap/>
            <w:vAlign w:val="center"/>
            <w:hideMark/>
          </w:tcPr>
          <w:p w14:paraId="56BC0F6F"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Biootpad</w:t>
            </w:r>
          </w:p>
        </w:tc>
      </w:tr>
      <w:tr w:rsidR="00210652" w:rsidRPr="00210652" w14:paraId="78735A8E" w14:textId="77777777" w:rsidTr="00210652">
        <w:trPr>
          <w:trHeight w:val="870"/>
        </w:trPr>
        <w:tc>
          <w:tcPr>
            <w:tcW w:w="314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46E6E"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Ulaz u centar za gospodarenje otpadom</w:t>
            </w:r>
          </w:p>
        </w:tc>
        <w:tc>
          <w:tcPr>
            <w:tcW w:w="2945"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659D7888"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Ulaz u sustav odvojenog prikupljanja</w:t>
            </w:r>
          </w:p>
        </w:tc>
        <w:tc>
          <w:tcPr>
            <w:tcW w:w="3012" w:type="dxa"/>
            <w:gridSpan w:val="2"/>
            <w:tcBorders>
              <w:top w:val="single" w:sz="4" w:space="0" w:color="auto"/>
              <w:left w:val="nil"/>
              <w:bottom w:val="single" w:sz="4" w:space="0" w:color="auto"/>
              <w:right w:val="single" w:sz="4" w:space="0" w:color="auto"/>
            </w:tcBorders>
            <w:shd w:val="clear" w:color="000000" w:fill="E0EADE"/>
            <w:vAlign w:val="center"/>
            <w:hideMark/>
          </w:tcPr>
          <w:p w14:paraId="6525DBEF"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Recikliranje - ulaz u biološku obradu</w:t>
            </w:r>
            <w:r w:rsidRPr="00210652">
              <w:rPr>
                <w:rFonts w:ascii="Calibri" w:eastAsia="Times New Roman" w:hAnsi="Calibri" w:cs="Calibri"/>
                <w:color w:val="000000"/>
                <w:sz w:val="18"/>
                <w:szCs w:val="18"/>
                <w:lang w:eastAsia="hr-HR"/>
              </w:rPr>
              <w:br/>
            </w:r>
            <w:proofErr w:type="spellStart"/>
            <w:r w:rsidRPr="00210652">
              <w:rPr>
                <w:rFonts w:ascii="Calibri" w:eastAsia="Times New Roman" w:hAnsi="Calibri" w:cs="Calibri"/>
                <w:color w:val="000000"/>
                <w:sz w:val="18"/>
                <w:szCs w:val="18"/>
                <w:lang w:eastAsia="hr-HR"/>
              </w:rPr>
              <w:t>kompostane</w:t>
            </w:r>
            <w:proofErr w:type="spellEnd"/>
            <w:r w:rsidRPr="00210652">
              <w:rPr>
                <w:rFonts w:ascii="Calibri" w:eastAsia="Times New Roman" w:hAnsi="Calibri" w:cs="Calibri"/>
                <w:color w:val="000000"/>
                <w:sz w:val="18"/>
                <w:szCs w:val="18"/>
                <w:lang w:eastAsia="hr-HR"/>
              </w:rPr>
              <w:t xml:space="preserve"> ili postrojenja za anaerobnu digestiju)</w:t>
            </w:r>
          </w:p>
        </w:tc>
      </w:tr>
      <w:tr w:rsidR="00210652" w:rsidRPr="00210652" w14:paraId="18F46551" w14:textId="77777777" w:rsidTr="00210652">
        <w:trPr>
          <w:trHeight w:val="225"/>
        </w:trPr>
        <w:tc>
          <w:tcPr>
            <w:tcW w:w="3146" w:type="dxa"/>
            <w:gridSpan w:val="3"/>
            <w:vMerge/>
            <w:tcBorders>
              <w:top w:val="single" w:sz="4" w:space="0" w:color="auto"/>
              <w:left w:val="single" w:sz="4" w:space="0" w:color="auto"/>
              <w:bottom w:val="single" w:sz="4" w:space="0" w:color="auto"/>
              <w:right w:val="single" w:sz="4" w:space="0" w:color="auto"/>
            </w:tcBorders>
            <w:vAlign w:val="center"/>
            <w:hideMark/>
          </w:tcPr>
          <w:p w14:paraId="7C65E7A7"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294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C74EB6D"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763.149</w:t>
            </w:r>
          </w:p>
        </w:tc>
        <w:tc>
          <w:tcPr>
            <w:tcW w:w="30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7894E1"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447.984</w:t>
            </w:r>
          </w:p>
        </w:tc>
      </w:tr>
      <w:tr w:rsidR="00210652" w:rsidRPr="00210652" w14:paraId="38F83AF4" w14:textId="77777777" w:rsidTr="00210652">
        <w:trPr>
          <w:trHeight w:val="45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2DF8547"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proofErr w:type="spellStart"/>
            <w:r w:rsidRPr="00210652">
              <w:rPr>
                <w:rFonts w:ascii="Calibri" w:eastAsia="Times New Roman" w:hAnsi="Calibri" w:cs="Calibri"/>
                <w:color w:val="000000"/>
                <w:sz w:val="18"/>
                <w:szCs w:val="18"/>
                <w:lang w:eastAsia="hr-HR"/>
              </w:rPr>
              <w:t>Reciklati</w:t>
            </w:r>
            <w:proofErr w:type="spellEnd"/>
            <w:r w:rsidRPr="00210652">
              <w:rPr>
                <w:rFonts w:ascii="Calibri" w:eastAsia="Times New Roman" w:hAnsi="Calibri" w:cs="Calibri"/>
                <w:color w:val="000000"/>
                <w:sz w:val="18"/>
                <w:szCs w:val="18"/>
                <w:lang w:eastAsia="hr-HR"/>
              </w:rPr>
              <w:t xml:space="preserve"> predani na reciklažu</w:t>
            </w:r>
          </w:p>
        </w:tc>
        <w:tc>
          <w:tcPr>
            <w:tcW w:w="993" w:type="dxa"/>
            <w:tcBorders>
              <w:top w:val="nil"/>
              <w:left w:val="nil"/>
              <w:bottom w:val="single" w:sz="4" w:space="0" w:color="auto"/>
              <w:right w:val="single" w:sz="4" w:space="0" w:color="auto"/>
            </w:tcBorders>
            <w:shd w:val="clear" w:color="auto" w:fill="auto"/>
            <w:vAlign w:val="center"/>
            <w:hideMark/>
          </w:tcPr>
          <w:p w14:paraId="0408DF1F"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Odlaganje</w:t>
            </w:r>
          </w:p>
        </w:tc>
        <w:tc>
          <w:tcPr>
            <w:tcW w:w="1024" w:type="dxa"/>
            <w:tcBorders>
              <w:top w:val="nil"/>
              <w:left w:val="nil"/>
              <w:bottom w:val="single" w:sz="4" w:space="0" w:color="auto"/>
              <w:right w:val="single" w:sz="4" w:space="0" w:color="auto"/>
            </w:tcBorders>
            <w:shd w:val="clear" w:color="auto" w:fill="auto"/>
            <w:vAlign w:val="center"/>
            <w:hideMark/>
          </w:tcPr>
          <w:p w14:paraId="63645225"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Energetska oporaba</w:t>
            </w:r>
          </w:p>
        </w:tc>
        <w:tc>
          <w:tcPr>
            <w:tcW w:w="1244" w:type="dxa"/>
            <w:vMerge w:val="restart"/>
            <w:tcBorders>
              <w:top w:val="nil"/>
              <w:left w:val="single" w:sz="4" w:space="0" w:color="auto"/>
              <w:bottom w:val="single" w:sz="4" w:space="0" w:color="000000"/>
              <w:right w:val="single" w:sz="4" w:space="0" w:color="auto"/>
            </w:tcBorders>
            <w:shd w:val="clear" w:color="auto" w:fill="auto"/>
            <w:vAlign w:val="center"/>
            <w:hideMark/>
          </w:tcPr>
          <w:p w14:paraId="1AB043E3"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proofErr w:type="spellStart"/>
            <w:r w:rsidRPr="00210652">
              <w:rPr>
                <w:rFonts w:ascii="Calibri" w:eastAsia="Times New Roman" w:hAnsi="Calibri" w:cs="Calibri"/>
                <w:color w:val="000000"/>
                <w:sz w:val="18"/>
                <w:szCs w:val="18"/>
                <w:lang w:eastAsia="hr-HR"/>
              </w:rPr>
              <w:t>Reciklati</w:t>
            </w:r>
            <w:proofErr w:type="spellEnd"/>
            <w:r w:rsidRPr="00210652">
              <w:rPr>
                <w:rFonts w:ascii="Calibri" w:eastAsia="Times New Roman" w:hAnsi="Calibri" w:cs="Calibri"/>
                <w:color w:val="000000"/>
                <w:sz w:val="18"/>
                <w:szCs w:val="18"/>
                <w:lang w:eastAsia="hr-HR"/>
              </w:rPr>
              <w:t xml:space="preserve"> predani na reciklažu</w:t>
            </w:r>
          </w:p>
        </w:tc>
        <w:tc>
          <w:tcPr>
            <w:tcW w:w="1701"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77292B43" w14:textId="463F480E" w:rsidR="00210652" w:rsidRPr="00210652" w:rsidRDefault="00210652" w:rsidP="001E1A1E">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210652">
              <w:rPr>
                <w:rFonts w:ascii="Calibri" w:eastAsia="Times New Roman" w:hAnsi="Calibri" w:cs="Calibri"/>
                <w:color w:val="000000"/>
                <w:sz w:val="18"/>
                <w:szCs w:val="18"/>
                <w:lang w:eastAsia="hr-HR"/>
              </w:rPr>
              <w:t xml:space="preserve">) </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016D9457" w14:textId="71875581"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Kompost/</w:t>
            </w:r>
            <w:r w:rsidR="00E43048">
              <w:rPr>
                <w:rFonts w:ascii="Calibri" w:eastAsia="Times New Roman" w:hAnsi="Calibri" w:cs="Calibri"/>
                <w:color w:val="000000"/>
                <w:sz w:val="18"/>
                <w:szCs w:val="18"/>
                <w:lang w:eastAsia="hr-HR"/>
              </w:rPr>
              <w:t xml:space="preserve"> </w:t>
            </w:r>
            <w:proofErr w:type="spellStart"/>
            <w:r w:rsidRPr="00210652">
              <w:rPr>
                <w:rFonts w:ascii="Calibri" w:eastAsia="Times New Roman" w:hAnsi="Calibri" w:cs="Calibri"/>
                <w:color w:val="000000"/>
                <w:sz w:val="18"/>
                <w:szCs w:val="18"/>
                <w:lang w:eastAsia="hr-HR"/>
              </w:rPr>
              <w:t>digestat</w:t>
            </w:r>
            <w:proofErr w:type="spellEnd"/>
          </w:p>
        </w:tc>
        <w:tc>
          <w:tcPr>
            <w:tcW w:w="1734"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63E08FC4" w14:textId="04BC16E2" w:rsidR="00210652" w:rsidRPr="00210652" w:rsidRDefault="00210652" w:rsidP="001E1A1E">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210652">
              <w:rPr>
                <w:rFonts w:ascii="Calibri" w:eastAsia="Times New Roman" w:hAnsi="Calibri" w:cs="Calibri"/>
                <w:color w:val="000000"/>
                <w:sz w:val="18"/>
                <w:szCs w:val="18"/>
                <w:lang w:eastAsia="hr-HR"/>
              </w:rPr>
              <w:t xml:space="preserve">) </w:t>
            </w:r>
          </w:p>
        </w:tc>
      </w:tr>
      <w:tr w:rsidR="00210652" w:rsidRPr="00210652" w14:paraId="18AFBA59" w14:textId="77777777" w:rsidTr="00210652">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5FA8566"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14%</w:t>
            </w:r>
          </w:p>
        </w:tc>
        <w:tc>
          <w:tcPr>
            <w:tcW w:w="993" w:type="dxa"/>
            <w:tcBorders>
              <w:top w:val="nil"/>
              <w:left w:val="nil"/>
              <w:bottom w:val="single" w:sz="4" w:space="0" w:color="auto"/>
              <w:right w:val="single" w:sz="4" w:space="0" w:color="auto"/>
            </w:tcBorders>
            <w:shd w:val="clear" w:color="auto" w:fill="auto"/>
            <w:vAlign w:val="center"/>
            <w:hideMark/>
          </w:tcPr>
          <w:p w14:paraId="16DC5CF8"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27%</w:t>
            </w:r>
          </w:p>
        </w:tc>
        <w:tc>
          <w:tcPr>
            <w:tcW w:w="1024" w:type="dxa"/>
            <w:tcBorders>
              <w:top w:val="nil"/>
              <w:left w:val="nil"/>
              <w:bottom w:val="single" w:sz="4" w:space="0" w:color="auto"/>
              <w:right w:val="single" w:sz="4" w:space="0" w:color="auto"/>
            </w:tcBorders>
            <w:shd w:val="clear" w:color="auto" w:fill="auto"/>
            <w:vAlign w:val="center"/>
            <w:hideMark/>
          </w:tcPr>
          <w:p w14:paraId="1EE75170"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44%</w:t>
            </w:r>
          </w:p>
        </w:tc>
        <w:tc>
          <w:tcPr>
            <w:tcW w:w="1244" w:type="dxa"/>
            <w:vMerge/>
            <w:tcBorders>
              <w:top w:val="nil"/>
              <w:left w:val="single" w:sz="4" w:space="0" w:color="auto"/>
              <w:bottom w:val="single" w:sz="4" w:space="0" w:color="000000"/>
              <w:right w:val="single" w:sz="4" w:space="0" w:color="auto"/>
            </w:tcBorders>
            <w:vAlign w:val="center"/>
            <w:hideMark/>
          </w:tcPr>
          <w:p w14:paraId="2B2C0A22"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1701" w:type="dxa"/>
            <w:vMerge/>
            <w:tcBorders>
              <w:top w:val="nil"/>
              <w:left w:val="single" w:sz="4" w:space="0" w:color="auto"/>
              <w:bottom w:val="single" w:sz="4" w:space="0" w:color="000000"/>
              <w:right w:val="single" w:sz="4" w:space="0" w:color="auto"/>
            </w:tcBorders>
            <w:vAlign w:val="center"/>
            <w:hideMark/>
          </w:tcPr>
          <w:p w14:paraId="538D8907"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1275" w:type="dxa"/>
            <w:vMerge/>
            <w:tcBorders>
              <w:top w:val="nil"/>
              <w:left w:val="single" w:sz="4" w:space="0" w:color="auto"/>
              <w:bottom w:val="single" w:sz="4" w:space="0" w:color="000000"/>
              <w:right w:val="single" w:sz="4" w:space="0" w:color="auto"/>
            </w:tcBorders>
            <w:vAlign w:val="center"/>
            <w:hideMark/>
          </w:tcPr>
          <w:p w14:paraId="77CEA0BD"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1734" w:type="dxa"/>
            <w:vMerge/>
            <w:tcBorders>
              <w:top w:val="nil"/>
              <w:left w:val="single" w:sz="4" w:space="0" w:color="auto"/>
              <w:bottom w:val="single" w:sz="4" w:space="0" w:color="000000"/>
              <w:right w:val="single" w:sz="4" w:space="0" w:color="auto"/>
            </w:tcBorders>
            <w:vAlign w:val="center"/>
            <w:hideMark/>
          </w:tcPr>
          <w:p w14:paraId="4CF972A3"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r>
      <w:tr w:rsidR="00210652" w:rsidRPr="00210652" w14:paraId="3ECA3D29" w14:textId="77777777" w:rsidTr="00210652">
        <w:trPr>
          <w:trHeight w:val="22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88CA7B9"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124.192</w:t>
            </w:r>
          </w:p>
        </w:tc>
        <w:tc>
          <w:tcPr>
            <w:tcW w:w="993" w:type="dxa"/>
            <w:tcBorders>
              <w:top w:val="nil"/>
              <w:left w:val="nil"/>
              <w:bottom w:val="single" w:sz="4" w:space="0" w:color="auto"/>
              <w:right w:val="single" w:sz="4" w:space="0" w:color="auto"/>
            </w:tcBorders>
            <w:shd w:val="clear" w:color="auto" w:fill="auto"/>
            <w:noWrap/>
            <w:vAlign w:val="center"/>
            <w:hideMark/>
          </w:tcPr>
          <w:p w14:paraId="370B314F"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238.840</w:t>
            </w:r>
          </w:p>
        </w:tc>
        <w:tc>
          <w:tcPr>
            <w:tcW w:w="1024" w:type="dxa"/>
            <w:tcBorders>
              <w:top w:val="nil"/>
              <w:left w:val="nil"/>
              <w:bottom w:val="single" w:sz="4" w:space="0" w:color="auto"/>
              <w:right w:val="single" w:sz="4" w:space="0" w:color="auto"/>
            </w:tcBorders>
            <w:shd w:val="clear" w:color="auto" w:fill="auto"/>
            <w:noWrap/>
            <w:vAlign w:val="center"/>
            <w:hideMark/>
          </w:tcPr>
          <w:p w14:paraId="436F7A04"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379.294</w:t>
            </w:r>
          </w:p>
        </w:tc>
        <w:tc>
          <w:tcPr>
            <w:tcW w:w="1244" w:type="dxa"/>
            <w:tcBorders>
              <w:top w:val="nil"/>
              <w:left w:val="nil"/>
              <w:bottom w:val="single" w:sz="4" w:space="0" w:color="auto"/>
              <w:right w:val="single" w:sz="4" w:space="0" w:color="auto"/>
            </w:tcBorders>
            <w:shd w:val="clear" w:color="auto" w:fill="auto"/>
            <w:noWrap/>
            <w:vAlign w:val="center"/>
            <w:hideMark/>
          </w:tcPr>
          <w:p w14:paraId="26A8CEE3"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663.940</w:t>
            </w:r>
          </w:p>
        </w:tc>
        <w:tc>
          <w:tcPr>
            <w:tcW w:w="1701" w:type="dxa"/>
            <w:tcBorders>
              <w:top w:val="nil"/>
              <w:left w:val="nil"/>
              <w:bottom w:val="single" w:sz="4" w:space="0" w:color="auto"/>
              <w:right w:val="single" w:sz="4" w:space="0" w:color="auto"/>
            </w:tcBorders>
            <w:shd w:val="clear" w:color="000000" w:fill="D6C8D6"/>
            <w:vAlign w:val="center"/>
            <w:hideMark/>
          </w:tcPr>
          <w:p w14:paraId="35158F5D"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99.209</w:t>
            </w:r>
          </w:p>
        </w:tc>
        <w:tc>
          <w:tcPr>
            <w:tcW w:w="1275" w:type="dxa"/>
            <w:tcBorders>
              <w:top w:val="nil"/>
              <w:left w:val="nil"/>
              <w:bottom w:val="single" w:sz="4" w:space="0" w:color="auto"/>
              <w:right w:val="single" w:sz="4" w:space="0" w:color="auto"/>
            </w:tcBorders>
            <w:shd w:val="clear" w:color="auto" w:fill="auto"/>
            <w:noWrap/>
            <w:vAlign w:val="center"/>
            <w:hideMark/>
          </w:tcPr>
          <w:p w14:paraId="1729C5C5"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194.873</w:t>
            </w:r>
          </w:p>
        </w:tc>
        <w:tc>
          <w:tcPr>
            <w:tcW w:w="1734" w:type="dxa"/>
            <w:tcBorders>
              <w:top w:val="nil"/>
              <w:left w:val="nil"/>
              <w:bottom w:val="single" w:sz="4" w:space="0" w:color="auto"/>
              <w:right w:val="single" w:sz="4" w:space="0" w:color="auto"/>
            </w:tcBorders>
            <w:shd w:val="clear" w:color="000000" w:fill="D6C8D6"/>
            <w:vAlign w:val="center"/>
            <w:hideMark/>
          </w:tcPr>
          <w:p w14:paraId="3894C805"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58.238</w:t>
            </w:r>
          </w:p>
        </w:tc>
      </w:tr>
      <w:tr w:rsidR="00210652" w:rsidRPr="00210652" w14:paraId="3EF2A002" w14:textId="77777777" w:rsidTr="00210652">
        <w:trPr>
          <w:trHeight w:val="465"/>
        </w:trPr>
        <w:tc>
          <w:tcPr>
            <w:tcW w:w="1129" w:type="dxa"/>
            <w:tcBorders>
              <w:top w:val="nil"/>
              <w:left w:val="nil"/>
              <w:bottom w:val="nil"/>
              <w:right w:val="nil"/>
            </w:tcBorders>
            <w:shd w:val="clear" w:color="auto" w:fill="auto"/>
            <w:noWrap/>
            <w:vAlign w:val="center"/>
            <w:hideMark/>
          </w:tcPr>
          <w:p w14:paraId="6F992376"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p>
        </w:tc>
        <w:tc>
          <w:tcPr>
            <w:tcW w:w="993" w:type="dxa"/>
            <w:tcBorders>
              <w:top w:val="nil"/>
              <w:left w:val="nil"/>
              <w:bottom w:val="nil"/>
              <w:right w:val="nil"/>
            </w:tcBorders>
            <w:shd w:val="clear" w:color="auto" w:fill="auto"/>
            <w:noWrap/>
            <w:vAlign w:val="center"/>
            <w:hideMark/>
          </w:tcPr>
          <w:p w14:paraId="60F25057" w14:textId="77777777" w:rsidR="00210652" w:rsidRPr="00210652" w:rsidRDefault="00210652" w:rsidP="00210652">
            <w:pPr>
              <w:spacing w:after="0" w:line="240" w:lineRule="auto"/>
              <w:jc w:val="center"/>
              <w:rPr>
                <w:rFonts w:ascii="Times New Roman" w:eastAsia="Times New Roman" w:hAnsi="Times New Roman" w:cs="Times New Roman"/>
                <w:sz w:val="18"/>
                <w:szCs w:val="18"/>
                <w:lang w:eastAsia="hr-HR"/>
              </w:rPr>
            </w:pPr>
          </w:p>
        </w:tc>
        <w:tc>
          <w:tcPr>
            <w:tcW w:w="1024" w:type="dxa"/>
            <w:tcBorders>
              <w:top w:val="nil"/>
              <w:left w:val="nil"/>
              <w:bottom w:val="nil"/>
              <w:right w:val="nil"/>
            </w:tcBorders>
            <w:shd w:val="clear" w:color="auto" w:fill="auto"/>
            <w:noWrap/>
            <w:vAlign w:val="center"/>
            <w:hideMark/>
          </w:tcPr>
          <w:p w14:paraId="4B00F7CA" w14:textId="77777777" w:rsidR="00210652" w:rsidRPr="00210652" w:rsidRDefault="00210652" w:rsidP="00210652">
            <w:pPr>
              <w:spacing w:after="0" w:line="240" w:lineRule="auto"/>
              <w:jc w:val="center"/>
              <w:rPr>
                <w:rFonts w:ascii="Times New Roman" w:eastAsia="Times New Roman" w:hAnsi="Times New Roman" w:cs="Times New Roman"/>
                <w:sz w:val="18"/>
                <w:szCs w:val="18"/>
                <w:lang w:eastAsia="hr-HR"/>
              </w:rPr>
            </w:pPr>
          </w:p>
        </w:tc>
        <w:tc>
          <w:tcPr>
            <w:tcW w:w="1244" w:type="dxa"/>
            <w:tcBorders>
              <w:top w:val="nil"/>
              <w:left w:val="nil"/>
              <w:bottom w:val="nil"/>
              <w:right w:val="nil"/>
            </w:tcBorders>
            <w:shd w:val="clear" w:color="auto" w:fill="auto"/>
            <w:noWrap/>
            <w:vAlign w:val="center"/>
            <w:hideMark/>
          </w:tcPr>
          <w:p w14:paraId="7F2EE695" w14:textId="77777777" w:rsidR="00210652" w:rsidRPr="00210652" w:rsidRDefault="00210652" w:rsidP="00210652">
            <w:pPr>
              <w:spacing w:after="0" w:line="240" w:lineRule="auto"/>
              <w:jc w:val="center"/>
              <w:rPr>
                <w:rFonts w:ascii="Times New Roman" w:eastAsia="Times New Roman" w:hAnsi="Times New Roman" w:cs="Times New Roman"/>
                <w:sz w:val="18"/>
                <w:szCs w:val="18"/>
                <w:lang w:eastAsia="hr-HR"/>
              </w:rPr>
            </w:pPr>
          </w:p>
        </w:tc>
        <w:tc>
          <w:tcPr>
            <w:tcW w:w="1701" w:type="dxa"/>
            <w:tcBorders>
              <w:top w:val="nil"/>
              <w:left w:val="nil"/>
              <w:bottom w:val="nil"/>
              <w:right w:val="nil"/>
            </w:tcBorders>
            <w:shd w:val="clear" w:color="auto" w:fill="auto"/>
            <w:noWrap/>
            <w:vAlign w:val="center"/>
            <w:hideMark/>
          </w:tcPr>
          <w:p w14:paraId="4550D90A" w14:textId="77777777" w:rsidR="00210652" w:rsidRPr="00210652" w:rsidRDefault="00210652" w:rsidP="00210652">
            <w:pPr>
              <w:spacing w:after="0" w:line="240" w:lineRule="auto"/>
              <w:jc w:val="center"/>
              <w:rPr>
                <w:rFonts w:ascii="Times New Roman" w:eastAsia="Times New Roman" w:hAnsi="Times New Roman" w:cs="Times New Roman"/>
                <w:sz w:val="18"/>
                <w:szCs w:val="18"/>
                <w:lang w:eastAsia="hr-HR"/>
              </w:rPr>
            </w:pPr>
          </w:p>
        </w:tc>
        <w:tc>
          <w:tcPr>
            <w:tcW w:w="1275" w:type="dxa"/>
            <w:tcBorders>
              <w:top w:val="nil"/>
              <w:left w:val="nil"/>
              <w:bottom w:val="nil"/>
              <w:right w:val="nil"/>
            </w:tcBorders>
            <w:shd w:val="clear" w:color="auto" w:fill="auto"/>
            <w:noWrap/>
            <w:vAlign w:val="center"/>
            <w:hideMark/>
          </w:tcPr>
          <w:p w14:paraId="49A338A9" w14:textId="77777777" w:rsidR="00210652" w:rsidRPr="00210652" w:rsidRDefault="00210652" w:rsidP="00210652">
            <w:pPr>
              <w:spacing w:after="0" w:line="240" w:lineRule="auto"/>
              <w:jc w:val="center"/>
              <w:rPr>
                <w:rFonts w:ascii="Times New Roman" w:eastAsia="Times New Roman" w:hAnsi="Times New Roman" w:cs="Times New Roman"/>
                <w:sz w:val="18"/>
                <w:szCs w:val="18"/>
                <w:lang w:eastAsia="hr-HR"/>
              </w:rPr>
            </w:pPr>
          </w:p>
        </w:tc>
        <w:tc>
          <w:tcPr>
            <w:tcW w:w="1734" w:type="dxa"/>
            <w:tcBorders>
              <w:top w:val="nil"/>
              <w:left w:val="nil"/>
              <w:bottom w:val="nil"/>
              <w:right w:val="nil"/>
            </w:tcBorders>
            <w:shd w:val="clear" w:color="auto" w:fill="auto"/>
            <w:noWrap/>
            <w:vAlign w:val="center"/>
            <w:hideMark/>
          </w:tcPr>
          <w:p w14:paraId="15C1980B" w14:textId="77777777" w:rsidR="00210652" w:rsidRPr="00210652" w:rsidRDefault="00210652" w:rsidP="00210652">
            <w:pPr>
              <w:spacing w:after="0" w:line="240" w:lineRule="auto"/>
              <w:jc w:val="center"/>
              <w:rPr>
                <w:rFonts w:ascii="Times New Roman" w:eastAsia="Times New Roman" w:hAnsi="Times New Roman" w:cs="Times New Roman"/>
                <w:sz w:val="18"/>
                <w:szCs w:val="18"/>
                <w:lang w:eastAsia="hr-HR"/>
              </w:rPr>
            </w:pPr>
          </w:p>
        </w:tc>
      </w:tr>
      <w:tr w:rsidR="00210652" w:rsidRPr="00210652" w14:paraId="4F5258AA" w14:textId="77777777" w:rsidTr="00210652">
        <w:trPr>
          <w:trHeight w:val="225"/>
        </w:trPr>
        <w:tc>
          <w:tcPr>
            <w:tcW w:w="9103"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7CF14789"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Komunalni otpad u 2030.</w:t>
            </w:r>
          </w:p>
        </w:tc>
      </w:tr>
      <w:tr w:rsidR="00210652" w:rsidRPr="00210652" w14:paraId="666AD6F0" w14:textId="77777777" w:rsidTr="00210652">
        <w:trPr>
          <w:trHeight w:val="225"/>
        </w:trPr>
        <w:tc>
          <w:tcPr>
            <w:tcW w:w="9103"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25206261"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2.190.300</w:t>
            </w:r>
          </w:p>
        </w:tc>
      </w:tr>
      <w:tr w:rsidR="00210652" w:rsidRPr="00210652" w14:paraId="2833C135" w14:textId="77777777" w:rsidTr="00210652">
        <w:trPr>
          <w:trHeight w:val="870"/>
        </w:trPr>
        <w:tc>
          <w:tcPr>
            <w:tcW w:w="1129" w:type="dxa"/>
            <w:tcBorders>
              <w:top w:val="nil"/>
              <w:left w:val="single" w:sz="4" w:space="0" w:color="auto"/>
              <w:bottom w:val="single" w:sz="4" w:space="0" w:color="auto"/>
              <w:right w:val="single" w:sz="4" w:space="0" w:color="auto"/>
            </w:tcBorders>
            <w:shd w:val="clear" w:color="000000" w:fill="CFCCBB"/>
            <w:vAlign w:val="center"/>
            <w:hideMark/>
          </w:tcPr>
          <w:p w14:paraId="2BC49BC4"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Miješani komunalni otpad </w:t>
            </w:r>
          </w:p>
        </w:tc>
        <w:tc>
          <w:tcPr>
            <w:tcW w:w="2017" w:type="dxa"/>
            <w:gridSpan w:val="2"/>
            <w:tcBorders>
              <w:top w:val="single" w:sz="4" w:space="0" w:color="auto"/>
              <w:left w:val="nil"/>
              <w:bottom w:val="single" w:sz="4" w:space="0" w:color="auto"/>
              <w:right w:val="single" w:sz="4" w:space="0" w:color="auto"/>
            </w:tcBorders>
            <w:shd w:val="clear" w:color="000000" w:fill="D6C8D6"/>
            <w:vAlign w:val="center"/>
            <w:hideMark/>
          </w:tcPr>
          <w:p w14:paraId="30987B3B" w14:textId="3EC68EC1" w:rsidR="00210652" w:rsidRPr="00210652" w:rsidRDefault="00210652" w:rsidP="001E1A1E">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Izdvojene nečistoće prilikom sortiranja (13 %) </w:t>
            </w:r>
          </w:p>
        </w:tc>
        <w:tc>
          <w:tcPr>
            <w:tcW w:w="5957" w:type="dxa"/>
            <w:gridSpan w:val="4"/>
            <w:tcBorders>
              <w:top w:val="single" w:sz="4" w:space="0" w:color="auto"/>
              <w:left w:val="nil"/>
              <w:bottom w:val="single" w:sz="4" w:space="0" w:color="auto"/>
              <w:right w:val="single" w:sz="4" w:space="0" w:color="auto"/>
            </w:tcBorders>
            <w:shd w:val="clear" w:color="000000" w:fill="92D050"/>
            <w:vAlign w:val="center"/>
            <w:hideMark/>
          </w:tcPr>
          <w:p w14:paraId="64BC55C8"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Odvojeno prikupljeni komunalni otpad (prvenstveno papir, karton, staklo, plastika, metal, biootpad i dr.) </w:t>
            </w:r>
          </w:p>
        </w:tc>
      </w:tr>
      <w:tr w:rsidR="00210652" w:rsidRPr="00210652" w14:paraId="141BE6E9" w14:textId="77777777" w:rsidTr="00210652">
        <w:trPr>
          <w:trHeight w:val="225"/>
        </w:trPr>
        <w:tc>
          <w:tcPr>
            <w:tcW w:w="1129" w:type="dxa"/>
            <w:tcBorders>
              <w:top w:val="nil"/>
              <w:left w:val="single" w:sz="4" w:space="0" w:color="auto"/>
              <w:bottom w:val="single" w:sz="4" w:space="0" w:color="auto"/>
              <w:right w:val="single" w:sz="4" w:space="0" w:color="auto"/>
            </w:tcBorders>
            <w:shd w:val="clear" w:color="000000" w:fill="CFCCBB"/>
            <w:noWrap/>
            <w:vAlign w:val="center"/>
            <w:hideMark/>
          </w:tcPr>
          <w:p w14:paraId="6487E924"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704.322</w:t>
            </w:r>
          </w:p>
        </w:tc>
        <w:tc>
          <w:tcPr>
            <w:tcW w:w="2017" w:type="dxa"/>
            <w:gridSpan w:val="2"/>
            <w:tcBorders>
              <w:top w:val="single" w:sz="4" w:space="0" w:color="auto"/>
              <w:left w:val="nil"/>
              <w:bottom w:val="single" w:sz="4" w:space="0" w:color="auto"/>
              <w:right w:val="single" w:sz="4" w:space="0" w:color="auto"/>
            </w:tcBorders>
            <w:shd w:val="clear" w:color="000000" w:fill="D6C8D6"/>
            <w:noWrap/>
            <w:vAlign w:val="center"/>
            <w:hideMark/>
          </w:tcPr>
          <w:p w14:paraId="4D07F094"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171.798</w:t>
            </w:r>
          </w:p>
        </w:tc>
        <w:tc>
          <w:tcPr>
            <w:tcW w:w="5957" w:type="dxa"/>
            <w:gridSpan w:val="4"/>
            <w:tcBorders>
              <w:top w:val="single" w:sz="4" w:space="0" w:color="auto"/>
              <w:left w:val="nil"/>
              <w:bottom w:val="single" w:sz="4" w:space="0" w:color="auto"/>
              <w:right w:val="single" w:sz="4" w:space="0" w:color="auto"/>
            </w:tcBorders>
            <w:shd w:val="clear" w:color="000000" w:fill="92D050"/>
            <w:noWrap/>
            <w:vAlign w:val="center"/>
            <w:hideMark/>
          </w:tcPr>
          <w:p w14:paraId="44A54A30"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1.321.520</w:t>
            </w:r>
          </w:p>
        </w:tc>
      </w:tr>
      <w:tr w:rsidR="00210652" w:rsidRPr="00210652" w14:paraId="0891144D" w14:textId="77777777" w:rsidTr="00210652">
        <w:trPr>
          <w:trHeight w:val="225"/>
        </w:trPr>
        <w:tc>
          <w:tcPr>
            <w:tcW w:w="3146" w:type="dxa"/>
            <w:gridSpan w:val="3"/>
            <w:tcBorders>
              <w:top w:val="single" w:sz="4" w:space="0" w:color="auto"/>
              <w:left w:val="single" w:sz="4" w:space="0" w:color="auto"/>
              <w:bottom w:val="single" w:sz="4" w:space="0" w:color="auto"/>
              <w:right w:val="single" w:sz="4" w:space="0" w:color="auto"/>
            </w:tcBorders>
            <w:shd w:val="clear" w:color="000000" w:fill="CFCCBB"/>
            <w:noWrap/>
            <w:vAlign w:val="center"/>
            <w:hideMark/>
          </w:tcPr>
          <w:p w14:paraId="0D763976"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876.120</w:t>
            </w:r>
          </w:p>
        </w:tc>
        <w:tc>
          <w:tcPr>
            <w:tcW w:w="2945"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0B871BEB"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Suhi </w:t>
            </w:r>
            <w:proofErr w:type="spellStart"/>
            <w:r w:rsidRPr="00210652">
              <w:rPr>
                <w:rFonts w:ascii="Calibri" w:eastAsia="Times New Roman" w:hAnsi="Calibri" w:cs="Calibri"/>
                <w:color w:val="000000"/>
                <w:sz w:val="18"/>
                <w:szCs w:val="18"/>
                <w:lang w:eastAsia="hr-HR"/>
              </w:rPr>
              <w:t>reciklat</w:t>
            </w:r>
            <w:proofErr w:type="spellEnd"/>
            <w:r w:rsidRPr="00210652">
              <w:rPr>
                <w:rFonts w:ascii="Calibri" w:eastAsia="Times New Roman" w:hAnsi="Calibri" w:cs="Calibri"/>
                <w:color w:val="000000"/>
                <w:sz w:val="18"/>
                <w:szCs w:val="18"/>
                <w:lang w:eastAsia="hr-HR"/>
              </w:rPr>
              <w:t xml:space="preserve"> - papir, karton, staklo, plastika, metal i dr.</w:t>
            </w:r>
          </w:p>
        </w:tc>
        <w:tc>
          <w:tcPr>
            <w:tcW w:w="3012" w:type="dxa"/>
            <w:gridSpan w:val="2"/>
            <w:tcBorders>
              <w:top w:val="single" w:sz="4" w:space="0" w:color="auto"/>
              <w:left w:val="nil"/>
              <w:bottom w:val="single" w:sz="4" w:space="0" w:color="auto"/>
              <w:right w:val="single" w:sz="4" w:space="0" w:color="auto"/>
            </w:tcBorders>
            <w:shd w:val="clear" w:color="000000" w:fill="E0EADE"/>
            <w:noWrap/>
            <w:vAlign w:val="center"/>
            <w:hideMark/>
          </w:tcPr>
          <w:p w14:paraId="5946B4C0"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Biootpad</w:t>
            </w:r>
          </w:p>
        </w:tc>
      </w:tr>
      <w:tr w:rsidR="00210652" w:rsidRPr="00210652" w14:paraId="23A59943" w14:textId="77777777" w:rsidTr="00210652">
        <w:trPr>
          <w:trHeight w:val="870"/>
        </w:trPr>
        <w:tc>
          <w:tcPr>
            <w:tcW w:w="314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48CB0"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Ulaz u centar za gospodarenje otpadom</w:t>
            </w:r>
          </w:p>
        </w:tc>
        <w:tc>
          <w:tcPr>
            <w:tcW w:w="2945"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4F56170D"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Ulaz u sustav odvojenog prikupljanja</w:t>
            </w:r>
          </w:p>
        </w:tc>
        <w:tc>
          <w:tcPr>
            <w:tcW w:w="3012" w:type="dxa"/>
            <w:gridSpan w:val="2"/>
            <w:tcBorders>
              <w:top w:val="single" w:sz="4" w:space="0" w:color="auto"/>
              <w:left w:val="nil"/>
              <w:bottom w:val="single" w:sz="4" w:space="0" w:color="auto"/>
              <w:right w:val="single" w:sz="4" w:space="0" w:color="auto"/>
            </w:tcBorders>
            <w:shd w:val="clear" w:color="000000" w:fill="E0EADE"/>
            <w:vAlign w:val="center"/>
            <w:hideMark/>
          </w:tcPr>
          <w:p w14:paraId="34BF22C4"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Recikliranje - ulaz u biološku obradu</w:t>
            </w:r>
            <w:r w:rsidRPr="00210652">
              <w:rPr>
                <w:rFonts w:ascii="Calibri" w:eastAsia="Times New Roman" w:hAnsi="Calibri" w:cs="Calibri"/>
                <w:color w:val="000000"/>
                <w:sz w:val="18"/>
                <w:szCs w:val="18"/>
                <w:lang w:eastAsia="hr-HR"/>
              </w:rPr>
              <w:br/>
            </w:r>
            <w:proofErr w:type="spellStart"/>
            <w:r w:rsidRPr="00210652">
              <w:rPr>
                <w:rFonts w:ascii="Calibri" w:eastAsia="Times New Roman" w:hAnsi="Calibri" w:cs="Calibri"/>
                <w:color w:val="000000"/>
                <w:sz w:val="18"/>
                <w:szCs w:val="18"/>
                <w:lang w:eastAsia="hr-HR"/>
              </w:rPr>
              <w:t>kompostane</w:t>
            </w:r>
            <w:proofErr w:type="spellEnd"/>
            <w:r w:rsidRPr="00210652">
              <w:rPr>
                <w:rFonts w:ascii="Calibri" w:eastAsia="Times New Roman" w:hAnsi="Calibri" w:cs="Calibri"/>
                <w:color w:val="000000"/>
                <w:sz w:val="18"/>
                <w:szCs w:val="18"/>
                <w:lang w:eastAsia="hr-HR"/>
              </w:rPr>
              <w:t xml:space="preserve"> ili postrojenja za anaerobnu digestiju)</w:t>
            </w:r>
          </w:p>
        </w:tc>
      </w:tr>
      <w:tr w:rsidR="00210652" w:rsidRPr="00210652" w14:paraId="6DB09B4D" w14:textId="77777777" w:rsidTr="00210652">
        <w:trPr>
          <w:trHeight w:val="225"/>
        </w:trPr>
        <w:tc>
          <w:tcPr>
            <w:tcW w:w="3146" w:type="dxa"/>
            <w:gridSpan w:val="3"/>
            <w:vMerge/>
            <w:tcBorders>
              <w:top w:val="single" w:sz="4" w:space="0" w:color="auto"/>
              <w:left w:val="single" w:sz="4" w:space="0" w:color="auto"/>
              <w:bottom w:val="single" w:sz="4" w:space="0" w:color="auto"/>
              <w:right w:val="single" w:sz="4" w:space="0" w:color="auto"/>
            </w:tcBorders>
            <w:vAlign w:val="center"/>
            <w:hideMark/>
          </w:tcPr>
          <w:p w14:paraId="22F573F0"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294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D6D7470"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831.931</w:t>
            </w:r>
          </w:p>
        </w:tc>
        <w:tc>
          <w:tcPr>
            <w:tcW w:w="30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18B3A5"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489.590</w:t>
            </w:r>
          </w:p>
        </w:tc>
      </w:tr>
      <w:tr w:rsidR="00210652" w:rsidRPr="00210652" w14:paraId="1D283526" w14:textId="77777777" w:rsidTr="00210652">
        <w:trPr>
          <w:trHeight w:val="45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B42DB6D"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proofErr w:type="spellStart"/>
            <w:r w:rsidRPr="00210652">
              <w:rPr>
                <w:rFonts w:ascii="Calibri" w:eastAsia="Times New Roman" w:hAnsi="Calibri" w:cs="Calibri"/>
                <w:color w:val="000000"/>
                <w:sz w:val="18"/>
                <w:szCs w:val="18"/>
                <w:lang w:eastAsia="hr-HR"/>
              </w:rPr>
              <w:t>Reciklati</w:t>
            </w:r>
            <w:proofErr w:type="spellEnd"/>
            <w:r w:rsidRPr="00210652">
              <w:rPr>
                <w:rFonts w:ascii="Calibri" w:eastAsia="Times New Roman" w:hAnsi="Calibri" w:cs="Calibri"/>
                <w:color w:val="000000"/>
                <w:sz w:val="18"/>
                <w:szCs w:val="18"/>
                <w:lang w:eastAsia="hr-HR"/>
              </w:rPr>
              <w:t xml:space="preserve"> predani na reciklažu (14%)</w:t>
            </w:r>
          </w:p>
        </w:tc>
        <w:tc>
          <w:tcPr>
            <w:tcW w:w="993" w:type="dxa"/>
            <w:tcBorders>
              <w:top w:val="nil"/>
              <w:left w:val="nil"/>
              <w:bottom w:val="single" w:sz="4" w:space="0" w:color="auto"/>
              <w:right w:val="single" w:sz="4" w:space="0" w:color="auto"/>
            </w:tcBorders>
            <w:shd w:val="clear" w:color="auto" w:fill="auto"/>
            <w:vAlign w:val="center"/>
            <w:hideMark/>
          </w:tcPr>
          <w:p w14:paraId="3EE8A137"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Odlaganje (28%)</w:t>
            </w:r>
          </w:p>
        </w:tc>
        <w:tc>
          <w:tcPr>
            <w:tcW w:w="1024" w:type="dxa"/>
            <w:tcBorders>
              <w:top w:val="nil"/>
              <w:left w:val="nil"/>
              <w:bottom w:val="single" w:sz="4" w:space="0" w:color="auto"/>
              <w:right w:val="single" w:sz="4" w:space="0" w:color="auto"/>
            </w:tcBorders>
            <w:shd w:val="clear" w:color="auto" w:fill="auto"/>
            <w:vAlign w:val="center"/>
            <w:hideMark/>
          </w:tcPr>
          <w:p w14:paraId="7D7D92CB"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Energetska oporaba (45%)</w:t>
            </w:r>
          </w:p>
        </w:tc>
        <w:tc>
          <w:tcPr>
            <w:tcW w:w="1244" w:type="dxa"/>
            <w:vMerge w:val="restart"/>
            <w:tcBorders>
              <w:top w:val="nil"/>
              <w:left w:val="single" w:sz="4" w:space="0" w:color="auto"/>
              <w:bottom w:val="single" w:sz="4" w:space="0" w:color="000000"/>
              <w:right w:val="single" w:sz="4" w:space="0" w:color="auto"/>
            </w:tcBorders>
            <w:shd w:val="clear" w:color="auto" w:fill="auto"/>
            <w:vAlign w:val="center"/>
            <w:hideMark/>
          </w:tcPr>
          <w:p w14:paraId="55757174"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proofErr w:type="spellStart"/>
            <w:r w:rsidRPr="00210652">
              <w:rPr>
                <w:rFonts w:ascii="Calibri" w:eastAsia="Times New Roman" w:hAnsi="Calibri" w:cs="Calibri"/>
                <w:color w:val="000000"/>
                <w:sz w:val="18"/>
                <w:szCs w:val="18"/>
                <w:lang w:eastAsia="hr-HR"/>
              </w:rPr>
              <w:t>Reciklati</w:t>
            </w:r>
            <w:proofErr w:type="spellEnd"/>
            <w:r w:rsidRPr="00210652">
              <w:rPr>
                <w:rFonts w:ascii="Calibri" w:eastAsia="Times New Roman" w:hAnsi="Calibri" w:cs="Calibri"/>
                <w:color w:val="000000"/>
                <w:sz w:val="18"/>
                <w:szCs w:val="18"/>
                <w:lang w:eastAsia="hr-HR"/>
              </w:rPr>
              <w:t xml:space="preserve"> predani na reciklažu</w:t>
            </w:r>
          </w:p>
        </w:tc>
        <w:tc>
          <w:tcPr>
            <w:tcW w:w="1701"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158E44C9" w14:textId="625F53DC" w:rsidR="00210652" w:rsidRPr="00210652" w:rsidRDefault="00210652" w:rsidP="001E1A1E">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210652">
              <w:rPr>
                <w:rFonts w:ascii="Calibri" w:eastAsia="Times New Roman" w:hAnsi="Calibri" w:cs="Calibri"/>
                <w:color w:val="000000"/>
                <w:sz w:val="18"/>
                <w:szCs w:val="18"/>
                <w:lang w:eastAsia="hr-HR"/>
              </w:rPr>
              <w:t xml:space="preserve">) </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0DF19E1A" w14:textId="6FE83204"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Kompost/</w:t>
            </w:r>
            <w:r w:rsidR="00E43048">
              <w:rPr>
                <w:rFonts w:ascii="Calibri" w:eastAsia="Times New Roman" w:hAnsi="Calibri" w:cs="Calibri"/>
                <w:color w:val="000000"/>
                <w:sz w:val="18"/>
                <w:szCs w:val="18"/>
                <w:lang w:eastAsia="hr-HR"/>
              </w:rPr>
              <w:t xml:space="preserve"> </w:t>
            </w:r>
            <w:proofErr w:type="spellStart"/>
            <w:r w:rsidRPr="00210652">
              <w:rPr>
                <w:rFonts w:ascii="Calibri" w:eastAsia="Times New Roman" w:hAnsi="Calibri" w:cs="Calibri"/>
                <w:color w:val="000000"/>
                <w:sz w:val="18"/>
                <w:szCs w:val="18"/>
                <w:lang w:eastAsia="hr-HR"/>
              </w:rPr>
              <w:t>digestat</w:t>
            </w:r>
            <w:proofErr w:type="spellEnd"/>
          </w:p>
        </w:tc>
        <w:tc>
          <w:tcPr>
            <w:tcW w:w="1734"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094AFF13" w14:textId="7E20FF47" w:rsidR="00210652" w:rsidRPr="00210652" w:rsidRDefault="00210652" w:rsidP="001E1A1E">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210652">
              <w:rPr>
                <w:rFonts w:ascii="Calibri" w:eastAsia="Times New Roman" w:hAnsi="Calibri" w:cs="Calibri"/>
                <w:color w:val="000000"/>
                <w:sz w:val="18"/>
                <w:szCs w:val="18"/>
                <w:lang w:eastAsia="hr-HR"/>
              </w:rPr>
              <w:t xml:space="preserve">) </w:t>
            </w:r>
          </w:p>
        </w:tc>
      </w:tr>
      <w:tr w:rsidR="00210652" w:rsidRPr="00210652" w14:paraId="37FA469A" w14:textId="77777777" w:rsidTr="00210652">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A8BC3F4"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14%</w:t>
            </w:r>
          </w:p>
        </w:tc>
        <w:tc>
          <w:tcPr>
            <w:tcW w:w="993" w:type="dxa"/>
            <w:tcBorders>
              <w:top w:val="nil"/>
              <w:left w:val="nil"/>
              <w:bottom w:val="single" w:sz="4" w:space="0" w:color="auto"/>
              <w:right w:val="single" w:sz="4" w:space="0" w:color="auto"/>
            </w:tcBorders>
            <w:shd w:val="clear" w:color="auto" w:fill="auto"/>
            <w:vAlign w:val="center"/>
            <w:hideMark/>
          </w:tcPr>
          <w:p w14:paraId="4EE9369D"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27%</w:t>
            </w:r>
          </w:p>
        </w:tc>
        <w:tc>
          <w:tcPr>
            <w:tcW w:w="1024" w:type="dxa"/>
            <w:tcBorders>
              <w:top w:val="nil"/>
              <w:left w:val="nil"/>
              <w:bottom w:val="single" w:sz="4" w:space="0" w:color="auto"/>
              <w:right w:val="single" w:sz="4" w:space="0" w:color="auto"/>
            </w:tcBorders>
            <w:shd w:val="clear" w:color="auto" w:fill="auto"/>
            <w:vAlign w:val="center"/>
            <w:hideMark/>
          </w:tcPr>
          <w:p w14:paraId="63E1101B"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44%</w:t>
            </w:r>
          </w:p>
        </w:tc>
        <w:tc>
          <w:tcPr>
            <w:tcW w:w="1244" w:type="dxa"/>
            <w:vMerge/>
            <w:tcBorders>
              <w:top w:val="nil"/>
              <w:left w:val="single" w:sz="4" w:space="0" w:color="auto"/>
              <w:bottom w:val="single" w:sz="4" w:space="0" w:color="000000"/>
              <w:right w:val="single" w:sz="4" w:space="0" w:color="auto"/>
            </w:tcBorders>
            <w:vAlign w:val="center"/>
            <w:hideMark/>
          </w:tcPr>
          <w:p w14:paraId="4C33CB4D"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1701" w:type="dxa"/>
            <w:vMerge/>
            <w:tcBorders>
              <w:top w:val="nil"/>
              <w:left w:val="single" w:sz="4" w:space="0" w:color="auto"/>
              <w:bottom w:val="single" w:sz="4" w:space="0" w:color="000000"/>
              <w:right w:val="single" w:sz="4" w:space="0" w:color="auto"/>
            </w:tcBorders>
            <w:vAlign w:val="center"/>
            <w:hideMark/>
          </w:tcPr>
          <w:p w14:paraId="7A0B2D99"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1275" w:type="dxa"/>
            <w:vMerge/>
            <w:tcBorders>
              <w:top w:val="nil"/>
              <w:left w:val="single" w:sz="4" w:space="0" w:color="auto"/>
              <w:bottom w:val="single" w:sz="4" w:space="0" w:color="000000"/>
              <w:right w:val="single" w:sz="4" w:space="0" w:color="auto"/>
            </w:tcBorders>
            <w:vAlign w:val="center"/>
            <w:hideMark/>
          </w:tcPr>
          <w:p w14:paraId="19E1449D"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1734" w:type="dxa"/>
            <w:vMerge/>
            <w:tcBorders>
              <w:top w:val="nil"/>
              <w:left w:val="single" w:sz="4" w:space="0" w:color="auto"/>
              <w:bottom w:val="single" w:sz="4" w:space="0" w:color="000000"/>
              <w:right w:val="single" w:sz="4" w:space="0" w:color="auto"/>
            </w:tcBorders>
            <w:vAlign w:val="center"/>
            <w:hideMark/>
          </w:tcPr>
          <w:p w14:paraId="72120297"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r>
      <w:tr w:rsidR="00210652" w:rsidRPr="00210652" w14:paraId="7397FBE5" w14:textId="77777777" w:rsidTr="00210652">
        <w:trPr>
          <w:trHeight w:val="22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7736394"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126.773</w:t>
            </w:r>
          </w:p>
        </w:tc>
        <w:tc>
          <w:tcPr>
            <w:tcW w:w="993" w:type="dxa"/>
            <w:tcBorders>
              <w:top w:val="nil"/>
              <w:left w:val="nil"/>
              <w:bottom w:val="single" w:sz="4" w:space="0" w:color="auto"/>
              <w:right w:val="single" w:sz="4" w:space="0" w:color="auto"/>
            </w:tcBorders>
            <w:shd w:val="clear" w:color="auto" w:fill="auto"/>
            <w:noWrap/>
            <w:vAlign w:val="center"/>
            <w:hideMark/>
          </w:tcPr>
          <w:p w14:paraId="40BFF23E"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238.897</w:t>
            </w:r>
          </w:p>
        </w:tc>
        <w:tc>
          <w:tcPr>
            <w:tcW w:w="1024" w:type="dxa"/>
            <w:tcBorders>
              <w:top w:val="nil"/>
              <w:left w:val="nil"/>
              <w:bottom w:val="single" w:sz="4" w:space="0" w:color="auto"/>
              <w:right w:val="single" w:sz="4" w:space="0" w:color="auto"/>
            </w:tcBorders>
            <w:shd w:val="clear" w:color="auto" w:fill="auto"/>
            <w:noWrap/>
            <w:vAlign w:val="center"/>
            <w:hideMark/>
          </w:tcPr>
          <w:p w14:paraId="1EBD0752"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381.361</w:t>
            </w:r>
          </w:p>
        </w:tc>
        <w:tc>
          <w:tcPr>
            <w:tcW w:w="1244" w:type="dxa"/>
            <w:tcBorders>
              <w:top w:val="nil"/>
              <w:left w:val="nil"/>
              <w:bottom w:val="single" w:sz="4" w:space="0" w:color="auto"/>
              <w:right w:val="single" w:sz="4" w:space="0" w:color="auto"/>
            </w:tcBorders>
            <w:shd w:val="clear" w:color="auto" w:fill="auto"/>
            <w:noWrap/>
            <w:vAlign w:val="center"/>
            <w:hideMark/>
          </w:tcPr>
          <w:p w14:paraId="54CEA39D"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723.780</w:t>
            </w:r>
          </w:p>
        </w:tc>
        <w:tc>
          <w:tcPr>
            <w:tcW w:w="1701" w:type="dxa"/>
            <w:tcBorders>
              <w:top w:val="nil"/>
              <w:left w:val="nil"/>
              <w:bottom w:val="single" w:sz="4" w:space="0" w:color="auto"/>
              <w:right w:val="single" w:sz="4" w:space="0" w:color="auto"/>
            </w:tcBorders>
            <w:shd w:val="clear" w:color="000000" w:fill="D6C8D6"/>
            <w:vAlign w:val="center"/>
            <w:hideMark/>
          </w:tcPr>
          <w:p w14:paraId="16679B2D"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108.151</w:t>
            </w:r>
          </w:p>
        </w:tc>
        <w:tc>
          <w:tcPr>
            <w:tcW w:w="1275" w:type="dxa"/>
            <w:tcBorders>
              <w:top w:val="nil"/>
              <w:left w:val="nil"/>
              <w:bottom w:val="single" w:sz="4" w:space="0" w:color="auto"/>
              <w:right w:val="single" w:sz="4" w:space="0" w:color="auto"/>
            </w:tcBorders>
            <w:shd w:val="clear" w:color="auto" w:fill="auto"/>
            <w:noWrap/>
            <w:vAlign w:val="center"/>
            <w:hideMark/>
          </w:tcPr>
          <w:p w14:paraId="1FB8B85C"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212.971</w:t>
            </w:r>
          </w:p>
        </w:tc>
        <w:tc>
          <w:tcPr>
            <w:tcW w:w="1734" w:type="dxa"/>
            <w:tcBorders>
              <w:top w:val="nil"/>
              <w:left w:val="nil"/>
              <w:bottom w:val="single" w:sz="4" w:space="0" w:color="auto"/>
              <w:right w:val="single" w:sz="4" w:space="0" w:color="auto"/>
            </w:tcBorders>
            <w:shd w:val="clear" w:color="000000" w:fill="D6C8D6"/>
            <w:vAlign w:val="center"/>
            <w:hideMark/>
          </w:tcPr>
          <w:p w14:paraId="0C855EF1"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63.647</w:t>
            </w:r>
          </w:p>
        </w:tc>
      </w:tr>
      <w:tr w:rsidR="00210652" w:rsidRPr="00210652" w14:paraId="3E2520D7" w14:textId="77777777" w:rsidTr="00210652">
        <w:trPr>
          <w:trHeight w:val="450"/>
        </w:trPr>
        <w:tc>
          <w:tcPr>
            <w:tcW w:w="1129" w:type="dxa"/>
            <w:tcBorders>
              <w:top w:val="nil"/>
              <w:left w:val="nil"/>
              <w:bottom w:val="nil"/>
              <w:right w:val="nil"/>
            </w:tcBorders>
            <w:shd w:val="clear" w:color="auto" w:fill="auto"/>
            <w:noWrap/>
            <w:vAlign w:val="center"/>
            <w:hideMark/>
          </w:tcPr>
          <w:p w14:paraId="28A770CF"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p>
        </w:tc>
        <w:tc>
          <w:tcPr>
            <w:tcW w:w="993" w:type="dxa"/>
            <w:tcBorders>
              <w:top w:val="nil"/>
              <w:left w:val="nil"/>
              <w:bottom w:val="nil"/>
              <w:right w:val="nil"/>
            </w:tcBorders>
            <w:shd w:val="clear" w:color="auto" w:fill="auto"/>
            <w:noWrap/>
            <w:vAlign w:val="center"/>
            <w:hideMark/>
          </w:tcPr>
          <w:p w14:paraId="3A9F8F57" w14:textId="77777777" w:rsidR="00210652" w:rsidRPr="00210652" w:rsidRDefault="00210652" w:rsidP="00210652">
            <w:pPr>
              <w:spacing w:after="0" w:line="240" w:lineRule="auto"/>
              <w:jc w:val="center"/>
              <w:rPr>
                <w:rFonts w:ascii="Times New Roman" w:eastAsia="Times New Roman" w:hAnsi="Times New Roman" w:cs="Times New Roman"/>
                <w:sz w:val="18"/>
                <w:szCs w:val="18"/>
                <w:lang w:eastAsia="hr-HR"/>
              </w:rPr>
            </w:pPr>
          </w:p>
        </w:tc>
        <w:tc>
          <w:tcPr>
            <w:tcW w:w="1024" w:type="dxa"/>
            <w:tcBorders>
              <w:top w:val="nil"/>
              <w:left w:val="nil"/>
              <w:bottom w:val="nil"/>
              <w:right w:val="nil"/>
            </w:tcBorders>
            <w:shd w:val="clear" w:color="auto" w:fill="auto"/>
            <w:noWrap/>
            <w:vAlign w:val="center"/>
            <w:hideMark/>
          </w:tcPr>
          <w:p w14:paraId="164AC3CA" w14:textId="77777777" w:rsidR="00210652" w:rsidRPr="00210652" w:rsidRDefault="00210652" w:rsidP="00210652">
            <w:pPr>
              <w:spacing w:after="0" w:line="240" w:lineRule="auto"/>
              <w:jc w:val="center"/>
              <w:rPr>
                <w:rFonts w:ascii="Times New Roman" w:eastAsia="Times New Roman" w:hAnsi="Times New Roman" w:cs="Times New Roman"/>
                <w:sz w:val="18"/>
                <w:szCs w:val="18"/>
                <w:lang w:eastAsia="hr-HR"/>
              </w:rPr>
            </w:pPr>
          </w:p>
        </w:tc>
        <w:tc>
          <w:tcPr>
            <w:tcW w:w="1244" w:type="dxa"/>
            <w:tcBorders>
              <w:top w:val="nil"/>
              <w:left w:val="nil"/>
              <w:bottom w:val="nil"/>
              <w:right w:val="nil"/>
            </w:tcBorders>
            <w:shd w:val="clear" w:color="auto" w:fill="auto"/>
            <w:noWrap/>
            <w:vAlign w:val="center"/>
            <w:hideMark/>
          </w:tcPr>
          <w:p w14:paraId="4D45E54A" w14:textId="77777777" w:rsidR="00210652" w:rsidRPr="00210652" w:rsidRDefault="00210652" w:rsidP="00210652">
            <w:pPr>
              <w:spacing w:after="0" w:line="240" w:lineRule="auto"/>
              <w:jc w:val="center"/>
              <w:rPr>
                <w:rFonts w:ascii="Times New Roman" w:eastAsia="Times New Roman" w:hAnsi="Times New Roman" w:cs="Times New Roman"/>
                <w:sz w:val="18"/>
                <w:szCs w:val="18"/>
                <w:lang w:eastAsia="hr-HR"/>
              </w:rPr>
            </w:pPr>
          </w:p>
        </w:tc>
        <w:tc>
          <w:tcPr>
            <w:tcW w:w="1701" w:type="dxa"/>
            <w:tcBorders>
              <w:top w:val="nil"/>
              <w:left w:val="nil"/>
              <w:bottom w:val="nil"/>
              <w:right w:val="nil"/>
            </w:tcBorders>
            <w:shd w:val="clear" w:color="auto" w:fill="auto"/>
            <w:noWrap/>
            <w:vAlign w:val="center"/>
            <w:hideMark/>
          </w:tcPr>
          <w:p w14:paraId="0D7A179C" w14:textId="77777777" w:rsidR="00210652" w:rsidRPr="00210652" w:rsidRDefault="00210652" w:rsidP="00210652">
            <w:pPr>
              <w:spacing w:after="0" w:line="240" w:lineRule="auto"/>
              <w:jc w:val="center"/>
              <w:rPr>
                <w:rFonts w:ascii="Times New Roman" w:eastAsia="Times New Roman" w:hAnsi="Times New Roman" w:cs="Times New Roman"/>
                <w:sz w:val="18"/>
                <w:szCs w:val="18"/>
                <w:lang w:eastAsia="hr-HR"/>
              </w:rPr>
            </w:pPr>
          </w:p>
        </w:tc>
        <w:tc>
          <w:tcPr>
            <w:tcW w:w="1275" w:type="dxa"/>
            <w:tcBorders>
              <w:top w:val="nil"/>
              <w:left w:val="nil"/>
              <w:bottom w:val="nil"/>
              <w:right w:val="nil"/>
            </w:tcBorders>
            <w:shd w:val="clear" w:color="auto" w:fill="auto"/>
            <w:noWrap/>
            <w:vAlign w:val="center"/>
            <w:hideMark/>
          </w:tcPr>
          <w:p w14:paraId="1FE87957" w14:textId="77777777" w:rsidR="00210652" w:rsidRPr="00210652" w:rsidRDefault="00210652" w:rsidP="00210652">
            <w:pPr>
              <w:spacing w:after="0" w:line="240" w:lineRule="auto"/>
              <w:jc w:val="center"/>
              <w:rPr>
                <w:rFonts w:ascii="Times New Roman" w:eastAsia="Times New Roman" w:hAnsi="Times New Roman" w:cs="Times New Roman"/>
                <w:sz w:val="18"/>
                <w:szCs w:val="18"/>
                <w:lang w:eastAsia="hr-HR"/>
              </w:rPr>
            </w:pPr>
          </w:p>
        </w:tc>
        <w:tc>
          <w:tcPr>
            <w:tcW w:w="1734" w:type="dxa"/>
            <w:tcBorders>
              <w:top w:val="nil"/>
              <w:left w:val="nil"/>
              <w:bottom w:val="nil"/>
              <w:right w:val="nil"/>
            </w:tcBorders>
            <w:shd w:val="clear" w:color="auto" w:fill="auto"/>
            <w:noWrap/>
            <w:vAlign w:val="center"/>
            <w:hideMark/>
          </w:tcPr>
          <w:p w14:paraId="3483C4E4" w14:textId="77777777" w:rsidR="00210652" w:rsidRPr="00210652" w:rsidRDefault="00210652" w:rsidP="00210652">
            <w:pPr>
              <w:spacing w:after="0" w:line="240" w:lineRule="auto"/>
              <w:jc w:val="center"/>
              <w:rPr>
                <w:rFonts w:ascii="Times New Roman" w:eastAsia="Times New Roman" w:hAnsi="Times New Roman" w:cs="Times New Roman"/>
                <w:sz w:val="18"/>
                <w:szCs w:val="18"/>
                <w:lang w:eastAsia="hr-HR"/>
              </w:rPr>
            </w:pPr>
          </w:p>
        </w:tc>
      </w:tr>
      <w:tr w:rsidR="00210652" w:rsidRPr="00210652" w14:paraId="3F01C0E8" w14:textId="77777777" w:rsidTr="00210652">
        <w:trPr>
          <w:trHeight w:val="225"/>
        </w:trPr>
        <w:tc>
          <w:tcPr>
            <w:tcW w:w="9103"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3169B2EB"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Komunalni otpad u 2035.</w:t>
            </w:r>
          </w:p>
        </w:tc>
      </w:tr>
      <w:tr w:rsidR="00210652" w:rsidRPr="00210652" w14:paraId="0D98D7F7" w14:textId="77777777" w:rsidTr="00210652">
        <w:trPr>
          <w:trHeight w:val="225"/>
        </w:trPr>
        <w:tc>
          <w:tcPr>
            <w:tcW w:w="9103"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41524E76"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2.550.158</w:t>
            </w:r>
          </w:p>
        </w:tc>
      </w:tr>
      <w:tr w:rsidR="00210652" w:rsidRPr="00210652" w14:paraId="10513C43" w14:textId="77777777" w:rsidTr="00210652">
        <w:trPr>
          <w:trHeight w:val="870"/>
        </w:trPr>
        <w:tc>
          <w:tcPr>
            <w:tcW w:w="1129" w:type="dxa"/>
            <w:tcBorders>
              <w:top w:val="nil"/>
              <w:left w:val="single" w:sz="4" w:space="0" w:color="auto"/>
              <w:bottom w:val="single" w:sz="4" w:space="0" w:color="auto"/>
              <w:right w:val="single" w:sz="4" w:space="0" w:color="auto"/>
            </w:tcBorders>
            <w:shd w:val="clear" w:color="000000" w:fill="CFCCBB"/>
            <w:vAlign w:val="center"/>
            <w:hideMark/>
          </w:tcPr>
          <w:p w14:paraId="3BA1E311"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Miješani komunalni otpad </w:t>
            </w:r>
          </w:p>
        </w:tc>
        <w:tc>
          <w:tcPr>
            <w:tcW w:w="2017" w:type="dxa"/>
            <w:gridSpan w:val="2"/>
            <w:tcBorders>
              <w:top w:val="single" w:sz="4" w:space="0" w:color="auto"/>
              <w:left w:val="nil"/>
              <w:bottom w:val="single" w:sz="4" w:space="0" w:color="auto"/>
              <w:right w:val="single" w:sz="4" w:space="0" w:color="auto"/>
            </w:tcBorders>
            <w:shd w:val="clear" w:color="000000" w:fill="D6C8D6"/>
            <w:vAlign w:val="center"/>
            <w:hideMark/>
          </w:tcPr>
          <w:p w14:paraId="4C90CFD4" w14:textId="52EE3742" w:rsidR="00210652" w:rsidRPr="00210652" w:rsidRDefault="00210652" w:rsidP="001E1A1E">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Izdvojene nečistoće prilikom sortiranja (13 %) </w:t>
            </w:r>
          </w:p>
        </w:tc>
        <w:tc>
          <w:tcPr>
            <w:tcW w:w="5957" w:type="dxa"/>
            <w:gridSpan w:val="4"/>
            <w:tcBorders>
              <w:top w:val="single" w:sz="4" w:space="0" w:color="auto"/>
              <w:left w:val="nil"/>
              <w:bottom w:val="single" w:sz="4" w:space="0" w:color="auto"/>
              <w:right w:val="single" w:sz="4" w:space="0" w:color="auto"/>
            </w:tcBorders>
            <w:shd w:val="clear" w:color="000000" w:fill="92D050"/>
            <w:vAlign w:val="center"/>
            <w:hideMark/>
          </w:tcPr>
          <w:p w14:paraId="6A81CAE2"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Odvojeno prikupljeni komunalni otpad (prvenstveno papir, karton, staklo, plastika, metal, biootpad i dr.) </w:t>
            </w:r>
          </w:p>
        </w:tc>
      </w:tr>
      <w:tr w:rsidR="00210652" w:rsidRPr="00210652" w14:paraId="3E5BC274" w14:textId="77777777" w:rsidTr="00210652">
        <w:trPr>
          <w:trHeight w:val="225"/>
        </w:trPr>
        <w:tc>
          <w:tcPr>
            <w:tcW w:w="1129" w:type="dxa"/>
            <w:tcBorders>
              <w:top w:val="nil"/>
              <w:left w:val="single" w:sz="4" w:space="0" w:color="auto"/>
              <w:bottom w:val="single" w:sz="4" w:space="0" w:color="auto"/>
              <w:right w:val="single" w:sz="4" w:space="0" w:color="auto"/>
            </w:tcBorders>
            <w:shd w:val="clear" w:color="000000" w:fill="CFCCBB"/>
            <w:noWrap/>
            <w:vAlign w:val="center"/>
            <w:hideMark/>
          </w:tcPr>
          <w:p w14:paraId="178188FF"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673.804</w:t>
            </w:r>
          </w:p>
        </w:tc>
        <w:tc>
          <w:tcPr>
            <w:tcW w:w="2017" w:type="dxa"/>
            <w:gridSpan w:val="2"/>
            <w:tcBorders>
              <w:top w:val="single" w:sz="4" w:space="0" w:color="auto"/>
              <w:left w:val="nil"/>
              <w:bottom w:val="single" w:sz="4" w:space="0" w:color="auto"/>
              <w:right w:val="single" w:sz="4" w:space="0" w:color="auto"/>
            </w:tcBorders>
            <w:shd w:val="clear" w:color="000000" w:fill="D6C8D6"/>
            <w:noWrap/>
            <w:vAlign w:val="center"/>
            <w:hideMark/>
          </w:tcPr>
          <w:p w14:paraId="5F714A05"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218.751</w:t>
            </w:r>
          </w:p>
        </w:tc>
        <w:tc>
          <w:tcPr>
            <w:tcW w:w="5957" w:type="dxa"/>
            <w:gridSpan w:val="4"/>
            <w:tcBorders>
              <w:top w:val="single" w:sz="4" w:space="0" w:color="auto"/>
              <w:left w:val="nil"/>
              <w:bottom w:val="single" w:sz="4" w:space="0" w:color="auto"/>
              <w:right w:val="single" w:sz="4" w:space="0" w:color="auto"/>
            </w:tcBorders>
            <w:shd w:val="clear" w:color="000000" w:fill="92D050"/>
            <w:noWrap/>
            <w:vAlign w:val="center"/>
            <w:hideMark/>
          </w:tcPr>
          <w:p w14:paraId="1831822D"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1.682.701</w:t>
            </w:r>
          </w:p>
        </w:tc>
      </w:tr>
      <w:tr w:rsidR="00210652" w:rsidRPr="00210652" w14:paraId="68EB8C65" w14:textId="77777777" w:rsidTr="00210652">
        <w:trPr>
          <w:trHeight w:val="225"/>
        </w:trPr>
        <w:tc>
          <w:tcPr>
            <w:tcW w:w="3146" w:type="dxa"/>
            <w:gridSpan w:val="3"/>
            <w:tcBorders>
              <w:top w:val="single" w:sz="4" w:space="0" w:color="auto"/>
              <w:left w:val="single" w:sz="4" w:space="0" w:color="auto"/>
              <w:bottom w:val="single" w:sz="4" w:space="0" w:color="auto"/>
              <w:right w:val="single" w:sz="4" w:space="0" w:color="auto"/>
            </w:tcBorders>
            <w:shd w:val="clear" w:color="000000" w:fill="CFCCBB"/>
            <w:noWrap/>
            <w:vAlign w:val="center"/>
            <w:hideMark/>
          </w:tcPr>
          <w:p w14:paraId="613FA844"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892.555</w:t>
            </w:r>
          </w:p>
        </w:tc>
        <w:tc>
          <w:tcPr>
            <w:tcW w:w="2945"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62272785"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Suhi </w:t>
            </w:r>
            <w:proofErr w:type="spellStart"/>
            <w:r w:rsidRPr="00210652">
              <w:rPr>
                <w:rFonts w:ascii="Calibri" w:eastAsia="Times New Roman" w:hAnsi="Calibri" w:cs="Calibri"/>
                <w:color w:val="000000"/>
                <w:sz w:val="18"/>
                <w:szCs w:val="18"/>
                <w:lang w:eastAsia="hr-HR"/>
              </w:rPr>
              <w:t>reciklat</w:t>
            </w:r>
            <w:proofErr w:type="spellEnd"/>
            <w:r w:rsidRPr="00210652">
              <w:rPr>
                <w:rFonts w:ascii="Calibri" w:eastAsia="Times New Roman" w:hAnsi="Calibri" w:cs="Calibri"/>
                <w:color w:val="000000"/>
                <w:sz w:val="18"/>
                <w:szCs w:val="18"/>
                <w:lang w:eastAsia="hr-HR"/>
              </w:rPr>
              <w:t xml:space="preserve"> - papir, karton, staklo, plastika, metal i dr.</w:t>
            </w:r>
          </w:p>
        </w:tc>
        <w:tc>
          <w:tcPr>
            <w:tcW w:w="3012" w:type="dxa"/>
            <w:gridSpan w:val="2"/>
            <w:tcBorders>
              <w:top w:val="single" w:sz="4" w:space="0" w:color="auto"/>
              <w:left w:val="nil"/>
              <w:bottom w:val="single" w:sz="4" w:space="0" w:color="auto"/>
              <w:right w:val="single" w:sz="4" w:space="0" w:color="auto"/>
            </w:tcBorders>
            <w:shd w:val="clear" w:color="000000" w:fill="E0EADE"/>
            <w:noWrap/>
            <w:vAlign w:val="center"/>
            <w:hideMark/>
          </w:tcPr>
          <w:p w14:paraId="13240BF6"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Biootpad</w:t>
            </w:r>
          </w:p>
        </w:tc>
      </w:tr>
      <w:tr w:rsidR="00210652" w:rsidRPr="00210652" w14:paraId="059DF312" w14:textId="77777777" w:rsidTr="00210652">
        <w:trPr>
          <w:trHeight w:val="870"/>
        </w:trPr>
        <w:tc>
          <w:tcPr>
            <w:tcW w:w="314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5E917"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Ulaz u centar za gospodarenje otpadom</w:t>
            </w:r>
          </w:p>
        </w:tc>
        <w:tc>
          <w:tcPr>
            <w:tcW w:w="2945"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597BEE7F"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Ulaz u sustav odvojenog prikupljanja</w:t>
            </w:r>
          </w:p>
        </w:tc>
        <w:tc>
          <w:tcPr>
            <w:tcW w:w="3012" w:type="dxa"/>
            <w:gridSpan w:val="2"/>
            <w:tcBorders>
              <w:top w:val="single" w:sz="4" w:space="0" w:color="auto"/>
              <w:left w:val="nil"/>
              <w:bottom w:val="single" w:sz="4" w:space="0" w:color="auto"/>
              <w:right w:val="single" w:sz="4" w:space="0" w:color="auto"/>
            </w:tcBorders>
            <w:shd w:val="clear" w:color="000000" w:fill="E0EADE"/>
            <w:vAlign w:val="center"/>
            <w:hideMark/>
          </w:tcPr>
          <w:p w14:paraId="0279617F"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Recikliranje - ulaz u biološku obradu</w:t>
            </w:r>
            <w:r w:rsidRPr="00210652">
              <w:rPr>
                <w:rFonts w:ascii="Calibri" w:eastAsia="Times New Roman" w:hAnsi="Calibri" w:cs="Calibri"/>
                <w:color w:val="000000"/>
                <w:sz w:val="18"/>
                <w:szCs w:val="18"/>
                <w:lang w:eastAsia="hr-HR"/>
              </w:rPr>
              <w:br/>
            </w:r>
            <w:proofErr w:type="spellStart"/>
            <w:r w:rsidRPr="00210652">
              <w:rPr>
                <w:rFonts w:ascii="Calibri" w:eastAsia="Times New Roman" w:hAnsi="Calibri" w:cs="Calibri"/>
                <w:color w:val="000000"/>
                <w:sz w:val="18"/>
                <w:szCs w:val="18"/>
                <w:lang w:eastAsia="hr-HR"/>
              </w:rPr>
              <w:t>kompostane</w:t>
            </w:r>
            <w:proofErr w:type="spellEnd"/>
            <w:r w:rsidRPr="00210652">
              <w:rPr>
                <w:rFonts w:ascii="Calibri" w:eastAsia="Times New Roman" w:hAnsi="Calibri" w:cs="Calibri"/>
                <w:color w:val="000000"/>
                <w:sz w:val="18"/>
                <w:szCs w:val="18"/>
                <w:lang w:eastAsia="hr-HR"/>
              </w:rPr>
              <w:t xml:space="preserve"> ili postrojenja za anaerobnu digestiju)</w:t>
            </w:r>
          </w:p>
        </w:tc>
      </w:tr>
      <w:tr w:rsidR="00210652" w:rsidRPr="00210652" w14:paraId="259DBBC0" w14:textId="77777777" w:rsidTr="00210652">
        <w:trPr>
          <w:trHeight w:val="225"/>
        </w:trPr>
        <w:tc>
          <w:tcPr>
            <w:tcW w:w="3146" w:type="dxa"/>
            <w:gridSpan w:val="3"/>
            <w:vMerge/>
            <w:tcBorders>
              <w:top w:val="single" w:sz="4" w:space="0" w:color="auto"/>
              <w:left w:val="single" w:sz="4" w:space="0" w:color="auto"/>
              <w:bottom w:val="single" w:sz="4" w:space="0" w:color="auto"/>
              <w:right w:val="single" w:sz="4" w:space="0" w:color="auto"/>
            </w:tcBorders>
            <w:vAlign w:val="center"/>
            <w:hideMark/>
          </w:tcPr>
          <w:p w14:paraId="1782BA48"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294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D31243B"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1.056.604</w:t>
            </w:r>
          </w:p>
        </w:tc>
        <w:tc>
          <w:tcPr>
            <w:tcW w:w="30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47ABFC"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626.097</w:t>
            </w:r>
          </w:p>
        </w:tc>
      </w:tr>
      <w:tr w:rsidR="00210652" w:rsidRPr="00210652" w14:paraId="1B2D4D82" w14:textId="77777777" w:rsidTr="00210652">
        <w:trPr>
          <w:trHeight w:val="45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F3884BD"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proofErr w:type="spellStart"/>
            <w:r w:rsidRPr="00210652">
              <w:rPr>
                <w:rFonts w:ascii="Calibri" w:eastAsia="Times New Roman" w:hAnsi="Calibri" w:cs="Calibri"/>
                <w:color w:val="000000"/>
                <w:sz w:val="18"/>
                <w:szCs w:val="18"/>
                <w:lang w:eastAsia="hr-HR"/>
              </w:rPr>
              <w:t>Reciklati</w:t>
            </w:r>
            <w:proofErr w:type="spellEnd"/>
            <w:r w:rsidRPr="00210652">
              <w:rPr>
                <w:rFonts w:ascii="Calibri" w:eastAsia="Times New Roman" w:hAnsi="Calibri" w:cs="Calibri"/>
                <w:color w:val="000000"/>
                <w:sz w:val="18"/>
                <w:szCs w:val="18"/>
                <w:lang w:eastAsia="hr-HR"/>
              </w:rPr>
              <w:t xml:space="preserve"> predani na reciklažu (14%)</w:t>
            </w:r>
          </w:p>
        </w:tc>
        <w:tc>
          <w:tcPr>
            <w:tcW w:w="993" w:type="dxa"/>
            <w:tcBorders>
              <w:top w:val="nil"/>
              <w:left w:val="nil"/>
              <w:bottom w:val="single" w:sz="4" w:space="0" w:color="auto"/>
              <w:right w:val="single" w:sz="4" w:space="0" w:color="auto"/>
            </w:tcBorders>
            <w:shd w:val="clear" w:color="auto" w:fill="auto"/>
            <w:vAlign w:val="center"/>
            <w:hideMark/>
          </w:tcPr>
          <w:p w14:paraId="26490989"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Odlaganje (29%)</w:t>
            </w:r>
          </w:p>
        </w:tc>
        <w:tc>
          <w:tcPr>
            <w:tcW w:w="1024" w:type="dxa"/>
            <w:tcBorders>
              <w:top w:val="nil"/>
              <w:left w:val="nil"/>
              <w:bottom w:val="single" w:sz="4" w:space="0" w:color="auto"/>
              <w:right w:val="single" w:sz="4" w:space="0" w:color="auto"/>
            </w:tcBorders>
            <w:shd w:val="clear" w:color="auto" w:fill="auto"/>
            <w:vAlign w:val="center"/>
            <w:hideMark/>
          </w:tcPr>
          <w:p w14:paraId="5AFF97CF"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Energetska oporaba (45%)</w:t>
            </w:r>
          </w:p>
        </w:tc>
        <w:tc>
          <w:tcPr>
            <w:tcW w:w="1244" w:type="dxa"/>
            <w:vMerge w:val="restart"/>
            <w:tcBorders>
              <w:top w:val="nil"/>
              <w:left w:val="single" w:sz="4" w:space="0" w:color="auto"/>
              <w:bottom w:val="single" w:sz="4" w:space="0" w:color="000000"/>
              <w:right w:val="single" w:sz="4" w:space="0" w:color="auto"/>
            </w:tcBorders>
            <w:shd w:val="clear" w:color="auto" w:fill="auto"/>
            <w:vAlign w:val="center"/>
            <w:hideMark/>
          </w:tcPr>
          <w:p w14:paraId="1A6FC9E3"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proofErr w:type="spellStart"/>
            <w:r w:rsidRPr="00210652">
              <w:rPr>
                <w:rFonts w:ascii="Calibri" w:eastAsia="Times New Roman" w:hAnsi="Calibri" w:cs="Calibri"/>
                <w:color w:val="000000"/>
                <w:sz w:val="18"/>
                <w:szCs w:val="18"/>
                <w:lang w:eastAsia="hr-HR"/>
              </w:rPr>
              <w:t>Reciklati</w:t>
            </w:r>
            <w:proofErr w:type="spellEnd"/>
            <w:r w:rsidRPr="00210652">
              <w:rPr>
                <w:rFonts w:ascii="Calibri" w:eastAsia="Times New Roman" w:hAnsi="Calibri" w:cs="Calibri"/>
                <w:color w:val="000000"/>
                <w:sz w:val="18"/>
                <w:szCs w:val="18"/>
                <w:lang w:eastAsia="hr-HR"/>
              </w:rPr>
              <w:t xml:space="preserve"> predani na reciklažu</w:t>
            </w:r>
          </w:p>
        </w:tc>
        <w:tc>
          <w:tcPr>
            <w:tcW w:w="1701"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4DA0D7FD" w14:textId="17CAD18B" w:rsidR="00210652" w:rsidRPr="00210652" w:rsidRDefault="00210652" w:rsidP="001E1A1E">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210652">
              <w:rPr>
                <w:rFonts w:ascii="Calibri" w:eastAsia="Times New Roman" w:hAnsi="Calibri" w:cs="Calibri"/>
                <w:color w:val="000000"/>
                <w:sz w:val="18"/>
                <w:szCs w:val="18"/>
                <w:lang w:eastAsia="hr-HR"/>
              </w:rPr>
              <w:t xml:space="preserve">) </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2E8AEC8A" w14:textId="39D3C2E8"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Kompost/</w:t>
            </w:r>
            <w:r w:rsidR="00E43048">
              <w:rPr>
                <w:rFonts w:ascii="Calibri" w:eastAsia="Times New Roman" w:hAnsi="Calibri" w:cs="Calibri"/>
                <w:color w:val="000000"/>
                <w:sz w:val="18"/>
                <w:szCs w:val="18"/>
                <w:lang w:eastAsia="hr-HR"/>
              </w:rPr>
              <w:t xml:space="preserve"> </w:t>
            </w:r>
            <w:proofErr w:type="spellStart"/>
            <w:r w:rsidRPr="00210652">
              <w:rPr>
                <w:rFonts w:ascii="Calibri" w:eastAsia="Times New Roman" w:hAnsi="Calibri" w:cs="Calibri"/>
                <w:color w:val="000000"/>
                <w:sz w:val="18"/>
                <w:szCs w:val="18"/>
                <w:lang w:eastAsia="hr-HR"/>
              </w:rPr>
              <w:t>digestat</w:t>
            </w:r>
            <w:proofErr w:type="spellEnd"/>
          </w:p>
        </w:tc>
        <w:tc>
          <w:tcPr>
            <w:tcW w:w="1734"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22A125A1" w14:textId="5AD590EB" w:rsidR="00210652" w:rsidRPr="00210652" w:rsidRDefault="00210652" w:rsidP="001E1A1E">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210652">
              <w:rPr>
                <w:rFonts w:ascii="Calibri" w:eastAsia="Times New Roman" w:hAnsi="Calibri" w:cs="Calibri"/>
                <w:color w:val="000000"/>
                <w:sz w:val="18"/>
                <w:szCs w:val="18"/>
                <w:lang w:eastAsia="hr-HR"/>
              </w:rPr>
              <w:t xml:space="preserve">) </w:t>
            </w:r>
          </w:p>
        </w:tc>
      </w:tr>
      <w:tr w:rsidR="00210652" w:rsidRPr="00210652" w14:paraId="01328F75" w14:textId="77777777" w:rsidTr="00210652">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4033AA9"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15%</w:t>
            </w:r>
          </w:p>
        </w:tc>
        <w:tc>
          <w:tcPr>
            <w:tcW w:w="993" w:type="dxa"/>
            <w:tcBorders>
              <w:top w:val="nil"/>
              <w:left w:val="nil"/>
              <w:bottom w:val="single" w:sz="4" w:space="0" w:color="auto"/>
              <w:right w:val="single" w:sz="4" w:space="0" w:color="auto"/>
            </w:tcBorders>
            <w:shd w:val="clear" w:color="auto" w:fill="auto"/>
            <w:vAlign w:val="center"/>
            <w:hideMark/>
          </w:tcPr>
          <w:p w14:paraId="7AEE3557"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28%</w:t>
            </w:r>
          </w:p>
        </w:tc>
        <w:tc>
          <w:tcPr>
            <w:tcW w:w="1024" w:type="dxa"/>
            <w:tcBorders>
              <w:top w:val="nil"/>
              <w:left w:val="nil"/>
              <w:bottom w:val="single" w:sz="4" w:space="0" w:color="auto"/>
              <w:right w:val="single" w:sz="4" w:space="0" w:color="auto"/>
            </w:tcBorders>
            <w:shd w:val="clear" w:color="auto" w:fill="auto"/>
            <w:vAlign w:val="center"/>
            <w:hideMark/>
          </w:tcPr>
          <w:p w14:paraId="1F81438B"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43%</w:t>
            </w:r>
          </w:p>
        </w:tc>
        <w:tc>
          <w:tcPr>
            <w:tcW w:w="1244" w:type="dxa"/>
            <w:vMerge/>
            <w:tcBorders>
              <w:top w:val="nil"/>
              <w:left w:val="single" w:sz="4" w:space="0" w:color="auto"/>
              <w:bottom w:val="single" w:sz="4" w:space="0" w:color="000000"/>
              <w:right w:val="single" w:sz="4" w:space="0" w:color="auto"/>
            </w:tcBorders>
            <w:vAlign w:val="center"/>
            <w:hideMark/>
          </w:tcPr>
          <w:p w14:paraId="3D08E591"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1701" w:type="dxa"/>
            <w:vMerge/>
            <w:tcBorders>
              <w:top w:val="nil"/>
              <w:left w:val="single" w:sz="4" w:space="0" w:color="auto"/>
              <w:bottom w:val="single" w:sz="4" w:space="0" w:color="000000"/>
              <w:right w:val="single" w:sz="4" w:space="0" w:color="auto"/>
            </w:tcBorders>
            <w:vAlign w:val="center"/>
            <w:hideMark/>
          </w:tcPr>
          <w:p w14:paraId="195BBCC0"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1275" w:type="dxa"/>
            <w:vMerge/>
            <w:tcBorders>
              <w:top w:val="nil"/>
              <w:left w:val="single" w:sz="4" w:space="0" w:color="auto"/>
              <w:bottom w:val="single" w:sz="4" w:space="0" w:color="000000"/>
              <w:right w:val="single" w:sz="4" w:space="0" w:color="auto"/>
            </w:tcBorders>
            <w:vAlign w:val="center"/>
            <w:hideMark/>
          </w:tcPr>
          <w:p w14:paraId="6F64D9C1"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1734" w:type="dxa"/>
            <w:vMerge/>
            <w:tcBorders>
              <w:top w:val="nil"/>
              <w:left w:val="single" w:sz="4" w:space="0" w:color="auto"/>
              <w:bottom w:val="single" w:sz="4" w:space="0" w:color="000000"/>
              <w:right w:val="single" w:sz="4" w:space="0" w:color="auto"/>
            </w:tcBorders>
            <w:vAlign w:val="center"/>
            <w:hideMark/>
          </w:tcPr>
          <w:p w14:paraId="0B02B04F"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r>
      <w:tr w:rsidR="00210652" w:rsidRPr="00210652" w14:paraId="1F9433C4" w14:textId="77777777" w:rsidTr="00210652">
        <w:trPr>
          <w:trHeight w:val="22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BB63D4B"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130.985</w:t>
            </w:r>
          </w:p>
        </w:tc>
        <w:tc>
          <w:tcPr>
            <w:tcW w:w="993" w:type="dxa"/>
            <w:tcBorders>
              <w:top w:val="nil"/>
              <w:left w:val="nil"/>
              <w:bottom w:val="single" w:sz="4" w:space="0" w:color="auto"/>
              <w:right w:val="single" w:sz="4" w:space="0" w:color="auto"/>
            </w:tcBorders>
            <w:shd w:val="clear" w:color="auto" w:fill="auto"/>
            <w:noWrap/>
            <w:vAlign w:val="center"/>
            <w:hideMark/>
          </w:tcPr>
          <w:p w14:paraId="695A2C27"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249.455</w:t>
            </w:r>
          </w:p>
        </w:tc>
        <w:tc>
          <w:tcPr>
            <w:tcW w:w="1024" w:type="dxa"/>
            <w:tcBorders>
              <w:top w:val="nil"/>
              <w:left w:val="nil"/>
              <w:bottom w:val="single" w:sz="4" w:space="0" w:color="auto"/>
              <w:right w:val="single" w:sz="4" w:space="0" w:color="auto"/>
            </w:tcBorders>
            <w:shd w:val="clear" w:color="auto" w:fill="auto"/>
            <w:noWrap/>
            <w:vAlign w:val="center"/>
            <w:hideMark/>
          </w:tcPr>
          <w:p w14:paraId="435CCB91"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381.329</w:t>
            </w:r>
          </w:p>
        </w:tc>
        <w:tc>
          <w:tcPr>
            <w:tcW w:w="1244" w:type="dxa"/>
            <w:tcBorders>
              <w:top w:val="nil"/>
              <w:left w:val="nil"/>
              <w:bottom w:val="single" w:sz="4" w:space="0" w:color="auto"/>
              <w:right w:val="single" w:sz="4" w:space="0" w:color="auto"/>
            </w:tcBorders>
            <w:shd w:val="clear" w:color="auto" w:fill="auto"/>
            <w:noWrap/>
            <w:vAlign w:val="center"/>
            <w:hideMark/>
          </w:tcPr>
          <w:p w14:paraId="59FA5157"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919.246</w:t>
            </w:r>
          </w:p>
        </w:tc>
        <w:tc>
          <w:tcPr>
            <w:tcW w:w="1701" w:type="dxa"/>
            <w:tcBorders>
              <w:top w:val="nil"/>
              <w:left w:val="nil"/>
              <w:bottom w:val="single" w:sz="4" w:space="0" w:color="auto"/>
              <w:right w:val="single" w:sz="4" w:space="0" w:color="auto"/>
            </w:tcBorders>
            <w:shd w:val="clear" w:color="000000" w:fill="D6C8D6"/>
            <w:vAlign w:val="center"/>
            <w:hideMark/>
          </w:tcPr>
          <w:p w14:paraId="730F645F"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137.359</w:t>
            </w:r>
          </w:p>
        </w:tc>
        <w:tc>
          <w:tcPr>
            <w:tcW w:w="1275" w:type="dxa"/>
            <w:tcBorders>
              <w:top w:val="nil"/>
              <w:left w:val="nil"/>
              <w:bottom w:val="single" w:sz="4" w:space="0" w:color="auto"/>
              <w:right w:val="single" w:sz="4" w:space="0" w:color="auto"/>
            </w:tcBorders>
            <w:shd w:val="clear" w:color="auto" w:fill="auto"/>
            <w:noWrap/>
            <w:vAlign w:val="center"/>
            <w:hideMark/>
          </w:tcPr>
          <w:p w14:paraId="308A94B0"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272.352</w:t>
            </w:r>
          </w:p>
        </w:tc>
        <w:tc>
          <w:tcPr>
            <w:tcW w:w="1734" w:type="dxa"/>
            <w:tcBorders>
              <w:top w:val="nil"/>
              <w:left w:val="nil"/>
              <w:bottom w:val="single" w:sz="4" w:space="0" w:color="auto"/>
              <w:right w:val="single" w:sz="4" w:space="0" w:color="auto"/>
            </w:tcBorders>
            <w:shd w:val="clear" w:color="000000" w:fill="D6C8D6"/>
            <w:vAlign w:val="center"/>
            <w:hideMark/>
          </w:tcPr>
          <w:p w14:paraId="4F76E74C"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81.393</w:t>
            </w:r>
          </w:p>
        </w:tc>
      </w:tr>
    </w:tbl>
    <w:p w14:paraId="1EFFD750" w14:textId="3F9FEAAF" w:rsidR="00180ECE" w:rsidRDefault="00180ECE" w:rsidP="00596ABF"/>
    <w:p w14:paraId="5CA87540" w14:textId="3EBC383B" w:rsidR="00210652" w:rsidRDefault="00210652" w:rsidP="00210652">
      <w:pPr>
        <w:pStyle w:val="Tablica"/>
      </w:pPr>
      <w:bookmarkStart w:id="263" w:name="_Ref116286023"/>
      <w:bookmarkStart w:id="264" w:name="_Toc125364436"/>
      <w:r>
        <w:t xml:space="preserve">Tablica </w:t>
      </w:r>
      <w:fldSimple w:instr=" SEQ Tablica \* ARABIC ">
        <w:r w:rsidR="00F37B62">
          <w:rPr>
            <w:noProof/>
          </w:rPr>
          <w:t>47</w:t>
        </w:r>
      </w:fldSimple>
      <w:bookmarkEnd w:id="263"/>
      <w:r>
        <w:t xml:space="preserve">. </w:t>
      </w:r>
      <w:r>
        <w:rPr>
          <w:b w:val="0"/>
          <w:bCs/>
        </w:rPr>
        <w:t>Ključne količine komunalnog otpada u razdoblju od 2025.-2035. – SCENARIJ 2</w:t>
      </w:r>
      <w:bookmarkEnd w:id="264"/>
    </w:p>
    <w:tbl>
      <w:tblPr>
        <w:tblW w:w="9067" w:type="dxa"/>
        <w:tblLook w:val="04A0" w:firstRow="1" w:lastRow="0" w:firstColumn="1" w:lastColumn="0" w:noHBand="0" w:noVBand="1"/>
      </w:tblPr>
      <w:tblGrid>
        <w:gridCol w:w="1129"/>
        <w:gridCol w:w="993"/>
        <w:gridCol w:w="992"/>
        <w:gridCol w:w="1276"/>
        <w:gridCol w:w="1701"/>
        <w:gridCol w:w="1380"/>
        <w:gridCol w:w="1596"/>
      </w:tblGrid>
      <w:tr w:rsidR="00F50AC4" w:rsidRPr="00F50AC4" w14:paraId="60D10F8F" w14:textId="77777777" w:rsidTr="00F50AC4">
        <w:trPr>
          <w:trHeight w:val="225"/>
        </w:trPr>
        <w:tc>
          <w:tcPr>
            <w:tcW w:w="9067"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2F8A1EEC"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Komunalni otpad u 2025.</w:t>
            </w:r>
          </w:p>
        </w:tc>
      </w:tr>
      <w:tr w:rsidR="00F50AC4" w:rsidRPr="00F50AC4" w14:paraId="1F17F2BD" w14:textId="77777777" w:rsidTr="00F50AC4">
        <w:trPr>
          <w:trHeight w:val="225"/>
        </w:trPr>
        <w:tc>
          <w:tcPr>
            <w:tcW w:w="9067"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4F4EDA42"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1.913.143</w:t>
            </w:r>
          </w:p>
        </w:tc>
      </w:tr>
      <w:tr w:rsidR="00F50AC4" w:rsidRPr="00F50AC4" w14:paraId="217CFEB8" w14:textId="77777777" w:rsidTr="00F50AC4">
        <w:trPr>
          <w:trHeight w:val="870"/>
        </w:trPr>
        <w:tc>
          <w:tcPr>
            <w:tcW w:w="1129" w:type="dxa"/>
            <w:tcBorders>
              <w:top w:val="single" w:sz="4" w:space="0" w:color="auto"/>
              <w:left w:val="single" w:sz="4" w:space="0" w:color="auto"/>
              <w:bottom w:val="single" w:sz="4" w:space="0" w:color="auto"/>
              <w:right w:val="single" w:sz="4" w:space="0" w:color="auto"/>
            </w:tcBorders>
            <w:shd w:val="clear" w:color="000000" w:fill="CFCCBB"/>
            <w:vAlign w:val="center"/>
            <w:hideMark/>
          </w:tcPr>
          <w:p w14:paraId="74C8118D"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proofErr w:type="spellStart"/>
            <w:r w:rsidRPr="00F50AC4">
              <w:rPr>
                <w:rFonts w:ascii="Calibri" w:eastAsia="Times New Roman" w:hAnsi="Calibri" w:cs="Calibri"/>
                <w:color w:val="000000"/>
                <w:sz w:val="16"/>
                <w:szCs w:val="16"/>
                <w:lang w:eastAsia="hr-HR"/>
              </w:rPr>
              <w:t>mKO</w:t>
            </w:r>
            <w:proofErr w:type="spellEnd"/>
          </w:p>
        </w:tc>
        <w:tc>
          <w:tcPr>
            <w:tcW w:w="1985" w:type="dxa"/>
            <w:gridSpan w:val="2"/>
            <w:tcBorders>
              <w:top w:val="single" w:sz="4" w:space="0" w:color="auto"/>
              <w:left w:val="nil"/>
              <w:bottom w:val="single" w:sz="4" w:space="0" w:color="auto"/>
              <w:right w:val="single" w:sz="4" w:space="0" w:color="auto"/>
            </w:tcBorders>
            <w:shd w:val="clear" w:color="000000" w:fill="D6C8D6"/>
            <w:vAlign w:val="center"/>
            <w:hideMark/>
          </w:tcPr>
          <w:p w14:paraId="3A5646B5" w14:textId="4E2575E4" w:rsidR="00F50AC4" w:rsidRPr="00F50AC4" w:rsidRDefault="00F50AC4" w:rsidP="001E1A1E">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 xml:space="preserve">Izdvojene nečistoće prilikom sortiranja (13) </w:t>
            </w:r>
          </w:p>
        </w:tc>
        <w:tc>
          <w:tcPr>
            <w:tcW w:w="5953" w:type="dxa"/>
            <w:gridSpan w:val="4"/>
            <w:tcBorders>
              <w:top w:val="single" w:sz="4" w:space="0" w:color="auto"/>
              <w:left w:val="nil"/>
              <w:bottom w:val="single" w:sz="4" w:space="0" w:color="auto"/>
              <w:right w:val="single" w:sz="4" w:space="0" w:color="auto"/>
            </w:tcBorders>
            <w:shd w:val="clear" w:color="000000" w:fill="92D050"/>
            <w:vAlign w:val="center"/>
            <w:hideMark/>
          </w:tcPr>
          <w:p w14:paraId="1AE36A98"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 xml:space="preserve">Odvojeno prikupljeni komunalni otpad (prvenstveno papir, karton, staklo, plastika, metal, biootpad i dr.) </w:t>
            </w:r>
          </w:p>
        </w:tc>
      </w:tr>
      <w:tr w:rsidR="00F50AC4" w:rsidRPr="00F50AC4" w14:paraId="1340F0FC" w14:textId="77777777" w:rsidTr="00F50AC4">
        <w:trPr>
          <w:trHeight w:val="225"/>
        </w:trPr>
        <w:tc>
          <w:tcPr>
            <w:tcW w:w="1129" w:type="dxa"/>
            <w:tcBorders>
              <w:top w:val="nil"/>
              <w:left w:val="single" w:sz="4" w:space="0" w:color="auto"/>
              <w:bottom w:val="single" w:sz="4" w:space="0" w:color="auto"/>
              <w:right w:val="single" w:sz="4" w:space="0" w:color="auto"/>
            </w:tcBorders>
            <w:shd w:val="clear" w:color="000000" w:fill="CFCCBB"/>
            <w:noWrap/>
            <w:vAlign w:val="center"/>
            <w:hideMark/>
          </w:tcPr>
          <w:p w14:paraId="5344A6D8"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834.612</w:t>
            </w:r>
          </w:p>
        </w:tc>
        <w:tc>
          <w:tcPr>
            <w:tcW w:w="1985" w:type="dxa"/>
            <w:gridSpan w:val="2"/>
            <w:tcBorders>
              <w:top w:val="single" w:sz="4" w:space="0" w:color="auto"/>
              <w:left w:val="nil"/>
              <w:bottom w:val="single" w:sz="4" w:space="0" w:color="auto"/>
              <w:right w:val="single" w:sz="4" w:space="0" w:color="auto"/>
            </w:tcBorders>
            <w:shd w:val="clear" w:color="000000" w:fill="D6C8D6"/>
            <w:noWrap/>
            <w:vAlign w:val="center"/>
            <w:hideMark/>
          </w:tcPr>
          <w:p w14:paraId="0BC189AF"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121.960</w:t>
            </w:r>
          </w:p>
        </w:tc>
        <w:tc>
          <w:tcPr>
            <w:tcW w:w="5953" w:type="dxa"/>
            <w:gridSpan w:val="4"/>
            <w:tcBorders>
              <w:top w:val="single" w:sz="4" w:space="0" w:color="auto"/>
              <w:left w:val="nil"/>
              <w:bottom w:val="single" w:sz="4" w:space="0" w:color="auto"/>
              <w:right w:val="single" w:sz="4" w:space="0" w:color="auto"/>
            </w:tcBorders>
            <w:shd w:val="clear" w:color="000000" w:fill="92D050"/>
            <w:noWrap/>
            <w:vAlign w:val="center"/>
            <w:hideMark/>
          </w:tcPr>
          <w:p w14:paraId="1ACBB08E"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938.152</w:t>
            </w:r>
          </w:p>
        </w:tc>
      </w:tr>
      <w:tr w:rsidR="00F50AC4" w:rsidRPr="00F50AC4" w14:paraId="6C8A1CE9" w14:textId="77777777" w:rsidTr="00F50AC4">
        <w:trPr>
          <w:trHeight w:val="225"/>
        </w:trPr>
        <w:tc>
          <w:tcPr>
            <w:tcW w:w="3114" w:type="dxa"/>
            <w:gridSpan w:val="3"/>
            <w:tcBorders>
              <w:top w:val="single" w:sz="4" w:space="0" w:color="auto"/>
              <w:left w:val="single" w:sz="4" w:space="0" w:color="auto"/>
              <w:bottom w:val="single" w:sz="4" w:space="0" w:color="auto"/>
              <w:right w:val="single" w:sz="4" w:space="0" w:color="auto"/>
            </w:tcBorders>
            <w:shd w:val="clear" w:color="000000" w:fill="CFCCBB"/>
            <w:noWrap/>
            <w:vAlign w:val="center"/>
            <w:hideMark/>
          </w:tcPr>
          <w:p w14:paraId="3D69AC45"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956.571</w:t>
            </w:r>
          </w:p>
        </w:tc>
        <w:tc>
          <w:tcPr>
            <w:tcW w:w="2977"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1A0299CD"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 xml:space="preserve">Suhi </w:t>
            </w:r>
            <w:proofErr w:type="spellStart"/>
            <w:r w:rsidRPr="00F50AC4">
              <w:rPr>
                <w:rFonts w:ascii="Calibri" w:eastAsia="Times New Roman" w:hAnsi="Calibri" w:cs="Calibri"/>
                <w:color w:val="000000"/>
                <w:sz w:val="16"/>
                <w:szCs w:val="16"/>
                <w:lang w:eastAsia="hr-HR"/>
              </w:rPr>
              <w:t>reciklat</w:t>
            </w:r>
            <w:proofErr w:type="spellEnd"/>
            <w:r w:rsidRPr="00F50AC4">
              <w:rPr>
                <w:rFonts w:ascii="Calibri" w:eastAsia="Times New Roman" w:hAnsi="Calibri" w:cs="Calibri"/>
                <w:color w:val="000000"/>
                <w:sz w:val="16"/>
                <w:szCs w:val="16"/>
                <w:lang w:eastAsia="hr-HR"/>
              </w:rPr>
              <w:t xml:space="preserve"> - papir, karton, staklo, plastika, metal i dr.</w:t>
            </w:r>
          </w:p>
        </w:tc>
        <w:tc>
          <w:tcPr>
            <w:tcW w:w="2976" w:type="dxa"/>
            <w:gridSpan w:val="2"/>
            <w:tcBorders>
              <w:top w:val="single" w:sz="4" w:space="0" w:color="auto"/>
              <w:left w:val="nil"/>
              <w:bottom w:val="single" w:sz="4" w:space="0" w:color="auto"/>
              <w:right w:val="single" w:sz="4" w:space="0" w:color="auto"/>
            </w:tcBorders>
            <w:shd w:val="clear" w:color="000000" w:fill="E0EADE"/>
            <w:noWrap/>
            <w:vAlign w:val="center"/>
            <w:hideMark/>
          </w:tcPr>
          <w:p w14:paraId="70D312EE"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Biootpad</w:t>
            </w:r>
          </w:p>
        </w:tc>
      </w:tr>
      <w:tr w:rsidR="00F50AC4" w:rsidRPr="00F50AC4" w14:paraId="724E0DCF" w14:textId="77777777" w:rsidTr="00F50AC4">
        <w:trPr>
          <w:trHeight w:val="912"/>
        </w:trPr>
        <w:tc>
          <w:tcPr>
            <w:tcW w:w="311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3F894"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Ulaz u centar za gospodarenje otpadom</w:t>
            </w:r>
          </w:p>
        </w:tc>
        <w:tc>
          <w:tcPr>
            <w:tcW w:w="2977"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26E408D4"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Ulaz u sustav odvojenog prikupljanja</w:t>
            </w:r>
          </w:p>
        </w:tc>
        <w:tc>
          <w:tcPr>
            <w:tcW w:w="2976" w:type="dxa"/>
            <w:gridSpan w:val="2"/>
            <w:tcBorders>
              <w:top w:val="single" w:sz="4" w:space="0" w:color="auto"/>
              <w:left w:val="nil"/>
              <w:bottom w:val="single" w:sz="4" w:space="0" w:color="auto"/>
              <w:right w:val="single" w:sz="4" w:space="0" w:color="auto"/>
            </w:tcBorders>
            <w:shd w:val="clear" w:color="000000" w:fill="E0EADE"/>
            <w:vAlign w:val="center"/>
            <w:hideMark/>
          </w:tcPr>
          <w:p w14:paraId="1533764C"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Recikliranje - ulaz u biološku obradu</w:t>
            </w:r>
            <w:r w:rsidRPr="00F50AC4">
              <w:rPr>
                <w:rFonts w:ascii="Calibri" w:eastAsia="Times New Roman" w:hAnsi="Calibri" w:cs="Calibri"/>
                <w:color w:val="000000"/>
                <w:sz w:val="16"/>
                <w:szCs w:val="16"/>
                <w:lang w:eastAsia="hr-HR"/>
              </w:rPr>
              <w:br/>
            </w:r>
            <w:proofErr w:type="spellStart"/>
            <w:r w:rsidRPr="00F50AC4">
              <w:rPr>
                <w:rFonts w:ascii="Calibri" w:eastAsia="Times New Roman" w:hAnsi="Calibri" w:cs="Calibri"/>
                <w:color w:val="000000"/>
                <w:sz w:val="16"/>
                <w:szCs w:val="16"/>
                <w:lang w:eastAsia="hr-HR"/>
              </w:rPr>
              <w:t>kompostane</w:t>
            </w:r>
            <w:proofErr w:type="spellEnd"/>
            <w:r w:rsidRPr="00F50AC4">
              <w:rPr>
                <w:rFonts w:ascii="Calibri" w:eastAsia="Times New Roman" w:hAnsi="Calibri" w:cs="Calibri"/>
                <w:color w:val="000000"/>
                <w:sz w:val="16"/>
                <w:szCs w:val="16"/>
                <w:lang w:eastAsia="hr-HR"/>
              </w:rPr>
              <w:t xml:space="preserve"> ili postrojenja za anaerobnu digestiju)</w:t>
            </w:r>
          </w:p>
        </w:tc>
      </w:tr>
      <w:tr w:rsidR="00F50AC4" w:rsidRPr="00F50AC4" w14:paraId="18AADF6E" w14:textId="77777777" w:rsidTr="00F50AC4">
        <w:trPr>
          <w:trHeight w:val="225"/>
        </w:trPr>
        <w:tc>
          <w:tcPr>
            <w:tcW w:w="3114" w:type="dxa"/>
            <w:gridSpan w:val="3"/>
            <w:vMerge/>
            <w:tcBorders>
              <w:top w:val="single" w:sz="4" w:space="0" w:color="auto"/>
              <w:left w:val="single" w:sz="4" w:space="0" w:color="auto"/>
              <w:bottom w:val="single" w:sz="4" w:space="0" w:color="auto"/>
              <w:right w:val="single" w:sz="4" w:space="0" w:color="auto"/>
            </w:tcBorders>
            <w:vAlign w:val="center"/>
            <w:hideMark/>
          </w:tcPr>
          <w:p w14:paraId="3774B3FD"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29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29B912"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594.639</w:t>
            </w:r>
          </w:p>
        </w:tc>
        <w:tc>
          <w:tcPr>
            <w:tcW w:w="29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2AD97F1"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343.513</w:t>
            </w:r>
          </w:p>
        </w:tc>
      </w:tr>
      <w:tr w:rsidR="00F50AC4" w:rsidRPr="00F50AC4" w14:paraId="2B4BE90C" w14:textId="77777777" w:rsidTr="00F50AC4">
        <w:trPr>
          <w:trHeight w:val="8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E4A417F"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proofErr w:type="spellStart"/>
            <w:r w:rsidRPr="00F50AC4">
              <w:rPr>
                <w:rFonts w:ascii="Calibri" w:eastAsia="Times New Roman" w:hAnsi="Calibri" w:cs="Calibri"/>
                <w:color w:val="000000"/>
                <w:sz w:val="16"/>
                <w:szCs w:val="16"/>
                <w:lang w:eastAsia="hr-HR"/>
              </w:rPr>
              <w:t>Reciklati</w:t>
            </w:r>
            <w:proofErr w:type="spellEnd"/>
            <w:r w:rsidRPr="00F50AC4">
              <w:rPr>
                <w:rFonts w:ascii="Calibri" w:eastAsia="Times New Roman" w:hAnsi="Calibri" w:cs="Calibri"/>
                <w:color w:val="000000"/>
                <w:sz w:val="16"/>
                <w:szCs w:val="16"/>
                <w:lang w:eastAsia="hr-HR"/>
              </w:rPr>
              <w:t xml:space="preserve"> predani na reciklažu</w:t>
            </w:r>
          </w:p>
        </w:tc>
        <w:tc>
          <w:tcPr>
            <w:tcW w:w="993" w:type="dxa"/>
            <w:tcBorders>
              <w:top w:val="nil"/>
              <w:left w:val="nil"/>
              <w:bottom w:val="single" w:sz="4" w:space="0" w:color="auto"/>
              <w:right w:val="single" w:sz="4" w:space="0" w:color="auto"/>
            </w:tcBorders>
            <w:shd w:val="clear" w:color="auto" w:fill="auto"/>
            <w:vAlign w:val="center"/>
            <w:hideMark/>
          </w:tcPr>
          <w:p w14:paraId="31BF8A5E"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Odlaganje</w:t>
            </w:r>
          </w:p>
        </w:tc>
        <w:tc>
          <w:tcPr>
            <w:tcW w:w="992" w:type="dxa"/>
            <w:tcBorders>
              <w:top w:val="nil"/>
              <w:left w:val="nil"/>
              <w:bottom w:val="single" w:sz="4" w:space="0" w:color="auto"/>
              <w:right w:val="single" w:sz="4" w:space="0" w:color="auto"/>
            </w:tcBorders>
            <w:shd w:val="clear" w:color="auto" w:fill="auto"/>
            <w:vAlign w:val="center"/>
            <w:hideMark/>
          </w:tcPr>
          <w:p w14:paraId="1C2BFAE9"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Energetska oporaba</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5E45906A"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proofErr w:type="spellStart"/>
            <w:r w:rsidRPr="00F50AC4">
              <w:rPr>
                <w:rFonts w:ascii="Calibri" w:eastAsia="Times New Roman" w:hAnsi="Calibri" w:cs="Calibri"/>
                <w:color w:val="000000"/>
                <w:sz w:val="16"/>
                <w:szCs w:val="16"/>
                <w:lang w:eastAsia="hr-HR"/>
              </w:rPr>
              <w:t>Reciklati</w:t>
            </w:r>
            <w:proofErr w:type="spellEnd"/>
            <w:r w:rsidRPr="00F50AC4">
              <w:rPr>
                <w:rFonts w:ascii="Calibri" w:eastAsia="Times New Roman" w:hAnsi="Calibri" w:cs="Calibri"/>
                <w:color w:val="000000"/>
                <w:sz w:val="16"/>
                <w:szCs w:val="16"/>
                <w:lang w:eastAsia="hr-HR"/>
              </w:rPr>
              <w:t xml:space="preserve"> predani na reciklažu</w:t>
            </w:r>
          </w:p>
        </w:tc>
        <w:tc>
          <w:tcPr>
            <w:tcW w:w="1701"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2DC20F32" w14:textId="0E288299" w:rsidR="00F50AC4" w:rsidRPr="00F50AC4" w:rsidRDefault="00F50AC4" w:rsidP="001E1A1E">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F50AC4">
              <w:rPr>
                <w:rFonts w:ascii="Calibri" w:eastAsia="Times New Roman" w:hAnsi="Calibri" w:cs="Calibri"/>
                <w:color w:val="000000"/>
                <w:sz w:val="16"/>
                <w:szCs w:val="16"/>
                <w:lang w:eastAsia="hr-HR"/>
              </w:rPr>
              <w:t xml:space="preserve">) </w:t>
            </w:r>
          </w:p>
        </w:tc>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14:paraId="08CDBF18" w14:textId="2FEB93F8"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Kompost/</w:t>
            </w:r>
            <w:r>
              <w:rPr>
                <w:rFonts w:ascii="Calibri" w:eastAsia="Times New Roman" w:hAnsi="Calibri" w:cs="Calibri"/>
                <w:color w:val="000000"/>
                <w:sz w:val="16"/>
                <w:szCs w:val="16"/>
                <w:lang w:eastAsia="hr-HR"/>
              </w:rPr>
              <w:t xml:space="preserve"> </w:t>
            </w:r>
            <w:proofErr w:type="spellStart"/>
            <w:r w:rsidRPr="00F50AC4">
              <w:rPr>
                <w:rFonts w:ascii="Calibri" w:eastAsia="Times New Roman" w:hAnsi="Calibri" w:cs="Calibri"/>
                <w:color w:val="000000"/>
                <w:sz w:val="16"/>
                <w:szCs w:val="16"/>
                <w:lang w:eastAsia="hr-HR"/>
              </w:rPr>
              <w:t>digestat</w:t>
            </w:r>
            <w:proofErr w:type="spellEnd"/>
          </w:p>
        </w:tc>
        <w:tc>
          <w:tcPr>
            <w:tcW w:w="1596"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5828AB99" w14:textId="4326E818" w:rsidR="00F50AC4" w:rsidRPr="00F50AC4" w:rsidRDefault="00F50AC4" w:rsidP="001E1A1E">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F50AC4">
              <w:rPr>
                <w:rFonts w:ascii="Calibri" w:eastAsia="Times New Roman" w:hAnsi="Calibri" w:cs="Calibri"/>
                <w:color w:val="000000"/>
                <w:sz w:val="16"/>
                <w:szCs w:val="16"/>
                <w:lang w:eastAsia="hr-HR"/>
              </w:rPr>
              <w:t xml:space="preserve">) </w:t>
            </w:r>
          </w:p>
        </w:tc>
      </w:tr>
      <w:tr w:rsidR="00F50AC4" w:rsidRPr="00F50AC4" w14:paraId="3E1210A4" w14:textId="77777777" w:rsidTr="00F50AC4">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A382A62"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14%</w:t>
            </w:r>
          </w:p>
        </w:tc>
        <w:tc>
          <w:tcPr>
            <w:tcW w:w="993" w:type="dxa"/>
            <w:tcBorders>
              <w:top w:val="nil"/>
              <w:left w:val="nil"/>
              <w:bottom w:val="single" w:sz="4" w:space="0" w:color="auto"/>
              <w:right w:val="single" w:sz="4" w:space="0" w:color="auto"/>
            </w:tcBorders>
            <w:shd w:val="clear" w:color="auto" w:fill="auto"/>
            <w:vAlign w:val="center"/>
            <w:hideMark/>
          </w:tcPr>
          <w:p w14:paraId="77BEADD7"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58%</w:t>
            </w:r>
          </w:p>
        </w:tc>
        <w:tc>
          <w:tcPr>
            <w:tcW w:w="992" w:type="dxa"/>
            <w:tcBorders>
              <w:top w:val="nil"/>
              <w:left w:val="nil"/>
              <w:bottom w:val="single" w:sz="4" w:space="0" w:color="auto"/>
              <w:right w:val="single" w:sz="4" w:space="0" w:color="auto"/>
            </w:tcBorders>
            <w:shd w:val="clear" w:color="auto" w:fill="auto"/>
            <w:vAlign w:val="center"/>
            <w:hideMark/>
          </w:tcPr>
          <w:p w14:paraId="692012CE"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15%</w:t>
            </w:r>
          </w:p>
        </w:tc>
        <w:tc>
          <w:tcPr>
            <w:tcW w:w="1276" w:type="dxa"/>
            <w:vMerge/>
            <w:tcBorders>
              <w:top w:val="nil"/>
              <w:left w:val="single" w:sz="4" w:space="0" w:color="auto"/>
              <w:bottom w:val="single" w:sz="4" w:space="0" w:color="000000"/>
              <w:right w:val="single" w:sz="4" w:space="0" w:color="auto"/>
            </w:tcBorders>
            <w:vAlign w:val="center"/>
            <w:hideMark/>
          </w:tcPr>
          <w:p w14:paraId="0E7E52DD"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1701" w:type="dxa"/>
            <w:vMerge/>
            <w:tcBorders>
              <w:top w:val="nil"/>
              <w:left w:val="single" w:sz="4" w:space="0" w:color="auto"/>
              <w:bottom w:val="single" w:sz="4" w:space="0" w:color="000000"/>
              <w:right w:val="single" w:sz="4" w:space="0" w:color="auto"/>
            </w:tcBorders>
            <w:vAlign w:val="center"/>
            <w:hideMark/>
          </w:tcPr>
          <w:p w14:paraId="1F3D9C96"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1380" w:type="dxa"/>
            <w:vMerge/>
            <w:tcBorders>
              <w:top w:val="nil"/>
              <w:left w:val="single" w:sz="4" w:space="0" w:color="auto"/>
              <w:bottom w:val="single" w:sz="4" w:space="0" w:color="000000"/>
              <w:right w:val="single" w:sz="4" w:space="0" w:color="auto"/>
            </w:tcBorders>
            <w:vAlign w:val="center"/>
            <w:hideMark/>
          </w:tcPr>
          <w:p w14:paraId="19ACF817"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1596" w:type="dxa"/>
            <w:vMerge/>
            <w:tcBorders>
              <w:top w:val="nil"/>
              <w:left w:val="single" w:sz="4" w:space="0" w:color="auto"/>
              <w:bottom w:val="single" w:sz="4" w:space="0" w:color="000000"/>
              <w:right w:val="single" w:sz="4" w:space="0" w:color="auto"/>
            </w:tcBorders>
            <w:vAlign w:val="center"/>
            <w:hideMark/>
          </w:tcPr>
          <w:p w14:paraId="1BB65CC7"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r>
      <w:tr w:rsidR="00F50AC4" w:rsidRPr="00F50AC4" w14:paraId="3950DE06" w14:textId="77777777" w:rsidTr="00F50AC4">
        <w:trPr>
          <w:trHeight w:val="22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6152EF4"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135.663</w:t>
            </w:r>
          </w:p>
        </w:tc>
        <w:tc>
          <w:tcPr>
            <w:tcW w:w="993" w:type="dxa"/>
            <w:tcBorders>
              <w:top w:val="nil"/>
              <w:left w:val="nil"/>
              <w:bottom w:val="single" w:sz="4" w:space="0" w:color="auto"/>
              <w:right w:val="single" w:sz="4" w:space="0" w:color="auto"/>
            </w:tcBorders>
            <w:shd w:val="clear" w:color="auto" w:fill="auto"/>
            <w:noWrap/>
            <w:vAlign w:val="center"/>
            <w:hideMark/>
          </w:tcPr>
          <w:p w14:paraId="05B73C82"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558.671</w:t>
            </w:r>
          </w:p>
        </w:tc>
        <w:tc>
          <w:tcPr>
            <w:tcW w:w="992" w:type="dxa"/>
            <w:tcBorders>
              <w:top w:val="nil"/>
              <w:left w:val="nil"/>
              <w:bottom w:val="single" w:sz="4" w:space="0" w:color="auto"/>
              <w:right w:val="single" w:sz="4" w:space="0" w:color="auto"/>
            </w:tcBorders>
            <w:shd w:val="clear" w:color="auto" w:fill="auto"/>
            <w:noWrap/>
            <w:vAlign w:val="center"/>
            <w:hideMark/>
          </w:tcPr>
          <w:p w14:paraId="6198EFFC"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142.608</w:t>
            </w:r>
          </w:p>
        </w:tc>
        <w:tc>
          <w:tcPr>
            <w:tcW w:w="1276" w:type="dxa"/>
            <w:tcBorders>
              <w:top w:val="nil"/>
              <w:left w:val="nil"/>
              <w:bottom w:val="single" w:sz="4" w:space="0" w:color="auto"/>
              <w:right w:val="single" w:sz="4" w:space="0" w:color="auto"/>
            </w:tcBorders>
            <w:shd w:val="clear" w:color="auto" w:fill="auto"/>
            <w:noWrap/>
            <w:vAlign w:val="center"/>
            <w:hideMark/>
          </w:tcPr>
          <w:p w14:paraId="433B8F8E"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517.336</w:t>
            </w:r>
          </w:p>
        </w:tc>
        <w:tc>
          <w:tcPr>
            <w:tcW w:w="1701" w:type="dxa"/>
            <w:tcBorders>
              <w:top w:val="nil"/>
              <w:left w:val="nil"/>
              <w:bottom w:val="single" w:sz="4" w:space="0" w:color="auto"/>
              <w:right w:val="single" w:sz="4" w:space="0" w:color="auto"/>
            </w:tcBorders>
            <w:shd w:val="clear" w:color="000000" w:fill="D6C8D6"/>
            <w:vAlign w:val="center"/>
            <w:hideMark/>
          </w:tcPr>
          <w:p w14:paraId="5EFF21D6"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77.303</w:t>
            </w:r>
          </w:p>
        </w:tc>
        <w:tc>
          <w:tcPr>
            <w:tcW w:w="1380" w:type="dxa"/>
            <w:tcBorders>
              <w:top w:val="nil"/>
              <w:left w:val="nil"/>
              <w:bottom w:val="single" w:sz="4" w:space="0" w:color="auto"/>
              <w:right w:val="single" w:sz="4" w:space="0" w:color="auto"/>
            </w:tcBorders>
            <w:shd w:val="clear" w:color="auto" w:fill="auto"/>
            <w:noWrap/>
            <w:vAlign w:val="center"/>
            <w:hideMark/>
          </w:tcPr>
          <w:p w14:paraId="7CC1F41E"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149.428</w:t>
            </w:r>
          </w:p>
        </w:tc>
        <w:tc>
          <w:tcPr>
            <w:tcW w:w="1596" w:type="dxa"/>
            <w:tcBorders>
              <w:top w:val="nil"/>
              <w:left w:val="nil"/>
              <w:bottom w:val="single" w:sz="4" w:space="0" w:color="auto"/>
              <w:right w:val="single" w:sz="4" w:space="0" w:color="auto"/>
            </w:tcBorders>
            <w:shd w:val="clear" w:color="000000" w:fill="D6C8D6"/>
            <w:vAlign w:val="center"/>
            <w:hideMark/>
          </w:tcPr>
          <w:p w14:paraId="37BF19E3"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44.657</w:t>
            </w:r>
          </w:p>
        </w:tc>
      </w:tr>
      <w:tr w:rsidR="00F50AC4" w:rsidRPr="00F50AC4" w14:paraId="10B2ECCE" w14:textId="77777777" w:rsidTr="00F50AC4">
        <w:trPr>
          <w:trHeight w:val="510"/>
        </w:trPr>
        <w:tc>
          <w:tcPr>
            <w:tcW w:w="1129" w:type="dxa"/>
            <w:tcBorders>
              <w:top w:val="nil"/>
              <w:left w:val="nil"/>
              <w:bottom w:val="nil"/>
              <w:right w:val="nil"/>
            </w:tcBorders>
            <w:shd w:val="clear" w:color="auto" w:fill="auto"/>
            <w:noWrap/>
            <w:vAlign w:val="bottom"/>
            <w:hideMark/>
          </w:tcPr>
          <w:p w14:paraId="6E626DBC"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p>
        </w:tc>
        <w:tc>
          <w:tcPr>
            <w:tcW w:w="993" w:type="dxa"/>
            <w:tcBorders>
              <w:top w:val="nil"/>
              <w:left w:val="nil"/>
              <w:bottom w:val="nil"/>
              <w:right w:val="nil"/>
            </w:tcBorders>
            <w:shd w:val="clear" w:color="auto" w:fill="auto"/>
            <w:noWrap/>
            <w:vAlign w:val="bottom"/>
            <w:hideMark/>
          </w:tcPr>
          <w:p w14:paraId="5118B22B" w14:textId="77777777" w:rsidR="00F50AC4" w:rsidRPr="00F50AC4" w:rsidRDefault="00F50AC4" w:rsidP="00F50AC4">
            <w:pPr>
              <w:spacing w:after="0" w:line="240" w:lineRule="auto"/>
              <w:jc w:val="lef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3B77F29D" w14:textId="77777777" w:rsidR="00F50AC4" w:rsidRPr="00F50AC4" w:rsidRDefault="00F50AC4" w:rsidP="00F50AC4">
            <w:pPr>
              <w:spacing w:after="0" w:line="240" w:lineRule="auto"/>
              <w:jc w:val="left"/>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bottom"/>
            <w:hideMark/>
          </w:tcPr>
          <w:p w14:paraId="03A34675" w14:textId="77777777" w:rsidR="00F50AC4" w:rsidRPr="00F50AC4" w:rsidRDefault="00F50AC4" w:rsidP="00F50AC4">
            <w:pPr>
              <w:spacing w:after="0" w:line="240" w:lineRule="auto"/>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29D2ACAE" w14:textId="77777777" w:rsidR="00F50AC4" w:rsidRPr="00F50AC4" w:rsidRDefault="00F50AC4" w:rsidP="00F50AC4">
            <w:pPr>
              <w:spacing w:after="0" w:line="240" w:lineRule="auto"/>
              <w:jc w:val="left"/>
              <w:rPr>
                <w:rFonts w:ascii="Times New Roman" w:eastAsia="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2374F34" w14:textId="77777777" w:rsidR="00F50AC4" w:rsidRPr="00F50AC4" w:rsidRDefault="00F50AC4" w:rsidP="00F50AC4">
            <w:pPr>
              <w:spacing w:after="0" w:line="240" w:lineRule="auto"/>
              <w:jc w:val="left"/>
              <w:rPr>
                <w:rFonts w:ascii="Times New Roman" w:eastAsia="Times New Roman" w:hAnsi="Times New Roman" w:cs="Times New Roman"/>
                <w:sz w:val="20"/>
                <w:szCs w:val="20"/>
                <w:lang w:eastAsia="hr-HR"/>
              </w:rPr>
            </w:pPr>
          </w:p>
        </w:tc>
        <w:tc>
          <w:tcPr>
            <w:tcW w:w="1596" w:type="dxa"/>
            <w:tcBorders>
              <w:top w:val="nil"/>
              <w:left w:val="nil"/>
              <w:bottom w:val="nil"/>
              <w:right w:val="nil"/>
            </w:tcBorders>
            <w:shd w:val="clear" w:color="auto" w:fill="auto"/>
            <w:noWrap/>
            <w:vAlign w:val="bottom"/>
            <w:hideMark/>
          </w:tcPr>
          <w:p w14:paraId="6EE63602" w14:textId="77777777" w:rsidR="00F50AC4" w:rsidRPr="00F50AC4" w:rsidRDefault="00F50AC4" w:rsidP="00F50AC4">
            <w:pPr>
              <w:spacing w:after="0" w:line="240" w:lineRule="auto"/>
              <w:jc w:val="left"/>
              <w:rPr>
                <w:rFonts w:ascii="Times New Roman" w:eastAsia="Times New Roman" w:hAnsi="Times New Roman" w:cs="Times New Roman"/>
                <w:sz w:val="20"/>
                <w:szCs w:val="20"/>
                <w:lang w:eastAsia="hr-HR"/>
              </w:rPr>
            </w:pPr>
          </w:p>
        </w:tc>
      </w:tr>
      <w:tr w:rsidR="00F50AC4" w:rsidRPr="00F50AC4" w14:paraId="3C330F02" w14:textId="77777777" w:rsidTr="00F50AC4">
        <w:trPr>
          <w:trHeight w:val="225"/>
        </w:trPr>
        <w:tc>
          <w:tcPr>
            <w:tcW w:w="9067"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3B335AE6"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Komunalni otpad u 2028.</w:t>
            </w:r>
          </w:p>
        </w:tc>
      </w:tr>
      <w:tr w:rsidR="00F50AC4" w:rsidRPr="00F50AC4" w14:paraId="0960E53B" w14:textId="77777777" w:rsidTr="00F50AC4">
        <w:trPr>
          <w:trHeight w:val="225"/>
        </w:trPr>
        <w:tc>
          <w:tcPr>
            <w:tcW w:w="9067"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0DD39752"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2.070.164</w:t>
            </w:r>
          </w:p>
        </w:tc>
      </w:tr>
      <w:tr w:rsidR="00F50AC4" w:rsidRPr="00F50AC4" w14:paraId="4499C50D" w14:textId="77777777" w:rsidTr="00F50AC4">
        <w:trPr>
          <w:trHeight w:val="870"/>
        </w:trPr>
        <w:tc>
          <w:tcPr>
            <w:tcW w:w="1129" w:type="dxa"/>
            <w:tcBorders>
              <w:top w:val="nil"/>
              <w:left w:val="single" w:sz="4" w:space="0" w:color="auto"/>
              <w:bottom w:val="single" w:sz="4" w:space="0" w:color="auto"/>
              <w:right w:val="single" w:sz="4" w:space="0" w:color="auto"/>
            </w:tcBorders>
            <w:shd w:val="clear" w:color="000000" w:fill="CFCCBB"/>
            <w:vAlign w:val="center"/>
            <w:hideMark/>
          </w:tcPr>
          <w:p w14:paraId="6546C400"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 xml:space="preserve">Miješani komunalni otpad </w:t>
            </w:r>
          </w:p>
        </w:tc>
        <w:tc>
          <w:tcPr>
            <w:tcW w:w="1985" w:type="dxa"/>
            <w:gridSpan w:val="2"/>
            <w:tcBorders>
              <w:top w:val="single" w:sz="4" w:space="0" w:color="auto"/>
              <w:left w:val="nil"/>
              <w:bottom w:val="single" w:sz="4" w:space="0" w:color="auto"/>
              <w:right w:val="single" w:sz="4" w:space="0" w:color="auto"/>
            </w:tcBorders>
            <w:shd w:val="clear" w:color="000000" w:fill="D6C8D6"/>
            <w:vAlign w:val="center"/>
            <w:hideMark/>
          </w:tcPr>
          <w:p w14:paraId="66DA1D59" w14:textId="46A2C99E" w:rsidR="00F50AC4" w:rsidRPr="00F50AC4" w:rsidRDefault="00F50AC4" w:rsidP="001E1A1E">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 xml:space="preserve">Izdvojene nečistoće prilikom sortiranja (13 %) </w:t>
            </w:r>
          </w:p>
        </w:tc>
        <w:tc>
          <w:tcPr>
            <w:tcW w:w="5953" w:type="dxa"/>
            <w:gridSpan w:val="4"/>
            <w:tcBorders>
              <w:top w:val="single" w:sz="4" w:space="0" w:color="auto"/>
              <w:left w:val="nil"/>
              <w:bottom w:val="single" w:sz="4" w:space="0" w:color="auto"/>
              <w:right w:val="single" w:sz="4" w:space="0" w:color="auto"/>
            </w:tcBorders>
            <w:shd w:val="clear" w:color="000000" w:fill="92D050"/>
            <w:vAlign w:val="center"/>
            <w:hideMark/>
          </w:tcPr>
          <w:p w14:paraId="58A4C801"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 xml:space="preserve">Odvojeno prikupljeni komunalni otpad (prvenstveno papir, karton, staklo, plastika, metal, biootpad i dr.) </w:t>
            </w:r>
          </w:p>
        </w:tc>
      </w:tr>
      <w:tr w:rsidR="00F50AC4" w:rsidRPr="00F50AC4" w14:paraId="6CD77249" w14:textId="77777777" w:rsidTr="00F50AC4">
        <w:trPr>
          <w:trHeight w:val="225"/>
        </w:trPr>
        <w:tc>
          <w:tcPr>
            <w:tcW w:w="1129" w:type="dxa"/>
            <w:tcBorders>
              <w:top w:val="nil"/>
              <w:left w:val="single" w:sz="4" w:space="0" w:color="auto"/>
              <w:bottom w:val="single" w:sz="4" w:space="0" w:color="auto"/>
              <w:right w:val="single" w:sz="4" w:space="0" w:color="auto"/>
            </w:tcBorders>
            <w:shd w:val="clear" w:color="000000" w:fill="CFCCBB"/>
            <w:noWrap/>
            <w:vAlign w:val="center"/>
            <w:hideMark/>
          </w:tcPr>
          <w:p w14:paraId="5A2952C5"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830.800</w:t>
            </w:r>
          </w:p>
        </w:tc>
        <w:tc>
          <w:tcPr>
            <w:tcW w:w="1985" w:type="dxa"/>
            <w:gridSpan w:val="2"/>
            <w:tcBorders>
              <w:top w:val="single" w:sz="4" w:space="0" w:color="auto"/>
              <w:left w:val="nil"/>
              <w:bottom w:val="single" w:sz="4" w:space="0" w:color="auto"/>
              <w:right w:val="single" w:sz="4" w:space="0" w:color="auto"/>
            </w:tcBorders>
            <w:shd w:val="clear" w:color="000000" w:fill="D6C8D6"/>
            <w:noWrap/>
            <w:vAlign w:val="center"/>
            <w:hideMark/>
          </w:tcPr>
          <w:p w14:paraId="7E59419B"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142.177</w:t>
            </w:r>
          </w:p>
        </w:tc>
        <w:tc>
          <w:tcPr>
            <w:tcW w:w="5953" w:type="dxa"/>
            <w:gridSpan w:val="4"/>
            <w:tcBorders>
              <w:top w:val="single" w:sz="4" w:space="0" w:color="auto"/>
              <w:left w:val="nil"/>
              <w:bottom w:val="single" w:sz="4" w:space="0" w:color="auto"/>
              <w:right w:val="single" w:sz="4" w:space="0" w:color="auto"/>
            </w:tcBorders>
            <w:shd w:val="clear" w:color="000000" w:fill="92D050"/>
            <w:noWrap/>
            <w:vAlign w:val="center"/>
            <w:hideMark/>
          </w:tcPr>
          <w:p w14:paraId="4136C2AE"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1.093.666</w:t>
            </w:r>
          </w:p>
        </w:tc>
      </w:tr>
      <w:tr w:rsidR="00F50AC4" w:rsidRPr="00F50AC4" w14:paraId="2903DCAA" w14:textId="77777777" w:rsidTr="00F50AC4">
        <w:trPr>
          <w:trHeight w:val="225"/>
        </w:trPr>
        <w:tc>
          <w:tcPr>
            <w:tcW w:w="3114" w:type="dxa"/>
            <w:gridSpan w:val="3"/>
            <w:tcBorders>
              <w:top w:val="single" w:sz="4" w:space="0" w:color="auto"/>
              <w:left w:val="single" w:sz="4" w:space="0" w:color="auto"/>
              <w:bottom w:val="single" w:sz="4" w:space="0" w:color="auto"/>
              <w:right w:val="single" w:sz="4" w:space="0" w:color="auto"/>
            </w:tcBorders>
            <w:shd w:val="clear" w:color="000000" w:fill="CFCCBB"/>
            <w:noWrap/>
            <w:vAlign w:val="center"/>
            <w:hideMark/>
          </w:tcPr>
          <w:p w14:paraId="20485BFF"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972.977</w:t>
            </w:r>
          </w:p>
        </w:tc>
        <w:tc>
          <w:tcPr>
            <w:tcW w:w="2977"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12FE1AAF"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 xml:space="preserve">Suhi </w:t>
            </w:r>
            <w:proofErr w:type="spellStart"/>
            <w:r w:rsidRPr="00F50AC4">
              <w:rPr>
                <w:rFonts w:ascii="Calibri" w:eastAsia="Times New Roman" w:hAnsi="Calibri" w:cs="Calibri"/>
                <w:color w:val="000000"/>
                <w:sz w:val="16"/>
                <w:szCs w:val="16"/>
                <w:lang w:eastAsia="hr-HR"/>
              </w:rPr>
              <w:t>reciklat</w:t>
            </w:r>
            <w:proofErr w:type="spellEnd"/>
            <w:r w:rsidRPr="00F50AC4">
              <w:rPr>
                <w:rFonts w:ascii="Calibri" w:eastAsia="Times New Roman" w:hAnsi="Calibri" w:cs="Calibri"/>
                <w:color w:val="000000"/>
                <w:sz w:val="16"/>
                <w:szCs w:val="16"/>
                <w:lang w:eastAsia="hr-HR"/>
              </w:rPr>
              <w:t xml:space="preserve"> - papir, karton, staklo, plastika, metal i dr.</w:t>
            </w:r>
          </w:p>
        </w:tc>
        <w:tc>
          <w:tcPr>
            <w:tcW w:w="2976" w:type="dxa"/>
            <w:gridSpan w:val="2"/>
            <w:tcBorders>
              <w:top w:val="single" w:sz="4" w:space="0" w:color="auto"/>
              <w:left w:val="nil"/>
              <w:bottom w:val="single" w:sz="4" w:space="0" w:color="auto"/>
              <w:right w:val="single" w:sz="4" w:space="0" w:color="auto"/>
            </w:tcBorders>
            <w:shd w:val="clear" w:color="000000" w:fill="E0EADE"/>
            <w:noWrap/>
            <w:vAlign w:val="center"/>
            <w:hideMark/>
          </w:tcPr>
          <w:p w14:paraId="39526545"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Biootpad</w:t>
            </w:r>
          </w:p>
        </w:tc>
      </w:tr>
      <w:tr w:rsidR="00F50AC4" w:rsidRPr="00F50AC4" w14:paraId="4D693146" w14:textId="77777777" w:rsidTr="00F50AC4">
        <w:trPr>
          <w:trHeight w:val="870"/>
        </w:trPr>
        <w:tc>
          <w:tcPr>
            <w:tcW w:w="311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51C02"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Ulaz u centar za gospodarenje otpadom</w:t>
            </w:r>
          </w:p>
        </w:tc>
        <w:tc>
          <w:tcPr>
            <w:tcW w:w="2977"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54803FAF"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Ulaz u sustav odvojenog prikupljanja</w:t>
            </w:r>
          </w:p>
        </w:tc>
        <w:tc>
          <w:tcPr>
            <w:tcW w:w="2976" w:type="dxa"/>
            <w:gridSpan w:val="2"/>
            <w:tcBorders>
              <w:top w:val="single" w:sz="4" w:space="0" w:color="auto"/>
              <w:left w:val="nil"/>
              <w:bottom w:val="single" w:sz="4" w:space="0" w:color="auto"/>
              <w:right w:val="single" w:sz="4" w:space="0" w:color="auto"/>
            </w:tcBorders>
            <w:shd w:val="clear" w:color="000000" w:fill="E0EADE"/>
            <w:vAlign w:val="center"/>
            <w:hideMark/>
          </w:tcPr>
          <w:p w14:paraId="5717F6F0"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Recikliranje - ulaz u biološku obradu</w:t>
            </w:r>
            <w:r w:rsidRPr="00F50AC4">
              <w:rPr>
                <w:rFonts w:ascii="Calibri" w:eastAsia="Times New Roman" w:hAnsi="Calibri" w:cs="Calibri"/>
                <w:color w:val="000000"/>
                <w:sz w:val="16"/>
                <w:szCs w:val="16"/>
                <w:lang w:eastAsia="hr-HR"/>
              </w:rPr>
              <w:br/>
            </w:r>
            <w:proofErr w:type="spellStart"/>
            <w:r w:rsidRPr="00F50AC4">
              <w:rPr>
                <w:rFonts w:ascii="Calibri" w:eastAsia="Times New Roman" w:hAnsi="Calibri" w:cs="Calibri"/>
                <w:color w:val="000000"/>
                <w:sz w:val="16"/>
                <w:szCs w:val="16"/>
                <w:lang w:eastAsia="hr-HR"/>
              </w:rPr>
              <w:t>kompostane</w:t>
            </w:r>
            <w:proofErr w:type="spellEnd"/>
            <w:r w:rsidRPr="00F50AC4">
              <w:rPr>
                <w:rFonts w:ascii="Calibri" w:eastAsia="Times New Roman" w:hAnsi="Calibri" w:cs="Calibri"/>
                <w:color w:val="000000"/>
                <w:sz w:val="16"/>
                <w:szCs w:val="16"/>
                <w:lang w:eastAsia="hr-HR"/>
              </w:rPr>
              <w:t xml:space="preserve"> ili postrojenja za anaerobnu digestiju)</w:t>
            </w:r>
          </w:p>
        </w:tc>
      </w:tr>
      <w:tr w:rsidR="00F50AC4" w:rsidRPr="00F50AC4" w14:paraId="7858C17B" w14:textId="77777777" w:rsidTr="00F50AC4">
        <w:trPr>
          <w:trHeight w:val="225"/>
        </w:trPr>
        <w:tc>
          <w:tcPr>
            <w:tcW w:w="3114" w:type="dxa"/>
            <w:gridSpan w:val="3"/>
            <w:vMerge/>
            <w:tcBorders>
              <w:top w:val="single" w:sz="4" w:space="0" w:color="auto"/>
              <w:left w:val="single" w:sz="4" w:space="0" w:color="auto"/>
              <w:bottom w:val="single" w:sz="4" w:space="0" w:color="auto"/>
              <w:right w:val="single" w:sz="4" w:space="0" w:color="auto"/>
            </w:tcBorders>
            <w:vAlign w:val="center"/>
            <w:hideMark/>
          </w:tcPr>
          <w:p w14:paraId="57942D55"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29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A9C0D16"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691.401</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AF04D1"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402.265</w:t>
            </w:r>
          </w:p>
        </w:tc>
      </w:tr>
      <w:tr w:rsidR="00F50AC4" w:rsidRPr="00F50AC4" w14:paraId="43376951" w14:textId="77777777" w:rsidTr="00F50AC4">
        <w:trPr>
          <w:trHeight w:val="45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00379C2"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proofErr w:type="spellStart"/>
            <w:r w:rsidRPr="00F50AC4">
              <w:rPr>
                <w:rFonts w:ascii="Calibri" w:eastAsia="Times New Roman" w:hAnsi="Calibri" w:cs="Calibri"/>
                <w:color w:val="000000"/>
                <w:sz w:val="16"/>
                <w:szCs w:val="16"/>
                <w:lang w:eastAsia="hr-HR"/>
              </w:rPr>
              <w:lastRenderedPageBreak/>
              <w:t>Reciklati</w:t>
            </w:r>
            <w:proofErr w:type="spellEnd"/>
            <w:r w:rsidRPr="00F50AC4">
              <w:rPr>
                <w:rFonts w:ascii="Calibri" w:eastAsia="Times New Roman" w:hAnsi="Calibri" w:cs="Calibri"/>
                <w:color w:val="000000"/>
                <w:sz w:val="16"/>
                <w:szCs w:val="16"/>
                <w:lang w:eastAsia="hr-HR"/>
              </w:rPr>
              <w:t xml:space="preserve"> predani na reciklažu</w:t>
            </w:r>
          </w:p>
        </w:tc>
        <w:tc>
          <w:tcPr>
            <w:tcW w:w="993" w:type="dxa"/>
            <w:tcBorders>
              <w:top w:val="nil"/>
              <w:left w:val="nil"/>
              <w:bottom w:val="single" w:sz="4" w:space="0" w:color="auto"/>
              <w:right w:val="single" w:sz="4" w:space="0" w:color="auto"/>
            </w:tcBorders>
            <w:shd w:val="clear" w:color="auto" w:fill="auto"/>
            <w:vAlign w:val="center"/>
            <w:hideMark/>
          </w:tcPr>
          <w:p w14:paraId="2062B483"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Odlaganje</w:t>
            </w:r>
          </w:p>
        </w:tc>
        <w:tc>
          <w:tcPr>
            <w:tcW w:w="992" w:type="dxa"/>
            <w:tcBorders>
              <w:top w:val="nil"/>
              <w:left w:val="nil"/>
              <w:bottom w:val="single" w:sz="4" w:space="0" w:color="auto"/>
              <w:right w:val="single" w:sz="4" w:space="0" w:color="auto"/>
            </w:tcBorders>
            <w:shd w:val="clear" w:color="auto" w:fill="auto"/>
            <w:vAlign w:val="center"/>
            <w:hideMark/>
          </w:tcPr>
          <w:p w14:paraId="05B3BF71"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Energetska oporaba</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5BC3F5AE"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proofErr w:type="spellStart"/>
            <w:r w:rsidRPr="00F50AC4">
              <w:rPr>
                <w:rFonts w:ascii="Calibri" w:eastAsia="Times New Roman" w:hAnsi="Calibri" w:cs="Calibri"/>
                <w:color w:val="000000"/>
                <w:sz w:val="16"/>
                <w:szCs w:val="16"/>
                <w:lang w:eastAsia="hr-HR"/>
              </w:rPr>
              <w:t>Reciklati</w:t>
            </w:r>
            <w:proofErr w:type="spellEnd"/>
            <w:r w:rsidRPr="00F50AC4">
              <w:rPr>
                <w:rFonts w:ascii="Calibri" w:eastAsia="Times New Roman" w:hAnsi="Calibri" w:cs="Calibri"/>
                <w:color w:val="000000"/>
                <w:sz w:val="16"/>
                <w:szCs w:val="16"/>
                <w:lang w:eastAsia="hr-HR"/>
              </w:rPr>
              <w:t xml:space="preserve"> predani na reciklažu</w:t>
            </w:r>
          </w:p>
        </w:tc>
        <w:tc>
          <w:tcPr>
            <w:tcW w:w="1701"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07B4E912" w14:textId="6E1D97A0" w:rsidR="00F50AC4" w:rsidRPr="00F50AC4" w:rsidRDefault="00F50AC4" w:rsidP="001E1A1E">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F50AC4">
              <w:rPr>
                <w:rFonts w:ascii="Calibri" w:eastAsia="Times New Roman" w:hAnsi="Calibri" w:cs="Calibri"/>
                <w:color w:val="000000"/>
                <w:sz w:val="16"/>
                <w:szCs w:val="16"/>
                <w:lang w:eastAsia="hr-HR"/>
              </w:rPr>
              <w:t xml:space="preserve">) </w:t>
            </w:r>
          </w:p>
        </w:tc>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14:paraId="425E1308" w14:textId="7326BB4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Kompost/</w:t>
            </w:r>
            <w:r>
              <w:rPr>
                <w:rFonts w:ascii="Calibri" w:eastAsia="Times New Roman" w:hAnsi="Calibri" w:cs="Calibri"/>
                <w:color w:val="000000"/>
                <w:sz w:val="16"/>
                <w:szCs w:val="16"/>
                <w:lang w:eastAsia="hr-HR"/>
              </w:rPr>
              <w:t xml:space="preserve"> </w:t>
            </w:r>
            <w:proofErr w:type="spellStart"/>
            <w:r w:rsidRPr="00F50AC4">
              <w:rPr>
                <w:rFonts w:ascii="Calibri" w:eastAsia="Times New Roman" w:hAnsi="Calibri" w:cs="Calibri"/>
                <w:color w:val="000000"/>
                <w:sz w:val="16"/>
                <w:szCs w:val="16"/>
                <w:lang w:eastAsia="hr-HR"/>
              </w:rPr>
              <w:t>digestat</w:t>
            </w:r>
            <w:proofErr w:type="spellEnd"/>
          </w:p>
        </w:tc>
        <w:tc>
          <w:tcPr>
            <w:tcW w:w="1596"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2E0CFC4A" w14:textId="004EBE2E" w:rsidR="00F50AC4" w:rsidRPr="00F50AC4" w:rsidRDefault="00F50AC4" w:rsidP="001E1A1E">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F50AC4">
              <w:rPr>
                <w:rFonts w:ascii="Calibri" w:eastAsia="Times New Roman" w:hAnsi="Calibri" w:cs="Calibri"/>
                <w:color w:val="000000"/>
                <w:sz w:val="16"/>
                <w:szCs w:val="16"/>
                <w:lang w:eastAsia="hr-HR"/>
              </w:rPr>
              <w:t xml:space="preserve">) </w:t>
            </w:r>
          </w:p>
        </w:tc>
      </w:tr>
      <w:tr w:rsidR="00F50AC4" w:rsidRPr="00F50AC4" w14:paraId="2280CF23" w14:textId="77777777" w:rsidTr="00F50AC4">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FD01860"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14%</w:t>
            </w:r>
          </w:p>
        </w:tc>
        <w:tc>
          <w:tcPr>
            <w:tcW w:w="993" w:type="dxa"/>
            <w:tcBorders>
              <w:top w:val="nil"/>
              <w:left w:val="nil"/>
              <w:bottom w:val="single" w:sz="4" w:space="0" w:color="auto"/>
              <w:right w:val="single" w:sz="4" w:space="0" w:color="auto"/>
            </w:tcBorders>
            <w:shd w:val="clear" w:color="auto" w:fill="auto"/>
            <w:vAlign w:val="center"/>
            <w:hideMark/>
          </w:tcPr>
          <w:p w14:paraId="2D43ED73"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59%</w:t>
            </w:r>
          </w:p>
        </w:tc>
        <w:tc>
          <w:tcPr>
            <w:tcW w:w="992" w:type="dxa"/>
            <w:tcBorders>
              <w:top w:val="nil"/>
              <w:left w:val="nil"/>
              <w:bottom w:val="single" w:sz="4" w:space="0" w:color="auto"/>
              <w:right w:val="single" w:sz="4" w:space="0" w:color="auto"/>
            </w:tcBorders>
            <w:shd w:val="clear" w:color="auto" w:fill="auto"/>
            <w:vAlign w:val="center"/>
            <w:hideMark/>
          </w:tcPr>
          <w:p w14:paraId="21F90EB3"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15%</w:t>
            </w:r>
          </w:p>
        </w:tc>
        <w:tc>
          <w:tcPr>
            <w:tcW w:w="1276" w:type="dxa"/>
            <w:vMerge/>
            <w:tcBorders>
              <w:top w:val="nil"/>
              <w:left w:val="single" w:sz="4" w:space="0" w:color="auto"/>
              <w:bottom w:val="single" w:sz="4" w:space="0" w:color="000000"/>
              <w:right w:val="single" w:sz="4" w:space="0" w:color="auto"/>
            </w:tcBorders>
            <w:vAlign w:val="center"/>
            <w:hideMark/>
          </w:tcPr>
          <w:p w14:paraId="6AB5AC29"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1701" w:type="dxa"/>
            <w:vMerge/>
            <w:tcBorders>
              <w:top w:val="nil"/>
              <w:left w:val="single" w:sz="4" w:space="0" w:color="auto"/>
              <w:bottom w:val="single" w:sz="4" w:space="0" w:color="000000"/>
              <w:right w:val="single" w:sz="4" w:space="0" w:color="auto"/>
            </w:tcBorders>
            <w:vAlign w:val="center"/>
            <w:hideMark/>
          </w:tcPr>
          <w:p w14:paraId="569A9781"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1380" w:type="dxa"/>
            <w:vMerge/>
            <w:tcBorders>
              <w:top w:val="nil"/>
              <w:left w:val="single" w:sz="4" w:space="0" w:color="auto"/>
              <w:bottom w:val="single" w:sz="4" w:space="0" w:color="000000"/>
              <w:right w:val="single" w:sz="4" w:space="0" w:color="auto"/>
            </w:tcBorders>
            <w:vAlign w:val="center"/>
            <w:hideMark/>
          </w:tcPr>
          <w:p w14:paraId="03B31E50"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1596" w:type="dxa"/>
            <w:vMerge/>
            <w:tcBorders>
              <w:top w:val="nil"/>
              <w:left w:val="single" w:sz="4" w:space="0" w:color="auto"/>
              <w:bottom w:val="single" w:sz="4" w:space="0" w:color="000000"/>
              <w:right w:val="single" w:sz="4" w:space="0" w:color="auto"/>
            </w:tcBorders>
            <w:vAlign w:val="center"/>
            <w:hideMark/>
          </w:tcPr>
          <w:p w14:paraId="099E8C80"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r>
      <w:tr w:rsidR="00F50AC4" w:rsidRPr="00F50AC4" w14:paraId="5E50BE5A" w14:textId="77777777" w:rsidTr="00F50AC4">
        <w:trPr>
          <w:trHeight w:val="22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29733E0"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137.741</w:t>
            </w:r>
          </w:p>
        </w:tc>
        <w:tc>
          <w:tcPr>
            <w:tcW w:w="993" w:type="dxa"/>
            <w:tcBorders>
              <w:top w:val="nil"/>
              <w:left w:val="nil"/>
              <w:bottom w:val="single" w:sz="4" w:space="0" w:color="auto"/>
              <w:right w:val="single" w:sz="4" w:space="0" w:color="auto"/>
            </w:tcBorders>
            <w:shd w:val="clear" w:color="auto" w:fill="auto"/>
            <w:noWrap/>
            <w:vAlign w:val="center"/>
            <w:hideMark/>
          </w:tcPr>
          <w:p w14:paraId="3DAE0120"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570.865</w:t>
            </w:r>
          </w:p>
        </w:tc>
        <w:tc>
          <w:tcPr>
            <w:tcW w:w="992" w:type="dxa"/>
            <w:tcBorders>
              <w:top w:val="nil"/>
              <w:left w:val="nil"/>
              <w:bottom w:val="single" w:sz="4" w:space="0" w:color="auto"/>
              <w:right w:val="single" w:sz="4" w:space="0" w:color="auto"/>
            </w:tcBorders>
            <w:shd w:val="clear" w:color="auto" w:fill="auto"/>
            <w:noWrap/>
            <w:vAlign w:val="center"/>
            <w:hideMark/>
          </w:tcPr>
          <w:p w14:paraId="576DFFEA"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143.644</w:t>
            </w:r>
          </w:p>
        </w:tc>
        <w:tc>
          <w:tcPr>
            <w:tcW w:w="1276" w:type="dxa"/>
            <w:tcBorders>
              <w:top w:val="nil"/>
              <w:left w:val="nil"/>
              <w:bottom w:val="single" w:sz="4" w:space="0" w:color="auto"/>
              <w:right w:val="single" w:sz="4" w:space="0" w:color="auto"/>
            </w:tcBorders>
            <w:shd w:val="clear" w:color="auto" w:fill="auto"/>
            <w:noWrap/>
            <w:vAlign w:val="center"/>
            <w:hideMark/>
          </w:tcPr>
          <w:p w14:paraId="31FFA54D"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601.519</w:t>
            </w:r>
          </w:p>
        </w:tc>
        <w:tc>
          <w:tcPr>
            <w:tcW w:w="1701" w:type="dxa"/>
            <w:tcBorders>
              <w:top w:val="nil"/>
              <w:left w:val="nil"/>
              <w:bottom w:val="single" w:sz="4" w:space="0" w:color="auto"/>
              <w:right w:val="single" w:sz="4" w:space="0" w:color="auto"/>
            </w:tcBorders>
            <w:shd w:val="clear" w:color="000000" w:fill="D6C8D6"/>
            <w:vAlign w:val="center"/>
            <w:hideMark/>
          </w:tcPr>
          <w:p w14:paraId="37754707"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89.882</w:t>
            </w:r>
          </w:p>
        </w:tc>
        <w:tc>
          <w:tcPr>
            <w:tcW w:w="1380" w:type="dxa"/>
            <w:tcBorders>
              <w:top w:val="nil"/>
              <w:left w:val="nil"/>
              <w:bottom w:val="single" w:sz="4" w:space="0" w:color="auto"/>
              <w:right w:val="single" w:sz="4" w:space="0" w:color="auto"/>
            </w:tcBorders>
            <w:shd w:val="clear" w:color="auto" w:fill="auto"/>
            <w:noWrap/>
            <w:vAlign w:val="center"/>
            <w:hideMark/>
          </w:tcPr>
          <w:p w14:paraId="29329908"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174.985</w:t>
            </w:r>
          </w:p>
        </w:tc>
        <w:tc>
          <w:tcPr>
            <w:tcW w:w="1596" w:type="dxa"/>
            <w:tcBorders>
              <w:top w:val="nil"/>
              <w:left w:val="nil"/>
              <w:bottom w:val="single" w:sz="4" w:space="0" w:color="auto"/>
              <w:right w:val="single" w:sz="4" w:space="0" w:color="auto"/>
            </w:tcBorders>
            <w:shd w:val="clear" w:color="000000" w:fill="D6C8D6"/>
            <w:vAlign w:val="center"/>
            <w:hideMark/>
          </w:tcPr>
          <w:p w14:paraId="1525984F"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52.294</w:t>
            </w:r>
          </w:p>
        </w:tc>
      </w:tr>
      <w:tr w:rsidR="00F50AC4" w:rsidRPr="00F50AC4" w14:paraId="7CD3D2C6" w14:textId="77777777" w:rsidTr="00F50AC4">
        <w:trPr>
          <w:trHeight w:val="465"/>
        </w:trPr>
        <w:tc>
          <w:tcPr>
            <w:tcW w:w="1129" w:type="dxa"/>
            <w:tcBorders>
              <w:top w:val="nil"/>
              <w:left w:val="nil"/>
              <w:bottom w:val="nil"/>
              <w:right w:val="nil"/>
            </w:tcBorders>
            <w:shd w:val="clear" w:color="auto" w:fill="auto"/>
            <w:noWrap/>
            <w:vAlign w:val="center"/>
            <w:hideMark/>
          </w:tcPr>
          <w:p w14:paraId="5AA3709D"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p>
        </w:tc>
        <w:tc>
          <w:tcPr>
            <w:tcW w:w="993" w:type="dxa"/>
            <w:tcBorders>
              <w:top w:val="nil"/>
              <w:left w:val="nil"/>
              <w:bottom w:val="nil"/>
              <w:right w:val="nil"/>
            </w:tcBorders>
            <w:shd w:val="clear" w:color="auto" w:fill="auto"/>
            <w:noWrap/>
            <w:vAlign w:val="center"/>
            <w:hideMark/>
          </w:tcPr>
          <w:p w14:paraId="4B2422C8" w14:textId="77777777" w:rsidR="00F50AC4" w:rsidRPr="00F50AC4" w:rsidRDefault="00F50AC4" w:rsidP="00F50AC4">
            <w:pPr>
              <w:spacing w:after="0" w:line="240" w:lineRule="auto"/>
              <w:jc w:val="center"/>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center"/>
            <w:hideMark/>
          </w:tcPr>
          <w:p w14:paraId="44573423" w14:textId="77777777" w:rsidR="00F50AC4" w:rsidRPr="00F50AC4" w:rsidRDefault="00F50AC4" w:rsidP="00F50AC4">
            <w:pPr>
              <w:spacing w:after="0" w:line="240" w:lineRule="auto"/>
              <w:jc w:val="center"/>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center"/>
            <w:hideMark/>
          </w:tcPr>
          <w:p w14:paraId="6078089E" w14:textId="77777777" w:rsidR="00F50AC4" w:rsidRPr="00F50AC4" w:rsidRDefault="00F50AC4" w:rsidP="00F50AC4">
            <w:pPr>
              <w:spacing w:after="0" w:line="240" w:lineRule="auto"/>
              <w:jc w:val="center"/>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center"/>
            <w:hideMark/>
          </w:tcPr>
          <w:p w14:paraId="77EF706F" w14:textId="77777777" w:rsidR="00F50AC4" w:rsidRPr="00F50AC4" w:rsidRDefault="00F50AC4" w:rsidP="00F50AC4">
            <w:pPr>
              <w:spacing w:after="0" w:line="240" w:lineRule="auto"/>
              <w:jc w:val="center"/>
              <w:rPr>
                <w:rFonts w:ascii="Times New Roman" w:eastAsia="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center"/>
            <w:hideMark/>
          </w:tcPr>
          <w:p w14:paraId="37B946C3" w14:textId="77777777" w:rsidR="00F50AC4" w:rsidRPr="00F50AC4" w:rsidRDefault="00F50AC4" w:rsidP="00F50AC4">
            <w:pPr>
              <w:spacing w:after="0" w:line="240" w:lineRule="auto"/>
              <w:jc w:val="center"/>
              <w:rPr>
                <w:rFonts w:ascii="Times New Roman" w:eastAsia="Times New Roman" w:hAnsi="Times New Roman" w:cs="Times New Roman"/>
                <w:sz w:val="20"/>
                <w:szCs w:val="20"/>
                <w:lang w:eastAsia="hr-HR"/>
              </w:rPr>
            </w:pPr>
          </w:p>
        </w:tc>
        <w:tc>
          <w:tcPr>
            <w:tcW w:w="1596" w:type="dxa"/>
            <w:tcBorders>
              <w:top w:val="nil"/>
              <w:left w:val="nil"/>
              <w:bottom w:val="nil"/>
              <w:right w:val="nil"/>
            </w:tcBorders>
            <w:shd w:val="clear" w:color="auto" w:fill="auto"/>
            <w:noWrap/>
            <w:vAlign w:val="center"/>
            <w:hideMark/>
          </w:tcPr>
          <w:p w14:paraId="59DC8B2B" w14:textId="77777777" w:rsidR="00F50AC4" w:rsidRPr="00F50AC4" w:rsidRDefault="00F50AC4" w:rsidP="00F50AC4">
            <w:pPr>
              <w:spacing w:after="0" w:line="240" w:lineRule="auto"/>
              <w:jc w:val="center"/>
              <w:rPr>
                <w:rFonts w:ascii="Times New Roman" w:eastAsia="Times New Roman" w:hAnsi="Times New Roman" w:cs="Times New Roman"/>
                <w:sz w:val="20"/>
                <w:szCs w:val="20"/>
                <w:lang w:eastAsia="hr-HR"/>
              </w:rPr>
            </w:pPr>
          </w:p>
        </w:tc>
      </w:tr>
      <w:tr w:rsidR="00F50AC4" w:rsidRPr="00F50AC4" w14:paraId="61298B76" w14:textId="77777777" w:rsidTr="00F50AC4">
        <w:trPr>
          <w:trHeight w:val="225"/>
        </w:trPr>
        <w:tc>
          <w:tcPr>
            <w:tcW w:w="9067"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6549F42F"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Komunalni otpad u 2030.</w:t>
            </w:r>
          </w:p>
        </w:tc>
      </w:tr>
      <w:tr w:rsidR="00F50AC4" w:rsidRPr="00F50AC4" w14:paraId="2775DEE2" w14:textId="77777777" w:rsidTr="00F50AC4">
        <w:trPr>
          <w:trHeight w:val="225"/>
        </w:trPr>
        <w:tc>
          <w:tcPr>
            <w:tcW w:w="9067"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11D80649"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2.190.300</w:t>
            </w:r>
          </w:p>
        </w:tc>
      </w:tr>
      <w:tr w:rsidR="00F50AC4" w:rsidRPr="00F50AC4" w14:paraId="5A75EC38" w14:textId="77777777" w:rsidTr="00F50AC4">
        <w:trPr>
          <w:trHeight w:val="870"/>
        </w:trPr>
        <w:tc>
          <w:tcPr>
            <w:tcW w:w="1129" w:type="dxa"/>
            <w:tcBorders>
              <w:top w:val="nil"/>
              <w:left w:val="single" w:sz="4" w:space="0" w:color="auto"/>
              <w:bottom w:val="single" w:sz="4" w:space="0" w:color="auto"/>
              <w:right w:val="single" w:sz="4" w:space="0" w:color="auto"/>
            </w:tcBorders>
            <w:shd w:val="clear" w:color="000000" w:fill="CFCCBB"/>
            <w:vAlign w:val="center"/>
            <w:hideMark/>
          </w:tcPr>
          <w:p w14:paraId="6FF45F10"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 xml:space="preserve">Miješani komunalni otpad </w:t>
            </w:r>
          </w:p>
        </w:tc>
        <w:tc>
          <w:tcPr>
            <w:tcW w:w="1985" w:type="dxa"/>
            <w:gridSpan w:val="2"/>
            <w:tcBorders>
              <w:top w:val="single" w:sz="4" w:space="0" w:color="auto"/>
              <w:left w:val="nil"/>
              <w:bottom w:val="single" w:sz="4" w:space="0" w:color="auto"/>
              <w:right w:val="single" w:sz="4" w:space="0" w:color="auto"/>
            </w:tcBorders>
            <w:shd w:val="clear" w:color="000000" w:fill="D6C8D6"/>
            <w:vAlign w:val="center"/>
            <w:hideMark/>
          </w:tcPr>
          <w:p w14:paraId="0CEFD649" w14:textId="67E2914C" w:rsidR="00F50AC4" w:rsidRPr="00F50AC4" w:rsidRDefault="00F50AC4" w:rsidP="001E1A1E">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 xml:space="preserve">Izdvojene nečistoće prilikom sortiranja (13 %) </w:t>
            </w:r>
          </w:p>
        </w:tc>
        <w:tc>
          <w:tcPr>
            <w:tcW w:w="5953" w:type="dxa"/>
            <w:gridSpan w:val="4"/>
            <w:tcBorders>
              <w:top w:val="single" w:sz="4" w:space="0" w:color="auto"/>
              <w:left w:val="nil"/>
              <w:bottom w:val="single" w:sz="4" w:space="0" w:color="auto"/>
              <w:right w:val="single" w:sz="4" w:space="0" w:color="auto"/>
            </w:tcBorders>
            <w:shd w:val="clear" w:color="000000" w:fill="92D050"/>
            <w:vAlign w:val="center"/>
            <w:hideMark/>
          </w:tcPr>
          <w:p w14:paraId="67FC7087"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 xml:space="preserve">Odvojeno prikupljeni komunalni otpad (prvenstveno papir, karton, staklo, plastika, metal, biootpad i dr.) </w:t>
            </w:r>
          </w:p>
        </w:tc>
      </w:tr>
      <w:tr w:rsidR="00F50AC4" w:rsidRPr="00F50AC4" w14:paraId="31D065AC" w14:textId="77777777" w:rsidTr="00F50AC4">
        <w:trPr>
          <w:trHeight w:val="225"/>
        </w:trPr>
        <w:tc>
          <w:tcPr>
            <w:tcW w:w="1129" w:type="dxa"/>
            <w:tcBorders>
              <w:top w:val="nil"/>
              <w:left w:val="single" w:sz="4" w:space="0" w:color="auto"/>
              <w:bottom w:val="single" w:sz="4" w:space="0" w:color="auto"/>
              <w:right w:val="single" w:sz="4" w:space="0" w:color="auto"/>
            </w:tcBorders>
            <w:shd w:val="clear" w:color="000000" w:fill="CFCCBB"/>
            <w:noWrap/>
            <w:vAlign w:val="center"/>
            <w:hideMark/>
          </w:tcPr>
          <w:p w14:paraId="78F3FFE0"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829.922</w:t>
            </w:r>
          </w:p>
        </w:tc>
        <w:tc>
          <w:tcPr>
            <w:tcW w:w="1985" w:type="dxa"/>
            <w:gridSpan w:val="2"/>
            <w:tcBorders>
              <w:top w:val="single" w:sz="4" w:space="0" w:color="auto"/>
              <w:left w:val="nil"/>
              <w:bottom w:val="single" w:sz="4" w:space="0" w:color="auto"/>
              <w:right w:val="single" w:sz="4" w:space="0" w:color="auto"/>
            </w:tcBorders>
            <w:shd w:val="clear" w:color="000000" w:fill="D6C8D6"/>
            <w:noWrap/>
            <w:vAlign w:val="center"/>
            <w:hideMark/>
          </w:tcPr>
          <w:p w14:paraId="43AC24EB"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155.713</w:t>
            </w:r>
          </w:p>
        </w:tc>
        <w:tc>
          <w:tcPr>
            <w:tcW w:w="5953" w:type="dxa"/>
            <w:gridSpan w:val="4"/>
            <w:tcBorders>
              <w:top w:val="single" w:sz="4" w:space="0" w:color="auto"/>
              <w:left w:val="nil"/>
              <w:bottom w:val="single" w:sz="4" w:space="0" w:color="auto"/>
              <w:right w:val="single" w:sz="4" w:space="0" w:color="auto"/>
            </w:tcBorders>
            <w:shd w:val="clear" w:color="000000" w:fill="92D050"/>
            <w:noWrap/>
            <w:vAlign w:val="center"/>
            <w:hideMark/>
          </w:tcPr>
          <w:p w14:paraId="3E111E9E"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1.197.791</w:t>
            </w:r>
          </w:p>
        </w:tc>
      </w:tr>
      <w:tr w:rsidR="00F50AC4" w:rsidRPr="00F50AC4" w14:paraId="081C103C" w14:textId="77777777" w:rsidTr="00F50AC4">
        <w:trPr>
          <w:trHeight w:val="225"/>
        </w:trPr>
        <w:tc>
          <w:tcPr>
            <w:tcW w:w="3114" w:type="dxa"/>
            <w:gridSpan w:val="3"/>
            <w:tcBorders>
              <w:top w:val="single" w:sz="4" w:space="0" w:color="auto"/>
              <w:left w:val="single" w:sz="4" w:space="0" w:color="auto"/>
              <w:bottom w:val="single" w:sz="4" w:space="0" w:color="auto"/>
              <w:right w:val="single" w:sz="4" w:space="0" w:color="auto"/>
            </w:tcBorders>
            <w:shd w:val="clear" w:color="000000" w:fill="CFCCBB"/>
            <w:noWrap/>
            <w:vAlign w:val="center"/>
            <w:hideMark/>
          </w:tcPr>
          <w:p w14:paraId="22D93BE5"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985.635</w:t>
            </w:r>
          </w:p>
        </w:tc>
        <w:tc>
          <w:tcPr>
            <w:tcW w:w="2977"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02DB93D1"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 xml:space="preserve">Suhi </w:t>
            </w:r>
            <w:proofErr w:type="spellStart"/>
            <w:r w:rsidRPr="00F50AC4">
              <w:rPr>
                <w:rFonts w:ascii="Calibri" w:eastAsia="Times New Roman" w:hAnsi="Calibri" w:cs="Calibri"/>
                <w:color w:val="000000"/>
                <w:sz w:val="16"/>
                <w:szCs w:val="16"/>
                <w:lang w:eastAsia="hr-HR"/>
              </w:rPr>
              <w:t>reciklat</w:t>
            </w:r>
            <w:proofErr w:type="spellEnd"/>
            <w:r w:rsidRPr="00F50AC4">
              <w:rPr>
                <w:rFonts w:ascii="Calibri" w:eastAsia="Times New Roman" w:hAnsi="Calibri" w:cs="Calibri"/>
                <w:color w:val="000000"/>
                <w:sz w:val="16"/>
                <w:szCs w:val="16"/>
                <w:lang w:eastAsia="hr-HR"/>
              </w:rPr>
              <w:t xml:space="preserve"> - papir, karton, staklo, plastika, metal i dr.</w:t>
            </w:r>
          </w:p>
        </w:tc>
        <w:tc>
          <w:tcPr>
            <w:tcW w:w="2976" w:type="dxa"/>
            <w:gridSpan w:val="2"/>
            <w:tcBorders>
              <w:top w:val="single" w:sz="4" w:space="0" w:color="auto"/>
              <w:left w:val="nil"/>
              <w:bottom w:val="single" w:sz="4" w:space="0" w:color="auto"/>
              <w:right w:val="single" w:sz="4" w:space="0" w:color="auto"/>
            </w:tcBorders>
            <w:shd w:val="clear" w:color="000000" w:fill="E0EADE"/>
            <w:noWrap/>
            <w:vAlign w:val="center"/>
            <w:hideMark/>
          </w:tcPr>
          <w:p w14:paraId="3CC26150"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Biootpad</w:t>
            </w:r>
          </w:p>
        </w:tc>
      </w:tr>
      <w:tr w:rsidR="00F50AC4" w:rsidRPr="00F50AC4" w14:paraId="535D7475" w14:textId="77777777" w:rsidTr="00F50AC4">
        <w:trPr>
          <w:trHeight w:val="870"/>
        </w:trPr>
        <w:tc>
          <w:tcPr>
            <w:tcW w:w="311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793EE"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Ulaz u centar za gospodarenje otpadom</w:t>
            </w:r>
          </w:p>
        </w:tc>
        <w:tc>
          <w:tcPr>
            <w:tcW w:w="2977"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32E2EBE7"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Ulaz u sustav odvojenog prikupljanja</w:t>
            </w:r>
          </w:p>
        </w:tc>
        <w:tc>
          <w:tcPr>
            <w:tcW w:w="2976" w:type="dxa"/>
            <w:gridSpan w:val="2"/>
            <w:tcBorders>
              <w:top w:val="single" w:sz="4" w:space="0" w:color="auto"/>
              <w:left w:val="nil"/>
              <w:bottom w:val="single" w:sz="4" w:space="0" w:color="auto"/>
              <w:right w:val="single" w:sz="4" w:space="0" w:color="auto"/>
            </w:tcBorders>
            <w:shd w:val="clear" w:color="000000" w:fill="E0EADE"/>
            <w:vAlign w:val="center"/>
            <w:hideMark/>
          </w:tcPr>
          <w:p w14:paraId="4680B99C"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Recikliranje - ulaz u biološku obradu</w:t>
            </w:r>
            <w:r w:rsidRPr="00F50AC4">
              <w:rPr>
                <w:rFonts w:ascii="Calibri" w:eastAsia="Times New Roman" w:hAnsi="Calibri" w:cs="Calibri"/>
                <w:color w:val="000000"/>
                <w:sz w:val="16"/>
                <w:szCs w:val="16"/>
                <w:lang w:eastAsia="hr-HR"/>
              </w:rPr>
              <w:br/>
            </w:r>
            <w:proofErr w:type="spellStart"/>
            <w:r w:rsidRPr="00F50AC4">
              <w:rPr>
                <w:rFonts w:ascii="Calibri" w:eastAsia="Times New Roman" w:hAnsi="Calibri" w:cs="Calibri"/>
                <w:color w:val="000000"/>
                <w:sz w:val="16"/>
                <w:szCs w:val="16"/>
                <w:lang w:eastAsia="hr-HR"/>
              </w:rPr>
              <w:t>kompostane</w:t>
            </w:r>
            <w:proofErr w:type="spellEnd"/>
            <w:r w:rsidRPr="00F50AC4">
              <w:rPr>
                <w:rFonts w:ascii="Calibri" w:eastAsia="Times New Roman" w:hAnsi="Calibri" w:cs="Calibri"/>
                <w:color w:val="000000"/>
                <w:sz w:val="16"/>
                <w:szCs w:val="16"/>
                <w:lang w:eastAsia="hr-HR"/>
              </w:rPr>
              <w:t xml:space="preserve"> ili postrojenja za anaerobnu digestiju)</w:t>
            </w:r>
          </w:p>
        </w:tc>
      </w:tr>
      <w:tr w:rsidR="00F50AC4" w:rsidRPr="00F50AC4" w14:paraId="76D19426" w14:textId="77777777" w:rsidTr="00F50AC4">
        <w:trPr>
          <w:trHeight w:val="225"/>
        </w:trPr>
        <w:tc>
          <w:tcPr>
            <w:tcW w:w="3114" w:type="dxa"/>
            <w:gridSpan w:val="3"/>
            <w:vMerge/>
            <w:tcBorders>
              <w:top w:val="single" w:sz="4" w:space="0" w:color="auto"/>
              <w:left w:val="single" w:sz="4" w:space="0" w:color="auto"/>
              <w:bottom w:val="single" w:sz="4" w:space="0" w:color="auto"/>
              <w:right w:val="single" w:sz="4" w:space="0" w:color="auto"/>
            </w:tcBorders>
            <w:vAlign w:val="center"/>
            <w:hideMark/>
          </w:tcPr>
          <w:p w14:paraId="43497DBA"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29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5691E83"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756.358</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C46E8A"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441.433</w:t>
            </w:r>
          </w:p>
        </w:tc>
      </w:tr>
      <w:tr w:rsidR="00F50AC4" w:rsidRPr="00F50AC4" w14:paraId="7E394A7C" w14:textId="77777777" w:rsidTr="00F50AC4">
        <w:trPr>
          <w:trHeight w:val="45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12D64D9"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proofErr w:type="spellStart"/>
            <w:r w:rsidRPr="00F50AC4">
              <w:rPr>
                <w:rFonts w:ascii="Calibri" w:eastAsia="Times New Roman" w:hAnsi="Calibri" w:cs="Calibri"/>
                <w:color w:val="000000"/>
                <w:sz w:val="16"/>
                <w:szCs w:val="16"/>
                <w:lang w:eastAsia="hr-HR"/>
              </w:rPr>
              <w:t>Reciklati</w:t>
            </w:r>
            <w:proofErr w:type="spellEnd"/>
            <w:r w:rsidRPr="00F50AC4">
              <w:rPr>
                <w:rFonts w:ascii="Calibri" w:eastAsia="Times New Roman" w:hAnsi="Calibri" w:cs="Calibri"/>
                <w:color w:val="000000"/>
                <w:sz w:val="16"/>
                <w:szCs w:val="16"/>
                <w:lang w:eastAsia="hr-HR"/>
              </w:rPr>
              <w:t xml:space="preserve"> predani na reciklažu (14%)</w:t>
            </w:r>
          </w:p>
        </w:tc>
        <w:tc>
          <w:tcPr>
            <w:tcW w:w="993" w:type="dxa"/>
            <w:tcBorders>
              <w:top w:val="nil"/>
              <w:left w:val="nil"/>
              <w:bottom w:val="single" w:sz="4" w:space="0" w:color="auto"/>
              <w:right w:val="single" w:sz="4" w:space="0" w:color="auto"/>
            </w:tcBorders>
            <w:shd w:val="clear" w:color="auto" w:fill="auto"/>
            <w:vAlign w:val="center"/>
            <w:hideMark/>
          </w:tcPr>
          <w:p w14:paraId="2582BA2A"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Odlaganje (28%)</w:t>
            </w:r>
          </w:p>
        </w:tc>
        <w:tc>
          <w:tcPr>
            <w:tcW w:w="992" w:type="dxa"/>
            <w:tcBorders>
              <w:top w:val="nil"/>
              <w:left w:val="nil"/>
              <w:bottom w:val="single" w:sz="4" w:space="0" w:color="auto"/>
              <w:right w:val="single" w:sz="4" w:space="0" w:color="auto"/>
            </w:tcBorders>
            <w:shd w:val="clear" w:color="auto" w:fill="auto"/>
            <w:vAlign w:val="center"/>
            <w:hideMark/>
          </w:tcPr>
          <w:p w14:paraId="232CB53A"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Energetska oporaba (45%)</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05312EFE"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proofErr w:type="spellStart"/>
            <w:r w:rsidRPr="00F50AC4">
              <w:rPr>
                <w:rFonts w:ascii="Calibri" w:eastAsia="Times New Roman" w:hAnsi="Calibri" w:cs="Calibri"/>
                <w:color w:val="000000"/>
                <w:sz w:val="16"/>
                <w:szCs w:val="16"/>
                <w:lang w:eastAsia="hr-HR"/>
              </w:rPr>
              <w:t>Reciklati</w:t>
            </w:r>
            <w:proofErr w:type="spellEnd"/>
            <w:r w:rsidRPr="00F50AC4">
              <w:rPr>
                <w:rFonts w:ascii="Calibri" w:eastAsia="Times New Roman" w:hAnsi="Calibri" w:cs="Calibri"/>
                <w:color w:val="000000"/>
                <w:sz w:val="16"/>
                <w:szCs w:val="16"/>
                <w:lang w:eastAsia="hr-HR"/>
              </w:rPr>
              <w:t xml:space="preserve"> predani na reciklažu</w:t>
            </w:r>
          </w:p>
        </w:tc>
        <w:tc>
          <w:tcPr>
            <w:tcW w:w="1701"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4AE46D3C" w14:textId="79ECFF5A" w:rsidR="00F50AC4" w:rsidRPr="00F50AC4" w:rsidRDefault="00F50AC4" w:rsidP="001E1A1E">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F50AC4">
              <w:rPr>
                <w:rFonts w:ascii="Calibri" w:eastAsia="Times New Roman" w:hAnsi="Calibri" w:cs="Calibri"/>
                <w:color w:val="000000"/>
                <w:sz w:val="16"/>
                <w:szCs w:val="16"/>
                <w:lang w:eastAsia="hr-HR"/>
              </w:rPr>
              <w:t xml:space="preserve">) </w:t>
            </w:r>
          </w:p>
        </w:tc>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14:paraId="383F8205" w14:textId="31B12009"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Kompost/</w:t>
            </w:r>
            <w:r>
              <w:rPr>
                <w:rFonts w:ascii="Calibri" w:eastAsia="Times New Roman" w:hAnsi="Calibri" w:cs="Calibri"/>
                <w:color w:val="000000"/>
                <w:sz w:val="16"/>
                <w:szCs w:val="16"/>
                <w:lang w:eastAsia="hr-HR"/>
              </w:rPr>
              <w:t xml:space="preserve"> </w:t>
            </w:r>
            <w:proofErr w:type="spellStart"/>
            <w:r w:rsidRPr="00F50AC4">
              <w:rPr>
                <w:rFonts w:ascii="Calibri" w:eastAsia="Times New Roman" w:hAnsi="Calibri" w:cs="Calibri"/>
                <w:color w:val="000000"/>
                <w:sz w:val="16"/>
                <w:szCs w:val="16"/>
                <w:lang w:eastAsia="hr-HR"/>
              </w:rPr>
              <w:t>digestat</w:t>
            </w:r>
            <w:proofErr w:type="spellEnd"/>
          </w:p>
        </w:tc>
        <w:tc>
          <w:tcPr>
            <w:tcW w:w="1596"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776BD0E1" w14:textId="140D19C2" w:rsidR="00F50AC4" w:rsidRPr="00F50AC4" w:rsidRDefault="00F50AC4" w:rsidP="001E1A1E">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F50AC4">
              <w:rPr>
                <w:rFonts w:ascii="Calibri" w:eastAsia="Times New Roman" w:hAnsi="Calibri" w:cs="Calibri"/>
                <w:color w:val="000000"/>
                <w:sz w:val="16"/>
                <w:szCs w:val="16"/>
                <w:lang w:eastAsia="hr-HR"/>
              </w:rPr>
              <w:t xml:space="preserve">) </w:t>
            </w:r>
          </w:p>
        </w:tc>
      </w:tr>
      <w:tr w:rsidR="00F50AC4" w:rsidRPr="00F50AC4" w14:paraId="21744FD8" w14:textId="77777777" w:rsidTr="00F50AC4">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6EB75E6"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14%</w:t>
            </w:r>
          </w:p>
        </w:tc>
        <w:tc>
          <w:tcPr>
            <w:tcW w:w="993" w:type="dxa"/>
            <w:tcBorders>
              <w:top w:val="nil"/>
              <w:left w:val="nil"/>
              <w:bottom w:val="single" w:sz="4" w:space="0" w:color="auto"/>
              <w:right w:val="single" w:sz="4" w:space="0" w:color="auto"/>
            </w:tcBorders>
            <w:shd w:val="clear" w:color="auto" w:fill="auto"/>
            <w:vAlign w:val="center"/>
            <w:hideMark/>
          </w:tcPr>
          <w:p w14:paraId="4216E653"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58%</w:t>
            </w:r>
          </w:p>
        </w:tc>
        <w:tc>
          <w:tcPr>
            <w:tcW w:w="992" w:type="dxa"/>
            <w:tcBorders>
              <w:top w:val="nil"/>
              <w:left w:val="nil"/>
              <w:bottom w:val="single" w:sz="4" w:space="0" w:color="auto"/>
              <w:right w:val="single" w:sz="4" w:space="0" w:color="auto"/>
            </w:tcBorders>
            <w:shd w:val="clear" w:color="auto" w:fill="auto"/>
            <w:vAlign w:val="center"/>
            <w:hideMark/>
          </w:tcPr>
          <w:p w14:paraId="038EDC0B"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15%</w:t>
            </w:r>
          </w:p>
        </w:tc>
        <w:tc>
          <w:tcPr>
            <w:tcW w:w="1276" w:type="dxa"/>
            <w:vMerge/>
            <w:tcBorders>
              <w:top w:val="nil"/>
              <w:left w:val="single" w:sz="4" w:space="0" w:color="auto"/>
              <w:bottom w:val="single" w:sz="4" w:space="0" w:color="000000"/>
              <w:right w:val="single" w:sz="4" w:space="0" w:color="auto"/>
            </w:tcBorders>
            <w:vAlign w:val="center"/>
            <w:hideMark/>
          </w:tcPr>
          <w:p w14:paraId="1A9C35F7"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1701" w:type="dxa"/>
            <w:vMerge/>
            <w:tcBorders>
              <w:top w:val="nil"/>
              <w:left w:val="single" w:sz="4" w:space="0" w:color="auto"/>
              <w:bottom w:val="single" w:sz="4" w:space="0" w:color="000000"/>
              <w:right w:val="single" w:sz="4" w:space="0" w:color="auto"/>
            </w:tcBorders>
            <w:vAlign w:val="center"/>
            <w:hideMark/>
          </w:tcPr>
          <w:p w14:paraId="75CEFF65"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1380" w:type="dxa"/>
            <w:vMerge/>
            <w:tcBorders>
              <w:top w:val="nil"/>
              <w:left w:val="single" w:sz="4" w:space="0" w:color="auto"/>
              <w:bottom w:val="single" w:sz="4" w:space="0" w:color="000000"/>
              <w:right w:val="single" w:sz="4" w:space="0" w:color="auto"/>
            </w:tcBorders>
            <w:vAlign w:val="center"/>
            <w:hideMark/>
          </w:tcPr>
          <w:p w14:paraId="2128CE83"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1596" w:type="dxa"/>
            <w:vMerge/>
            <w:tcBorders>
              <w:top w:val="nil"/>
              <w:left w:val="single" w:sz="4" w:space="0" w:color="auto"/>
              <w:bottom w:val="single" w:sz="4" w:space="0" w:color="000000"/>
              <w:right w:val="single" w:sz="4" w:space="0" w:color="auto"/>
            </w:tcBorders>
            <w:vAlign w:val="center"/>
            <w:hideMark/>
          </w:tcPr>
          <w:p w14:paraId="35874524"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r>
      <w:tr w:rsidR="00F50AC4" w:rsidRPr="00F50AC4" w14:paraId="40F5696B" w14:textId="77777777" w:rsidTr="00F50AC4">
        <w:trPr>
          <w:trHeight w:val="22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627DC2D"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141.045</w:t>
            </w:r>
          </w:p>
        </w:tc>
        <w:tc>
          <w:tcPr>
            <w:tcW w:w="993" w:type="dxa"/>
            <w:tcBorders>
              <w:top w:val="nil"/>
              <w:left w:val="nil"/>
              <w:bottom w:val="single" w:sz="4" w:space="0" w:color="auto"/>
              <w:right w:val="single" w:sz="4" w:space="0" w:color="auto"/>
            </w:tcBorders>
            <w:shd w:val="clear" w:color="auto" w:fill="auto"/>
            <w:noWrap/>
            <w:vAlign w:val="center"/>
            <w:hideMark/>
          </w:tcPr>
          <w:p w14:paraId="4236617F"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576.081</w:t>
            </w:r>
          </w:p>
        </w:tc>
        <w:tc>
          <w:tcPr>
            <w:tcW w:w="992" w:type="dxa"/>
            <w:tcBorders>
              <w:top w:val="nil"/>
              <w:left w:val="nil"/>
              <w:bottom w:val="single" w:sz="4" w:space="0" w:color="auto"/>
              <w:right w:val="single" w:sz="4" w:space="0" w:color="auto"/>
            </w:tcBorders>
            <w:shd w:val="clear" w:color="auto" w:fill="auto"/>
            <w:noWrap/>
            <w:vAlign w:val="center"/>
            <w:hideMark/>
          </w:tcPr>
          <w:p w14:paraId="3B4712FD"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145.291</w:t>
            </w:r>
          </w:p>
        </w:tc>
        <w:tc>
          <w:tcPr>
            <w:tcW w:w="1276" w:type="dxa"/>
            <w:tcBorders>
              <w:top w:val="nil"/>
              <w:left w:val="nil"/>
              <w:bottom w:val="single" w:sz="4" w:space="0" w:color="auto"/>
              <w:right w:val="single" w:sz="4" w:space="0" w:color="auto"/>
            </w:tcBorders>
            <w:shd w:val="clear" w:color="auto" w:fill="auto"/>
            <w:noWrap/>
            <w:vAlign w:val="center"/>
            <w:hideMark/>
          </w:tcPr>
          <w:p w14:paraId="30B04330"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658.031</w:t>
            </w:r>
          </w:p>
        </w:tc>
        <w:tc>
          <w:tcPr>
            <w:tcW w:w="1701" w:type="dxa"/>
            <w:tcBorders>
              <w:top w:val="nil"/>
              <w:left w:val="nil"/>
              <w:bottom w:val="single" w:sz="4" w:space="0" w:color="auto"/>
              <w:right w:val="single" w:sz="4" w:space="0" w:color="auto"/>
            </w:tcBorders>
            <w:shd w:val="clear" w:color="000000" w:fill="D6C8D6"/>
            <w:vAlign w:val="center"/>
            <w:hideMark/>
          </w:tcPr>
          <w:p w14:paraId="750E42A7"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98.327</w:t>
            </w:r>
          </w:p>
        </w:tc>
        <w:tc>
          <w:tcPr>
            <w:tcW w:w="1380" w:type="dxa"/>
            <w:tcBorders>
              <w:top w:val="nil"/>
              <w:left w:val="nil"/>
              <w:bottom w:val="single" w:sz="4" w:space="0" w:color="auto"/>
              <w:right w:val="single" w:sz="4" w:space="0" w:color="auto"/>
            </w:tcBorders>
            <w:shd w:val="clear" w:color="auto" w:fill="auto"/>
            <w:noWrap/>
            <w:vAlign w:val="center"/>
            <w:hideMark/>
          </w:tcPr>
          <w:p w14:paraId="3F20060A"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192.023</w:t>
            </w:r>
          </w:p>
        </w:tc>
        <w:tc>
          <w:tcPr>
            <w:tcW w:w="1596" w:type="dxa"/>
            <w:tcBorders>
              <w:top w:val="nil"/>
              <w:left w:val="nil"/>
              <w:bottom w:val="single" w:sz="4" w:space="0" w:color="auto"/>
              <w:right w:val="single" w:sz="4" w:space="0" w:color="auto"/>
            </w:tcBorders>
            <w:shd w:val="clear" w:color="000000" w:fill="D6C8D6"/>
            <w:vAlign w:val="center"/>
            <w:hideMark/>
          </w:tcPr>
          <w:p w14:paraId="4A9493C2"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57.386</w:t>
            </w:r>
          </w:p>
        </w:tc>
      </w:tr>
      <w:tr w:rsidR="00F50AC4" w:rsidRPr="00F50AC4" w14:paraId="1FD650BB" w14:textId="77777777" w:rsidTr="00F50AC4">
        <w:trPr>
          <w:trHeight w:val="450"/>
        </w:trPr>
        <w:tc>
          <w:tcPr>
            <w:tcW w:w="1129" w:type="dxa"/>
            <w:tcBorders>
              <w:top w:val="nil"/>
              <w:left w:val="nil"/>
              <w:bottom w:val="nil"/>
              <w:right w:val="nil"/>
            </w:tcBorders>
            <w:shd w:val="clear" w:color="auto" w:fill="auto"/>
            <w:noWrap/>
            <w:vAlign w:val="center"/>
            <w:hideMark/>
          </w:tcPr>
          <w:p w14:paraId="21DA15F3"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p>
        </w:tc>
        <w:tc>
          <w:tcPr>
            <w:tcW w:w="993" w:type="dxa"/>
            <w:tcBorders>
              <w:top w:val="nil"/>
              <w:left w:val="nil"/>
              <w:bottom w:val="nil"/>
              <w:right w:val="nil"/>
            </w:tcBorders>
            <w:shd w:val="clear" w:color="auto" w:fill="auto"/>
            <w:noWrap/>
            <w:vAlign w:val="center"/>
            <w:hideMark/>
          </w:tcPr>
          <w:p w14:paraId="4688CA38" w14:textId="77777777" w:rsidR="00F50AC4" w:rsidRPr="00F50AC4" w:rsidRDefault="00F50AC4" w:rsidP="00F50AC4">
            <w:pPr>
              <w:spacing w:after="0" w:line="240" w:lineRule="auto"/>
              <w:jc w:val="center"/>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center"/>
            <w:hideMark/>
          </w:tcPr>
          <w:p w14:paraId="08C29001" w14:textId="77777777" w:rsidR="00F50AC4" w:rsidRPr="00F50AC4" w:rsidRDefault="00F50AC4" w:rsidP="00F50AC4">
            <w:pPr>
              <w:spacing w:after="0" w:line="240" w:lineRule="auto"/>
              <w:jc w:val="center"/>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center"/>
            <w:hideMark/>
          </w:tcPr>
          <w:p w14:paraId="2B1B18AF" w14:textId="77777777" w:rsidR="00F50AC4" w:rsidRPr="00F50AC4" w:rsidRDefault="00F50AC4" w:rsidP="00F50AC4">
            <w:pPr>
              <w:spacing w:after="0" w:line="240" w:lineRule="auto"/>
              <w:jc w:val="center"/>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center"/>
            <w:hideMark/>
          </w:tcPr>
          <w:p w14:paraId="498EAC65" w14:textId="77777777" w:rsidR="00F50AC4" w:rsidRPr="00F50AC4" w:rsidRDefault="00F50AC4" w:rsidP="00F50AC4">
            <w:pPr>
              <w:spacing w:after="0" w:line="240" w:lineRule="auto"/>
              <w:jc w:val="center"/>
              <w:rPr>
                <w:rFonts w:ascii="Times New Roman" w:eastAsia="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center"/>
            <w:hideMark/>
          </w:tcPr>
          <w:p w14:paraId="017868BA" w14:textId="77777777" w:rsidR="00F50AC4" w:rsidRPr="00F50AC4" w:rsidRDefault="00F50AC4" w:rsidP="00F50AC4">
            <w:pPr>
              <w:spacing w:after="0" w:line="240" w:lineRule="auto"/>
              <w:jc w:val="center"/>
              <w:rPr>
                <w:rFonts w:ascii="Times New Roman" w:eastAsia="Times New Roman" w:hAnsi="Times New Roman" w:cs="Times New Roman"/>
                <w:sz w:val="20"/>
                <w:szCs w:val="20"/>
                <w:lang w:eastAsia="hr-HR"/>
              </w:rPr>
            </w:pPr>
          </w:p>
        </w:tc>
        <w:tc>
          <w:tcPr>
            <w:tcW w:w="1596" w:type="dxa"/>
            <w:tcBorders>
              <w:top w:val="nil"/>
              <w:left w:val="nil"/>
              <w:bottom w:val="nil"/>
              <w:right w:val="nil"/>
            </w:tcBorders>
            <w:shd w:val="clear" w:color="auto" w:fill="auto"/>
            <w:noWrap/>
            <w:vAlign w:val="center"/>
            <w:hideMark/>
          </w:tcPr>
          <w:p w14:paraId="0356465F" w14:textId="77777777" w:rsidR="00F50AC4" w:rsidRPr="00F50AC4" w:rsidRDefault="00F50AC4" w:rsidP="00F50AC4">
            <w:pPr>
              <w:spacing w:after="0" w:line="240" w:lineRule="auto"/>
              <w:jc w:val="center"/>
              <w:rPr>
                <w:rFonts w:ascii="Times New Roman" w:eastAsia="Times New Roman" w:hAnsi="Times New Roman" w:cs="Times New Roman"/>
                <w:sz w:val="20"/>
                <w:szCs w:val="20"/>
                <w:lang w:eastAsia="hr-HR"/>
              </w:rPr>
            </w:pPr>
          </w:p>
        </w:tc>
      </w:tr>
      <w:tr w:rsidR="00F50AC4" w:rsidRPr="00F50AC4" w14:paraId="6C54F903" w14:textId="77777777" w:rsidTr="00F50AC4">
        <w:trPr>
          <w:trHeight w:val="225"/>
        </w:trPr>
        <w:tc>
          <w:tcPr>
            <w:tcW w:w="9067"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7BE3C6F7"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Komunalni otpad u 2035.</w:t>
            </w:r>
          </w:p>
        </w:tc>
      </w:tr>
      <w:tr w:rsidR="00F50AC4" w:rsidRPr="00F50AC4" w14:paraId="7C747B33" w14:textId="77777777" w:rsidTr="00F50AC4">
        <w:trPr>
          <w:trHeight w:val="225"/>
        </w:trPr>
        <w:tc>
          <w:tcPr>
            <w:tcW w:w="9067"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12E1D351"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2.550.158</w:t>
            </w:r>
          </w:p>
        </w:tc>
      </w:tr>
      <w:tr w:rsidR="00F50AC4" w:rsidRPr="00F50AC4" w14:paraId="606593EF" w14:textId="77777777" w:rsidTr="00F50AC4">
        <w:trPr>
          <w:trHeight w:val="870"/>
        </w:trPr>
        <w:tc>
          <w:tcPr>
            <w:tcW w:w="1129" w:type="dxa"/>
            <w:tcBorders>
              <w:top w:val="nil"/>
              <w:left w:val="single" w:sz="4" w:space="0" w:color="auto"/>
              <w:bottom w:val="single" w:sz="4" w:space="0" w:color="auto"/>
              <w:right w:val="single" w:sz="4" w:space="0" w:color="auto"/>
            </w:tcBorders>
            <w:shd w:val="clear" w:color="000000" w:fill="CFCCBB"/>
            <w:vAlign w:val="center"/>
            <w:hideMark/>
          </w:tcPr>
          <w:p w14:paraId="1BA75D40"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 xml:space="preserve">Miješani komunalni otpad </w:t>
            </w:r>
          </w:p>
        </w:tc>
        <w:tc>
          <w:tcPr>
            <w:tcW w:w="1985" w:type="dxa"/>
            <w:gridSpan w:val="2"/>
            <w:tcBorders>
              <w:top w:val="single" w:sz="4" w:space="0" w:color="auto"/>
              <w:left w:val="nil"/>
              <w:bottom w:val="single" w:sz="4" w:space="0" w:color="auto"/>
              <w:right w:val="single" w:sz="4" w:space="0" w:color="auto"/>
            </w:tcBorders>
            <w:shd w:val="clear" w:color="000000" w:fill="D6C8D6"/>
            <w:vAlign w:val="center"/>
            <w:hideMark/>
          </w:tcPr>
          <w:p w14:paraId="7EB10E54" w14:textId="55A1D6E8" w:rsidR="00F50AC4" w:rsidRPr="00F50AC4" w:rsidRDefault="00F50AC4" w:rsidP="001E1A1E">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 xml:space="preserve">Izdvojene nečistoće prilikom sortiranja (13 %) </w:t>
            </w:r>
          </w:p>
        </w:tc>
        <w:tc>
          <w:tcPr>
            <w:tcW w:w="5953" w:type="dxa"/>
            <w:gridSpan w:val="4"/>
            <w:tcBorders>
              <w:top w:val="single" w:sz="4" w:space="0" w:color="auto"/>
              <w:left w:val="nil"/>
              <w:bottom w:val="single" w:sz="4" w:space="0" w:color="auto"/>
              <w:right w:val="single" w:sz="4" w:space="0" w:color="auto"/>
            </w:tcBorders>
            <w:shd w:val="clear" w:color="000000" w:fill="92D050"/>
            <w:vAlign w:val="center"/>
            <w:hideMark/>
          </w:tcPr>
          <w:p w14:paraId="697FA18D"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 xml:space="preserve">Odvojeno prikupljeni komunalni otpad (prvenstveno papir, karton, staklo, plastika, metal, biootpad i dr.) </w:t>
            </w:r>
          </w:p>
        </w:tc>
      </w:tr>
      <w:tr w:rsidR="00F50AC4" w:rsidRPr="00F50AC4" w14:paraId="5232B907" w14:textId="77777777" w:rsidTr="00F50AC4">
        <w:trPr>
          <w:trHeight w:val="225"/>
        </w:trPr>
        <w:tc>
          <w:tcPr>
            <w:tcW w:w="1129" w:type="dxa"/>
            <w:tcBorders>
              <w:top w:val="nil"/>
              <w:left w:val="single" w:sz="4" w:space="0" w:color="auto"/>
              <w:bottom w:val="single" w:sz="4" w:space="0" w:color="auto"/>
              <w:right w:val="single" w:sz="4" w:space="0" w:color="auto"/>
            </w:tcBorders>
            <w:shd w:val="clear" w:color="000000" w:fill="CFCCBB"/>
            <w:noWrap/>
            <w:vAlign w:val="center"/>
            <w:hideMark/>
          </w:tcPr>
          <w:p w14:paraId="33E91F60"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820.040</w:t>
            </w:r>
          </w:p>
        </w:tc>
        <w:tc>
          <w:tcPr>
            <w:tcW w:w="1985" w:type="dxa"/>
            <w:gridSpan w:val="2"/>
            <w:tcBorders>
              <w:top w:val="single" w:sz="4" w:space="0" w:color="auto"/>
              <w:left w:val="nil"/>
              <w:bottom w:val="single" w:sz="4" w:space="0" w:color="auto"/>
              <w:right w:val="single" w:sz="4" w:space="0" w:color="auto"/>
            </w:tcBorders>
            <w:shd w:val="clear" w:color="000000" w:fill="D6C8D6"/>
            <w:noWrap/>
            <w:vAlign w:val="center"/>
            <w:hideMark/>
          </w:tcPr>
          <w:p w14:paraId="116580C4"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200.024</w:t>
            </w:r>
          </w:p>
        </w:tc>
        <w:tc>
          <w:tcPr>
            <w:tcW w:w="5953" w:type="dxa"/>
            <w:gridSpan w:val="4"/>
            <w:tcBorders>
              <w:top w:val="single" w:sz="4" w:space="0" w:color="auto"/>
              <w:left w:val="nil"/>
              <w:bottom w:val="single" w:sz="4" w:space="0" w:color="auto"/>
              <w:right w:val="single" w:sz="4" w:space="0" w:color="auto"/>
            </w:tcBorders>
            <w:shd w:val="clear" w:color="000000" w:fill="92D050"/>
            <w:noWrap/>
            <w:vAlign w:val="center"/>
            <w:hideMark/>
          </w:tcPr>
          <w:p w14:paraId="7E099F57"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1.538.643</w:t>
            </w:r>
          </w:p>
        </w:tc>
      </w:tr>
      <w:tr w:rsidR="00F50AC4" w:rsidRPr="00F50AC4" w14:paraId="4308C33A" w14:textId="77777777" w:rsidTr="00F50AC4">
        <w:trPr>
          <w:trHeight w:val="225"/>
        </w:trPr>
        <w:tc>
          <w:tcPr>
            <w:tcW w:w="3114" w:type="dxa"/>
            <w:gridSpan w:val="3"/>
            <w:tcBorders>
              <w:top w:val="single" w:sz="4" w:space="0" w:color="auto"/>
              <w:left w:val="single" w:sz="4" w:space="0" w:color="auto"/>
              <w:bottom w:val="single" w:sz="4" w:space="0" w:color="auto"/>
              <w:right w:val="single" w:sz="4" w:space="0" w:color="auto"/>
            </w:tcBorders>
            <w:shd w:val="clear" w:color="000000" w:fill="CFCCBB"/>
            <w:noWrap/>
            <w:vAlign w:val="center"/>
            <w:hideMark/>
          </w:tcPr>
          <w:p w14:paraId="7EF11516"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1.020.063</w:t>
            </w:r>
          </w:p>
        </w:tc>
        <w:tc>
          <w:tcPr>
            <w:tcW w:w="2977"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01C2DB24"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 xml:space="preserve">Suhi </w:t>
            </w:r>
            <w:proofErr w:type="spellStart"/>
            <w:r w:rsidRPr="00F50AC4">
              <w:rPr>
                <w:rFonts w:ascii="Calibri" w:eastAsia="Times New Roman" w:hAnsi="Calibri" w:cs="Calibri"/>
                <w:color w:val="000000"/>
                <w:sz w:val="16"/>
                <w:szCs w:val="16"/>
                <w:lang w:eastAsia="hr-HR"/>
              </w:rPr>
              <w:t>reciklat</w:t>
            </w:r>
            <w:proofErr w:type="spellEnd"/>
            <w:r w:rsidRPr="00F50AC4">
              <w:rPr>
                <w:rFonts w:ascii="Calibri" w:eastAsia="Times New Roman" w:hAnsi="Calibri" w:cs="Calibri"/>
                <w:color w:val="000000"/>
                <w:sz w:val="16"/>
                <w:szCs w:val="16"/>
                <w:lang w:eastAsia="hr-HR"/>
              </w:rPr>
              <w:t xml:space="preserve"> - papir, karton, staklo, plastika, metal i dr.</w:t>
            </w:r>
          </w:p>
        </w:tc>
        <w:tc>
          <w:tcPr>
            <w:tcW w:w="2976" w:type="dxa"/>
            <w:gridSpan w:val="2"/>
            <w:tcBorders>
              <w:top w:val="single" w:sz="4" w:space="0" w:color="auto"/>
              <w:left w:val="nil"/>
              <w:bottom w:val="single" w:sz="4" w:space="0" w:color="auto"/>
              <w:right w:val="single" w:sz="4" w:space="0" w:color="auto"/>
            </w:tcBorders>
            <w:shd w:val="clear" w:color="000000" w:fill="E0EADE"/>
            <w:noWrap/>
            <w:vAlign w:val="center"/>
            <w:hideMark/>
          </w:tcPr>
          <w:p w14:paraId="2B5DA828"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Biootpad</w:t>
            </w:r>
          </w:p>
        </w:tc>
      </w:tr>
      <w:tr w:rsidR="00F50AC4" w:rsidRPr="00F50AC4" w14:paraId="7256A0F7" w14:textId="77777777" w:rsidTr="00F50AC4">
        <w:trPr>
          <w:trHeight w:val="870"/>
        </w:trPr>
        <w:tc>
          <w:tcPr>
            <w:tcW w:w="311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6577F"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Ulaz u centar za gospodarenje otpadom</w:t>
            </w:r>
          </w:p>
        </w:tc>
        <w:tc>
          <w:tcPr>
            <w:tcW w:w="2977"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39C76B4B"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Ulaz u sustav odvojenog prikupljanja</w:t>
            </w:r>
          </w:p>
        </w:tc>
        <w:tc>
          <w:tcPr>
            <w:tcW w:w="2976" w:type="dxa"/>
            <w:gridSpan w:val="2"/>
            <w:tcBorders>
              <w:top w:val="single" w:sz="4" w:space="0" w:color="auto"/>
              <w:left w:val="nil"/>
              <w:bottom w:val="single" w:sz="4" w:space="0" w:color="auto"/>
              <w:right w:val="single" w:sz="4" w:space="0" w:color="auto"/>
            </w:tcBorders>
            <w:shd w:val="clear" w:color="000000" w:fill="E0EADE"/>
            <w:vAlign w:val="center"/>
            <w:hideMark/>
          </w:tcPr>
          <w:p w14:paraId="326BF304"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Recikliranje - ulaz u biološku obradu</w:t>
            </w:r>
            <w:r w:rsidRPr="00F50AC4">
              <w:rPr>
                <w:rFonts w:ascii="Calibri" w:eastAsia="Times New Roman" w:hAnsi="Calibri" w:cs="Calibri"/>
                <w:color w:val="000000"/>
                <w:sz w:val="16"/>
                <w:szCs w:val="16"/>
                <w:lang w:eastAsia="hr-HR"/>
              </w:rPr>
              <w:br/>
            </w:r>
            <w:proofErr w:type="spellStart"/>
            <w:r w:rsidRPr="00F50AC4">
              <w:rPr>
                <w:rFonts w:ascii="Calibri" w:eastAsia="Times New Roman" w:hAnsi="Calibri" w:cs="Calibri"/>
                <w:color w:val="000000"/>
                <w:sz w:val="16"/>
                <w:szCs w:val="16"/>
                <w:lang w:eastAsia="hr-HR"/>
              </w:rPr>
              <w:t>kompostane</w:t>
            </w:r>
            <w:proofErr w:type="spellEnd"/>
            <w:r w:rsidRPr="00F50AC4">
              <w:rPr>
                <w:rFonts w:ascii="Calibri" w:eastAsia="Times New Roman" w:hAnsi="Calibri" w:cs="Calibri"/>
                <w:color w:val="000000"/>
                <w:sz w:val="16"/>
                <w:szCs w:val="16"/>
                <w:lang w:eastAsia="hr-HR"/>
              </w:rPr>
              <w:t xml:space="preserve"> ili postrojenja za anaerobnu digestiju)</w:t>
            </w:r>
          </w:p>
        </w:tc>
      </w:tr>
      <w:tr w:rsidR="00F50AC4" w:rsidRPr="00F50AC4" w14:paraId="149A4699" w14:textId="77777777" w:rsidTr="00F50AC4">
        <w:trPr>
          <w:trHeight w:val="225"/>
        </w:trPr>
        <w:tc>
          <w:tcPr>
            <w:tcW w:w="3114" w:type="dxa"/>
            <w:gridSpan w:val="3"/>
            <w:vMerge/>
            <w:tcBorders>
              <w:top w:val="single" w:sz="4" w:space="0" w:color="auto"/>
              <w:left w:val="single" w:sz="4" w:space="0" w:color="auto"/>
              <w:bottom w:val="single" w:sz="4" w:space="0" w:color="auto"/>
              <w:right w:val="single" w:sz="4" w:space="0" w:color="auto"/>
            </w:tcBorders>
            <w:vAlign w:val="center"/>
            <w:hideMark/>
          </w:tcPr>
          <w:p w14:paraId="006A0CA2"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29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F7361B6"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968.615</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789289"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570.028</w:t>
            </w:r>
          </w:p>
        </w:tc>
      </w:tr>
      <w:tr w:rsidR="00F50AC4" w:rsidRPr="00F50AC4" w14:paraId="4052E450" w14:textId="77777777" w:rsidTr="00F50AC4">
        <w:trPr>
          <w:trHeight w:val="45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D93113A"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proofErr w:type="spellStart"/>
            <w:r w:rsidRPr="00F50AC4">
              <w:rPr>
                <w:rFonts w:ascii="Calibri" w:eastAsia="Times New Roman" w:hAnsi="Calibri" w:cs="Calibri"/>
                <w:color w:val="000000"/>
                <w:sz w:val="16"/>
                <w:szCs w:val="16"/>
                <w:lang w:eastAsia="hr-HR"/>
              </w:rPr>
              <w:t>Reciklati</w:t>
            </w:r>
            <w:proofErr w:type="spellEnd"/>
            <w:r w:rsidRPr="00F50AC4">
              <w:rPr>
                <w:rFonts w:ascii="Calibri" w:eastAsia="Times New Roman" w:hAnsi="Calibri" w:cs="Calibri"/>
                <w:color w:val="000000"/>
                <w:sz w:val="16"/>
                <w:szCs w:val="16"/>
                <w:lang w:eastAsia="hr-HR"/>
              </w:rPr>
              <w:t xml:space="preserve"> predani na reciklažu (14%)</w:t>
            </w:r>
          </w:p>
        </w:tc>
        <w:tc>
          <w:tcPr>
            <w:tcW w:w="993" w:type="dxa"/>
            <w:tcBorders>
              <w:top w:val="nil"/>
              <w:left w:val="nil"/>
              <w:bottom w:val="single" w:sz="4" w:space="0" w:color="auto"/>
              <w:right w:val="single" w:sz="4" w:space="0" w:color="auto"/>
            </w:tcBorders>
            <w:shd w:val="clear" w:color="auto" w:fill="auto"/>
            <w:vAlign w:val="center"/>
            <w:hideMark/>
          </w:tcPr>
          <w:p w14:paraId="0E08E060"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Odlaganje (29%)</w:t>
            </w:r>
          </w:p>
        </w:tc>
        <w:tc>
          <w:tcPr>
            <w:tcW w:w="992" w:type="dxa"/>
            <w:tcBorders>
              <w:top w:val="nil"/>
              <w:left w:val="nil"/>
              <w:bottom w:val="single" w:sz="4" w:space="0" w:color="auto"/>
              <w:right w:val="single" w:sz="4" w:space="0" w:color="auto"/>
            </w:tcBorders>
            <w:shd w:val="clear" w:color="auto" w:fill="auto"/>
            <w:vAlign w:val="center"/>
            <w:hideMark/>
          </w:tcPr>
          <w:p w14:paraId="0594718F"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Energetska oporaba (45%)</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AD534A5"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proofErr w:type="spellStart"/>
            <w:r w:rsidRPr="00F50AC4">
              <w:rPr>
                <w:rFonts w:ascii="Calibri" w:eastAsia="Times New Roman" w:hAnsi="Calibri" w:cs="Calibri"/>
                <w:color w:val="000000"/>
                <w:sz w:val="16"/>
                <w:szCs w:val="16"/>
                <w:lang w:eastAsia="hr-HR"/>
              </w:rPr>
              <w:t>Reciklati</w:t>
            </w:r>
            <w:proofErr w:type="spellEnd"/>
            <w:r w:rsidRPr="00F50AC4">
              <w:rPr>
                <w:rFonts w:ascii="Calibri" w:eastAsia="Times New Roman" w:hAnsi="Calibri" w:cs="Calibri"/>
                <w:color w:val="000000"/>
                <w:sz w:val="16"/>
                <w:szCs w:val="16"/>
                <w:lang w:eastAsia="hr-HR"/>
              </w:rPr>
              <w:t xml:space="preserve"> predani na reciklažu</w:t>
            </w:r>
          </w:p>
        </w:tc>
        <w:tc>
          <w:tcPr>
            <w:tcW w:w="1701"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50517289" w14:textId="3CBE5B4C" w:rsidR="00F50AC4" w:rsidRPr="00F50AC4" w:rsidRDefault="00F50AC4" w:rsidP="001E1A1E">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F50AC4">
              <w:rPr>
                <w:rFonts w:ascii="Calibri" w:eastAsia="Times New Roman" w:hAnsi="Calibri" w:cs="Calibri"/>
                <w:color w:val="000000"/>
                <w:sz w:val="16"/>
                <w:szCs w:val="16"/>
                <w:lang w:eastAsia="hr-HR"/>
              </w:rPr>
              <w:t xml:space="preserve">) </w:t>
            </w:r>
          </w:p>
        </w:tc>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14:paraId="5FA3CE61" w14:textId="34C535EB"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Kompost/</w:t>
            </w:r>
            <w:r>
              <w:rPr>
                <w:rFonts w:ascii="Calibri" w:eastAsia="Times New Roman" w:hAnsi="Calibri" w:cs="Calibri"/>
                <w:color w:val="000000"/>
                <w:sz w:val="16"/>
                <w:szCs w:val="16"/>
                <w:lang w:eastAsia="hr-HR"/>
              </w:rPr>
              <w:t xml:space="preserve"> </w:t>
            </w:r>
            <w:proofErr w:type="spellStart"/>
            <w:r w:rsidRPr="00F50AC4">
              <w:rPr>
                <w:rFonts w:ascii="Calibri" w:eastAsia="Times New Roman" w:hAnsi="Calibri" w:cs="Calibri"/>
                <w:color w:val="000000"/>
                <w:sz w:val="16"/>
                <w:szCs w:val="16"/>
                <w:lang w:eastAsia="hr-HR"/>
              </w:rPr>
              <w:t>digestat</w:t>
            </w:r>
            <w:proofErr w:type="spellEnd"/>
          </w:p>
        </w:tc>
        <w:tc>
          <w:tcPr>
            <w:tcW w:w="1596"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2A314C8F" w14:textId="6DC1445B" w:rsidR="00F50AC4" w:rsidRPr="00F50AC4" w:rsidRDefault="00F50AC4" w:rsidP="001E1A1E">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F50AC4">
              <w:rPr>
                <w:rFonts w:ascii="Calibri" w:eastAsia="Times New Roman" w:hAnsi="Calibri" w:cs="Calibri"/>
                <w:color w:val="000000"/>
                <w:sz w:val="16"/>
                <w:szCs w:val="16"/>
                <w:lang w:eastAsia="hr-HR"/>
              </w:rPr>
              <w:t xml:space="preserve">) </w:t>
            </w:r>
          </w:p>
        </w:tc>
      </w:tr>
      <w:tr w:rsidR="00F50AC4" w:rsidRPr="00F50AC4" w14:paraId="07506A34" w14:textId="77777777" w:rsidTr="00F50AC4">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70DAD26"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14%</w:t>
            </w:r>
          </w:p>
        </w:tc>
        <w:tc>
          <w:tcPr>
            <w:tcW w:w="993" w:type="dxa"/>
            <w:tcBorders>
              <w:top w:val="nil"/>
              <w:left w:val="nil"/>
              <w:bottom w:val="single" w:sz="4" w:space="0" w:color="auto"/>
              <w:right w:val="single" w:sz="4" w:space="0" w:color="auto"/>
            </w:tcBorders>
            <w:shd w:val="clear" w:color="auto" w:fill="auto"/>
            <w:vAlign w:val="center"/>
            <w:hideMark/>
          </w:tcPr>
          <w:p w14:paraId="72B86DB5"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59%</w:t>
            </w:r>
          </w:p>
        </w:tc>
        <w:tc>
          <w:tcPr>
            <w:tcW w:w="992" w:type="dxa"/>
            <w:tcBorders>
              <w:top w:val="nil"/>
              <w:left w:val="nil"/>
              <w:bottom w:val="single" w:sz="4" w:space="0" w:color="auto"/>
              <w:right w:val="single" w:sz="4" w:space="0" w:color="auto"/>
            </w:tcBorders>
            <w:shd w:val="clear" w:color="auto" w:fill="auto"/>
            <w:vAlign w:val="center"/>
            <w:hideMark/>
          </w:tcPr>
          <w:p w14:paraId="2855AFF7"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15%</w:t>
            </w:r>
          </w:p>
        </w:tc>
        <w:tc>
          <w:tcPr>
            <w:tcW w:w="1276" w:type="dxa"/>
            <w:vMerge/>
            <w:tcBorders>
              <w:top w:val="nil"/>
              <w:left w:val="single" w:sz="4" w:space="0" w:color="auto"/>
              <w:bottom w:val="single" w:sz="4" w:space="0" w:color="000000"/>
              <w:right w:val="single" w:sz="4" w:space="0" w:color="auto"/>
            </w:tcBorders>
            <w:vAlign w:val="center"/>
            <w:hideMark/>
          </w:tcPr>
          <w:p w14:paraId="7A4C7044"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1701" w:type="dxa"/>
            <w:vMerge/>
            <w:tcBorders>
              <w:top w:val="nil"/>
              <w:left w:val="single" w:sz="4" w:space="0" w:color="auto"/>
              <w:bottom w:val="single" w:sz="4" w:space="0" w:color="000000"/>
              <w:right w:val="single" w:sz="4" w:space="0" w:color="auto"/>
            </w:tcBorders>
            <w:vAlign w:val="center"/>
            <w:hideMark/>
          </w:tcPr>
          <w:p w14:paraId="617BE33A"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1380" w:type="dxa"/>
            <w:vMerge/>
            <w:tcBorders>
              <w:top w:val="nil"/>
              <w:left w:val="single" w:sz="4" w:space="0" w:color="auto"/>
              <w:bottom w:val="single" w:sz="4" w:space="0" w:color="000000"/>
              <w:right w:val="single" w:sz="4" w:space="0" w:color="auto"/>
            </w:tcBorders>
            <w:vAlign w:val="center"/>
            <w:hideMark/>
          </w:tcPr>
          <w:p w14:paraId="68C91217"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1596" w:type="dxa"/>
            <w:vMerge/>
            <w:tcBorders>
              <w:top w:val="nil"/>
              <w:left w:val="single" w:sz="4" w:space="0" w:color="auto"/>
              <w:bottom w:val="single" w:sz="4" w:space="0" w:color="000000"/>
              <w:right w:val="single" w:sz="4" w:space="0" w:color="auto"/>
            </w:tcBorders>
            <w:vAlign w:val="center"/>
            <w:hideMark/>
          </w:tcPr>
          <w:p w14:paraId="04C7FD63"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r>
      <w:tr w:rsidR="00F50AC4" w:rsidRPr="00F50AC4" w14:paraId="689057BA" w14:textId="77777777" w:rsidTr="00F50AC4">
        <w:trPr>
          <w:trHeight w:val="22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306F8F3"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147.602</w:t>
            </w:r>
          </w:p>
        </w:tc>
        <w:tc>
          <w:tcPr>
            <w:tcW w:w="993" w:type="dxa"/>
            <w:tcBorders>
              <w:top w:val="nil"/>
              <w:left w:val="nil"/>
              <w:bottom w:val="single" w:sz="4" w:space="0" w:color="auto"/>
              <w:right w:val="single" w:sz="4" w:space="0" w:color="auto"/>
            </w:tcBorders>
            <w:shd w:val="clear" w:color="auto" w:fill="auto"/>
            <w:noWrap/>
            <w:vAlign w:val="center"/>
            <w:hideMark/>
          </w:tcPr>
          <w:p w14:paraId="2D8954A0"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596.767</w:t>
            </w:r>
          </w:p>
        </w:tc>
        <w:tc>
          <w:tcPr>
            <w:tcW w:w="992" w:type="dxa"/>
            <w:tcBorders>
              <w:top w:val="nil"/>
              <w:left w:val="nil"/>
              <w:bottom w:val="single" w:sz="4" w:space="0" w:color="auto"/>
              <w:right w:val="single" w:sz="4" w:space="0" w:color="auto"/>
            </w:tcBorders>
            <w:shd w:val="clear" w:color="auto" w:fill="auto"/>
            <w:noWrap/>
            <w:vAlign w:val="center"/>
            <w:hideMark/>
          </w:tcPr>
          <w:p w14:paraId="08804982"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148.231</w:t>
            </w:r>
          </w:p>
        </w:tc>
        <w:tc>
          <w:tcPr>
            <w:tcW w:w="1276" w:type="dxa"/>
            <w:tcBorders>
              <w:top w:val="nil"/>
              <w:left w:val="nil"/>
              <w:bottom w:val="single" w:sz="4" w:space="0" w:color="auto"/>
              <w:right w:val="single" w:sz="4" w:space="0" w:color="auto"/>
            </w:tcBorders>
            <w:shd w:val="clear" w:color="auto" w:fill="auto"/>
            <w:noWrap/>
            <w:vAlign w:val="center"/>
            <w:hideMark/>
          </w:tcPr>
          <w:p w14:paraId="3C90A95D"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842.695</w:t>
            </w:r>
          </w:p>
        </w:tc>
        <w:tc>
          <w:tcPr>
            <w:tcW w:w="1701" w:type="dxa"/>
            <w:tcBorders>
              <w:top w:val="nil"/>
              <w:left w:val="nil"/>
              <w:bottom w:val="single" w:sz="4" w:space="0" w:color="auto"/>
              <w:right w:val="single" w:sz="4" w:space="0" w:color="auto"/>
            </w:tcBorders>
            <w:shd w:val="clear" w:color="000000" w:fill="D6C8D6"/>
            <w:vAlign w:val="center"/>
            <w:hideMark/>
          </w:tcPr>
          <w:p w14:paraId="14BE23EA"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125.920</w:t>
            </w:r>
          </w:p>
        </w:tc>
        <w:tc>
          <w:tcPr>
            <w:tcW w:w="1380" w:type="dxa"/>
            <w:tcBorders>
              <w:top w:val="nil"/>
              <w:left w:val="nil"/>
              <w:bottom w:val="single" w:sz="4" w:space="0" w:color="auto"/>
              <w:right w:val="single" w:sz="4" w:space="0" w:color="auto"/>
            </w:tcBorders>
            <w:shd w:val="clear" w:color="auto" w:fill="auto"/>
            <w:noWrap/>
            <w:vAlign w:val="center"/>
            <w:hideMark/>
          </w:tcPr>
          <w:p w14:paraId="5D74744A"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247.962</w:t>
            </w:r>
          </w:p>
        </w:tc>
        <w:tc>
          <w:tcPr>
            <w:tcW w:w="1596" w:type="dxa"/>
            <w:tcBorders>
              <w:top w:val="nil"/>
              <w:left w:val="nil"/>
              <w:bottom w:val="single" w:sz="4" w:space="0" w:color="auto"/>
              <w:right w:val="single" w:sz="4" w:space="0" w:color="auto"/>
            </w:tcBorders>
            <w:shd w:val="clear" w:color="000000" w:fill="D6C8D6"/>
            <w:vAlign w:val="center"/>
            <w:hideMark/>
          </w:tcPr>
          <w:p w14:paraId="579E2222"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74.104</w:t>
            </w:r>
          </w:p>
        </w:tc>
      </w:tr>
    </w:tbl>
    <w:p w14:paraId="74FB02D4" w14:textId="634F4452" w:rsidR="00210652" w:rsidRPr="00A23664" w:rsidRDefault="00210652" w:rsidP="00A23664"/>
    <w:p w14:paraId="2932032A" w14:textId="5978419F" w:rsidR="00A23664" w:rsidRPr="00A23664" w:rsidRDefault="00A23664" w:rsidP="00A23664">
      <w:r w:rsidRPr="00A23664">
        <w:t xml:space="preserve">Iz navedenog je vidljivo da je tijekom promatranog perioda potrebno osigurati infrastrukturu za oporabu i zbrinjavanje od </w:t>
      </w:r>
      <w:r w:rsidRPr="00A23664">
        <w:rPr>
          <w:b/>
          <w:bCs/>
          <w:u w:val="single"/>
        </w:rPr>
        <w:t>850.000 – 900.000 tona/god</w:t>
      </w:r>
      <w:r w:rsidRPr="00A23664">
        <w:t xml:space="preserve"> </w:t>
      </w:r>
      <w:proofErr w:type="spellStart"/>
      <w:r w:rsidRPr="00A23664">
        <w:t>mKO</w:t>
      </w:r>
      <w:proofErr w:type="spellEnd"/>
      <w:r w:rsidRPr="00A23664">
        <w:t>-a</w:t>
      </w:r>
      <w:r w:rsidR="00F535C1">
        <w:t xml:space="preserve"> prema scenariju 1 odnosno </w:t>
      </w:r>
      <w:r w:rsidR="00F535C1">
        <w:rPr>
          <w:b/>
          <w:bCs/>
          <w:u w:val="single"/>
        </w:rPr>
        <w:t>95</w:t>
      </w:r>
      <w:r w:rsidR="00F535C1" w:rsidRPr="00A23664">
        <w:rPr>
          <w:b/>
          <w:bCs/>
          <w:u w:val="single"/>
        </w:rPr>
        <w:t xml:space="preserve">0.000 – </w:t>
      </w:r>
      <w:r w:rsidR="00F535C1">
        <w:rPr>
          <w:b/>
          <w:bCs/>
          <w:u w:val="single"/>
        </w:rPr>
        <w:t>1.020</w:t>
      </w:r>
      <w:r w:rsidR="00F535C1" w:rsidRPr="00A23664">
        <w:rPr>
          <w:b/>
          <w:bCs/>
          <w:u w:val="single"/>
        </w:rPr>
        <w:t>.000 tona/god</w:t>
      </w:r>
      <w:r w:rsidR="00F535C1" w:rsidRPr="00A23664">
        <w:t xml:space="preserve"> </w:t>
      </w:r>
      <w:proofErr w:type="spellStart"/>
      <w:r w:rsidR="00F535C1" w:rsidRPr="00A23664">
        <w:t>mKO</w:t>
      </w:r>
      <w:proofErr w:type="spellEnd"/>
      <w:r w:rsidR="00F535C1" w:rsidRPr="00A23664">
        <w:t>-a</w:t>
      </w:r>
      <w:r w:rsidR="00F535C1">
        <w:t xml:space="preserve"> prema scenariju </w:t>
      </w:r>
      <w:r w:rsidR="00EC5AC6">
        <w:t>2</w:t>
      </w:r>
      <w:r w:rsidRPr="00A23664">
        <w:t xml:space="preserve">. </w:t>
      </w:r>
    </w:p>
    <w:p w14:paraId="49B0C03F" w14:textId="716DA760" w:rsidR="00A23664" w:rsidRPr="00A23664" w:rsidRDefault="00A23664" w:rsidP="00A23664">
      <w:r w:rsidRPr="00A23664">
        <w:t xml:space="preserve">Također, iz projiciranih </w:t>
      </w:r>
      <w:r w:rsidRPr="00A23664">
        <w:rPr>
          <w:rFonts w:eastAsia="Times New Roman" w:cstheme="minorHAnsi"/>
        </w:rPr>
        <w:t xml:space="preserve">količina nastanka komunalnog otpada u razdoblju do 2035. g. dolazi se do najveće količine </w:t>
      </w:r>
      <w:r w:rsidRPr="00A23664">
        <w:t xml:space="preserve">komunalnog otpada koju je dozvoljeno odložiti 2035. godine a koja iznosi </w:t>
      </w:r>
      <w:r w:rsidRPr="00A23664">
        <w:rPr>
          <w:b/>
          <w:bCs/>
          <w:u w:val="single"/>
        </w:rPr>
        <w:t xml:space="preserve">255.000 tona/god </w:t>
      </w:r>
      <w:r w:rsidRPr="00A23664">
        <w:t>prema scenariju 1</w:t>
      </w:r>
      <w:r w:rsidRPr="00A23664">
        <w:rPr>
          <w:rFonts w:eastAsia="Times New Roman" w:cstheme="minorHAnsi"/>
        </w:rPr>
        <w:t xml:space="preserve"> odnosno </w:t>
      </w:r>
      <w:r w:rsidRPr="00A23664">
        <w:rPr>
          <w:b/>
          <w:bCs/>
          <w:u w:val="single"/>
        </w:rPr>
        <w:t xml:space="preserve">637.540 tona/god </w:t>
      </w:r>
      <w:r w:rsidRPr="00A23664">
        <w:t>prema scenariju 2.</w:t>
      </w:r>
      <w:r w:rsidRPr="00A23664">
        <w:rPr>
          <w:rFonts w:eastAsia="Times New Roman" w:cstheme="minorHAnsi"/>
        </w:rPr>
        <w:t xml:space="preserve"> </w:t>
      </w:r>
    </w:p>
    <w:p w14:paraId="67B713AA" w14:textId="5AFF8CDE" w:rsidR="00F535C1" w:rsidRDefault="00A23664" w:rsidP="00A23664">
      <w:pPr>
        <w:rPr>
          <w:rFonts w:cstheme="minorHAnsi"/>
        </w:rPr>
      </w:pPr>
      <w:r w:rsidRPr="00A23664">
        <w:rPr>
          <w:rFonts w:cstheme="minorHAnsi"/>
        </w:rPr>
        <w:t xml:space="preserve">S obzirom na kapacitete CGO-a kao i očekivane količine produkata obrade potrebno je uspostaviti efikasan sustav za korištenje gorivog otpada. Naime, u razmatranom periodu 2023. do 2028. godine, </w:t>
      </w:r>
      <w:r w:rsidRPr="00A23664">
        <w:rPr>
          <w:rFonts w:cstheme="minorHAnsi"/>
        </w:rPr>
        <w:lastRenderedPageBreak/>
        <w:t>nakon uspostave i početka rada svi</w:t>
      </w:r>
      <w:r w:rsidR="00F535C1">
        <w:rPr>
          <w:rFonts w:cstheme="minorHAnsi"/>
        </w:rPr>
        <w:t>h</w:t>
      </w:r>
      <w:r w:rsidRPr="00A23664">
        <w:rPr>
          <w:rFonts w:cstheme="minorHAnsi"/>
        </w:rPr>
        <w:t xml:space="preserve"> CGO-a očekuje se da će prosječno nastajati oko </w:t>
      </w:r>
      <w:r w:rsidRPr="00A23664">
        <w:rPr>
          <w:rFonts w:cstheme="minorHAnsi"/>
          <w:b/>
          <w:bCs/>
          <w:u w:val="single"/>
        </w:rPr>
        <w:t>400.000 tona</w:t>
      </w:r>
      <w:r w:rsidR="00F535C1">
        <w:rPr>
          <w:rFonts w:cstheme="minorHAnsi"/>
          <w:b/>
          <w:bCs/>
          <w:u w:val="single"/>
        </w:rPr>
        <w:t xml:space="preserve">/god </w:t>
      </w:r>
      <w:r w:rsidRPr="00A23664">
        <w:rPr>
          <w:rFonts w:cstheme="minorHAnsi"/>
        </w:rPr>
        <w:t>goriva iz otpada</w:t>
      </w:r>
      <w:r w:rsidR="00F535C1">
        <w:rPr>
          <w:rFonts w:cstheme="minorHAnsi"/>
        </w:rPr>
        <w:t xml:space="preserve"> </w:t>
      </w:r>
      <w:r w:rsidR="00F535C1" w:rsidRPr="00F535C1">
        <w:rPr>
          <w:rFonts w:cstheme="minorHAnsi"/>
        </w:rPr>
        <w:t xml:space="preserve">(gorivo iz otpada </w:t>
      </w:r>
      <w:r w:rsidR="00F535C1">
        <w:rPr>
          <w:rFonts w:cstheme="minorHAnsi"/>
        </w:rPr>
        <w:t>niske do srednje</w:t>
      </w:r>
      <w:r w:rsidR="00F535C1" w:rsidRPr="00F535C1">
        <w:rPr>
          <w:rFonts w:cstheme="minorHAnsi"/>
        </w:rPr>
        <w:t xml:space="preserve"> kvalitete)</w:t>
      </w:r>
      <w:r w:rsidR="00F535C1" w:rsidRPr="00A23664">
        <w:rPr>
          <w:rFonts w:cstheme="minorHAnsi"/>
        </w:rPr>
        <w:t xml:space="preserve"> </w:t>
      </w:r>
      <w:r w:rsidR="00F535C1">
        <w:rPr>
          <w:rFonts w:cstheme="minorHAnsi"/>
        </w:rPr>
        <w:t xml:space="preserve">prema scenariju 1 odnosno oko </w:t>
      </w:r>
      <w:r w:rsidR="00F535C1" w:rsidRPr="00F535C1">
        <w:rPr>
          <w:rFonts w:cstheme="minorHAnsi"/>
          <w:b/>
          <w:bCs/>
          <w:u w:val="single"/>
        </w:rPr>
        <w:t>145.000 tona/god</w:t>
      </w:r>
      <w:r w:rsidR="00F535C1">
        <w:rPr>
          <w:rFonts w:cstheme="minorHAnsi"/>
          <w:b/>
          <w:bCs/>
          <w:u w:val="single"/>
        </w:rPr>
        <w:t xml:space="preserve"> </w:t>
      </w:r>
      <w:r w:rsidR="00F535C1" w:rsidRPr="00F535C1">
        <w:rPr>
          <w:rFonts w:cstheme="minorHAnsi"/>
        </w:rPr>
        <w:t>(gorivo iz otpada visoke kvalitete)</w:t>
      </w:r>
      <w:r w:rsidR="00F535C1">
        <w:rPr>
          <w:rFonts w:cstheme="minorHAnsi"/>
        </w:rPr>
        <w:t xml:space="preserve"> prema scenariju 2</w:t>
      </w:r>
      <w:r w:rsidRPr="00A23664">
        <w:rPr>
          <w:rFonts w:cstheme="minorHAnsi"/>
        </w:rPr>
        <w:t xml:space="preserve">. </w:t>
      </w:r>
    </w:p>
    <w:p w14:paraId="18CBFC70" w14:textId="3DDCBE3F" w:rsidR="00F535C1" w:rsidRDefault="00F535C1" w:rsidP="00A23664">
      <w:pPr>
        <w:rPr>
          <w:rFonts w:cstheme="minorHAnsi"/>
        </w:rPr>
      </w:pPr>
      <w:r>
        <w:rPr>
          <w:rFonts w:cstheme="minorHAnsi"/>
        </w:rPr>
        <w:t>Pri planiranju postrojenja za energetsku oporabu goriva iz otpada i miješanog komunalnog otpada, uzimajući u obzir gravitacijska područja budućih postrojenja, potrebno je predvidjeti i dodatne kapacitete potrebne za oporabu i/ili zbrinjavanje otpadnog mulja</w:t>
      </w:r>
      <w:r w:rsidR="00B46FFB">
        <w:rPr>
          <w:rFonts w:cstheme="minorHAnsi"/>
        </w:rPr>
        <w:t xml:space="preserve"> </w:t>
      </w:r>
      <w:r w:rsidR="00B46FFB">
        <w:t>s uređaja za pročišćavanje komunalnih otpadnih voda</w:t>
      </w:r>
      <w:r>
        <w:rPr>
          <w:rFonts w:cstheme="minorHAnsi"/>
        </w:rPr>
        <w:t xml:space="preserve"> u očekivanom maksimalnom iznosu od </w:t>
      </w:r>
      <w:r w:rsidR="009732FB">
        <w:t xml:space="preserve">100.000 t ST/god </w:t>
      </w:r>
      <w:r>
        <w:rPr>
          <w:rFonts w:cstheme="minorHAnsi"/>
        </w:rPr>
        <w:t xml:space="preserve"> (</w:t>
      </w:r>
      <w:r w:rsidR="009732FB">
        <w:rPr>
          <w:rFonts w:cstheme="minorHAnsi"/>
        </w:rPr>
        <w:t xml:space="preserve">&gt; </w:t>
      </w:r>
      <w:r>
        <w:rPr>
          <w:rFonts w:cstheme="minorHAnsi"/>
        </w:rPr>
        <w:t>80% ST).</w:t>
      </w:r>
    </w:p>
    <w:p w14:paraId="5A235A7C" w14:textId="02B29502" w:rsidR="00A23664" w:rsidRPr="00A23664" w:rsidRDefault="00A23664" w:rsidP="00A23664">
      <w:pPr>
        <w:rPr>
          <w:rFonts w:cstheme="minorHAnsi"/>
        </w:rPr>
      </w:pPr>
      <w:r w:rsidRPr="00A23664">
        <w:rPr>
          <w:rFonts w:cstheme="minorHAnsi"/>
        </w:rPr>
        <w:t xml:space="preserve">Kako trenutno ne postoje dostatni kapaciteti za obradu </w:t>
      </w:r>
      <w:r w:rsidR="003F6798">
        <w:rPr>
          <w:rFonts w:cstheme="minorHAnsi"/>
        </w:rPr>
        <w:t>otpadnog mulja</w:t>
      </w:r>
      <w:r w:rsidR="00B46FFB">
        <w:rPr>
          <w:rFonts w:cstheme="minorHAnsi"/>
        </w:rPr>
        <w:t xml:space="preserve"> </w:t>
      </w:r>
      <w:r w:rsidR="00B46FFB">
        <w:t>s uređaja za pročišćavanje komunalnih otpadnih voda</w:t>
      </w:r>
      <w:r w:rsidRPr="00A23664">
        <w:rPr>
          <w:rFonts w:cstheme="minorHAnsi"/>
        </w:rPr>
        <w:t xml:space="preserve"> utvrđeno je da je </w:t>
      </w:r>
      <w:r w:rsidR="00B46FFB">
        <w:rPr>
          <w:rFonts w:cstheme="minorHAnsi"/>
        </w:rPr>
        <w:t xml:space="preserve">navedene kapacitete </w:t>
      </w:r>
      <w:r w:rsidRPr="00A23664">
        <w:rPr>
          <w:rFonts w:cstheme="minorHAnsi"/>
        </w:rPr>
        <w:t xml:space="preserve">potrebno </w:t>
      </w:r>
      <w:r w:rsidR="00B46FFB">
        <w:rPr>
          <w:rFonts w:cstheme="minorHAnsi"/>
        </w:rPr>
        <w:t>planirati i</w:t>
      </w:r>
      <w:r w:rsidR="00B46FFB" w:rsidRPr="00A23664">
        <w:rPr>
          <w:rFonts w:cstheme="minorHAnsi"/>
        </w:rPr>
        <w:t xml:space="preserve"> </w:t>
      </w:r>
      <w:r w:rsidRPr="00A23664">
        <w:rPr>
          <w:rFonts w:cstheme="minorHAnsi"/>
        </w:rPr>
        <w:t>izgraditi što se prvenstveno odnosi na postrojenja za energetsku oporabu otpada</w:t>
      </w:r>
      <w:r w:rsidR="00F535C1">
        <w:rPr>
          <w:rFonts w:cstheme="minorHAnsi"/>
        </w:rPr>
        <w:t xml:space="preserve"> uključujući gorivo iz otpada nastalo kao rezultat obrade otpada i/ili miješan</w:t>
      </w:r>
      <w:r w:rsidR="00B46FFB">
        <w:rPr>
          <w:rFonts w:cstheme="minorHAnsi"/>
        </w:rPr>
        <w:t>og</w:t>
      </w:r>
      <w:r w:rsidR="00F535C1">
        <w:rPr>
          <w:rFonts w:cstheme="minorHAnsi"/>
        </w:rPr>
        <w:t xml:space="preserve"> </w:t>
      </w:r>
      <w:r w:rsidR="00B46FFB">
        <w:rPr>
          <w:rFonts w:cstheme="minorHAnsi"/>
        </w:rPr>
        <w:t xml:space="preserve">komunalnog </w:t>
      </w:r>
      <w:r w:rsidR="00F535C1">
        <w:rPr>
          <w:rFonts w:cstheme="minorHAnsi"/>
        </w:rPr>
        <w:t>otpad</w:t>
      </w:r>
      <w:r w:rsidR="00D87F07">
        <w:rPr>
          <w:rFonts w:cstheme="minorHAnsi"/>
        </w:rPr>
        <w:t>a</w:t>
      </w:r>
      <w:r w:rsidRPr="00A23664">
        <w:rPr>
          <w:rFonts w:cstheme="minorHAnsi"/>
        </w:rPr>
        <w:t>. Navedeni energetski potencija je prepoznat i Strategijom energetskog razvoja RH do 2030. s pogledom na 2050. (NN 25/20)</w:t>
      </w:r>
      <w:r w:rsidR="00F535C1">
        <w:rPr>
          <w:rFonts w:cstheme="minorHAnsi"/>
        </w:rPr>
        <w:t xml:space="preserve"> kojom je u obzir uzet energetski potencijal goriva iz otpada, miješanog komunalnog otpada i otpadnog mulja</w:t>
      </w:r>
      <w:r w:rsidR="00B46FFB">
        <w:rPr>
          <w:rFonts w:cstheme="minorHAnsi"/>
        </w:rPr>
        <w:t xml:space="preserve"> </w:t>
      </w:r>
      <w:r w:rsidR="00B46FFB">
        <w:t>s uređaja za pročišćavanje komunalnih otpadnih voda</w:t>
      </w:r>
      <w:r w:rsidRPr="00A23664">
        <w:rPr>
          <w:rFonts w:cstheme="minorHAnsi"/>
        </w:rPr>
        <w:t>.</w:t>
      </w:r>
    </w:p>
    <w:p w14:paraId="0C2FD871" w14:textId="568D9501" w:rsidR="00A23664" w:rsidRPr="00A23664" w:rsidRDefault="00A23664" w:rsidP="00A23664">
      <w:r w:rsidRPr="001C4626">
        <w:t>Sukladno obuhvatu pojedinih CGO-a, potrebni kapaciteti prikazani su u tablicama u nastav</w:t>
      </w:r>
      <w:r w:rsidR="00F33910">
        <w:t>k</w:t>
      </w:r>
      <w:r w:rsidRPr="001C4626">
        <w:t>u (</w:t>
      </w:r>
      <w:r w:rsidR="001C4626" w:rsidRPr="001C4626">
        <w:fldChar w:fldCharType="begin"/>
      </w:r>
      <w:r w:rsidR="001C4626" w:rsidRPr="001C4626">
        <w:instrText xml:space="preserve"> REF _Ref116286781 \h </w:instrText>
      </w:r>
      <w:r w:rsidR="001C4626">
        <w:instrText xml:space="preserve"> \* MERGEFORMAT </w:instrText>
      </w:r>
      <w:r w:rsidR="001C4626" w:rsidRPr="001C4626">
        <w:fldChar w:fldCharType="separate"/>
      </w:r>
      <w:r w:rsidR="00F37B62">
        <w:t xml:space="preserve">Tablica </w:t>
      </w:r>
      <w:r w:rsidR="00F37B62">
        <w:rPr>
          <w:noProof/>
        </w:rPr>
        <w:t>48</w:t>
      </w:r>
      <w:r w:rsidR="001C4626" w:rsidRPr="001C4626">
        <w:fldChar w:fldCharType="end"/>
      </w:r>
      <w:r w:rsidRPr="001C4626">
        <w:t xml:space="preserve"> za Scenarij 1 i </w:t>
      </w:r>
      <w:r w:rsidR="001C4626" w:rsidRPr="001C4626">
        <w:fldChar w:fldCharType="begin"/>
      </w:r>
      <w:r w:rsidR="001C4626" w:rsidRPr="001C4626">
        <w:instrText xml:space="preserve"> REF _Ref116286785 \h </w:instrText>
      </w:r>
      <w:r w:rsidR="001C4626">
        <w:instrText xml:space="preserve"> \* MERGEFORMAT </w:instrText>
      </w:r>
      <w:r w:rsidR="001C4626" w:rsidRPr="001C4626">
        <w:fldChar w:fldCharType="separate"/>
      </w:r>
      <w:r w:rsidR="00F37B62">
        <w:t xml:space="preserve">Tablica </w:t>
      </w:r>
      <w:r w:rsidR="00F37B62">
        <w:rPr>
          <w:noProof/>
        </w:rPr>
        <w:t>49</w:t>
      </w:r>
      <w:r w:rsidR="001C4626" w:rsidRPr="001C4626">
        <w:fldChar w:fldCharType="end"/>
      </w:r>
      <w:r w:rsidRPr="001C4626">
        <w:t xml:space="preserve"> na Scenarij 2).</w:t>
      </w:r>
    </w:p>
    <w:p w14:paraId="4DB95827" w14:textId="48A8726C" w:rsidR="0019459A" w:rsidRDefault="00A23664" w:rsidP="009105C7">
      <w:pPr>
        <w:pStyle w:val="Tablica"/>
        <w:pageBreakBefore/>
      </w:pPr>
      <w:bookmarkStart w:id="265" w:name="_Ref116286781"/>
      <w:bookmarkStart w:id="266" w:name="_Toc125364437"/>
      <w:r>
        <w:lastRenderedPageBreak/>
        <w:t xml:space="preserve">Tablica </w:t>
      </w:r>
      <w:fldSimple w:instr=" SEQ Tablica \* ARABIC ">
        <w:r w:rsidR="00F37B62">
          <w:rPr>
            <w:noProof/>
          </w:rPr>
          <w:t>48</w:t>
        </w:r>
      </w:fldSimple>
      <w:bookmarkEnd w:id="265"/>
      <w:r>
        <w:t xml:space="preserve">. </w:t>
      </w:r>
      <w:r w:rsidRPr="00A23664">
        <w:rPr>
          <w:b w:val="0"/>
          <w:bCs/>
        </w:rPr>
        <w:t>Potre</w:t>
      </w:r>
      <w:r>
        <w:rPr>
          <w:b w:val="0"/>
          <w:bCs/>
        </w:rPr>
        <w:t>bni kapaciteti CGO – SCENARIJ 1</w:t>
      </w:r>
      <w:bookmarkEnd w:id="266"/>
    </w:p>
    <w:tbl>
      <w:tblPr>
        <w:tblW w:w="9493" w:type="dxa"/>
        <w:tblLook w:val="04A0" w:firstRow="1" w:lastRow="0" w:firstColumn="1" w:lastColumn="0" w:noHBand="0" w:noVBand="1"/>
      </w:tblPr>
      <w:tblGrid>
        <w:gridCol w:w="1129"/>
        <w:gridCol w:w="3402"/>
        <w:gridCol w:w="1701"/>
        <w:gridCol w:w="1276"/>
        <w:gridCol w:w="1985"/>
      </w:tblGrid>
      <w:tr w:rsidR="0019459A" w:rsidRPr="006F5FDB" w14:paraId="3C188A73" w14:textId="77777777" w:rsidTr="000E10DF">
        <w:trPr>
          <w:trHeight w:val="170"/>
        </w:trPr>
        <w:tc>
          <w:tcPr>
            <w:tcW w:w="112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8552A93" w14:textId="77777777" w:rsidR="0019459A" w:rsidRPr="006F5FDB" w:rsidRDefault="0019459A"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CGO</w:t>
            </w:r>
          </w:p>
        </w:tc>
        <w:tc>
          <w:tcPr>
            <w:tcW w:w="3402" w:type="dxa"/>
            <w:tcBorders>
              <w:top w:val="single" w:sz="4" w:space="0" w:color="auto"/>
              <w:left w:val="nil"/>
              <w:bottom w:val="single" w:sz="4" w:space="0" w:color="auto"/>
              <w:right w:val="single" w:sz="4" w:space="0" w:color="auto"/>
            </w:tcBorders>
            <w:shd w:val="clear" w:color="000000" w:fill="002060"/>
            <w:vAlign w:val="center"/>
            <w:hideMark/>
          </w:tcPr>
          <w:p w14:paraId="464EFDB4" w14:textId="77777777" w:rsidR="0019459A" w:rsidRPr="006F5FDB" w:rsidRDefault="0019459A"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Županija</w:t>
            </w:r>
          </w:p>
        </w:tc>
        <w:tc>
          <w:tcPr>
            <w:tcW w:w="1701" w:type="dxa"/>
            <w:tcBorders>
              <w:top w:val="single" w:sz="4" w:space="0" w:color="auto"/>
              <w:left w:val="nil"/>
              <w:bottom w:val="single" w:sz="4" w:space="0" w:color="auto"/>
              <w:right w:val="single" w:sz="4" w:space="0" w:color="auto"/>
            </w:tcBorders>
            <w:shd w:val="clear" w:color="000000" w:fill="002060"/>
            <w:vAlign w:val="center"/>
            <w:hideMark/>
          </w:tcPr>
          <w:p w14:paraId="5F67B3FC" w14:textId="77777777" w:rsidR="0019459A" w:rsidRPr="006F5FDB" w:rsidRDefault="0019459A"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Predviđeni nazivni kapacitet (t/god)</w:t>
            </w:r>
          </w:p>
        </w:tc>
        <w:tc>
          <w:tcPr>
            <w:tcW w:w="1276" w:type="dxa"/>
            <w:tcBorders>
              <w:top w:val="single" w:sz="4" w:space="0" w:color="auto"/>
              <w:left w:val="nil"/>
              <w:bottom w:val="single" w:sz="4" w:space="0" w:color="auto"/>
              <w:right w:val="single" w:sz="4" w:space="0" w:color="auto"/>
            </w:tcBorders>
            <w:shd w:val="clear" w:color="000000" w:fill="002060"/>
            <w:vAlign w:val="center"/>
            <w:hideMark/>
          </w:tcPr>
          <w:p w14:paraId="2870C355" w14:textId="77777777" w:rsidR="0019459A" w:rsidRPr="006F5FDB" w:rsidRDefault="0019459A"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Izgrađenost</w:t>
            </w:r>
          </w:p>
        </w:tc>
        <w:tc>
          <w:tcPr>
            <w:tcW w:w="1985" w:type="dxa"/>
            <w:tcBorders>
              <w:top w:val="single" w:sz="4" w:space="0" w:color="auto"/>
              <w:left w:val="nil"/>
              <w:bottom w:val="single" w:sz="4" w:space="0" w:color="auto"/>
              <w:right w:val="single" w:sz="4" w:space="0" w:color="auto"/>
            </w:tcBorders>
            <w:shd w:val="clear" w:color="000000" w:fill="002060"/>
            <w:vAlign w:val="center"/>
            <w:hideMark/>
          </w:tcPr>
          <w:p w14:paraId="0902663B" w14:textId="77777777" w:rsidR="0019459A" w:rsidRPr="006F5FDB" w:rsidRDefault="0019459A"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Izračunati kapacitet CGO-a s obzirom na ciljeve Scenarija 1</w:t>
            </w:r>
            <w:r w:rsidRPr="006F5FDB">
              <w:rPr>
                <w:rFonts w:ascii="Calibri" w:eastAsia="Times New Roman" w:hAnsi="Calibri" w:cs="Calibri"/>
                <w:b/>
                <w:bCs/>
                <w:color w:val="FFFFFF"/>
                <w:sz w:val="16"/>
                <w:szCs w:val="16"/>
                <w:lang w:eastAsia="hr-HR"/>
              </w:rPr>
              <w:br/>
              <w:t>(t)</w:t>
            </w:r>
          </w:p>
        </w:tc>
      </w:tr>
      <w:tr w:rsidR="0019459A" w:rsidRPr="006F5FDB" w14:paraId="58DF6931" w14:textId="77777777" w:rsidTr="000E10DF">
        <w:trPr>
          <w:trHeigh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4842D47"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Babina gora</w:t>
            </w:r>
          </w:p>
        </w:tc>
        <w:tc>
          <w:tcPr>
            <w:tcW w:w="3402" w:type="dxa"/>
            <w:tcBorders>
              <w:top w:val="nil"/>
              <w:left w:val="nil"/>
              <w:bottom w:val="single" w:sz="4" w:space="0" w:color="auto"/>
              <w:right w:val="single" w:sz="4" w:space="0" w:color="auto"/>
            </w:tcBorders>
            <w:shd w:val="clear" w:color="auto" w:fill="auto"/>
            <w:vAlign w:val="center"/>
            <w:hideMark/>
          </w:tcPr>
          <w:p w14:paraId="2DC9CBEB"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Karlovačka, dio Ličko-senjske i</w:t>
            </w:r>
            <w:r w:rsidRPr="006F5FDB">
              <w:rPr>
                <w:rFonts w:ascii="Calibri" w:eastAsia="Times New Roman" w:hAnsi="Calibri" w:cs="Calibri"/>
                <w:color w:val="000000"/>
                <w:sz w:val="16"/>
                <w:szCs w:val="16"/>
                <w:lang w:eastAsia="hr-HR"/>
              </w:rPr>
              <w:br/>
              <w:t>dio Sisačko-moslavačka</w:t>
            </w:r>
          </w:p>
        </w:tc>
        <w:tc>
          <w:tcPr>
            <w:tcW w:w="1701" w:type="dxa"/>
            <w:tcBorders>
              <w:top w:val="nil"/>
              <w:left w:val="nil"/>
              <w:bottom w:val="single" w:sz="4" w:space="0" w:color="auto"/>
              <w:right w:val="single" w:sz="4" w:space="0" w:color="auto"/>
            </w:tcBorders>
            <w:shd w:val="clear" w:color="auto" w:fill="auto"/>
            <w:noWrap/>
            <w:vAlign w:val="center"/>
            <w:hideMark/>
          </w:tcPr>
          <w:p w14:paraId="31A0C905"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30.000</w:t>
            </w:r>
          </w:p>
        </w:tc>
        <w:tc>
          <w:tcPr>
            <w:tcW w:w="1276" w:type="dxa"/>
            <w:tcBorders>
              <w:top w:val="nil"/>
              <w:left w:val="nil"/>
              <w:bottom w:val="single" w:sz="4" w:space="0" w:color="auto"/>
              <w:right w:val="single" w:sz="4" w:space="0" w:color="auto"/>
            </w:tcBorders>
            <w:shd w:val="clear" w:color="auto" w:fill="auto"/>
            <w:noWrap/>
            <w:vAlign w:val="center"/>
            <w:hideMark/>
          </w:tcPr>
          <w:p w14:paraId="004C85B5"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85" w:type="dxa"/>
            <w:tcBorders>
              <w:top w:val="nil"/>
              <w:left w:val="nil"/>
              <w:bottom w:val="single" w:sz="4" w:space="0" w:color="auto"/>
              <w:right w:val="single" w:sz="4" w:space="0" w:color="auto"/>
            </w:tcBorders>
            <w:shd w:val="clear" w:color="auto" w:fill="auto"/>
            <w:noWrap/>
            <w:vAlign w:val="center"/>
            <w:hideMark/>
          </w:tcPr>
          <w:p w14:paraId="12B22FC6"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27.971</w:t>
            </w:r>
          </w:p>
        </w:tc>
      </w:tr>
      <w:tr w:rsidR="0019459A" w:rsidRPr="006F5FDB" w14:paraId="2C770857" w14:textId="77777777" w:rsidTr="000E10DF">
        <w:trPr>
          <w:trHeigh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DD34FBB"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Biljane Donje</w:t>
            </w:r>
          </w:p>
        </w:tc>
        <w:tc>
          <w:tcPr>
            <w:tcW w:w="3402" w:type="dxa"/>
            <w:tcBorders>
              <w:top w:val="nil"/>
              <w:left w:val="nil"/>
              <w:bottom w:val="single" w:sz="4" w:space="0" w:color="auto"/>
              <w:right w:val="single" w:sz="4" w:space="0" w:color="auto"/>
            </w:tcBorders>
            <w:shd w:val="clear" w:color="auto" w:fill="auto"/>
            <w:vAlign w:val="center"/>
            <w:hideMark/>
          </w:tcPr>
          <w:p w14:paraId="7EA67732"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Zadarska i dio Ličko-senjske</w:t>
            </w:r>
          </w:p>
        </w:tc>
        <w:tc>
          <w:tcPr>
            <w:tcW w:w="1701" w:type="dxa"/>
            <w:tcBorders>
              <w:top w:val="nil"/>
              <w:left w:val="nil"/>
              <w:bottom w:val="single" w:sz="4" w:space="0" w:color="auto"/>
              <w:right w:val="single" w:sz="4" w:space="0" w:color="auto"/>
            </w:tcBorders>
            <w:shd w:val="clear" w:color="auto" w:fill="auto"/>
            <w:noWrap/>
            <w:vAlign w:val="center"/>
            <w:hideMark/>
          </w:tcPr>
          <w:p w14:paraId="5337B731"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88.000</w:t>
            </w:r>
          </w:p>
        </w:tc>
        <w:tc>
          <w:tcPr>
            <w:tcW w:w="1276" w:type="dxa"/>
            <w:tcBorders>
              <w:top w:val="nil"/>
              <w:left w:val="nil"/>
              <w:bottom w:val="single" w:sz="4" w:space="0" w:color="auto"/>
              <w:right w:val="single" w:sz="4" w:space="0" w:color="auto"/>
            </w:tcBorders>
            <w:shd w:val="clear" w:color="auto" w:fill="auto"/>
            <w:noWrap/>
            <w:vAlign w:val="center"/>
            <w:hideMark/>
          </w:tcPr>
          <w:p w14:paraId="1B7BC0B9"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85" w:type="dxa"/>
            <w:tcBorders>
              <w:top w:val="nil"/>
              <w:left w:val="nil"/>
              <w:bottom w:val="single" w:sz="4" w:space="0" w:color="auto"/>
              <w:right w:val="single" w:sz="4" w:space="0" w:color="auto"/>
            </w:tcBorders>
            <w:shd w:val="clear" w:color="auto" w:fill="auto"/>
            <w:noWrap/>
            <w:vAlign w:val="center"/>
            <w:hideMark/>
          </w:tcPr>
          <w:p w14:paraId="759D3E96"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59.584</w:t>
            </w:r>
          </w:p>
        </w:tc>
      </w:tr>
      <w:tr w:rsidR="0019459A" w:rsidRPr="006F5FDB" w14:paraId="3B278C4A" w14:textId="77777777" w:rsidTr="000E10DF">
        <w:trPr>
          <w:trHeigh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D87B138"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proofErr w:type="spellStart"/>
            <w:r w:rsidRPr="006F5FDB">
              <w:rPr>
                <w:rFonts w:ascii="Calibri" w:eastAsia="Times New Roman" w:hAnsi="Calibri" w:cs="Calibri"/>
                <w:b/>
                <w:bCs/>
                <w:color w:val="000000"/>
                <w:sz w:val="16"/>
                <w:szCs w:val="16"/>
                <w:lang w:eastAsia="hr-HR"/>
              </w:rPr>
              <w:t>Lećevica</w:t>
            </w:r>
            <w:proofErr w:type="spellEnd"/>
          </w:p>
        </w:tc>
        <w:tc>
          <w:tcPr>
            <w:tcW w:w="3402" w:type="dxa"/>
            <w:tcBorders>
              <w:top w:val="nil"/>
              <w:left w:val="nil"/>
              <w:bottom w:val="single" w:sz="4" w:space="0" w:color="auto"/>
              <w:right w:val="single" w:sz="4" w:space="0" w:color="auto"/>
            </w:tcBorders>
            <w:shd w:val="clear" w:color="auto" w:fill="auto"/>
            <w:vAlign w:val="center"/>
            <w:hideMark/>
          </w:tcPr>
          <w:p w14:paraId="09A6935B"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Splitsko-dalmatinska</w:t>
            </w:r>
          </w:p>
        </w:tc>
        <w:tc>
          <w:tcPr>
            <w:tcW w:w="1701" w:type="dxa"/>
            <w:tcBorders>
              <w:top w:val="nil"/>
              <w:left w:val="nil"/>
              <w:bottom w:val="single" w:sz="4" w:space="0" w:color="auto"/>
              <w:right w:val="single" w:sz="4" w:space="0" w:color="auto"/>
            </w:tcBorders>
            <w:shd w:val="clear" w:color="auto" w:fill="auto"/>
            <w:noWrap/>
            <w:vAlign w:val="center"/>
            <w:hideMark/>
          </w:tcPr>
          <w:p w14:paraId="566FADA6"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110.000</w:t>
            </w:r>
          </w:p>
        </w:tc>
        <w:tc>
          <w:tcPr>
            <w:tcW w:w="1276" w:type="dxa"/>
            <w:tcBorders>
              <w:top w:val="nil"/>
              <w:left w:val="nil"/>
              <w:bottom w:val="single" w:sz="4" w:space="0" w:color="auto"/>
              <w:right w:val="single" w:sz="4" w:space="0" w:color="auto"/>
            </w:tcBorders>
            <w:shd w:val="clear" w:color="auto" w:fill="auto"/>
            <w:noWrap/>
            <w:vAlign w:val="center"/>
            <w:hideMark/>
          </w:tcPr>
          <w:p w14:paraId="15659DDD"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85" w:type="dxa"/>
            <w:tcBorders>
              <w:top w:val="nil"/>
              <w:left w:val="nil"/>
              <w:bottom w:val="single" w:sz="4" w:space="0" w:color="auto"/>
              <w:right w:val="single" w:sz="4" w:space="0" w:color="auto"/>
            </w:tcBorders>
            <w:shd w:val="clear" w:color="auto" w:fill="auto"/>
            <w:noWrap/>
            <w:vAlign w:val="center"/>
            <w:hideMark/>
          </w:tcPr>
          <w:p w14:paraId="7665D19E"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124.101</w:t>
            </w:r>
          </w:p>
        </w:tc>
      </w:tr>
      <w:tr w:rsidR="0019459A" w:rsidRPr="006F5FDB" w14:paraId="5C6D8443" w14:textId="77777777" w:rsidTr="000E10DF">
        <w:trPr>
          <w:trHeigh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73DD051"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proofErr w:type="spellStart"/>
            <w:r w:rsidRPr="006F5FDB">
              <w:rPr>
                <w:rFonts w:ascii="Calibri" w:eastAsia="Times New Roman" w:hAnsi="Calibri" w:cs="Calibri"/>
                <w:b/>
                <w:bCs/>
                <w:color w:val="000000"/>
                <w:sz w:val="16"/>
                <w:szCs w:val="16"/>
                <w:lang w:eastAsia="hr-HR"/>
              </w:rPr>
              <w:t>Lučino</w:t>
            </w:r>
            <w:proofErr w:type="spellEnd"/>
            <w:r w:rsidRPr="006F5FDB">
              <w:rPr>
                <w:rFonts w:ascii="Calibri" w:eastAsia="Times New Roman" w:hAnsi="Calibri" w:cs="Calibri"/>
                <w:b/>
                <w:bCs/>
                <w:color w:val="000000"/>
                <w:sz w:val="16"/>
                <w:szCs w:val="16"/>
                <w:lang w:eastAsia="hr-HR"/>
              </w:rPr>
              <w:t xml:space="preserve"> </w:t>
            </w:r>
            <w:proofErr w:type="spellStart"/>
            <w:r w:rsidRPr="006F5FDB">
              <w:rPr>
                <w:rFonts w:ascii="Calibri" w:eastAsia="Times New Roman" w:hAnsi="Calibri" w:cs="Calibri"/>
                <w:b/>
                <w:bCs/>
                <w:color w:val="000000"/>
                <w:sz w:val="16"/>
                <w:szCs w:val="16"/>
                <w:lang w:eastAsia="hr-HR"/>
              </w:rPr>
              <w:t>Razdolje</w:t>
            </w:r>
            <w:proofErr w:type="spellEnd"/>
          </w:p>
        </w:tc>
        <w:tc>
          <w:tcPr>
            <w:tcW w:w="3402" w:type="dxa"/>
            <w:tcBorders>
              <w:top w:val="nil"/>
              <w:left w:val="nil"/>
              <w:bottom w:val="single" w:sz="4" w:space="0" w:color="auto"/>
              <w:right w:val="single" w:sz="4" w:space="0" w:color="auto"/>
            </w:tcBorders>
            <w:shd w:val="clear" w:color="auto" w:fill="auto"/>
            <w:vAlign w:val="center"/>
            <w:hideMark/>
          </w:tcPr>
          <w:p w14:paraId="196DA0AD"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1701" w:type="dxa"/>
            <w:tcBorders>
              <w:top w:val="nil"/>
              <w:left w:val="nil"/>
              <w:bottom w:val="single" w:sz="4" w:space="0" w:color="auto"/>
              <w:right w:val="single" w:sz="4" w:space="0" w:color="auto"/>
            </w:tcBorders>
            <w:shd w:val="clear" w:color="auto" w:fill="auto"/>
            <w:noWrap/>
            <w:vAlign w:val="center"/>
            <w:hideMark/>
          </w:tcPr>
          <w:p w14:paraId="1DB9BA08"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40.000</w:t>
            </w:r>
          </w:p>
        </w:tc>
        <w:tc>
          <w:tcPr>
            <w:tcW w:w="1276" w:type="dxa"/>
            <w:tcBorders>
              <w:top w:val="nil"/>
              <w:left w:val="nil"/>
              <w:bottom w:val="single" w:sz="4" w:space="0" w:color="auto"/>
              <w:right w:val="single" w:sz="4" w:space="0" w:color="auto"/>
            </w:tcBorders>
            <w:shd w:val="clear" w:color="auto" w:fill="auto"/>
            <w:noWrap/>
            <w:vAlign w:val="center"/>
            <w:hideMark/>
          </w:tcPr>
          <w:p w14:paraId="79228CAF"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85" w:type="dxa"/>
            <w:tcBorders>
              <w:top w:val="nil"/>
              <w:left w:val="nil"/>
              <w:bottom w:val="single" w:sz="4" w:space="0" w:color="auto"/>
              <w:right w:val="single" w:sz="4" w:space="0" w:color="auto"/>
            </w:tcBorders>
            <w:shd w:val="clear" w:color="auto" w:fill="auto"/>
            <w:noWrap/>
            <w:vAlign w:val="center"/>
            <w:hideMark/>
          </w:tcPr>
          <w:p w14:paraId="3D7C163A"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33.924</w:t>
            </w:r>
          </w:p>
        </w:tc>
      </w:tr>
      <w:tr w:rsidR="0019459A" w:rsidRPr="006F5FDB" w14:paraId="33157DB4" w14:textId="77777777" w:rsidTr="000E10DF">
        <w:trPr>
          <w:trHeigh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077EC55"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proofErr w:type="spellStart"/>
            <w:r w:rsidRPr="006F5FDB">
              <w:rPr>
                <w:rFonts w:ascii="Calibri" w:eastAsia="Times New Roman" w:hAnsi="Calibri" w:cs="Calibri"/>
                <w:b/>
                <w:bCs/>
                <w:color w:val="000000"/>
                <w:sz w:val="16"/>
                <w:szCs w:val="16"/>
                <w:lang w:eastAsia="hr-HR"/>
              </w:rPr>
              <w:t>Piškornica</w:t>
            </w:r>
            <w:proofErr w:type="spellEnd"/>
          </w:p>
        </w:tc>
        <w:tc>
          <w:tcPr>
            <w:tcW w:w="3402" w:type="dxa"/>
            <w:tcBorders>
              <w:top w:val="nil"/>
              <w:left w:val="nil"/>
              <w:bottom w:val="single" w:sz="4" w:space="0" w:color="auto"/>
              <w:right w:val="single" w:sz="4" w:space="0" w:color="auto"/>
            </w:tcBorders>
            <w:shd w:val="clear" w:color="auto" w:fill="auto"/>
            <w:vAlign w:val="center"/>
            <w:hideMark/>
          </w:tcPr>
          <w:p w14:paraId="43B26B98"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Varaždinska, Koprivničko-križevačka, Međimurska, Bjelovarsko-bilogorska </w:t>
            </w:r>
          </w:p>
        </w:tc>
        <w:tc>
          <w:tcPr>
            <w:tcW w:w="1701" w:type="dxa"/>
            <w:tcBorders>
              <w:top w:val="nil"/>
              <w:left w:val="nil"/>
              <w:bottom w:val="single" w:sz="4" w:space="0" w:color="auto"/>
              <w:right w:val="single" w:sz="4" w:space="0" w:color="auto"/>
            </w:tcBorders>
            <w:shd w:val="clear" w:color="auto" w:fill="auto"/>
            <w:noWrap/>
            <w:vAlign w:val="center"/>
            <w:hideMark/>
          </w:tcPr>
          <w:p w14:paraId="2ED683A8"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110.000</w:t>
            </w:r>
          </w:p>
        </w:tc>
        <w:tc>
          <w:tcPr>
            <w:tcW w:w="1276" w:type="dxa"/>
            <w:tcBorders>
              <w:top w:val="nil"/>
              <w:left w:val="nil"/>
              <w:bottom w:val="single" w:sz="4" w:space="0" w:color="auto"/>
              <w:right w:val="single" w:sz="4" w:space="0" w:color="auto"/>
            </w:tcBorders>
            <w:shd w:val="clear" w:color="auto" w:fill="auto"/>
            <w:noWrap/>
            <w:vAlign w:val="center"/>
            <w:hideMark/>
          </w:tcPr>
          <w:p w14:paraId="76858AE9"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85" w:type="dxa"/>
            <w:tcBorders>
              <w:top w:val="nil"/>
              <w:left w:val="nil"/>
              <w:bottom w:val="single" w:sz="4" w:space="0" w:color="auto"/>
              <w:right w:val="single" w:sz="4" w:space="0" w:color="auto"/>
            </w:tcBorders>
            <w:shd w:val="clear" w:color="auto" w:fill="auto"/>
            <w:noWrap/>
            <w:vAlign w:val="center"/>
            <w:hideMark/>
          </w:tcPr>
          <w:p w14:paraId="7C2F0666"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88.817</w:t>
            </w:r>
          </w:p>
        </w:tc>
      </w:tr>
      <w:tr w:rsidR="0019459A" w:rsidRPr="006F5FDB" w14:paraId="487A1DF5" w14:textId="77777777" w:rsidTr="000E10DF">
        <w:trPr>
          <w:trHeigh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A84259A"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proofErr w:type="spellStart"/>
            <w:r w:rsidRPr="006F5FDB">
              <w:rPr>
                <w:rFonts w:ascii="Calibri" w:eastAsia="Times New Roman" w:hAnsi="Calibri" w:cs="Calibri"/>
                <w:b/>
                <w:bCs/>
                <w:color w:val="000000"/>
                <w:sz w:val="16"/>
                <w:szCs w:val="16"/>
                <w:lang w:eastAsia="hr-HR"/>
              </w:rPr>
              <w:t>Šagulje</w:t>
            </w:r>
            <w:proofErr w:type="spellEnd"/>
          </w:p>
        </w:tc>
        <w:tc>
          <w:tcPr>
            <w:tcW w:w="3402" w:type="dxa"/>
            <w:tcBorders>
              <w:top w:val="nil"/>
              <w:left w:val="nil"/>
              <w:bottom w:val="single" w:sz="4" w:space="0" w:color="auto"/>
              <w:right w:val="single" w:sz="4" w:space="0" w:color="auto"/>
            </w:tcBorders>
            <w:shd w:val="clear" w:color="auto" w:fill="auto"/>
            <w:vAlign w:val="center"/>
            <w:hideMark/>
          </w:tcPr>
          <w:p w14:paraId="1AA35C2A"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Brodsko-posavska, dio Sisačko-moslavačke i Virovitičko-podravska </w:t>
            </w:r>
          </w:p>
        </w:tc>
        <w:tc>
          <w:tcPr>
            <w:tcW w:w="1701" w:type="dxa"/>
            <w:tcBorders>
              <w:top w:val="nil"/>
              <w:left w:val="nil"/>
              <w:bottom w:val="single" w:sz="4" w:space="0" w:color="auto"/>
              <w:right w:val="single" w:sz="4" w:space="0" w:color="auto"/>
            </w:tcBorders>
            <w:shd w:val="clear" w:color="auto" w:fill="auto"/>
            <w:noWrap/>
            <w:vAlign w:val="center"/>
            <w:hideMark/>
          </w:tcPr>
          <w:p w14:paraId="08137B39"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55.000</w:t>
            </w:r>
          </w:p>
        </w:tc>
        <w:tc>
          <w:tcPr>
            <w:tcW w:w="1276" w:type="dxa"/>
            <w:tcBorders>
              <w:top w:val="nil"/>
              <w:left w:val="nil"/>
              <w:bottom w:val="single" w:sz="4" w:space="0" w:color="auto"/>
              <w:right w:val="single" w:sz="4" w:space="0" w:color="auto"/>
            </w:tcBorders>
            <w:shd w:val="clear" w:color="auto" w:fill="auto"/>
            <w:noWrap/>
            <w:vAlign w:val="center"/>
            <w:hideMark/>
          </w:tcPr>
          <w:p w14:paraId="6E6AE384"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85" w:type="dxa"/>
            <w:tcBorders>
              <w:top w:val="nil"/>
              <w:left w:val="nil"/>
              <w:bottom w:val="single" w:sz="4" w:space="0" w:color="auto"/>
              <w:right w:val="single" w:sz="4" w:space="0" w:color="auto"/>
            </w:tcBorders>
            <w:shd w:val="clear" w:color="auto" w:fill="auto"/>
            <w:noWrap/>
            <w:vAlign w:val="center"/>
            <w:hideMark/>
          </w:tcPr>
          <w:p w14:paraId="15A7266F"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52.485</w:t>
            </w:r>
          </w:p>
        </w:tc>
      </w:tr>
      <w:tr w:rsidR="0019459A" w:rsidRPr="006F5FDB" w14:paraId="72058B37" w14:textId="77777777" w:rsidTr="000E10DF">
        <w:trPr>
          <w:trHeigh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FDC0B3C"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proofErr w:type="spellStart"/>
            <w:r w:rsidRPr="006F5FDB">
              <w:rPr>
                <w:rFonts w:ascii="Calibri" w:eastAsia="Times New Roman" w:hAnsi="Calibri" w:cs="Calibri"/>
                <w:b/>
                <w:bCs/>
                <w:color w:val="000000"/>
                <w:sz w:val="16"/>
                <w:szCs w:val="16"/>
                <w:lang w:eastAsia="hr-HR"/>
              </w:rPr>
              <w:t>Orlovnjak</w:t>
            </w:r>
            <w:proofErr w:type="spellEnd"/>
          </w:p>
        </w:tc>
        <w:tc>
          <w:tcPr>
            <w:tcW w:w="3402" w:type="dxa"/>
            <w:tcBorders>
              <w:top w:val="nil"/>
              <w:left w:val="nil"/>
              <w:bottom w:val="single" w:sz="4" w:space="0" w:color="auto"/>
              <w:right w:val="single" w:sz="4" w:space="0" w:color="auto"/>
            </w:tcBorders>
            <w:shd w:val="clear" w:color="auto" w:fill="auto"/>
            <w:vAlign w:val="center"/>
            <w:hideMark/>
          </w:tcPr>
          <w:p w14:paraId="07A7BE5D"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 baranjska i Vukovarsko-srijemska </w:t>
            </w:r>
          </w:p>
        </w:tc>
        <w:tc>
          <w:tcPr>
            <w:tcW w:w="1701" w:type="dxa"/>
            <w:tcBorders>
              <w:top w:val="nil"/>
              <w:left w:val="nil"/>
              <w:bottom w:val="single" w:sz="4" w:space="0" w:color="auto"/>
              <w:right w:val="single" w:sz="4" w:space="0" w:color="auto"/>
            </w:tcBorders>
            <w:shd w:val="clear" w:color="auto" w:fill="auto"/>
            <w:noWrap/>
            <w:vAlign w:val="center"/>
            <w:hideMark/>
          </w:tcPr>
          <w:p w14:paraId="493EA6CA"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60.000</w:t>
            </w:r>
          </w:p>
        </w:tc>
        <w:tc>
          <w:tcPr>
            <w:tcW w:w="1276" w:type="dxa"/>
            <w:tcBorders>
              <w:top w:val="nil"/>
              <w:left w:val="nil"/>
              <w:bottom w:val="single" w:sz="4" w:space="0" w:color="auto"/>
              <w:right w:val="single" w:sz="4" w:space="0" w:color="auto"/>
            </w:tcBorders>
            <w:shd w:val="clear" w:color="auto" w:fill="auto"/>
            <w:noWrap/>
            <w:vAlign w:val="center"/>
            <w:hideMark/>
          </w:tcPr>
          <w:p w14:paraId="03916549"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85" w:type="dxa"/>
            <w:tcBorders>
              <w:top w:val="nil"/>
              <w:left w:val="nil"/>
              <w:bottom w:val="single" w:sz="4" w:space="0" w:color="auto"/>
              <w:right w:val="single" w:sz="4" w:space="0" w:color="auto"/>
            </w:tcBorders>
            <w:shd w:val="clear" w:color="auto" w:fill="auto"/>
            <w:noWrap/>
            <w:vAlign w:val="center"/>
            <w:hideMark/>
          </w:tcPr>
          <w:p w14:paraId="7BE74316"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69.027</w:t>
            </w:r>
          </w:p>
        </w:tc>
      </w:tr>
      <w:tr w:rsidR="0019459A" w:rsidRPr="006F5FDB" w14:paraId="790980F9" w14:textId="77777777" w:rsidTr="000E10DF">
        <w:trPr>
          <w:trHeigh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9BAB04B"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Zagreb</w:t>
            </w:r>
          </w:p>
        </w:tc>
        <w:tc>
          <w:tcPr>
            <w:tcW w:w="3402" w:type="dxa"/>
            <w:tcBorders>
              <w:top w:val="nil"/>
              <w:left w:val="nil"/>
              <w:bottom w:val="single" w:sz="4" w:space="0" w:color="auto"/>
              <w:right w:val="single" w:sz="4" w:space="0" w:color="auto"/>
            </w:tcBorders>
            <w:shd w:val="clear" w:color="auto" w:fill="auto"/>
            <w:vAlign w:val="center"/>
            <w:hideMark/>
          </w:tcPr>
          <w:p w14:paraId="6A0A1C10"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 i Zagrebačka županija</w:t>
            </w:r>
          </w:p>
        </w:tc>
        <w:tc>
          <w:tcPr>
            <w:tcW w:w="1701" w:type="dxa"/>
            <w:tcBorders>
              <w:top w:val="nil"/>
              <w:left w:val="nil"/>
              <w:bottom w:val="single" w:sz="4" w:space="0" w:color="auto"/>
              <w:right w:val="single" w:sz="4" w:space="0" w:color="auto"/>
            </w:tcBorders>
            <w:shd w:val="clear" w:color="auto" w:fill="auto"/>
            <w:noWrap/>
            <w:vAlign w:val="center"/>
            <w:hideMark/>
          </w:tcPr>
          <w:p w14:paraId="20E38474"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180.000</w:t>
            </w:r>
          </w:p>
        </w:tc>
        <w:tc>
          <w:tcPr>
            <w:tcW w:w="1276" w:type="dxa"/>
            <w:tcBorders>
              <w:top w:val="nil"/>
              <w:left w:val="nil"/>
              <w:bottom w:val="single" w:sz="4" w:space="0" w:color="auto"/>
              <w:right w:val="single" w:sz="4" w:space="0" w:color="auto"/>
            </w:tcBorders>
            <w:shd w:val="clear" w:color="auto" w:fill="auto"/>
            <w:noWrap/>
            <w:vAlign w:val="center"/>
            <w:hideMark/>
          </w:tcPr>
          <w:p w14:paraId="535D2C88"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85" w:type="dxa"/>
            <w:tcBorders>
              <w:top w:val="nil"/>
              <w:left w:val="nil"/>
              <w:bottom w:val="single" w:sz="4" w:space="0" w:color="auto"/>
              <w:right w:val="single" w:sz="4" w:space="0" w:color="auto"/>
            </w:tcBorders>
            <w:shd w:val="clear" w:color="auto" w:fill="auto"/>
            <w:noWrap/>
            <w:vAlign w:val="center"/>
            <w:hideMark/>
          </w:tcPr>
          <w:p w14:paraId="388247CE"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227.393</w:t>
            </w:r>
          </w:p>
        </w:tc>
      </w:tr>
      <w:tr w:rsidR="0019459A" w:rsidRPr="006F5FDB" w14:paraId="1AF1A0D6" w14:textId="77777777" w:rsidTr="000E10DF">
        <w:trPr>
          <w:trHeight w:val="170"/>
        </w:trPr>
        <w:tc>
          <w:tcPr>
            <w:tcW w:w="45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5DA2C" w14:textId="77777777" w:rsidR="0019459A" w:rsidRPr="006F5FDB" w:rsidRDefault="0019459A" w:rsidP="0019459A">
            <w:pPr>
              <w:spacing w:after="0" w:line="240" w:lineRule="auto"/>
              <w:jc w:val="righ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UKUPNO:</w:t>
            </w:r>
          </w:p>
        </w:tc>
        <w:tc>
          <w:tcPr>
            <w:tcW w:w="1701" w:type="dxa"/>
            <w:tcBorders>
              <w:top w:val="nil"/>
              <w:left w:val="nil"/>
              <w:bottom w:val="single" w:sz="4" w:space="0" w:color="auto"/>
              <w:right w:val="single" w:sz="4" w:space="0" w:color="auto"/>
            </w:tcBorders>
            <w:shd w:val="clear" w:color="auto" w:fill="auto"/>
            <w:noWrap/>
            <w:vAlign w:val="center"/>
            <w:hideMark/>
          </w:tcPr>
          <w:p w14:paraId="01AFC4CC" w14:textId="77777777" w:rsidR="0019459A" w:rsidRPr="006F5FDB" w:rsidRDefault="0019459A" w:rsidP="0019459A">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673.000</w:t>
            </w:r>
          </w:p>
        </w:tc>
        <w:tc>
          <w:tcPr>
            <w:tcW w:w="1276" w:type="dxa"/>
            <w:tcBorders>
              <w:top w:val="nil"/>
              <w:left w:val="nil"/>
              <w:bottom w:val="single" w:sz="4" w:space="0" w:color="auto"/>
              <w:right w:val="single" w:sz="4" w:space="0" w:color="auto"/>
            </w:tcBorders>
            <w:shd w:val="clear" w:color="auto" w:fill="auto"/>
            <w:noWrap/>
            <w:vAlign w:val="center"/>
            <w:hideMark/>
          </w:tcPr>
          <w:p w14:paraId="4F1D6E7F" w14:textId="77777777" w:rsidR="0019459A" w:rsidRPr="006F5FDB" w:rsidRDefault="0019459A" w:rsidP="0019459A">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0</w:t>
            </w:r>
          </w:p>
        </w:tc>
        <w:tc>
          <w:tcPr>
            <w:tcW w:w="1985" w:type="dxa"/>
            <w:tcBorders>
              <w:top w:val="nil"/>
              <w:left w:val="nil"/>
              <w:bottom w:val="single" w:sz="4" w:space="0" w:color="auto"/>
              <w:right w:val="single" w:sz="4" w:space="0" w:color="auto"/>
            </w:tcBorders>
            <w:shd w:val="clear" w:color="auto" w:fill="auto"/>
            <w:noWrap/>
            <w:vAlign w:val="center"/>
            <w:hideMark/>
          </w:tcPr>
          <w:p w14:paraId="3724D44F" w14:textId="77777777" w:rsidR="0019459A" w:rsidRPr="006F5FDB" w:rsidRDefault="0019459A" w:rsidP="0019459A">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683.302</w:t>
            </w:r>
          </w:p>
        </w:tc>
      </w:tr>
    </w:tbl>
    <w:p w14:paraId="555EE4DA" w14:textId="77777777" w:rsidR="003D676C" w:rsidRDefault="003D676C" w:rsidP="00A23664"/>
    <w:p w14:paraId="3FBCF3FC" w14:textId="12F79D70" w:rsidR="00A23664" w:rsidRDefault="00A23664" w:rsidP="000E10DF">
      <w:pPr>
        <w:pStyle w:val="Tablica"/>
      </w:pPr>
      <w:bookmarkStart w:id="267" w:name="_Ref116286785"/>
      <w:bookmarkStart w:id="268" w:name="_Toc125364438"/>
      <w:r>
        <w:t xml:space="preserve">Tablica </w:t>
      </w:r>
      <w:fldSimple w:instr=" SEQ Tablica \* ARABIC ">
        <w:r w:rsidR="00F37B62">
          <w:rPr>
            <w:noProof/>
          </w:rPr>
          <w:t>49</w:t>
        </w:r>
      </w:fldSimple>
      <w:bookmarkEnd w:id="267"/>
      <w:r>
        <w:t xml:space="preserve">. </w:t>
      </w:r>
      <w:r w:rsidRPr="00A23664">
        <w:rPr>
          <w:b w:val="0"/>
          <w:bCs/>
        </w:rPr>
        <w:t>Potre</w:t>
      </w:r>
      <w:r>
        <w:rPr>
          <w:b w:val="0"/>
          <w:bCs/>
        </w:rPr>
        <w:t>bni kapaciteti CGO – SCENARIJ 2</w:t>
      </w:r>
      <w:bookmarkEnd w:id="268"/>
    </w:p>
    <w:tbl>
      <w:tblPr>
        <w:tblW w:w="9460" w:type="dxa"/>
        <w:tblLook w:val="04A0" w:firstRow="1" w:lastRow="0" w:firstColumn="1" w:lastColumn="0" w:noHBand="0" w:noVBand="1"/>
      </w:tblPr>
      <w:tblGrid>
        <w:gridCol w:w="1180"/>
        <w:gridCol w:w="3351"/>
        <w:gridCol w:w="1701"/>
        <w:gridCol w:w="1276"/>
        <w:gridCol w:w="1952"/>
      </w:tblGrid>
      <w:tr w:rsidR="0019459A" w:rsidRPr="006F5FDB" w14:paraId="02567876" w14:textId="77777777" w:rsidTr="000E10DF">
        <w:trPr>
          <w:trHeight w:val="170"/>
        </w:trPr>
        <w:tc>
          <w:tcPr>
            <w:tcW w:w="118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C45A49E" w14:textId="77777777" w:rsidR="0019459A" w:rsidRPr="006F5FDB" w:rsidRDefault="0019459A"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CGO</w:t>
            </w:r>
          </w:p>
        </w:tc>
        <w:tc>
          <w:tcPr>
            <w:tcW w:w="3351" w:type="dxa"/>
            <w:tcBorders>
              <w:top w:val="single" w:sz="4" w:space="0" w:color="auto"/>
              <w:left w:val="nil"/>
              <w:bottom w:val="single" w:sz="4" w:space="0" w:color="auto"/>
              <w:right w:val="single" w:sz="4" w:space="0" w:color="auto"/>
            </w:tcBorders>
            <w:shd w:val="clear" w:color="000000" w:fill="002060"/>
            <w:vAlign w:val="center"/>
            <w:hideMark/>
          </w:tcPr>
          <w:p w14:paraId="56C9238E" w14:textId="77777777" w:rsidR="0019459A" w:rsidRPr="006F5FDB" w:rsidRDefault="0019459A"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Županija</w:t>
            </w:r>
          </w:p>
        </w:tc>
        <w:tc>
          <w:tcPr>
            <w:tcW w:w="1701" w:type="dxa"/>
            <w:tcBorders>
              <w:top w:val="single" w:sz="4" w:space="0" w:color="auto"/>
              <w:left w:val="nil"/>
              <w:bottom w:val="single" w:sz="4" w:space="0" w:color="auto"/>
              <w:right w:val="single" w:sz="4" w:space="0" w:color="auto"/>
            </w:tcBorders>
            <w:shd w:val="clear" w:color="000000" w:fill="002060"/>
            <w:vAlign w:val="center"/>
            <w:hideMark/>
          </w:tcPr>
          <w:p w14:paraId="7D65D679" w14:textId="77777777" w:rsidR="0019459A" w:rsidRPr="006F5FDB" w:rsidRDefault="0019459A"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Predviđeni nazivni kapacitet (t/god)</w:t>
            </w:r>
          </w:p>
        </w:tc>
        <w:tc>
          <w:tcPr>
            <w:tcW w:w="1276" w:type="dxa"/>
            <w:tcBorders>
              <w:top w:val="single" w:sz="4" w:space="0" w:color="auto"/>
              <w:left w:val="nil"/>
              <w:bottom w:val="single" w:sz="4" w:space="0" w:color="auto"/>
              <w:right w:val="single" w:sz="4" w:space="0" w:color="auto"/>
            </w:tcBorders>
            <w:shd w:val="clear" w:color="000000" w:fill="002060"/>
            <w:vAlign w:val="center"/>
            <w:hideMark/>
          </w:tcPr>
          <w:p w14:paraId="46E1E2A2" w14:textId="77777777" w:rsidR="0019459A" w:rsidRPr="006F5FDB" w:rsidRDefault="0019459A"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Izgrađenost</w:t>
            </w:r>
          </w:p>
        </w:tc>
        <w:tc>
          <w:tcPr>
            <w:tcW w:w="1952" w:type="dxa"/>
            <w:tcBorders>
              <w:top w:val="single" w:sz="4" w:space="0" w:color="auto"/>
              <w:left w:val="nil"/>
              <w:bottom w:val="single" w:sz="4" w:space="0" w:color="auto"/>
              <w:right w:val="single" w:sz="4" w:space="0" w:color="auto"/>
            </w:tcBorders>
            <w:shd w:val="clear" w:color="000000" w:fill="002060"/>
            <w:vAlign w:val="center"/>
            <w:hideMark/>
          </w:tcPr>
          <w:p w14:paraId="62C0324C" w14:textId="77777777" w:rsidR="0019459A" w:rsidRPr="006F5FDB" w:rsidRDefault="0019459A"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Izračunati kapacitet CGO-a s obzirom na ciljeve Scenarija 2</w:t>
            </w:r>
            <w:r w:rsidRPr="006F5FDB">
              <w:rPr>
                <w:rFonts w:ascii="Calibri" w:eastAsia="Times New Roman" w:hAnsi="Calibri" w:cs="Calibri"/>
                <w:b/>
                <w:bCs/>
                <w:color w:val="FFFFFF"/>
                <w:sz w:val="16"/>
                <w:szCs w:val="16"/>
                <w:lang w:eastAsia="hr-HR"/>
              </w:rPr>
              <w:br/>
              <w:t>(t)</w:t>
            </w:r>
          </w:p>
        </w:tc>
      </w:tr>
      <w:tr w:rsidR="0019459A" w:rsidRPr="006F5FDB" w14:paraId="14FD03A9" w14:textId="77777777" w:rsidTr="000E10DF">
        <w:trPr>
          <w:trHeight w:val="170"/>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4A57FB18"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Babina gora</w:t>
            </w:r>
          </w:p>
        </w:tc>
        <w:tc>
          <w:tcPr>
            <w:tcW w:w="3351" w:type="dxa"/>
            <w:tcBorders>
              <w:top w:val="nil"/>
              <w:left w:val="nil"/>
              <w:bottom w:val="single" w:sz="4" w:space="0" w:color="auto"/>
              <w:right w:val="single" w:sz="4" w:space="0" w:color="auto"/>
            </w:tcBorders>
            <w:shd w:val="clear" w:color="auto" w:fill="auto"/>
            <w:vAlign w:val="center"/>
            <w:hideMark/>
          </w:tcPr>
          <w:p w14:paraId="2C48925A"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Karlovačka, dio Ličko-senjske i</w:t>
            </w:r>
            <w:r w:rsidRPr="006F5FDB">
              <w:rPr>
                <w:rFonts w:ascii="Calibri" w:eastAsia="Times New Roman" w:hAnsi="Calibri" w:cs="Calibri"/>
                <w:color w:val="000000"/>
                <w:sz w:val="16"/>
                <w:szCs w:val="16"/>
                <w:lang w:eastAsia="hr-HR"/>
              </w:rPr>
              <w:br/>
              <w:t>dio Sisačko-moslavačka</w:t>
            </w:r>
          </w:p>
        </w:tc>
        <w:tc>
          <w:tcPr>
            <w:tcW w:w="1701" w:type="dxa"/>
            <w:tcBorders>
              <w:top w:val="nil"/>
              <w:left w:val="nil"/>
              <w:bottom w:val="single" w:sz="4" w:space="0" w:color="auto"/>
              <w:right w:val="single" w:sz="4" w:space="0" w:color="auto"/>
            </w:tcBorders>
            <w:shd w:val="clear" w:color="auto" w:fill="auto"/>
            <w:vAlign w:val="center"/>
            <w:hideMark/>
          </w:tcPr>
          <w:p w14:paraId="77234DE0"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30.000</w:t>
            </w:r>
          </w:p>
        </w:tc>
        <w:tc>
          <w:tcPr>
            <w:tcW w:w="1276" w:type="dxa"/>
            <w:tcBorders>
              <w:top w:val="nil"/>
              <w:left w:val="nil"/>
              <w:bottom w:val="single" w:sz="4" w:space="0" w:color="auto"/>
              <w:right w:val="single" w:sz="4" w:space="0" w:color="auto"/>
            </w:tcBorders>
            <w:shd w:val="clear" w:color="auto" w:fill="auto"/>
            <w:vAlign w:val="center"/>
            <w:hideMark/>
          </w:tcPr>
          <w:p w14:paraId="206F79A5"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52" w:type="dxa"/>
            <w:tcBorders>
              <w:top w:val="nil"/>
              <w:left w:val="nil"/>
              <w:bottom w:val="single" w:sz="4" w:space="0" w:color="auto"/>
              <w:right w:val="single" w:sz="4" w:space="0" w:color="auto"/>
            </w:tcBorders>
            <w:shd w:val="clear" w:color="auto" w:fill="auto"/>
            <w:vAlign w:val="center"/>
            <w:hideMark/>
          </w:tcPr>
          <w:p w14:paraId="6F9A7EBD"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31.301</w:t>
            </w:r>
          </w:p>
        </w:tc>
      </w:tr>
      <w:tr w:rsidR="0019459A" w:rsidRPr="006F5FDB" w14:paraId="539E9A1E" w14:textId="77777777" w:rsidTr="000E10DF">
        <w:trPr>
          <w:trHeight w:val="170"/>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49822C8E"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Biljane Donje</w:t>
            </w:r>
          </w:p>
        </w:tc>
        <w:tc>
          <w:tcPr>
            <w:tcW w:w="3351" w:type="dxa"/>
            <w:tcBorders>
              <w:top w:val="nil"/>
              <w:left w:val="nil"/>
              <w:bottom w:val="single" w:sz="4" w:space="0" w:color="auto"/>
              <w:right w:val="single" w:sz="4" w:space="0" w:color="auto"/>
            </w:tcBorders>
            <w:shd w:val="clear" w:color="auto" w:fill="auto"/>
            <w:vAlign w:val="center"/>
            <w:hideMark/>
          </w:tcPr>
          <w:p w14:paraId="21F42C56"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Zadarska i dio Ličko-senjske</w:t>
            </w:r>
          </w:p>
        </w:tc>
        <w:tc>
          <w:tcPr>
            <w:tcW w:w="1701" w:type="dxa"/>
            <w:tcBorders>
              <w:top w:val="nil"/>
              <w:left w:val="nil"/>
              <w:bottom w:val="single" w:sz="4" w:space="0" w:color="auto"/>
              <w:right w:val="single" w:sz="4" w:space="0" w:color="auto"/>
            </w:tcBorders>
            <w:shd w:val="clear" w:color="auto" w:fill="auto"/>
            <w:vAlign w:val="center"/>
            <w:hideMark/>
          </w:tcPr>
          <w:p w14:paraId="2F55B689"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88.000</w:t>
            </w:r>
          </w:p>
        </w:tc>
        <w:tc>
          <w:tcPr>
            <w:tcW w:w="1276" w:type="dxa"/>
            <w:tcBorders>
              <w:top w:val="nil"/>
              <w:left w:val="nil"/>
              <w:bottom w:val="single" w:sz="4" w:space="0" w:color="auto"/>
              <w:right w:val="single" w:sz="4" w:space="0" w:color="auto"/>
            </w:tcBorders>
            <w:shd w:val="clear" w:color="auto" w:fill="auto"/>
            <w:vAlign w:val="center"/>
            <w:hideMark/>
          </w:tcPr>
          <w:p w14:paraId="064870B4"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52" w:type="dxa"/>
            <w:tcBorders>
              <w:top w:val="nil"/>
              <w:left w:val="nil"/>
              <w:bottom w:val="single" w:sz="4" w:space="0" w:color="auto"/>
              <w:right w:val="single" w:sz="4" w:space="0" w:color="auto"/>
            </w:tcBorders>
            <w:shd w:val="clear" w:color="auto" w:fill="auto"/>
            <w:vAlign w:val="center"/>
            <w:hideMark/>
          </w:tcPr>
          <w:p w14:paraId="24184F15"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66.677</w:t>
            </w:r>
          </w:p>
        </w:tc>
      </w:tr>
      <w:tr w:rsidR="0019459A" w:rsidRPr="006F5FDB" w14:paraId="5E59C381" w14:textId="77777777" w:rsidTr="000E10DF">
        <w:trPr>
          <w:trHeight w:val="170"/>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068B414D"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proofErr w:type="spellStart"/>
            <w:r w:rsidRPr="006F5FDB">
              <w:rPr>
                <w:rFonts w:ascii="Calibri" w:eastAsia="Times New Roman" w:hAnsi="Calibri" w:cs="Calibri"/>
                <w:b/>
                <w:bCs/>
                <w:color w:val="000000"/>
                <w:sz w:val="16"/>
                <w:szCs w:val="16"/>
                <w:lang w:eastAsia="hr-HR"/>
              </w:rPr>
              <w:t>Lećevica</w:t>
            </w:r>
            <w:proofErr w:type="spellEnd"/>
          </w:p>
        </w:tc>
        <w:tc>
          <w:tcPr>
            <w:tcW w:w="3351" w:type="dxa"/>
            <w:tcBorders>
              <w:top w:val="nil"/>
              <w:left w:val="nil"/>
              <w:bottom w:val="single" w:sz="4" w:space="0" w:color="auto"/>
              <w:right w:val="single" w:sz="4" w:space="0" w:color="auto"/>
            </w:tcBorders>
            <w:shd w:val="clear" w:color="auto" w:fill="auto"/>
            <w:vAlign w:val="center"/>
            <w:hideMark/>
          </w:tcPr>
          <w:p w14:paraId="2754D6A1"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Splitsko-dalmatinska</w:t>
            </w:r>
          </w:p>
        </w:tc>
        <w:tc>
          <w:tcPr>
            <w:tcW w:w="1701" w:type="dxa"/>
            <w:tcBorders>
              <w:top w:val="nil"/>
              <w:left w:val="nil"/>
              <w:bottom w:val="single" w:sz="4" w:space="0" w:color="auto"/>
              <w:right w:val="single" w:sz="4" w:space="0" w:color="auto"/>
            </w:tcBorders>
            <w:shd w:val="clear" w:color="auto" w:fill="auto"/>
            <w:vAlign w:val="center"/>
            <w:hideMark/>
          </w:tcPr>
          <w:p w14:paraId="7CBAA60B"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110.000</w:t>
            </w:r>
          </w:p>
        </w:tc>
        <w:tc>
          <w:tcPr>
            <w:tcW w:w="1276" w:type="dxa"/>
            <w:tcBorders>
              <w:top w:val="nil"/>
              <w:left w:val="nil"/>
              <w:bottom w:val="single" w:sz="4" w:space="0" w:color="auto"/>
              <w:right w:val="single" w:sz="4" w:space="0" w:color="auto"/>
            </w:tcBorders>
            <w:shd w:val="clear" w:color="auto" w:fill="auto"/>
            <w:vAlign w:val="center"/>
            <w:hideMark/>
          </w:tcPr>
          <w:p w14:paraId="1F80DFBF"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52" w:type="dxa"/>
            <w:tcBorders>
              <w:top w:val="nil"/>
              <w:left w:val="nil"/>
              <w:bottom w:val="single" w:sz="4" w:space="0" w:color="auto"/>
              <w:right w:val="single" w:sz="4" w:space="0" w:color="auto"/>
            </w:tcBorders>
            <w:shd w:val="clear" w:color="auto" w:fill="auto"/>
            <w:vAlign w:val="center"/>
            <w:hideMark/>
          </w:tcPr>
          <w:p w14:paraId="2E145DA8"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138.875</w:t>
            </w:r>
          </w:p>
        </w:tc>
      </w:tr>
      <w:tr w:rsidR="0019459A" w:rsidRPr="006F5FDB" w14:paraId="39F8B701" w14:textId="77777777" w:rsidTr="000E10DF">
        <w:trPr>
          <w:trHeight w:val="170"/>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34AE2506"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proofErr w:type="spellStart"/>
            <w:r w:rsidRPr="006F5FDB">
              <w:rPr>
                <w:rFonts w:ascii="Calibri" w:eastAsia="Times New Roman" w:hAnsi="Calibri" w:cs="Calibri"/>
                <w:b/>
                <w:bCs/>
                <w:color w:val="000000"/>
                <w:sz w:val="16"/>
                <w:szCs w:val="16"/>
                <w:lang w:eastAsia="hr-HR"/>
              </w:rPr>
              <w:t>Lučino</w:t>
            </w:r>
            <w:proofErr w:type="spellEnd"/>
            <w:r w:rsidRPr="006F5FDB">
              <w:rPr>
                <w:rFonts w:ascii="Calibri" w:eastAsia="Times New Roman" w:hAnsi="Calibri" w:cs="Calibri"/>
                <w:b/>
                <w:bCs/>
                <w:color w:val="000000"/>
                <w:sz w:val="16"/>
                <w:szCs w:val="16"/>
                <w:lang w:eastAsia="hr-HR"/>
              </w:rPr>
              <w:t xml:space="preserve"> </w:t>
            </w:r>
            <w:proofErr w:type="spellStart"/>
            <w:r w:rsidRPr="006F5FDB">
              <w:rPr>
                <w:rFonts w:ascii="Calibri" w:eastAsia="Times New Roman" w:hAnsi="Calibri" w:cs="Calibri"/>
                <w:b/>
                <w:bCs/>
                <w:color w:val="000000"/>
                <w:sz w:val="16"/>
                <w:szCs w:val="16"/>
                <w:lang w:eastAsia="hr-HR"/>
              </w:rPr>
              <w:t>Razdolje</w:t>
            </w:r>
            <w:proofErr w:type="spellEnd"/>
          </w:p>
        </w:tc>
        <w:tc>
          <w:tcPr>
            <w:tcW w:w="3351" w:type="dxa"/>
            <w:tcBorders>
              <w:top w:val="nil"/>
              <w:left w:val="nil"/>
              <w:bottom w:val="single" w:sz="4" w:space="0" w:color="auto"/>
              <w:right w:val="single" w:sz="4" w:space="0" w:color="auto"/>
            </w:tcBorders>
            <w:shd w:val="clear" w:color="auto" w:fill="auto"/>
            <w:vAlign w:val="center"/>
            <w:hideMark/>
          </w:tcPr>
          <w:p w14:paraId="17CF2602"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1701" w:type="dxa"/>
            <w:tcBorders>
              <w:top w:val="nil"/>
              <w:left w:val="nil"/>
              <w:bottom w:val="single" w:sz="4" w:space="0" w:color="auto"/>
              <w:right w:val="single" w:sz="4" w:space="0" w:color="auto"/>
            </w:tcBorders>
            <w:shd w:val="clear" w:color="auto" w:fill="auto"/>
            <w:vAlign w:val="center"/>
            <w:hideMark/>
          </w:tcPr>
          <w:p w14:paraId="00F1D181"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40.000</w:t>
            </w:r>
          </w:p>
        </w:tc>
        <w:tc>
          <w:tcPr>
            <w:tcW w:w="1276" w:type="dxa"/>
            <w:tcBorders>
              <w:top w:val="nil"/>
              <w:left w:val="nil"/>
              <w:bottom w:val="single" w:sz="4" w:space="0" w:color="auto"/>
              <w:right w:val="single" w:sz="4" w:space="0" w:color="auto"/>
            </w:tcBorders>
            <w:shd w:val="clear" w:color="auto" w:fill="auto"/>
            <w:vAlign w:val="center"/>
            <w:hideMark/>
          </w:tcPr>
          <w:p w14:paraId="57FEECDF"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52" w:type="dxa"/>
            <w:tcBorders>
              <w:top w:val="nil"/>
              <w:left w:val="nil"/>
              <w:bottom w:val="single" w:sz="4" w:space="0" w:color="auto"/>
              <w:right w:val="single" w:sz="4" w:space="0" w:color="auto"/>
            </w:tcBorders>
            <w:shd w:val="clear" w:color="auto" w:fill="auto"/>
            <w:vAlign w:val="center"/>
            <w:hideMark/>
          </w:tcPr>
          <w:p w14:paraId="69D20AE4"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37.962</w:t>
            </w:r>
          </w:p>
        </w:tc>
      </w:tr>
      <w:tr w:rsidR="0019459A" w:rsidRPr="006F5FDB" w14:paraId="070BC07E" w14:textId="77777777" w:rsidTr="000E10DF">
        <w:trPr>
          <w:trHeight w:val="170"/>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1591639A"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proofErr w:type="spellStart"/>
            <w:r w:rsidRPr="006F5FDB">
              <w:rPr>
                <w:rFonts w:ascii="Calibri" w:eastAsia="Times New Roman" w:hAnsi="Calibri" w:cs="Calibri"/>
                <w:b/>
                <w:bCs/>
                <w:color w:val="000000"/>
                <w:sz w:val="16"/>
                <w:szCs w:val="16"/>
                <w:lang w:eastAsia="hr-HR"/>
              </w:rPr>
              <w:t>Piškornica</w:t>
            </w:r>
            <w:proofErr w:type="spellEnd"/>
          </w:p>
        </w:tc>
        <w:tc>
          <w:tcPr>
            <w:tcW w:w="3351" w:type="dxa"/>
            <w:tcBorders>
              <w:top w:val="nil"/>
              <w:left w:val="nil"/>
              <w:bottom w:val="single" w:sz="4" w:space="0" w:color="auto"/>
              <w:right w:val="single" w:sz="4" w:space="0" w:color="auto"/>
            </w:tcBorders>
            <w:shd w:val="clear" w:color="auto" w:fill="auto"/>
            <w:vAlign w:val="center"/>
            <w:hideMark/>
          </w:tcPr>
          <w:p w14:paraId="05A6D44E"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Varaždinska, Koprivničko-križevačka, Međimurska, Bjelovarsko-bilogorska </w:t>
            </w:r>
          </w:p>
        </w:tc>
        <w:tc>
          <w:tcPr>
            <w:tcW w:w="1701" w:type="dxa"/>
            <w:tcBorders>
              <w:top w:val="nil"/>
              <w:left w:val="nil"/>
              <w:bottom w:val="single" w:sz="4" w:space="0" w:color="auto"/>
              <w:right w:val="single" w:sz="4" w:space="0" w:color="auto"/>
            </w:tcBorders>
            <w:shd w:val="clear" w:color="auto" w:fill="auto"/>
            <w:vAlign w:val="center"/>
            <w:hideMark/>
          </w:tcPr>
          <w:p w14:paraId="6C2B6124"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110.000</w:t>
            </w:r>
          </w:p>
        </w:tc>
        <w:tc>
          <w:tcPr>
            <w:tcW w:w="1276" w:type="dxa"/>
            <w:tcBorders>
              <w:top w:val="nil"/>
              <w:left w:val="nil"/>
              <w:bottom w:val="single" w:sz="4" w:space="0" w:color="auto"/>
              <w:right w:val="single" w:sz="4" w:space="0" w:color="auto"/>
            </w:tcBorders>
            <w:shd w:val="clear" w:color="auto" w:fill="auto"/>
            <w:vAlign w:val="center"/>
            <w:hideMark/>
          </w:tcPr>
          <w:p w14:paraId="573A93BE"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52" w:type="dxa"/>
            <w:tcBorders>
              <w:top w:val="nil"/>
              <w:left w:val="nil"/>
              <w:bottom w:val="single" w:sz="4" w:space="0" w:color="auto"/>
              <w:right w:val="single" w:sz="4" w:space="0" w:color="auto"/>
            </w:tcBorders>
            <w:shd w:val="clear" w:color="auto" w:fill="auto"/>
            <w:vAlign w:val="center"/>
            <w:hideMark/>
          </w:tcPr>
          <w:p w14:paraId="7D42CEFD"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99.390</w:t>
            </w:r>
          </w:p>
        </w:tc>
      </w:tr>
      <w:tr w:rsidR="0019459A" w:rsidRPr="006F5FDB" w14:paraId="3A891BDA" w14:textId="77777777" w:rsidTr="000E10DF">
        <w:trPr>
          <w:trHeight w:val="170"/>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68E4498F"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proofErr w:type="spellStart"/>
            <w:r w:rsidRPr="006F5FDB">
              <w:rPr>
                <w:rFonts w:ascii="Calibri" w:eastAsia="Times New Roman" w:hAnsi="Calibri" w:cs="Calibri"/>
                <w:b/>
                <w:bCs/>
                <w:color w:val="000000"/>
                <w:sz w:val="16"/>
                <w:szCs w:val="16"/>
                <w:lang w:eastAsia="hr-HR"/>
              </w:rPr>
              <w:t>Šagulje</w:t>
            </w:r>
            <w:proofErr w:type="spellEnd"/>
          </w:p>
        </w:tc>
        <w:tc>
          <w:tcPr>
            <w:tcW w:w="3351" w:type="dxa"/>
            <w:tcBorders>
              <w:top w:val="nil"/>
              <w:left w:val="nil"/>
              <w:bottom w:val="single" w:sz="4" w:space="0" w:color="auto"/>
              <w:right w:val="single" w:sz="4" w:space="0" w:color="auto"/>
            </w:tcBorders>
            <w:shd w:val="clear" w:color="auto" w:fill="auto"/>
            <w:vAlign w:val="center"/>
            <w:hideMark/>
          </w:tcPr>
          <w:p w14:paraId="18E6DE19"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Brodsko-posavska, dio Sisačko-moslavačke i Virovitičko-podravska </w:t>
            </w:r>
          </w:p>
        </w:tc>
        <w:tc>
          <w:tcPr>
            <w:tcW w:w="1701" w:type="dxa"/>
            <w:tcBorders>
              <w:top w:val="nil"/>
              <w:left w:val="nil"/>
              <w:bottom w:val="single" w:sz="4" w:space="0" w:color="auto"/>
              <w:right w:val="single" w:sz="4" w:space="0" w:color="auto"/>
            </w:tcBorders>
            <w:shd w:val="clear" w:color="auto" w:fill="auto"/>
            <w:vAlign w:val="center"/>
            <w:hideMark/>
          </w:tcPr>
          <w:p w14:paraId="6BE3352E"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55.000</w:t>
            </w:r>
          </w:p>
        </w:tc>
        <w:tc>
          <w:tcPr>
            <w:tcW w:w="1276" w:type="dxa"/>
            <w:tcBorders>
              <w:top w:val="nil"/>
              <w:left w:val="nil"/>
              <w:bottom w:val="single" w:sz="4" w:space="0" w:color="auto"/>
              <w:right w:val="single" w:sz="4" w:space="0" w:color="auto"/>
            </w:tcBorders>
            <w:shd w:val="clear" w:color="auto" w:fill="auto"/>
            <w:vAlign w:val="center"/>
            <w:hideMark/>
          </w:tcPr>
          <w:p w14:paraId="067C0639"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52" w:type="dxa"/>
            <w:tcBorders>
              <w:top w:val="nil"/>
              <w:left w:val="nil"/>
              <w:bottom w:val="single" w:sz="4" w:space="0" w:color="auto"/>
              <w:right w:val="single" w:sz="4" w:space="0" w:color="auto"/>
            </w:tcBorders>
            <w:shd w:val="clear" w:color="auto" w:fill="auto"/>
            <w:vAlign w:val="center"/>
            <w:hideMark/>
          </w:tcPr>
          <w:p w14:paraId="5F076A62"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58.733</w:t>
            </w:r>
          </w:p>
        </w:tc>
      </w:tr>
      <w:tr w:rsidR="0019459A" w:rsidRPr="006F5FDB" w14:paraId="04F65830" w14:textId="77777777" w:rsidTr="000E10DF">
        <w:trPr>
          <w:trHeight w:val="170"/>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38FE4367"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proofErr w:type="spellStart"/>
            <w:r w:rsidRPr="006F5FDB">
              <w:rPr>
                <w:rFonts w:ascii="Calibri" w:eastAsia="Times New Roman" w:hAnsi="Calibri" w:cs="Calibri"/>
                <w:b/>
                <w:bCs/>
                <w:color w:val="000000"/>
                <w:sz w:val="16"/>
                <w:szCs w:val="16"/>
                <w:lang w:eastAsia="hr-HR"/>
              </w:rPr>
              <w:t>Orlovnjak</w:t>
            </w:r>
            <w:proofErr w:type="spellEnd"/>
          </w:p>
        </w:tc>
        <w:tc>
          <w:tcPr>
            <w:tcW w:w="3351" w:type="dxa"/>
            <w:tcBorders>
              <w:top w:val="nil"/>
              <w:left w:val="nil"/>
              <w:bottom w:val="single" w:sz="4" w:space="0" w:color="auto"/>
              <w:right w:val="single" w:sz="4" w:space="0" w:color="auto"/>
            </w:tcBorders>
            <w:shd w:val="clear" w:color="auto" w:fill="auto"/>
            <w:vAlign w:val="center"/>
            <w:hideMark/>
          </w:tcPr>
          <w:p w14:paraId="0D6C8BA8"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 baranjska i Vukovarsko-srijemska </w:t>
            </w:r>
          </w:p>
        </w:tc>
        <w:tc>
          <w:tcPr>
            <w:tcW w:w="1701" w:type="dxa"/>
            <w:tcBorders>
              <w:top w:val="nil"/>
              <w:left w:val="nil"/>
              <w:bottom w:val="single" w:sz="4" w:space="0" w:color="auto"/>
              <w:right w:val="single" w:sz="4" w:space="0" w:color="auto"/>
            </w:tcBorders>
            <w:shd w:val="clear" w:color="auto" w:fill="auto"/>
            <w:vAlign w:val="center"/>
            <w:hideMark/>
          </w:tcPr>
          <w:p w14:paraId="18365937"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60.000</w:t>
            </w:r>
          </w:p>
        </w:tc>
        <w:tc>
          <w:tcPr>
            <w:tcW w:w="1276" w:type="dxa"/>
            <w:tcBorders>
              <w:top w:val="nil"/>
              <w:left w:val="nil"/>
              <w:bottom w:val="single" w:sz="4" w:space="0" w:color="auto"/>
              <w:right w:val="single" w:sz="4" w:space="0" w:color="auto"/>
            </w:tcBorders>
            <w:shd w:val="clear" w:color="auto" w:fill="auto"/>
            <w:vAlign w:val="center"/>
            <w:hideMark/>
          </w:tcPr>
          <w:p w14:paraId="78095AC2"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52" w:type="dxa"/>
            <w:tcBorders>
              <w:top w:val="nil"/>
              <w:left w:val="nil"/>
              <w:bottom w:val="single" w:sz="4" w:space="0" w:color="auto"/>
              <w:right w:val="single" w:sz="4" w:space="0" w:color="auto"/>
            </w:tcBorders>
            <w:shd w:val="clear" w:color="auto" w:fill="auto"/>
            <w:vAlign w:val="center"/>
            <w:hideMark/>
          </w:tcPr>
          <w:p w14:paraId="19EBC522"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77.244</w:t>
            </w:r>
          </w:p>
        </w:tc>
      </w:tr>
      <w:tr w:rsidR="0019459A" w:rsidRPr="006F5FDB" w14:paraId="31B81F94" w14:textId="77777777" w:rsidTr="000E10DF">
        <w:trPr>
          <w:trHeight w:val="300"/>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79A1CAB4"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Zagreb</w:t>
            </w:r>
          </w:p>
        </w:tc>
        <w:tc>
          <w:tcPr>
            <w:tcW w:w="3351" w:type="dxa"/>
            <w:tcBorders>
              <w:top w:val="nil"/>
              <w:left w:val="nil"/>
              <w:bottom w:val="single" w:sz="4" w:space="0" w:color="auto"/>
              <w:right w:val="single" w:sz="4" w:space="0" w:color="auto"/>
            </w:tcBorders>
            <w:shd w:val="clear" w:color="auto" w:fill="auto"/>
            <w:vAlign w:val="center"/>
            <w:hideMark/>
          </w:tcPr>
          <w:p w14:paraId="4EEA4E1B"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 i Zagrebačka županija</w:t>
            </w:r>
          </w:p>
        </w:tc>
        <w:tc>
          <w:tcPr>
            <w:tcW w:w="1701" w:type="dxa"/>
            <w:tcBorders>
              <w:top w:val="nil"/>
              <w:left w:val="nil"/>
              <w:bottom w:val="single" w:sz="4" w:space="0" w:color="auto"/>
              <w:right w:val="single" w:sz="4" w:space="0" w:color="auto"/>
            </w:tcBorders>
            <w:shd w:val="clear" w:color="auto" w:fill="auto"/>
            <w:vAlign w:val="center"/>
            <w:hideMark/>
          </w:tcPr>
          <w:p w14:paraId="0DC33F3F"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180.000</w:t>
            </w:r>
          </w:p>
        </w:tc>
        <w:tc>
          <w:tcPr>
            <w:tcW w:w="1276" w:type="dxa"/>
            <w:tcBorders>
              <w:top w:val="nil"/>
              <w:left w:val="nil"/>
              <w:bottom w:val="single" w:sz="4" w:space="0" w:color="auto"/>
              <w:right w:val="single" w:sz="4" w:space="0" w:color="auto"/>
            </w:tcBorders>
            <w:shd w:val="clear" w:color="auto" w:fill="auto"/>
            <w:vAlign w:val="center"/>
            <w:hideMark/>
          </w:tcPr>
          <w:p w14:paraId="165E1AC6"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52" w:type="dxa"/>
            <w:tcBorders>
              <w:top w:val="nil"/>
              <w:left w:val="nil"/>
              <w:bottom w:val="single" w:sz="4" w:space="0" w:color="auto"/>
              <w:right w:val="single" w:sz="4" w:space="0" w:color="auto"/>
            </w:tcBorders>
            <w:shd w:val="clear" w:color="auto" w:fill="auto"/>
            <w:vAlign w:val="center"/>
            <w:hideMark/>
          </w:tcPr>
          <w:p w14:paraId="3335CAF6"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254.464</w:t>
            </w:r>
          </w:p>
        </w:tc>
      </w:tr>
      <w:tr w:rsidR="0019459A" w:rsidRPr="006F5FDB" w14:paraId="14D5420D" w14:textId="77777777" w:rsidTr="000E10DF">
        <w:trPr>
          <w:trHeight w:val="300"/>
        </w:trPr>
        <w:tc>
          <w:tcPr>
            <w:tcW w:w="45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FA02CEE" w14:textId="77777777" w:rsidR="0019459A" w:rsidRPr="006F5FDB" w:rsidRDefault="0019459A" w:rsidP="0019459A">
            <w:pPr>
              <w:spacing w:after="0" w:line="240" w:lineRule="auto"/>
              <w:jc w:val="righ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UKUPNO:</w:t>
            </w:r>
          </w:p>
        </w:tc>
        <w:tc>
          <w:tcPr>
            <w:tcW w:w="1701" w:type="dxa"/>
            <w:tcBorders>
              <w:top w:val="nil"/>
              <w:left w:val="nil"/>
              <w:bottom w:val="single" w:sz="4" w:space="0" w:color="auto"/>
              <w:right w:val="single" w:sz="4" w:space="0" w:color="auto"/>
            </w:tcBorders>
            <w:shd w:val="clear" w:color="auto" w:fill="auto"/>
            <w:vAlign w:val="center"/>
            <w:hideMark/>
          </w:tcPr>
          <w:p w14:paraId="3EE8A132" w14:textId="77777777" w:rsidR="0019459A" w:rsidRPr="006F5FDB" w:rsidRDefault="0019459A" w:rsidP="0019459A">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673.000</w:t>
            </w:r>
          </w:p>
        </w:tc>
        <w:tc>
          <w:tcPr>
            <w:tcW w:w="1276" w:type="dxa"/>
            <w:tcBorders>
              <w:top w:val="nil"/>
              <w:left w:val="nil"/>
              <w:bottom w:val="single" w:sz="4" w:space="0" w:color="auto"/>
              <w:right w:val="single" w:sz="4" w:space="0" w:color="auto"/>
            </w:tcBorders>
            <w:shd w:val="clear" w:color="auto" w:fill="auto"/>
            <w:vAlign w:val="center"/>
            <w:hideMark/>
          </w:tcPr>
          <w:p w14:paraId="7D7CC304" w14:textId="77777777" w:rsidR="0019459A" w:rsidRPr="006F5FDB" w:rsidRDefault="0019459A" w:rsidP="0019459A">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0</w:t>
            </w:r>
          </w:p>
        </w:tc>
        <w:tc>
          <w:tcPr>
            <w:tcW w:w="1952" w:type="dxa"/>
            <w:tcBorders>
              <w:top w:val="nil"/>
              <w:left w:val="nil"/>
              <w:bottom w:val="single" w:sz="4" w:space="0" w:color="auto"/>
              <w:right w:val="single" w:sz="4" w:space="0" w:color="auto"/>
            </w:tcBorders>
            <w:shd w:val="clear" w:color="auto" w:fill="auto"/>
            <w:vAlign w:val="center"/>
            <w:hideMark/>
          </w:tcPr>
          <w:p w14:paraId="36527813" w14:textId="77777777" w:rsidR="0019459A" w:rsidRPr="006F5FDB" w:rsidRDefault="0019459A" w:rsidP="0019459A">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764.647</w:t>
            </w:r>
          </w:p>
        </w:tc>
      </w:tr>
    </w:tbl>
    <w:p w14:paraId="303F6A21" w14:textId="77777777" w:rsidR="0019459A" w:rsidRPr="00A23664" w:rsidRDefault="0019459A" w:rsidP="00A23664"/>
    <w:p w14:paraId="343DD9E8" w14:textId="177A94EF" w:rsidR="00351C00" w:rsidRDefault="00351C00" w:rsidP="0018450E">
      <w:pPr>
        <w:pStyle w:val="IRNaslov3"/>
        <w:pageBreakBefore/>
        <w:numPr>
          <w:ilvl w:val="2"/>
          <w:numId w:val="22"/>
        </w:numPr>
      </w:pPr>
      <w:bookmarkStart w:id="269" w:name="_Toc123211667"/>
      <w:r>
        <w:lastRenderedPageBreak/>
        <w:t>Postrojenja za oporabu građevnog otpada</w:t>
      </w:r>
      <w:bookmarkEnd w:id="269"/>
    </w:p>
    <w:p w14:paraId="4F4D600A" w14:textId="44028A1E" w:rsidR="00A23664" w:rsidRDefault="003D214B" w:rsidP="00A23664">
      <w:r>
        <w:t>S obzirom na evidentirane kapacitete za oporabu građevnog otpada</w:t>
      </w:r>
      <w:r w:rsidR="003F6798">
        <w:t xml:space="preserve"> (određeno na temelju postojećih dozvola za gospodarenje otpadom)</w:t>
      </w:r>
      <w:r>
        <w:t xml:space="preserve"> a kojih u većini županija ima dovoljno (uzimajući u obzir procijenjene količine nastalog građevnog otpada u 2020. godini), procjena potrebnih dodatnih kapaciteta je prikazana samo za županije u kojima je evidentiran nedostatak kapaciteta. Iako na razini RH ima dovoljan ukupni kapacitet za oporabu građevnog otpada, uzimajući u obzir iznimnu osjetljivost na troškove prijevoza za ovu vrstu otpada nužno je planirati dodatna ulaganja u područjima s nedostatkom kapaciteta.</w:t>
      </w:r>
    </w:p>
    <w:p w14:paraId="6ABF486F" w14:textId="54015D96" w:rsidR="002F2E13" w:rsidRDefault="002F2E13" w:rsidP="000E10DF">
      <w:pPr>
        <w:pStyle w:val="Tablica"/>
      </w:pPr>
      <w:bookmarkStart w:id="270" w:name="_Ref116637006"/>
      <w:bookmarkStart w:id="271" w:name="_Toc125364439"/>
      <w:r>
        <w:t xml:space="preserve">Tablica </w:t>
      </w:r>
      <w:fldSimple w:instr=" SEQ Tablica \* ARABIC ">
        <w:r w:rsidR="00F37B62">
          <w:rPr>
            <w:noProof/>
          </w:rPr>
          <w:t>50</w:t>
        </w:r>
      </w:fldSimple>
      <w:bookmarkEnd w:id="270"/>
      <w:r>
        <w:t xml:space="preserve">. </w:t>
      </w:r>
      <w:r w:rsidRPr="00A23664">
        <w:rPr>
          <w:b w:val="0"/>
          <w:bCs/>
        </w:rPr>
        <w:t>Potre</w:t>
      </w:r>
      <w:r>
        <w:rPr>
          <w:b w:val="0"/>
          <w:bCs/>
        </w:rPr>
        <w:t xml:space="preserve">bni kapaciteti </w:t>
      </w:r>
      <w:r w:rsidR="00F135C4">
        <w:rPr>
          <w:b w:val="0"/>
          <w:bCs/>
        </w:rPr>
        <w:t xml:space="preserve">mobilnih </w:t>
      </w:r>
      <w:r>
        <w:rPr>
          <w:b w:val="0"/>
          <w:bCs/>
        </w:rPr>
        <w:t xml:space="preserve">drobilica </w:t>
      </w:r>
      <w:r w:rsidR="00F135C4">
        <w:rPr>
          <w:b w:val="0"/>
          <w:bCs/>
        </w:rPr>
        <w:t xml:space="preserve">i stacionarnih postrojenja </w:t>
      </w:r>
      <w:r>
        <w:rPr>
          <w:b w:val="0"/>
          <w:bCs/>
        </w:rPr>
        <w:t>za</w:t>
      </w:r>
      <w:r w:rsidR="00F135C4">
        <w:rPr>
          <w:b w:val="0"/>
          <w:bCs/>
        </w:rPr>
        <w:t xml:space="preserve"> obradu</w:t>
      </w:r>
      <w:r>
        <w:rPr>
          <w:b w:val="0"/>
          <w:bCs/>
        </w:rPr>
        <w:t xml:space="preserve"> </w:t>
      </w:r>
      <w:r w:rsidR="00F135C4">
        <w:rPr>
          <w:b w:val="0"/>
          <w:bCs/>
        </w:rPr>
        <w:t xml:space="preserve">građevnog </w:t>
      </w:r>
      <w:r>
        <w:rPr>
          <w:b w:val="0"/>
          <w:bCs/>
        </w:rPr>
        <w:t>otpad</w:t>
      </w:r>
      <w:r w:rsidR="00F135C4">
        <w:rPr>
          <w:b w:val="0"/>
          <w:bCs/>
        </w:rPr>
        <w:t>a</w:t>
      </w:r>
      <w:bookmarkEnd w:id="271"/>
      <w:r>
        <w:rPr>
          <w:b w:val="0"/>
          <w:bCs/>
        </w:rPr>
        <w:t xml:space="preserve"> </w:t>
      </w:r>
    </w:p>
    <w:tbl>
      <w:tblPr>
        <w:tblpPr w:leftFromText="180" w:rightFromText="180" w:vertAnchor="text" w:tblpY="1"/>
        <w:tblOverlap w:val="never"/>
        <w:tblW w:w="9629" w:type="dxa"/>
        <w:tblLook w:val="04A0" w:firstRow="1" w:lastRow="0" w:firstColumn="1" w:lastColumn="0" w:noHBand="0" w:noVBand="1"/>
      </w:tblPr>
      <w:tblGrid>
        <w:gridCol w:w="2040"/>
        <w:gridCol w:w="1305"/>
        <w:gridCol w:w="1208"/>
        <w:gridCol w:w="1176"/>
        <w:gridCol w:w="1263"/>
        <w:gridCol w:w="1308"/>
        <w:gridCol w:w="1329"/>
      </w:tblGrid>
      <w:tr w:rsidR="007E3868" w:rsidRPr="00FB7CFE" w14:paraId="63C8C397" w14:textId="1FC97152" w:rsidTr="00BB2706">
        <w:trPr>
          <w:trHeight w:val="270"/>
        </w:trPr>
        <w:tc>
          <w:tcPr>
            <w:tcW w:w="9629"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E0D16B5" w14:textId="4791E4A1" w:rsidR="007E3868" w:rsidRPr="00FB7CFE" w:rsidRDefault="007E3868" w:rsidP="00CC41BC">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2028.-GRAĐEVNI OTPAD-</w:t>
            </w:r>
          </w:p>
        </w:tc>
      </w:tr>
      <w:tr w:rsidR="007E3868" w:rsidRPr="00FB7CFE" w14:paraId="6BA86E12" w14:textId="272CCEE9" w:rsidTr="00BB2706">
        <w:trPr>
          <w:trHeight w:val="1350"/>
        </w:trPr>
        <w:tc>
          <w:tcPr>
            <w:tcW w:w="2040" w:type="dxa"/>
            <w:tcBorders>
              <w:top w:val="nil"/>
              <w:left w:val="single" w:sz="8" w:space="0" w:color="auto"/>
              <w:bottom w:val="nil"/>
              <w:right w:val="single" w:sz="4" w:space="0" w:color="auto"/>
            </w:tcBorders>
            <w:shd w:val="clear" w:color="auto" w:fill="002060"/>
            <w:noWrap/>
            <w:vAlign w:val="center"/>
            <w:hideMark/>
          </w:tcPr>
          <w:p w14:paraId="280470B7" w14:textId="77777777" w:rsidR="007E3868" w:rsidRPr="00FB7CFE" w:rsidRDefault="007E3868"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Županija</w:t>
            </w:r>
          </w:p>
        </w:tc>
        <w:tc>
          <w:tcPr>
            <w:tcW w:w="1305" w:type="dxa"/>
            <w:tcBorders>
              <w:top w:val="nil"/>
              <w:left w:val="nil"/>
              <w:bottom w:val="nil"/>
              <w:right w:val="single" w:sz="4" w:space="0" w:color="auto"/>
            </w:tcBorders>
            <w:shd w:val="clear" w:color="auto" w:fill="002060"/>
            <w:vAlign w:val="center"/>
            <w:hideMark/>
          </w:tcPr>
          <w:p w14:paraId="4D64F5CB" w14:textId="77777777" w:rsidR="007E3868" w:rsidRPr="00FB7CFE" w:rsidRDefault="007E3868"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 xml:space="preserve">Procijenjene količine nastalog građevnog otpada u </w:t>
            </w:r>
            <w:r w:rsidRPr="00FB7CFE">
              <w:rPr>
                <w:rFonts w:ascii="Calibri" w:eastAsia="Times New Roman" w:hAnsi="Calibri" w:cs="Calibri"/>
                <w:b/>
                <w:bCs/>
                <w:color w:val="FFFFFF" w:themeColor="background1"/>
                <w:sz w:val="16"/>
                <w:szCs w:val="16"/>
                <w:lang w:eastAsia="hr-HR"/>
              </w:rPr>
              <w:t>2020.</w:t>
            </w:r>
            <w:r w:rsidRPr="00FB7CFE">
              <w:rPr>
                <w:rFonts w:ascii="Calibri" w:eastAsia="Times New Roman" w:hAnsi="Calibri" w:cs="Calibri"/>
                <w:b/>
                <w:color w:val="FFFFFF" w:themeColor="background1"/>
                <w:sz w:val="16"/>
                <w:szCs w:val="16"/>
                <w:lang w:eastAsia="hr-HR"/>
              </w:rPr>
              <w:br/>
              <w:t>(t/god)</w:t>
            </w:r>
          </w:p>
        </w:tc>
        <w:tc>
          <w:tcPr>
            <w:tcW w:w="1208" w:type="dxa"/>
            <w:tcBorders>
              <w:top w:val="nil"/>
              <w:left w:val="nil"/>
              <w:bottom w:val="nil"/>
              <w:right w:val="single" w:sz="4" w:space="0" w:color="auto"/>
            </w:tcBorders>
            <w:shd w:val="clear" w:color="auto" w:fill="002060"/>
            <w:vAlign w:val="center"/>
            <w:hideMark/>
          </w:tcPr>
          <w:p w14:paraId="35365A5E" w14:textId="5C029302" w:rsidR="007E3868" w:rsidRPr="00FB7CFE" w:rsidRDefault="007E3868"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 xml:space="preserve">Postojeći kapacitet  </w:t>
            </w:r>
            <w:r>
              <w:rPr>
                <w:rFonts w:ascii="Calibri" w:eastAsia="Times New Roman" w:hAnsi="Calibri" w:cs="Calibri"/>
                <w:b/>
                <w:color w:val="FFFFFF" w:themeColor="background1"/>
                <w:sz w:val="16"/>
                <w:szCs w:val="16"/>
                <w:lang w:eastAsia="hr-HR"/>
              </w:rPr>
              <w:t xml:space="preserve">mobilnih </w:t>
            </w:r>
            <w:r w:rsidRPr="00FB7CFE">
              <w:rPr>
                <w:rFonts w:ascii="Calibri" w:eastAsia="Times New Roman" w:hAnsi="Calibri" w:cs="Calibri"/>
                <w:b/>
                <w:color w:val="FFFFFF" w:themeColor="background1"/>
                <w:sz w:val="16"/>
                <w:szCs w:val="16"/>
                <w:lang w:eastAsia="hr-HR"/>
              </w:rPr>
              <w:t>drobilica za građevni otpad</w:t>
            </w:r>
            <w:r w:rsidRPr="00FB7CFE">
              <w:rPr>
                <w:rFonts w:ascii="Calibri" w:eastAsia="Times New Roman" w:hAnsi="Calibri" w:cs="Calibri"/>
                <w:b/>
                <w:color w:val="FFFFFF" w:themeColor="background1"/>
                <w:sz w:val="16"/>
                <w:szCs w:val="16"/>
                <w:lang w:eastAsia="hr-HR"/>
              </w:rPr>
              <w:br/>
              <w:t>(t/god)</w:t>
            </w:r>
          </w:p>
        </w:tc>
        <w:tc>
          <w:tcPr>
            <w:tcW w:w="1176" w:type="dxa"/>
            <w:tcBorders>
              <w:top w:val="nil"/>
              <w:left w:val="nil"/>
              <w:bottom w:val="nil"/>
              <w:right w:val="nil"/>
            </w:tcBorders>
            <w:shd w:val="clear" w:color="auto" w:fill="002060"/>
            <w:vAlign w:val="center"/>
            <w:hideMark/>
          </w:tcPr>
          <w:p w14:paraId="01359807" w14:textId="79EF3C0A" w:rsidR="007E3868" w:rsidRPr="00FB7CFE" w:rsidRDefault="007E3868"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 xml:space="preserve">Potrebni dodatni kapacitet </w:t>
            </w:r>
            <w:r>
              <w:rPr>
                <w:rFonts w:ascii="Calibri" w:eastAsia="Times New Roman" w:hAnsi="Calibri" w:cs="Calibri"/>
                <w:b/>
                <w:color w:val="FFFFFF" w:themeColor="background1"/>
                <w:sz w:val="16"/>
                <w:szCs w:val="16"/>
                <w:lang w:eastAsia="hr-HR"/>
              </w:rPr>
              <w:t xml:space="preserve">mobilnih </w:t>
            </w:r>
            <w:r w:rsidRPr="00FB7CFE">
              <w:rPr>
                <w:rFonts w:ascii="Calibri" w:eastAsia="Times New Roman" w:hAnsi="Calibri" w:cs="Calibri"/>
                <w:b/>
                <w:color w:val="FFFFFF" w:themeColor="background1"/>
                <w:sz w:val="16"/>
                <w:szCs w:val="16"/>
                <w:lang w:eastAsia="hr-HR"/>
              </w:rPr>
              <w:t>drobilica</w:t>
            </w:r>
            <w:r>
              <w:rPr>
                <w:rFonts w:ascii="Calibri" w:eastAsia="Times New Roman" w:hAnsi="Calibri" w:cs="Calibri"/>
                <w:b/>
                <w:color w:val="FFFFFF" w:themeColor="background1"/>
                <w:sz w:val="16"/>
                <w:szCs w:val="16"/>
                <w:lang w:eastAsia="hr-HR"/>
              </w:rPr>
              <w:t xml:space="preserve"> i stacionarnih postrojenja za obradu </w:t>
            </w:r>
            <w:r w:rsidRPr="00FB7CFE">
              <w:rPr>
                <w:rFonts w:ascii="Calibri" w:eastAsia="Times New Roman" w:hAnsi="Calibri" w:cs="Calibri"/>
                <w:b/>
                <w:color w:val="FFFFFF" w:themeColor="background1"/>
                <w:sz w:val="16"/>
                <w:szCs w:val="16"/>
                <w:lang w:eastAsia="hr-HR"/>
              </w:rPr>
              <w:t>građevn</w:t>
            </w:r>
            <w:r>
              <w:rPr>
                <w:rFonts w:ascii="Calibri" w:eastAsia="Times New Roman" w:hAnsi="Calibri" w:cs="Calibri"/>
                <w:b/>
                <w:color w:val="FFFFFF" w:themeColor="background1"/>
                <w:sz w:val="16"/>
                <w:szCs w:val="16"/>
                <w:lang w:eastAsia="hr-HR"/>
              </w:rPr>
              <w:t>og</w:t>
            </w:r>
            <w:r w:rsidRPr="00FB7CFE">
              <w:rPr>
                <w:rFonts w:ascii="Calibri" w:eastAsia="Times New Roman" w:hAnsi="Calibri" w:cs="Calibri"/>
                <w:b/>
                <w:color w:val="FFFFFF" w:themeColor="background1"/>
                <w:sz w:val="16"/>
                <w:szCs w:val="16"/>
                <w:lang w:eastAsia="hr-HR"/>
              </w:rPr>
              <w:t xml:space="preserve"> otpad</w:t>
            </w:r>
            <w:r>
              <w:rPr>
                <w:rFonts w:ascii="Calibri" w:eastAsia="Times New Roman" w:hAnsi="Calibri" w:cs="Calibri"/>
                <w:b/>
                <w:color w:val="FFFFFF" w:themeColor="background1"/>
                <w:sz w:val="16"/>
                <w:szCs w:val="16"/>
                <w:lang w:eastAsia="hr-HR"/>
              </w:rPr>
              <w:t>a</w:t>
            </w:r>
            <w:r w:rsidRPr="00FB7CFE">
              <w:rPr>
                <w:rFonts w:ascii="Calibri" w:eastAsia="Times New Roman" w:hAnsi="Calibri" w:cs="Calibri"/>
                <w:b/>
                <w:color w:val="FFFFFF" w:themeColor="background1"/>
                <w:sz w:val="16"/>
                <w:szCs w:val="16"/>
                <w:lang w:eastAsia="hr-HR"/>
              </w:rPr>
              <w:br/>
              <w:t>(t/god)</w:t>
            </w:r>
          </w:p>
        </w:tc>
        <w:tc>
          <w:tcPr>
            <w:tcW w:w="1263" w:type="dxa"/>
            <w:tcBorders>
              <w:top w:val="nil"/>
              <w:left w:val="single" w:sz="4" w:space="0" w:color="auto"/>
              <w:bottom w:val="single" w:sz="4" w:space="0" w:color="auto"/>
              <w:right w:val="single" w:sz="4" w:space="0" w:color="auto"/>
            </w:tcBorders>
            <w:shd w:val="clear" w:color="auto" w:fill="002060"/>
            <w:vAlign w:val="center"/>
            <w:hideMark/>
          </w:tcPr>
          <w:p w14:paraId="0015E9C9" w14:textId="77777777" w:rsidR="007E3868" w:rsidRPr="00FB7CFE" w:rsidRDefault="007E3868"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Potreban broj postrojenja</w:t>
            </w:r>
          </w:p>
        </w:tc>
        <w:tc>
          <w:tcPr>
            <w:tcW w:w="1308" w:type="dxa"/>
            <w:tcBorders>
              <w:top w:val="nil"/>
              <w:left w:val="nil"/>
              <w:bottom w:val="single" w:sz="4" w:space="0" w:color="auto"/>
              <w:right w:val="single" w:sz="8" w:space="0" w:color="auto"/>
            </w:tcBorders>
            <w:shd w:val="clear" w:color="auto" w:fill="002060"/>
            <w:vAlign w:val="center"/>
            <w:hideMark/>
          </w:tcPr>
          <w:p w14:paraId="63B6820F" w14:textId="5FC3DC30" w:rsidR="007E3868" w:rsidRPr="00FB7CFE" w:rsidRDefault="007E3868"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Investicija</w:t>
            </w:r>
            <w:r>
              <w:rPr>
                <w:rFonts w:ascii="Calibri" w:eastAsia="Times New Roman" w:hAnsi="Calibri" w:cs="Calibri"/>
                <w:b/>
                <w:color w:val="FFFFFF" w:themeColor="background1"/>
                <w:sz w:val="16"/>
                <w:szCs w:val="16"/>
                <w:lang w:eastAsia="hr-HR"/>
              </w:rPr>
              <w:br/>
              <w:t>(kn)</w:t>
            </w:r>
          </w:p>
        </w:tc>
        <w:tc>
          <w:tcPr>
            <w:tcW w:w="1329" w:type="dxa"/>
            <w:tcBorders>
              <w:top w:val="nil"/>
              <w:left w:val="nil"/>
              <w:bottom w:val="single" w:sz="4" w:space="0" w:color="auto"/>
              <w:right w:val="single" w:sz="8" w:space="0" w:color="auto"/>
            </w:tcBorders>
            <w:shd w:val="clear" w:color="auto" w:fill="002060"/>
            <w:vAlign w:val="center"/>
          </w:tcPr>
          <w:p w14:paraId="7D0A7A1C" w14:textId="13BFDCE0" w:rsidR="007E3868" w:rsidRPr="00FB7CFE" w:rsidRDefault="007E3868" w:rsidP="007E3868">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Investicija</w:t>
            </w:r>
            <w:r>
              <w:rPr>
                <w:rFonts w:ascii="Calibri" w:eastAsia="Times New Roman" w:hAnsi="Calibri" w:cs="Calibri"/>
                <w:b/>
                <w:color w:val="FFFFFF" w:themeColor="background1"/>
                <w:sz w:val="16"/>
                <w:szCs w:val="16"/>
                <w:lang w:eastAsia="hr-HR"/>
              </w:rPr>
              <w:br/>
              <w:t>(EUR)</w:t>
            </w:r>
          </w:p>
        </w:tc>
      </w:tr>
      <w:tr w:rsidR="007E3868" w:rsidRPr="00FB7CFE" w14:paraId="02707645" w14:textId="15FB9097" w:rsidTr="00BB2706">
        <w:trPr>
          <w:trHeight w:val="170"/>
        </w:trPr>
        <w:tc>
          <w:tcPr>
            <w:tcW w:w="20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7939C74"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Bjelovarsko-bilogorska</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34E5E7FB"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18.661</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14:paraId="730159DA"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11.950</w:t>
            </w:r>
          </w:p>
        </w:tc>
        <w:tc>
          <w:tcPr>
            <w:tcW w:w="1176" w:type="dxa"/>
            <w:tcBorders>
              <w:top w:val="single" w:sz="4" w:space="0" w:color="auto"/>
              <w:left w:val="nil"/>
              <w:bottom w:val="single" w:sz="4" w:space="0" w:color="auto"/>
              <w:right w:val="nil"/>
            </w:tcBorders>
            <w:shd w:val="clear" w:color="auto" w:fill="auto"/>
            <w:noWrap/>
            <w:vAlign w:val="center"/>
            <w:hideMark/>
          </w:tcPr>
          <w:p w14:paraId="15E0FFF3"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6.711</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73C7DB93"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1308" w:type="dxa"/>
            <w:tcBorders>
              <w:top w:val="nil"/>
              <w:left w:val="nil"/>
              <w:bottom w:val="single" w:sz="4" w:space="0" w:color="auto"/>
              <w:right w:val="single" w:sz="8" w:space="0" w:color="auto"/>
            </w:tcBorders>
            <w:shd w:val="clear" w:color="auto" w:fill="auto"/>
            <w:noWrap/>
            <w:vAlign w:val="center"/>
            <w:hideMark/>
          </w:tcPr>
          <w:p w14:paraId="553F8F7C"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15.000.000</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bottom"/>
          </w:tcPr>
          <w:p w14:paraId="6EE6B39D" w14:textId="64B9181F"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1.990.842,13</w:t>
            </w:r>
          </w:p>
        </w:tc>
      </w:tr>
      <w:tr w:rsidR="007E3868" w:rsidRPr="00FB7CFE" w14:paraId="3ED9BBC4" w14:textId="2385882C"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2F75EFF6"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Brodsko-posavska</w:t>
            </w:r>
          </w:p>
        </w:tc>
        <w:tc>
          <w:tcPr>
            <w:tcW w:w="1305" w:type="dxa"/>
            <w:tcBorders>
              <w:top w:val="nil"/>
              <w:left w:val="nil"/>
              <w:bottom w:val="single" w:sz="4" w:space="0" w:color="auto"/>
              <w:right w:val="single" w:sz="4" w:space="0" w:color="auto"/>
            </w:tcBorders>
            <w:shd w:val="clear" w:color="auto" w:fill="auto"/>
            <w:noWrap/>
            <w:vAlign w:val="center"/>
            <w:hideMark/>
          </w:tcPr>
          <w:p w14:paraId="5A83815E"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32.400</w:t>
            </w:r>
          </w:p>
        </w:tc>
        <w:tc>
          <w:tcPr>
            <w:tcW w:w="1208" w:type="dxa"/>
            <w:tcBorders>
              <w:top w:val="nil"/>
              <w:left w:val="nil"/>
              <w:bottom w:val="single" w:sz="4" w:space="0" w:color="auto"/>
              <w:right w:val="single" w:sz="4" w:space="0" w:color="auto"/>
            </w:tcBorders>
            <w:shd w:val="clear" w:color="auto" w:fill="auto"/>
            <w:noWrap/>
            <w:vAlign w:val="center"/>
            <w:hideMark/>
          </w:tcPr>
          <w:p w14:paraId="0206CB31"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176" w:type="dxa"/>
            <w:tcBorders>
              <w:top w:val="nil"/>
              <w:left w:val="nil"/>
              <w:bottom w:val="single" w:sz="4" w:space="0" w:color="auto"/>
              <w:right w:val="nil"/>
            </w:tcBorders>
            <w:shd w:val="clear" w:color="auto" w:fill="auto"/>
            <w:noWrap/>
            <w:vAlign w:val="center"/>
            <w:hideMark/>
          </w:tcPr>
          <w:p w14:paraId="59ADDAAF"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32.400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7DAB5B24"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1308" w:type="dxa"/>
            <w:tcBorders>
              <w:top w:val="nil"/>
              <w:left w:val="nil"/>
              <w:bottom w:val="single" w:sz="4" w:space="0" w:color="auto"/>
              <w:right w:val="single" w:sz="8" w:space="0" w:color="auto"/>
            </w:tcBorders>
            <w:shd w:val="clear" w:color="auto" w:fill="auto"/>
            <w:noWrap/>
            <w:vAlign w:val="center"/>
            <w:hideMark/>
          </w:tcPr>
          <w:p w14:paraId="31D476AE"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15.000.000</w:t>
            </w:r>
          </w:p>
        </w:tc>
        <w:tc>
          <w:tcPr>
            <w:tcW w:w="1329" w:type="dxa"/>
            <w:tcBorders>
              <w:top w:val="nil"/>
              <w:left w:val="single" w:sz="4" w:space="0" w:color="auto"/>
              <w:bottom w:val="single" w:sz="4" w:space="0" w:color="auto"/>
              <w:right w:val="single" w:sz="4" w:space="0" w:color="auto"/>
            </w:tcBorders>
            <w:shd w:val="clear" w:color="auto" w:fill="auto"/>
            <w:vAlign w:val="bottom"/>
          </w:tcPr>
          <w:p w14:paraId="54C5B675" w14:textId="2BDF41BE"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1.990.842,13</w:t>
            </w:r>
          </w:p>
        </w:tc>
      </w:tr>
      <w:tr w:rsidR="007E3868" w:rsidRPr="00FB7CFE" w14:paraId="02790C2A" w14:textId="3FF5825E"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42051DC7"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Dubrovačko-neretvanska</w:t>
            </w:r>
          </w:p>
        </w:tc>
        <w:tc>
          <w:tcPr>
            <w:tcW w:w="1305" w:type="dxa"/>
            <w:tcBorders>
              <w:top w:val="nil"/>
              <w:left w:val="nil"/>
              <w:bottom w:val="single" w:sz="4" w:space="0" w:color="auto"/>
              <w:right w:val="single" w:sz="4" w:space="0" w:color="auto"/>
            </w:tcBorders>
            <w:shd w:val="clear" w:color="auto" w:fill="auto"/>
            <w:noWrap/>
            <w:vAlign w:val="center"/>
            <w:hideMark/>
          </w:tcPr>
          <w:p w14:paraId="59543162"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79.127</w:t>
            </w:r>
          </w:p>
        </w:tc>
        <w:tc>
          <w:tcPr>
            <w:tcW w:w="1208" w:type="dxa"/>
            <w:tcBorders>
              <w:top w:val="nil"/>
              <w:left w:val="nil"/>
              <w:bottom w:val="single" w:sz="4" w:space="0" w:color="auto"/>
              <w:right w:val="single" w:sz="4" w:space="0" w:color="auto"/>
            </w:tcBorders>
            <w:shd w:val="clear" w:color="auto" w:fill="auto"/>
            <w:noWrap/>
            <w:vAlign w:val="center"/>
            <w:hideMark/>
          </w:tcPr>
          <w:p w14:paraId="0DF7717E"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898.090</w:t>
            </w:r>
          </w:p>
        </w:tc>
        <w:tc>
          <w:tcPr>
            <w:tcW w:w="1176" w:type="dxa"/>
            <w:tcBorders>
              <w:top w:val="nil"/>
              <w:left w:val="nil"/>
              <w:bottom w:val="single" w:sz="4" w:space="0" w:color="auto"/>
              <w:right w:val="nil"/>
            </w:tcBorders>
            <w:shd w:val="clear" w:color="auto" w:fill="auto"/>
            <w:noWrap/>
            <w:vAlign w:val="center"/>
            <w:hideMark/>
          </w:tcPr>
          <w:p w14:paraId="68C9B009"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1C732B21"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08" w:type="dxa"/>
            <w:tcBorders>
              <w:top w:val="nil"/>
              <w:left w:val="nil"/>
              <w:bottom w:val="single" w:sz="4" w:space="0" w:color="auto"/>
              <w:right w:val="single" w:sz="8" w:space="0" w:color="auto"/>
            </w:tcBorders>
            <w:shd w:val="clear" w:color="auto" w:fill="auto"/>
            <w:noWrap/>
            <w:vAlign w:val="center"/>
            <w:hideMark/>
          </w:tcPr>
          <w:p w14:paraId="094A4D02"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29" w:type="dxa"/>
            <w:tcBorders>
              <w:top w:val="nil"/>
              <w:left w:val="single" w:sz="4" w:space="0" w:color="auto"/>
              <w:bottom w:val="single" w:sz="4" w:space="0" w:color="auto"/>
              <w:right w:val="single" w:sz="4" w:space="0" w:color="auto"/>
            </w:tcBorders>
            <w:shd w:val="clear" w:color="auto" w:fill="auto"/>
            <w:vAlign w:val="bottom"/>
          </w:tcPr>
          <w:p w14:paraId="48971E26" w14:textId="7F2E78CB"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7E3868" w:rsidRPr="00FB7CFE" w14:paraId="78C4C4DE" w14:textId="686C7503"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78D450D7"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Grad Zagreb</w:t>
            </w:r>
          </w:p>
        </w:tc>
        <w:tc>
          <w:tcPr>
            <w:tcW w:w="1305" w:type="dxa"/>
            <w:tcBorders>
              <w:top w:val="nil"/>
              <w:left w:val="nil"/>
              <w:bottom w:val="single" w:sz="4" w:space="0" w:color="auto"/>
              <w:right w:val="single" w:sz="4" w:space="0" w:color="auto"/>
            </w:tcBorders>
            <w:shd w:val="clear" w:color="auto" w:fill="auto"/>
            <w:noWrap/>
            <w:vAlign w:val="center"/>
            <w:hideMark/>
          </w:tcPr>
          <w:p w14:paraId="042E410C"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334.639</w:t>
            </w:r>
          </w:p>
        </w:tc>
        <w:tc>
          <w:tcPr>
            <w:tcW w:w="1208" w:type="dxa"/>
            <w:tcBorders>
              <w:top w:val="nil"/>
              <w:left w:val="nil"/>
              <w:bottom w:val="single" w:sz="4" w:space="0" w:color="auto"/>
              <w:right w:val="single" w:sz="4" w:space="0" w:color="auto"/>
            </w:tcBorders>
            <w:shd w:val="clear" w:color="auto" w:fill="auto"/>
            <w:noWrap/>
            <w:vAlign w:val="center"/>
            <w:hideMark/>
          </w:tcPr>
          <w:p w14:paraId="7D8213FD"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1.530.500</w:t>
            </w:r>
          </w:p>
        </w:tc>
        <w:tc>
          <w:tcPr>
            <w:tcW w:w="1176" w:type="dxa"/>
            <w:tcBorders>
              <w:top w:val="nil"/>
              <w:left w:val="nil"/>
              <w:bottom w:val="single" w:sz="4" w:space="0" w:color="auto"/>
              <w:right w:val="nil"/>
            </w:tcBorders>
            <w:shd w:val="clear" w:color="auto" w:fill="auto"/>
            <w:noWrap/>
            <w:vAlign w:val="center"/>
            <w:hideMark/>
          </w:tcPr>
          <w:p w14:paraId="0245DEAE"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4D7C5FCC"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08" w:type="dxa"/>
            <w:tcBorders>
              <w:top w:val="nil"/>
              <w:left w:val="nil"/>
              <w:bottom w:val="single" w:sz="4" w:space="0" w:color="auto"/>
              <w:right w:val="single" w:sz="8" w:space="0" w:color="auto"/>
            </w:tcBorders>
            <w:shd w:val="clear" w:color="auto" w:fill="auto"/>
            <w:noWrap/>
            <w:vAlign w:val="center"/>
            <w:hideMark/>
          </w:tcPr>
          <w:p w14:paraId="377403DB"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29" w:type="dxa"/>
            <w:tcBorders>
              <w:top w:val="nil"/>
              <w:left w:val="single" w:sz="4" w:space="0" w:color="auto"/>
              <w:bottom w:val="single" w:sz="4" w:space="0" w:color="auto"/>
              <w:right w:val="single" w:sz="4" w:space="0" w:color="auto"/>
            </w:tcBorders>
            <w:shd w:val="clear" w:color="auto" w:fill="auto"/>
            <w:vAlign w:val="bottom"/>
          </w:tcPr>
          <w:p w14:paraId="23D1F2CC" w14:textId="1CA2C1D3"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7E3868" w:rsidRPr="00FB7CFE" w14:paraId="787D2724" w14:textId="485C3581"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2FC17076"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Istarska </w:t>
            </w:r>
          </w:p>
        </w:tc>
        <w:tc>
          <w:tcPr>
            <w:tcW w:w="1305" w:type="dxa"/>
            <w:tcBorders>
              <w:top w:val="nil"/>
              <w:left w:val="nil"/>
              <w:bottom w:val="single" w:sz="4" w:space="0" w:color="auto"/>
              <w:right w:val="single" w:sz="4" w:space="0" w:color="auto"/>
            </w:tcBorders>
            <w:shd w:val="clear" w:color="auto" w:fill="auto"/>
            <w:noWrap/>
            <w:vAlign w:val="center"/>
            <w:hideMark/>
          </w:tcPr>
          <w:p w14:paraId="2B04236E"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118.680</w:t>
            </w:r>
          </w:p>
        </w:tc>
        <w:tc>
          <w:tcPr>
            <w:tcW w:w="1208" w:type="dxa"/>
            <w:tcBorders>
              <w:top w:val="nil"/>
              <w:left w:val="nil"/>
              <w:bottom w:val="single" w:sz="4" w:space="0" w:color="auto"/>
              <w:right w:val="single" w:sz="4" w:space="0" w:color="auto"/>
            </w:tcBorders>
            <w:shd w:val="clear" w:color="auto" w:fill="auto"/>
            <w:noWrap/>
            <w:vAlign w:val="center"/>
            <w:hideMark/>
          </w:tcPr>
          <w:p w14:paraId="58CFEE27"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390.000</w:t>
            </w:r>
          </w:p>
        </w:tc>
        <w:tc>
          <w:tcPr>
            <w:tcW w:w="1176" w:type="dxa"/>
            <w:tcBorders>
              <w:top w:val="nil"/>
              <w:left w:val="nil"/>
              <w:bottom w:val="single" w:sz="4" w:space="0" w:color="auto"/>
              <w:right w:val="nil"/>
            </w:tcBorders>
            <w:shd w:val="clear" w:color="auto" w:fill="auto"/>
            <w:noWrap/>
            <w:vAlign w:val="center"/>
            <w:hideMark/>
          </w:tcPr>
          <w:p w14:paraId="3BF03B0A"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0A15C58E"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08" w:type="dxa"/>
            <w:tcBorders>
              <w:top w:val="nil"/>
              <w:left w:val="nil"/>
              <w:bottom w:val="single" w:sz="4" w:space="0" w:color="auto"/>
              <w:right w:val="single" w:sz="8" w:space="0" w:color="auto"/>
            </w:tcBorders>
            <w:shd w:val="clear" w:color="auto" w:fill="auto"/>
            <w:noWrap/>
            <w:vAlign w:val="center"/>
            <w:hideMark/>
          </w:tcPr>
          <w:p w14:paraId="004880AD"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29" w:type="dxa"/>
            <w:tcBorders>
              <w:top w:val="nil"/>
              <w:left w:val="single" w:sz="4" w:space="0" w:color="auto"/>
              <w:bottom w:val="single" w:sz="4" w:space="0" w:color="auto"/>
              <w:right w:val="single" w:sz="4" w:space="0" w:color="auto"/>
            </w:tcBorders>
            <w:shd w:val="clear" w:color="auto" w:fill="auto"/>
            <w:vAlign w:val="bottom"/>
          </w:tcPr>
          <w:p w14:paraId="147D74F3" w14:textId="3395200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7E3868" w:rsidRPr="00FB7CFE" w14:paraId="17F931AE" w14:textId="2BFC5503"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7453760E"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Karlovačka </w:t>
            </w:r>
          </w:p>
        </w:tc>
        <w:tc>
          <w:tcPr>
            <w:tcW w:w="1305" w:type="dxa"/>
            <w:tcBorders>
              <w:top w:val="nil"/>
              <w:left w:val="nil"/>
              <w:bottom w:val="single" w:sz="4" w:space="0" w:color="auto"/>
              <w:right w:val="single" w:sz="4" w:space="0" w:color="auto"/>
            </w:tcBorders>
            <w:shd w:val="clear" w:color="auto" w:fill="auto"/>
            <w:noWrap/>
            <w:vAlign w:val="center"/>
            <w:hideMark/>
          </w:tcPr>
          <w:p w14:paraId="40E4E78E"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23.558</w:t>
            </w:r>
          </w:p>
        </w:tc>
        <w:tc>
          <w:tcPr>
            <w:tcW w:w="1208" w:type="dxa"/>
            <w:tcBorders>
              <w:top w:val="nil"/>
              <w:left w:val="nil"/>
              <w:bottom w:val="single" w:sz="4" w:space="0" w:color="auto"/>
              <w:right w:val="single" w:sz="4" w:space="0" w:color="auto"/>
            </w:tcBorders>
            <w:shd w:val="clear" w:color="auto" w:fill="auto"/>
            <w:noWrap/>
            <w:vAlign w:val="center"/>
            <w:hideMark/>
          </w:tcPr>
          <w:p w14:paraId="2893FECA"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141.000</w:t>
            </w:r>
          </w:p>
        </w:tc>
        <w:tc>
          <w:tcPr>
            <w:tcW w:w="1176" w:type="dxa"/>
            <w:tcBorders>
              <w:top w:val="nil"/>
              <w:left w:val="nil"/>
              <w:bottom w:val="single" w:sz="4" w:space="0" w:color="auto"/>
              <w:right w:val="nil"/>
            </w:tcBorders>
            <w:shd w:val="clear" w:color="auto" w:fill="auto"/>
            <w:noWrap/>
            <w:vAlign w:val="center"/>
            <w:hideMark/>
          </w:tcPr>
          <w:p w14:paraId="50A25ACE"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7F827F5A"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08" w:type="dxa"/>
            <w:tcBorders>
              <w:top w:val="nil"/>
              <w:left w:val="nil"/>
              <w:bottom w:val="single" w:sz="4" w:space="0" w:color="auto"/>
              <w:right w:val="single" w:sz="8" w:space="0" w:color="auto"/>
            </w:tcBorders>
            <w:shd w:val="clear" w:color="auto" w:fill="auto"/>
            <w:noWrap/>
            <w:vAlign w:val="center"/>
            <w:hideMark/>
          </w:tcPr>
          <w:p w14:paraId="4C5C9CD3"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29" w:type="dxa"/>
            <w:tcBorders>
              <w:top w:val="nil"/>
              <w:left w:val="single" w:sz="4" w:space="0" w:color="auto"/>
              <w:bottom w:val="single" w:sz="4" w:space="0" w:color="auto"/>
              <w:right w:val="single" w:sz="4" w:space="0" w:color="auto"/>
            </w:tcBorders>
            <w:shd w:val="clear" w:color="auto" w:fill="auto"/>
            <w:vAlign w:val="bottom"/>
          </w:tcPr>
          <w:p w14:paraId="0A56198D" w14:textId="791902BA"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7E3868" w:rsidRPr="00FB7CFE" w14:paraId="3B69F035" w14:textId="241EF850"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4DF3B0AF"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Koprivničko-križevačka</w:t>
            </w:r>
          </w:p>
        </w:tc>
        <w:tc>
          <w:tcPr>
            <w:tcW w:w="1305" w:type="dxa"/>
            <w:tcBorders>
              <w:top w:val="nil"/>
              <w:left w:val="nil"/>
              <w:bottom w:val="single" w:sz="4" w:space="0" w:color="auto"/>
              <w:right w:val="single" w:sz="4" w:space="0" w:color="auto"/>
            </w:tcBorders>
            <w:shd w:val="clear" w:color="auto" w:fill="auto"/>
            <w:noWrap/>
            <w:vAlign w:val="center"/>
            <w:hideMark/>
          </w:tcPr>
          <w:p w14:paraId="18CE0690"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18.365</w:t>
            </w:r>
          </w:p>
        </w:tc>
        <w:tc>
          <w:tcPr>
            <w:tcW w:w="1208" w:type="dxa"/>
            <w:tcBorders>
              <w:top w:val="nil"/>
              <w:left w:val="nil"/>
              <w:bottom w:val="single" w:sz="4" w:space="0" w:color="auto"/>
              <w:right w:val="single" w:sz="4" w:space="0" w:color="auto"/>
            </w:tcBorders>
            <w:shd w:val="clear" w:color="auto" w:fill="auto"/>
            <w:noWrap/>
            <w:vAlign w:val="center"/>
            <w:hideMark/>
          </w:tcPr>
          <w:p w14:paraId="32DE85C0"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11.300</w:t>
            </w:r>
          </w:p>
        </w:tc>
        <w:tc>
          <w:tcPr>
            <w:tcW w:w="1176" w:type="dxa"/>
            <w:tcBorders>
              <w:top w:val="nil"/>
              <w:left w:val="nil"/>
              <w:bottom w:val="single" w:sz="4" w:space="0" w:color="auto"/>
              <w:right w:val="nil"/>
            </w:tcBorders>
            <w:shd w:val="clear" w:color="auto" w:fill="auto"/>
            <w:noWrap/>
            <w:vAlign w:val="center"/>
            <w:hideMark/>
          </w:tcPr>
          <w:p w14:paraId="1DBDDC83"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7.065</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17C14530"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1308" w:type="dxa"/>
            <w:tcBorders>
              <w:top w:val="nil"/>
              <w:left w:val="nil"/>
              <w:bottom w:val="single" w:sz="4" w:space="0" w:color="auto"/>
              <w:right w:val="single" w:sz="8" w:space="0" w:color="auto"/>
            </w:tcBorders>
            <w:shd w:val="clear" w:color="auto" w:fill="auto"/>
            <w:noWrap/>
            <w:vAlign w:val="center"/>
            <w:hideMark/>
          </w:tcPr>
          <w:p w14:paraId="6C8813BB"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15.000.000</w:t>
            </w:r>
          </w:p>
        </w:tc>
        <w:tc>
          <w:tcPr>
            <w:tcW w:w="1329" w:type="dxa"/>
            <w:tcBorders>
              <w:top w:val="nil"/>
              <w:left w:val="single" w:sz="4" w:space="0" w:color="auto"/>
              <w:bottom w:val="single" w:sz="4" w:space="0" w:color="auto"/>
              <w:right w:val="single" w:sz="4" w:space="0" w:color="auto"/>
            </w:tcBorders>
            <w:shd w:val="clear" w:color="auto" w:fill="auto"/>
            <w:vAlign w:val="bottom"/>
          </w:tcPr>
          <w:p w14:paraId="5328D07B" w14:textId="1DDE2CCB"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1.990.842,13</w:t>
            </w:r>
          </w:p>
        </w:tc>
      </w:tr>
      <w:tr w:rsidR="007E3868" w:rsidRPr="00FB7CFE" w14:paraId="1F1D7054" w14:textId="5FD2DA18"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6A310415"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Krapinsko-zagorska </w:t>
            </w:r>
          </w:p>
        </w:tc>
        <w:tc>
          <w:tcPr>
            <w:tcW w:w="1305" w:type="dxa"/>
            <w:tcBorders>
              <w:top w:val="nil"/>
              <w:left w:val="nil"/>
              <w:bottom w:val="single" w:sz="4" w:space="0" w:color="auto"/>
              <w:right w:val="single" w:sz="4" w:space="0" w:color="auto"/>
            </w:tcBorders>
            <w:shd w:val="clear" w:color="auto" w:fill="auto"/>
            <w:noWrap/>
            <w:vAlign w:val="center"/>
            <w:hideMark/>
          </w:tcPr>
          <w:p w14:paraId="757689DE"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22.534</w:t>
            </w:r>
          </w:p>
        </w:tc>
        <w:tc>
          <w:tcPr>
            <w:tcW w:w="1208" w:type="dxa"/>
            <w:tcBorders>
              <w:top w:val="nil"/>
              <w:left w:val="nil"/>
              <w:bottom w:val="single" w:sz="4" w:space="0" w:color="auto"/>
              <w:right w:val="single" w:sz="4" w:space="0" w:color="auto"/>
            </w:tcBorders>
            <w:shd w:val="clear" w:color="auto" w:fill="auto"/>
            <w:noWrap/>
            <w:vAlign w:val="center"/>
            <w:hideMark/>
          </w:tcPr>
          <w:p w14:paraId="5F940D98"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186.400</w:t>
            </w:r>
          </w:p>
        </w:tc>
        <w:tc>
          <w:tcPr>
            <w:tcW w:w="1176" w:type="dxa"/>
            <w:tcBorders>
              <w:top w:val="nil"/>
              <w:left w:val="nil"/>
              <w:bottom w:val="single" w:sz="4" w:space="0" w:color="auto"/>
              <w:right w:val="nil"/>
            </w:tcBorders>
            <w:shd w:val="clear" w:color="auto" w:fill="auto"/>
            <w:noWrap/>
            <w:vAlign w:val="center"/>
            <w:hideMark/>
          </w:tcPr>
          <w:p w14:paraId="4DDA7B7A"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51BFC971"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08" w:type="dxa"/>
            <w:tcBorders>
              <w:top w:val="nil"/>
              <w:left w:val="nil"/>
              <w:bottom w:val="single" w:sz="4" w:space="0" w:color="auto"/>
              <w:right w:val="single" w:sz="8" w:space="0" w:color="auto"/>
            </w:tcBorders>
            <w:shd w:val="clear" w:color="auto" w:fill="auto"/>
            <w:noWrap/>
            <w:vAlign w:val="center"/>
            <w:hideMark/>
          </w:tcPr>
          <w:p w14:paraId="459FD0E3"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29" w:type="dxa"/>
            <w:tcBorders>
              <w:top w:val="nil"/>
              <w:left w:val="single" w:sz="4" w:space="0" w:color="auto"/>
              <w:bottom w:val="single" w:sz="4" w:space="0" w:color="auto"/>
              <w:right w:val="single" w:sz="4" w:space="0" w:color="auto"/>
            </w:tcBorders>
            <w:shd w:val="clear" w:color="auto" w:fill="auto"/>
            <w:vAlign w:val="bottom"/>
          </w:tcPr>
          <w:p w14:paraId="3705BBA3" w14:textId="10C1AF22"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7E3868" w:rsidRPr="00FB7CFE" w14:paraId="0F57D8EF" w14:textId="71FC2BC9"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476B1484"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Ličko-senjska </w:t>
            </w:r>
          </w:p>
        </w:tc>
        <w:tc>
          <w:tcPr>
            <w:tcW w:w="1305" w:type="dxa"/>
            <w:tcBorders>
              <w:top w:val="nil"/>
              <w:left w:val="nil"/>
              <w:bottom w:val="single" w:sz="4" w:space="0" w:color="auto"/>
              <w:right w:val="single" w:sz="4" w:space="0" w:color="auto"/>
            </w:tcBorders>
            <w:shd w:val="clear" w:color="auto" w:fill="auto"/>
            <w:noWrap/>
            <w:vAlign w:val="center"/>
            <w:hideMark/>
          </w:tcPr>
          <w:p w14:paraId="71FEE929"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13.055</w:t>
            </w:r>
          </w:p>
        </w:tc>
        <w:tc>
          <w:tcPr>
            <w:tcW w:w="1208" w:type="dxa"/>
            <w:tcBorders>
              <w:top w:val="nil"/>
              <w:left w:val="nil"/>
              <w:bottom w:val="single" w:sz="4" w:space="0" w:color="auto"/>
              <w:right w:val="single" w:sz="4" w:space="0" w:color="auto"/>
            </w:tcBorders>
            <w:shd w:val="clear" w:color="auto" w:fill="auto"/>
            <w:noWrap/>
            <w:vAlign w:val="center"/>
            <w:hideMark/>
          </w:tcPr>
          <w:p w14:paraId="5B43C899"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176" w:type="dxa"/>
            <w:tcBorders>
              <w:top w:val="nil"/>
              <w:left w:val="nil"/>
              <w:bottom w:val="single" w:sz="4" w:space="0" w:color="auto"/>
              <w:right w:val="nil"/>
            </w:tcBorders>
            <w:shd w:val="clear" w:color="auto" w:fill="auto"/>
            <w:noWrap/>
            <w:vAlign w:val="center"/>
            <w:hideMark/>
          </w:tcPr>
          <w:p w14:paraId="5273756A"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13.055</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326C4990"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1308" w:type="dxa"/>
            <w:tcBorders>
              <w:top w:val="nil"/>
              <w:left w:val="nil"/>
              <w:bottom w:val="single" w:sz="4" w:space="0" w:color="auto"/>
              <w:right w:val="single" w:sz="8" w:space="0" w:color="auto"/>
            </w:tcBorders>
            <w:shd w:val="clear" w:color="auto" w:fill="auto"/>
            <w:noWrap/>
            <w:vAlign w:val="center"/>
            <w:hideMark/>
          </w:tcPr>
          <w:p w14:paraId="7F4EDBEC"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15.000.000</w:t>
            </w:r>
          </w:p>
        </w:tc>
        <w:tc>
          <w:tcPr>
            <w:tcW w:w="1329" w:type="dxa"/>
            <w:tcBorders>
              <w:top w:val="nil"/>
              <w:left w:val="single" w:sz="4" w:space="0" w:color="auto"/>
              <w:bottom w:val="single" w:sz="4" w:space="0" w:color="auto"/>
              <w:right w:val="single" w:sz="4" w:space="0" w:color="auto"/>
            </w:tcBorders>
            <w:shd w:val="clear" w:color="auto" w:fill="auto"/>
            <w:vAlign w:val="bottom"/>
          </w:tcPr>
          <w:p w14:paraId="7228BA79" w14:textId="2EF2A39F"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1.990.842,13</w:t>
            </w:r>
          </w:p>
        </w:tc>
      </w:tr>
      <w:tr w:rsidR="007E3868" w:rsidRPr="00FB7CFE" w14:paraId="5CEB52A0" w14:textId="1F86A8EC"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382A0764"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Međimurska </w:t>
            </w:r>
          </w:p>
        </w:tc>
        <w:tc>
          <w:tcPr>
            <w:tcW w:w="1305" w:type="dxa"/>
            <w:tcBorders>
              <w:top w:val="nil"/>
              <w:left w:val="nil"/>
              <w:bottom w:val="single" w:sz="4" w:space="0" w:color="auto"/>
              <w:right w:val="single" w:sz="4" w:space="0" w:color="auto"/>
            </w:tcBorders>
            <w:shd w:val="clear" w:color="auto" w:fill="auto"/>
            <w:noWrap/>
            <w:vAlign w:val="center"/>
            <w:hideMark/>
          </w:tcPr>
          <w:p w14:paraId="3F6A5481"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38.908</w:t>
            </w:r>
          </w:p>
        </w:tc>
        <w:tc>
          <w:tcPr>
            <w:tcW w:w="1208" w:type="dxa"/>
            <w:tcBorders>
              <w:top w:val="nil"/>
              <w:left w:val="nil"/>
              <w:bottom w:val="single" w:sz="4" w:space="0" w:color="auto"/>
              <w:right w:val="single" w:sz="4" w:space="0" w:color="auto"/>
            </w:tcBorders>
            <w:shd w:val="clear" w:color="auto" w:fill="auto"/>
            <w:noWrap/>
            <w:vAlign w:val="center"/>
            <w:hideMark/>
          </w:tcPr>
          <w:p w14:paraId="6D38B626"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28.800</w:t>
            </w:r>
          </w:p>
        </w:tc>
        <w:tc>
          <w:tcPr>
            <w:tcW w:w="1176" w:type="dxa"/>
            <w:tcBorders>
              <w:top w:val="nil"/>
              <w:left w:val="nil"/>
              <w:bottom w:val="single" w:sz="4" w:space="0" w:color="auto"/>
              <w:right w:val="nil"/>
            </w:tcBorders>
            <w:shd w:val="clear" w:color="auto" w:fill="auto"/>
            <w:noWrap/>
            <w:vAlign w:val="center"/>
            <w:hideMark/>
          </w:tcPr>
          <w:p w14:paraId="33B0AF1D"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10.108</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1C3AC72D"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1308" w:type="dxa"/>
            <w:tcBorders>
              <w:top w:val="nil"/>
              <w:left w:val="nil"/>
              <w:bottom w:val="single" w:sz="4" w:space="0" w:color="auto"/>
              <w:right w:val="single" w:sz="8" w:space="0" w:color="auto"/>
            </w:tcBorders>
            <w:shd w:val="clear" w:color="auto" w:fill="auto"/>
            <w:noWrap/>
            <w:vAlign w:val="center"/>
            <w:hideMark/>
          </w:tcPr>
          <w:p w14:paraId="15F7C272"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15.000.000</w:t>
            </w:r>
          </w:p>
        </w:tc>
        <w:tc>
          <w:tcPr>
            <w:tcW w:w="1329" w:type="dxa"/>
            <w:tcBorders>
              <w:top w:val="nil"/>
              <w:left w:val="single" w:sz="4" w:space="0" w:color="auto"/>
              <w:bottom w:val="single" w:sz="4" w:space="0" w:color="auto"/>
              <w:right w:val="single" w:sz="4" w:space="0" w:color="auto"/>
            </w:tcBorders>
            <w:shd w:val="clear" w:color="auto" w:fill="auto"/>
            <w:vAlign w:val="bottom"/>
          </w:tcPr>
          <w:p w14:paraId="0C0B2E0B" w14:textId="2D7BD338"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1.990.842,13</w:t>
            </w:r>
          </w:p>
        </w:tc>
      </w:tr>
      <w:tr w:rsidR="007E3868" w:rsidRPr="00FB7CFE" w14:paraId="0A0349DB" w14:textId="23F21A57"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4ACD9B57"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Osječko-baranjska </w:t>
            </w:r>
          </w:p>
        </w:tc>
        <w:tc>
          <w:tcPr>
            <w:tcW w:w="1305" w:type="dxa"/>
            <w:tcBorders>
              <w:top w:val="nil"/>
              <w:left w:val="nil"/>
              <w:bottom w:val="single" w:sz="4" w:space="0" w:color="auto"/>
              <w:right w:val="single" w:sz="4" w:space="0" w:color="auto"/>
            </w:tcBorders>
            <w:shd w:val="clear" w:color="auto" w:fill="auto"/>
            <w:noWrap/>
            <w:vAlign w:val="center"/>
            <w:hideMark/>
          </w:tcPr>
          <w:p w14:paraId="4CCD42EE"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70.531</w:t>
            </w:r>
          </w:p>
        </w:tc>
        <w:tc>
          <w:tcPr>
            <w:tcW w:w="1208" w:type="dxa"/>
            <w:tcBorders>
              <w:top w:val="nil"/>
              <w:left w:val="nil"/>
              <w:bottom w:val="single" w:sz="4" w:space="0" w:color="auto"/>
              <w:right w:val="single" w:sz="4" w:space="0" w:color="auto"/>
            </w:tcBorders>
            <w:shd w:val="clear" w:color="auto" w:fill="auto"/>
            <w:noWrap/>
            <w:vAlign w:val="center"/>
            <w:hideMark/>
          </w:tcPr>
          <w:p w14:paraId="798D74A2"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414.880</w:t>
            </w:r>
          </w:p>
        </w:tc>
        <w:tc>
          <w:tcPr>
            <w:tcW w:w="1176" w:type="dxa"/>
            <w:tcBorders>
              <w:top w:val="nil"/>
              <w:left w:val="nil"/>
              <w:bottom w:val="single" w:sz="4" w:space="0" w:color="auto"/>
              <w:right w:val="nil"/>
            </w:tcBorders>
            <w:shd w:val="clear" w:color="auto" w:fill="auto"/>
            <w:noWrap/>
            <w:vAlign w:val="center"/>
            <w:hideMark/>
          </w:tcPr>
          <w:p w14:paraId="42C05254"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67233482"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08" w:type="dxa"/>
            <w:tcBorders>
              <w:top w:val="nil"/>
              <w:left w:val="nil"/>
              <w:bottom w:val="single" w:sz="4" w:space="0" w:color="auto"/>
              <w:right w:val="single" w:sz="8" w:space="0" w:color="auto"/>
            </w:tcBorders>
            <w:shd w:val="clear" w:color="auto" w:fill="auto"/>
            <w:noWrap/>
            <w:vAlign w:val="center"/>
            <w:hideMark/>
          </w:tcPr>
          <w:p w14:paraId="4CA250D1"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29" w:type="dxa"/>
            <w:tcBorders>
              <w:top w:val="nil"/>
              <w:left w:val="single" w:sz="4" w:space="0" w:color="auto"/>
              <w:bottom w:val="single" w:sz="4" w:space="0" w:color="auto"/>
              <w:right w:val="single" w:sz="4" w:space="0" w:color="auto"/>
            </w:tcBorders>
            <w:shd w:val="clear" w:color="auto" w:fill="auto"/>
            <w:vAlign w:val="bottom"/>
          </w:tcPr>
          <w:p w14:paraId="19E933E1" w14:textId="4AE869C0"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7E3868" w:rsidRPr="00FB7CFE" w14:paraId="7F6EF7EA" w14:textId="22780207"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3B350790"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Požeško-slavonska </w:t>
            </w:r>
          </w:p>
        </w:tc>
        <w:tc>
          <w:tcPr>
            <w:tcW w:w="1305" w:type="dxa"/>
            <w:tcBorders>
              <w:top w:val="nil"/>
              <w:left w:val="nil"/>
              <w:bottom w:val="single" w:sz="4" w:space="0" w:color="auto"/>
              <w:right w:val="single" w:sz="4" w:space="0" w:color="auto"/>
            </w:tcBorders>
            <w:shd w:val="clear" w:color="auto" w:fill="auto"/>
            <w:noWrap/>
            <w:vAlign w:val="center"/>
            <w:hideMark/>
          </w:tcPr>
          <w:p w14:paraId="7C6FF135"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12.907</w:t>
            </w:r>
          </w:p>
        </w:tc>
        <w:tc>
          <w:tcPr>
            <w:tcW w:w="1208" w:type="dxa"/>
            <w:tcBorders>
              <w:top w:val="nil"/>
              <w:left w:val="nil"/>
              <w:bottom w:val="single" w:sz="4" w:space="0" w:color="auto"/>
              <w:right w:val="single" w:sz="4" w:space="0" w:color="auto"/>
            </w:tcBorders>
            <w:shd w:val="clear" w:color="auto" w:fill="auto"/>
            <w:noWrap/>
            <w:vAlign w:val="center"/>
            <w:hideMark/>
          </w:tcPr>
          <w:p w14:paraId="6D856C8C"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176" w:type="dxa"/>
            <w:tcBorders>
              <w:top w:val="nil"/>
              <w:left w:val="nil"/>
              <w:bottom w:val="single" w:sz="4" w:space="0" w:color="auto"/>
              <w:right w:val="nil"/>
            </w:tcBorders>
            <w:shd w:val="clear" w:color="auto" w:fill="auto"/>
            <w:noWrap/>
            <w:vAlign w:val="center"/>
            <w:hideMark/>
          </w:tcPr>
          <w:p w14:paraId="32A21F16"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12.907</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108F5BF2"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1308" w:type="dxa"/>
            <w:tcBorders>
              <w:top w:val="nil"/>
              <w:left w:val="nil"/>
              <w:bottom w:val="single" w:sz="4" w:space="0" w:color="auto"/>
              <w:right w:val="single" w:sz="8" w:space="0" w:color="auto"/>
            </w:tcBorders>
            <w:shd w:val="clear" w:color="auto" w:fill="auto"/>
            <w:noWrap/>
            <w:vAlign w:val="center"/>
            <w:hideMark/>
          </w:tcPr>
          <w:p w14:paraId="66C71B4B"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15.000.000</w:t>
            </w:r>
          </w:p>
        </w:tc>
        <w:tc>
          <w:tcPr>
            <w:tcW w:w="1329" w:type="dxa"/>
            <w:tcBorders>
              <w:top w:val="nil"/>
              <w:left w:val="single" w:sz="4" w:space="0" w:color="auto"/>
              <w:bottom w:val="single" w:sz="4" w:space="0" w:color="auto"/>
              <w:right w:val="single" w:sz="4" w:space="0" w:color="auto"/>
            </w:tcBorders>
            <w:shd w:val="clear" w:color="auto" w:fill="auto"/>
            <w:vAlign w:val="bottom"/>
          </w:tcPr>
          <w:p w14:paraId="70F27E5D" w14:textId="24F6C528"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1.990.842,13</w:t>
            </w:r>
          </w:p>
        </w:tc>
      </w:tr>
      <w:tr w:rsidR="007E3868" w:rsidRPr="00FB7CFE" w14:paraId="609C9AE8" w14:textId="21E69BFD"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5F29CCE2"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Primorsko-goranska </w:t>
            </w:r>
          </w:p>
        </w:tc>
        <w:tc>
          <w:tcPr>
            <w:tcW w:w="1305" w:type="dxa"/>
            <w:tcBorders>
              <w:top w:val="nil"/>
              <w:left w:val="nil"/>
              <w:bottom w:val="single" w:sz="4" w:space="0" w:color="auto"/>
              <w:right w:val="single" w:sz="4" w:space="0" w:color="auto"/>
            </w:tcBorders>
            <w:shd w:val="clear" w:color="auto" w:fill="auto"/>
            <w:noWrap/>
            <w:vAlign w:val="center"/>
            <w:hideMark/>
          </w:tcPr>
          <w:p w14:paraId="61A5E420"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105.341</w:t>
            </w:r>
          </w:p>
        </w:tc>
        <w:tc>
          <w:tcPr>
            <w:tcW w:w="1208" w:type="dxa"/>
            <w:tcBorders>
              <w:top w:val="nil"/>
              <w:left w:val="nil"/>
              <w:bottom w:val="single" w:sz="4" w:space="0" w:color="auto"/>
              <w:right w:val="single" w:sz="4" w:space="0" w:color="auto"/>
            </w:tcBorders>
            <w:shd w:val="clear" w:color="auto" w:fill="auto"/>
            <w:noWrap/>
            <w:vAlign w:val="center"/>
            <w:hideMark/>
          </w:tcPr>
          <w:p w14:paraId="342D7A4A"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220.980</w:t>
            </w:r>
          </w:p>
        </w:tc>
        <w:tc>
          <w:tcPr>
            <w:tcW w:w="1176" w:type="dxa"/>
            <w:tcBorders>
              <w:top w:val="nil"/>
              <w:left w:val="nil"/>
              <w:bottom w:val="single" w:sz="4" w:space="0" w:color="auto"/>
              <w:right w:val="nil"/>
            </w:tcBorders>
            <w:shd w:val="clear" w:color="auto" w:fill="auto"/>
            <w:noWrap/>
            <w:vAlign w:val="center"/>
            <w:hideMark/>
          </w:tcPr>
          <w:p w14:paraId="4FB93A7B"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1005531C"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08" w:type="dxa"/>
            <w:tcBorders>
              <w:top w:val="nil"/>
              <w:left w:val="nil"/>
              <w:bottom w:val="single" w:sz="4" w:space="0" w:color="auto"/>
              <w:right w:val="single" w:sz="8" w:space="0" w:color="auto"/>
            </w:tcBorders>
            <w:shd w:val="clear" w:color="auto" w:fill="auto"/>
            <w:noWrap/>
            <w:vAlign w:val="center"/>
            <w:hideMark/>
          </w:tcPr>
          <w:p w14:paraId="37520528"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29" w:type="dxa"/>
            <w:tcBorders>
              <w:top w:val="nil"/>
              <w:left w:val="single" w:sz="4" w:space="0" w:color="auto"/>
              <w:bottom w:val="single" w:sz="4" w:space="0" w:color="auto"/>
              <w:right w:val="single" w:sz="4" w:space="0" w:color="auto"/>
            </w:tcBorders>
            <w:shd w:val="clear" w:color="auto" w:fill="auto"/>
            <w:vAlign w:val="bottom"/>
          </w:tcPr>
          <w:p w14:paraId="26FB0976" w14:textId="62EFF121"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7E3868" w:rsidRPr="00FB7CFE" w14:paraId="7209553E" w14:textId="07A6B176"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72EFAC24"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Sisačko-moslavačka </w:t>
            </w:r>
          </w:p>
        </w:tc>
        <w:tc>
          <w:tcPr>
            <w:tcW w:w="1305" w:type="dxa"/>
            <w:tcBorders>
              <w:top w:val="nil"/>
              <w:left w:val="nil"/>
              <w:bottom w:val="single" w:sz="4" w:space="0" w:color="auto"/>
              <w:right w:val="single" w:sz="4" w:space="0" w:color="auto"/>
            </w:tcBorders>
            <w:shd w:val="clear" w:color="auto" w:fill="auto"/>
            <w:noWrap/>
            <w:vAlign w:val="center"/>
            <w:hideMark/>
          </w:tcPr>
          <w:p w14:paraId="6FABD690"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38.786</w:t>
            </w:r>
          </w:p>
        </w:tc>
        <w:tc>
          <w:tcPr>
            <w:tcW w:w="1208" w:type="dxa"/>
            <w:tcBorders>
              <w:top w:val="nil"/>
              <w:left w:val="nil"/>
              <w:bottom w:val="single" w:sz="4" w:space="0" w:color="auto"/>
              <w:right w:val="single" w:sz="4" w:space="0" w:color="auto"/>
            </w:tcBorders>
            <w:shd w:val="clear" w:color="auto" w:fill="auto"/>
            <w:noWrap/>
            <w:vAlign w:val="center"/>
            <w:hideMark/>
          </w:tcPr>
          <w:p w14:paraId="2E534B53"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2.500</w:t>
            </w:r>
          </w:p>
        </w:tc>
        <w:tc>
          <w:tcPr>
            <w:tcW w:w="1176" w:type="dxa"/>
            <w:tcBorders>
              <w:top w:val="nil"/>
              <w:left w:val="nil"/>
              <w:bottom w:val="single" w:sz="4" w:space="0" w:color="auto"/>
              <w:right w:val="nil"/>
            </w:tcBorders>
            <w:shd w:val="clear" w:color="auto" w:fill="auto"/>
            <w:noWrap/>
            <w:vAlign w:val="center"/>
            <w:hideMark/>
          </w:tcPr>
          <w:p w14:paraId="4C7D701D"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36.286</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0342F4E3"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1308" w:type="dxa"/>
            <w:tcBorders>
              <w:top w:val="nil"/>
              <w:left w:val="nil"/>
              <w:bottom w:val="single" w:sz="4" w:space="0" w:color="auto"/>
              <w:right w:val="single" w:sz="8" w:space="0" w:color="auto"/>
            </w:tcBorders>
            <w:shd w:val="clear" w:color="auto" w:fill="auto"/>
            <w:noWrap/>
            <w:vAlign w:val="center"/>
            <w:hideMark/>
          </w:tcPr>
          <w:p w14:paraId="3AB94E9B"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15.000.000</w:t>
            </w:r>
          </w:p>
        </w:tc>
        <w:tc>
          <w:tcPr>
            <w:tcW w:w="1329" w:type="dxa"/>
            <w:tcBorders>
              <w:top w:val="nil"/>
              <w:left w:val="single" w:sz="4" w:space="0" w:color="auto"/>
              <w:bottom w:val="single" w:sz="4" w:space="0" w:color="auto"/>
              <w:right w:val="single" w:sz="4" w:space="0" w:color="auto"/>
            </w:tcBorders>
            <w:shd w:val="clear" w:color="auto" w:fill="auto"/>
            <w:vAlign w:val="bottom"/>
          </w:tcPr>
          <w:p w14:paraId="20F2BB2F" w14:textId="69F0CFD1"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1.990.842,13</w:t>
            </w:r>
          </w:p>
        </w:tc>
      </w:tr>
      <w:tr w:rsidR="007E3868" w:rsidRPr="00FB7CFE" w14:paraId="28B20A95" w14:textId="1B03C036"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6B18208F"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Splitsko-dalmatinska </w:t>
            </w:r>
          </w:p>
        </w:tc>
        <w:tc>
          <w:tcPr>
            <w:tcW w:w="1305" w:type="dxa"/>
            <w:tcBorders>
              <w:top w:val="nil"/>
              <w:left w:val="nil"/>
              <w:bottom w:val="single" w:sz="4" w:space="0" w:color="auto"/>
              <w:right w:val="single" w:sz="4" w:space="0" w:color="auto"/>
            </w:tcBorders>
            <w:shd w:val="clear" w:color="auto" w:fill="auto"/>
            <w:noWrap/>
            <w:vAlign w:val="center"/>
            <w:hideMark/>
          </w:tcPr>
          <w:p w14:paraId="17A603AA"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119.413</w:t>
            </w:r>
          </w:p>
        </w:tc>
        <w:tc>
          <w:tcPr>
            <w:tcW w:w="1208" w:type="dxa"/>
            <w:tcBorders>
              <w:top w:val="nil"/>
              <w:left w:val="nil"/>
              <w:bottom w:val="single" w:sz="4" w:space="0" w:color="auto"/>
              <w:right w:val="single" w:sz="4" w:space="0" w:color="auto"/>
            </w:tcBorders>
            <w:shd w:val="clear" w:color="auto" w:fill="auto"/>
            <w:noWrap/>
            <w:vAlign w:val="center"/>
            <w:hideMark/>
          </w:tcPr>
          <w:p w14:paraId="56E75205"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772.000</w:t>
            </w:r>
          </w:p>
        </w:tc>
        <w:tc>
          <w:tcPr>
            <w:tcW w:w="1176" w:type="dxa"/>
            <w:tcBorders>
              <w:top w:val="nil"/>
              <w:left w:val="nil"/>
              <w:bottom w:val="single" w:sz="4" w:space="0" w:color="auto"/>
              <w:right w:val="nil"/>
            </w:tcBorders>
            <w:shd w:val="clear" w:color="auto" w:fill="auto"/>
            <w:noWrap/>
            <w:vAlign w:val="center"/>
            <w:hideMark/>
          </w:tcPr>
          <w:p w14:paraId="03426BAD"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262987DE"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08" w:type="dxa"/>
            <w:tcBorders>
              <w:top w:val="nil"/>
              <w:left w:val="nil"/>
              <w:bottom w:val="single" w:sz="4" w:space="0" w:color="auto"/>
              <w:right w:val="single" w:sz="8" w:space="0" w:color="auto"/>
            </w:tcBorders>
            <w:shd w:val="clear" w:color="auto" w:fill="auto"/>
            <w:noWrap/>
            <w:vAlign w:val="center"/>
            <w:hideMark/>
          </w:tcPr>
          <w:p w14:paraId="224E1616"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29" w:type="dxa"/>
            <w:tcBorders>
              <w:top w:val="nil"/>
              <w:left w:val="single" w:sz="4" w:space="0" w:color="auto"/>
              <w:bottom w:val="single" w:sz="4" w:space="0" w:color="auto"/>
              <w:right w:val="single" w:sz="4" w:space="0" w:color="auto"/>
            </w:tcBorders>
            <w:shd w:val="clear" w:color="auto" w:fill="auto"/>
            <w:vAlign w:val="bottom"/>
          </w:tcPr>
          <w:p w14:paraId="79F18BB0" w14:textId="3BAB59EC"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7E3868" w:rsidRPr="00FB7CFE" w14:paraId="3E0609B9" w14:textId="4288E85B"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514CBFA2"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Šibensko-kninska</w:t>
            </w:r>
          </w:p>
        </w:tc>
        <w:tc>
          <w:tcPr>
            <w:tcW w:w="1305" w:type="dxa"/>
            <w:tcBorders>
              <w:top w:val="nil"/>
              <w:left w:val="nil"/>
              <w:bottom w:val="single" w:sz="4" w:space="0" w:color="auto"/>
              <w:right w:val="single" w:sz="4" w:space="0" w:color="auto"/>
            </w:tcBorders>
            <w:shd w:val="clear" w:color="auto" w:fill="auto"/>
            <w:noWrap/>
            <w:vAlign w:val="center"/>
            <w:hideMark/>
          </w:tcPr>
          <w:p w14:paraId="08608AF6"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29.628</w:t>
            </w:r>
          </w:p>
        </w:tc>
        <w:tc>
          <w:tcPr>
            <w:tcW w:w="1208" w:type="dxa"/>
            <w:tcBorders>
              <w:top w:val="nil"/>
              <w:left w:val="nil"/>
              <w:bottom w:val="single" w:sz="4" w:space="0" w:color="auto"/>
              <w:right w:val="single" w:sz="4" w:space="0" w:color="auto"/>
            </w:tcBorders>
            <w:shd w:val="clear" w:color="auto" w:fill="auto"/>
            <w:noWrap/>
            <w:vAlign w:val="center"/>
            <w:hideMark/>
          </w:tcPr>
          <w:p w14:paraId="7ABFC26D"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520.000</w:t>
            </w:r>
          </w:p>
        </w:tc>
        <w:tc>
          <w:tcPr>
            <w:tcW w:w="1176" w:type="dxa"/>
            <w:tcBorders>
              <w:top w:val="nil"/>
              <w:left w:val="nil"/>
              <w:bottom w:val="single" w:sz="4" w:space="0" w:color="auto"/>
              <w:right w:val="nil"/>
            </w:tcBorders>
            <w:shd w:val="clear" w:color="auto" w:fill="auto"/>
            <w:noWrap/>
            <w:vAlign w:val="center"/>
            <w:hideMark/>
          </w:tcPr>
          <w:p w14:paraId="2992BF3E"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7DBF79DF"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08" w:type="dxa"/>
            <w:tcBorders>
              <w:top w:val="nil"/>
              <w:left w:val="nil"/>
              <w:bottom w:val="single" w:sz="4" w:space="0" w:color="auto"/>
              <w:right w:val="single" w:sz="8" w:space="0" w:color="auto"/>
            </w:tcBorders>
            <w:shd w:val="clear" w:color="auto" w:fill="auto"/>
            <w:noWrap/>
            <w:vAlign w:val="center"/>
            <w:hideMark/>
          </w:tcPr>
          <w:p w14:paraId="35B363BD"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29" w:type="dxa"/>
            <w:tcBorders>
              <w:top w:val="nil"/>
              <w:left w:val="single" w:sz="4" w:space="0" w:color="auto"/>
              <w:bottom w:val="single" w:sz="4" w:space="0" w:color="auto"/>
              <w:right w:val="single" w:sz="4" w:space="0" w:color="auto"/>
            </w:tcBorders>
            <w:shd w:val="clear" w:color="auto" w:fill="auto"/>
            <w:vAlign w:val="bottom"/>
          </w:tcPr>
          <w:p w14:paraId="1946C9FF" w14:textId="65FA6A78"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7E3868" w:rsidRPr="00FB7CFE" w14:paraId="3855395C" w14:textId="4BBFF46F"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08AFE3AA"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Varaždinska </w:t>
            </w:r>
          </w:p>
        </w:tc>
        <w:tc>
          <w:tcPr>
            <w:tcW w:w="1305" w:type="dxa"/>
            <w:tcBorders>
              <w:top w:val="nil"/>
              <w:left w:val="nil"/>
              <w:bottom w:val="single" w:sz="4" w:space="0" w:color="auto"/>
              <w:right w:val="single" w:sz="4" w:space="0" w:color="auto"/>
            </w:tcBorders>
            <w:shd w:val="clear" w:color="auto" w:fill="auto"/>
            <w:noWrap/>
            <w:vAlign w:val="center"/>
            <w:hideMark/>
          </w:tcPr>
          <w:p w14:paraId="5EBDA1FC"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63.402</w:t>
            </w:r>
          </w:p>
        </w:tc>
        <w:tc>
          <w:tcPr>
            <w:tcW w:w="1208" w:type="dxa"/>
            <w:tcBorders>
              <w:top w:val="nil"/>
              <w:left w:val="nil"/>
              <w:bottom w:val="single" w:sz="4" w:space="0" w:color="auto"/>
              <w:right w:val="single" w:sz="4" w:space="0" w:color="auto"/>
            </w:tcBorders>
            <w:shd w:val="clear" w:color="auto" w:fill="auto"/>
            <w:noWrap/>
            <w:vAlign w:val="center"/>
            <w:hideMark/>
          </w:tcPr>
          <w:p w14:paraId="2BFC275A"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27.200</w:t>
            </w:r>
          </w:p>
        </w:tc>
        <w:tc>
          <w:tcPr>
            <w:tcW w:w="1176" w:type="dxa"/>
            <w:tcBorders>
              <w:top w:val="nil"/>
              <w:left w:val="nil"/>
              <w:bottom w:val="single" w:sz="4" w:space="0" w:color="auto"/>
              <w:right w:val="nil"/>
            </w:tcBorders>
            <w:shd w:val="clear" w:color="auto" w:fill="auto"/>
            <w:noWrap/>
            <w:vAlign w:val="center"/>
            <w:hideMark/>
          </w:tcPr>
          <w:p w14:paraId="037E6344"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36.202</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22B2EAB1"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1308" w:type="dxa"/>
            <w:tcBorders>
              <w:top w:val="nil"/>
              <w:left w:val="nil"/>
              <w:bottom w:val="single" w:sz="4" w:space="0" w:color="auto"/>
              <w:right w:val="single" w:sz="8" w:space="0" w:color="auto"/>
            </w:tcBorders>
            <w:shd w:val="clear" w:color="auto" w:fill="auto"/>
            <w:noWrap/>
            <w:vAlign w:val="center"/>
            <w:hideMark/>
          </w:tcPr>
          <w:p w14:paraId="44E24A9D"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15.000.000</w:t>
            </w:r>
          </w:p>
        </w:tc>
        <w:tc>
          <w:tcPr>
            <w:tcW w:w="1329" w:type="dxa"/>
            <w:tcBorders>
              <w:top w:val="nil"/>
              <w:left w:val="single" w:sz="4" w:space="0" w:color="auto"/>
              <w:bottom w:val="single" w:sz="4" w:space="0" w:color="auto"/>
              <w:right w:val="single" w:sz="4" w:space="0" w:color="auto"/>
            </w:tcBorders>
            <w:shd w:val="clear" w:color="auto" w:fill="auto"/>
            <w:vAlign w:val="bottom"/>
          </w:tcPr>
          <w:p w14:paraId="1E111407" w14:textId="35F4EC21"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1.990.842,13</w:t>
            </w:r>
          </w:p>
        </w:tc>
      </w:tr>
      <w:tr w:rsidR="007E3868" w:rsidRPr="00FB7CFE" w14:paraId="5BCDE06A" w14:textId="103A11E2"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38864D79"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Virovitičko-podravska</w:t>
            </w:r>
          </w:p>
        </w:tc>
        <w:tc>
          <w:tcPr>
            <w:tcW w:w="1305" w:type="dxa"/>
            <w:tcBorders>
              <w:top w:val="nil"/>
              <w:left w:val="nil"/>
              <w:bottom w:val="single" w:sz="4" w:space="0" w:color="auto"/>
              <w:right w:val="single" w:sz="4" w:space="0" w:color="auto"/>
            </w:tcBorders>
            <w:shd w:val="clear" w:color="auto" w:fill="auto"/>
            <w:noWrap/>
            <w:vAlign w:val="center"/>
            <w:hideMark/>
          </w:tcPr>
          <w:p w14:paraId="1356E6A3"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15.376</w:t>
            </w:r>
          </w:p>
        </w:tc>
        <w:tc>
          <w:tcPr>
            <w:tcW w:w="1208" w:type="dxa"/>
            <w:tcBorders>
              <w:top w:val="nil"/>
              <w:left w:val="nil"/>
              <w:bottom w:val="single" w:sz="4" w:space="0" w:color="auto"/>
              <w:right w:val="single" w:sz="4" w:space="0" w:color="auto"/>
            </w:tcBorders>
            <w:shd w:val="clear" w:color="auto" w:fill="auto"/>
            <w:noWrap/>
            <w:vAlign w:val="center"/>
            <w:hideMark/>
          </w:tcPr>
          <w:p w14:paraId="07DAC03A"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176" w:type="dxa"/>
            <w:tcBorders>
              <w:top w:val="nil"/>
              <w:left w:val="nil"/>
              <w:bottom w:val="single" w:sz="4" w:space="0" w:color="auto"/>
              <w:right w:val="nil"/>
            </w:tcBorders>
            <w:shd w:val="clear" w:color="auto" w:fill="auto"/>
            <w:noWrap/>
            <w:vAlign w:val="center"/>
            <w:hideMark/>
          </w:tcPr>
          <w:p w14:paraId="6E0D2FB5"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15.376</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0AEC2D44"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1308" w:type="dxa"/>
            <w:tcBorders>
              <w:top w:val="nil"/>
              <w:left w:val="nil"/>
              <w:bottom w:val="single" w:sz="4" w:space="0" w:color="auto"/>
              <w:right w:val="single" w:sz="8" w:space="0" w:color="auto"/>
            </w:tcBorders>
            <w:shd w:val="clear" w:color="auto" w:fill="auto"/>
            <w:noWrap/>
            <w:vAlign w:val="center"/>
            <w:hideMark/>
          </w:tcPr>
          <w:p w14:paraId="21913C95"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15.000.000</w:t>
            </w:r>
          </w:p>
        </w:tc>
        <w:tc>
          <w:tcPr>
            <w:tcW w:w="1329" w:type="dxa"/>
            <w:tcBorders>
              <w:top w:val="nil"/>
              <w:left w:val="single" w:sz="4" w:space="0" w:color="auto"/>
              <w:bottom w:val="single" w:sz="4" w:space="0" w:color="auto"/>
              <w:right w:val="single" w:sz="4" w:space="0" w:color="auto"/>
            </w:tcBorders>
            <w:shd w:val="clear" w:color="auto" w:fill="auto"/>
            <w:vAlign w:val="bottom"/>
          </w:tcPr>
          <w:p w14:paraId="1ECCCD91" w14:textId="10137E8A"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1.990.842,13</w:t>
            </w:r>
          </w:p>
        </w:tc>
      </w:tr>
      <w:tr w:rsidR="007E3868" w:rsidRPr="00FB7CFE" w14:paraId="2D64302D" w14:textId="31F6EB93"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04273CDF"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Vukovarsko-srijemska </w:t>
            </w:r>
          </w:p>
        </w:tc>
        <w:tc>
          <w:tcPr>
            <w:tcW w:w="1305" w:type="dxa"/>
            <w:tcBorders>
              <w:top w:val="nil"/>
              <w:left w:val="nil"/>
              <w:bottom w:val="single" w:sz="4" w:space="0" w:color="auto"/>
              <w:right w:val="single" w:sz="4" w:space="0" w:color="auto"/>
            </w:tcBorders>
            <w:shd w:val="clear" w:color="auto" w:fill="auto"/>
            <w:noWrap/>
            <w:vAlign w:val="center"/>
            <w:hideMark/>
          </w:tcPr>
          <w:p w14:paraId="7056DBE0"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50.833</w:t>
            </w:r>
          </w:p>
        </w:tc>
        <w:tc>
          <w:tcPr>
            <w:tcW w:w="1208" w:type="dxa"/>
            <w:tcBorders>
              <w:top w:val="nil"/>
              <w:left w:val="nil"/>
              <w:bottom w:val="single" w:sz="4" w:space="0" w:color="auto"/>
              <w:right w:val="single" w:sz="4" w:space="0" w:color="auto"/>
            </w:tcBorders>
            <w:shd w:val="clear" w:color="auto" w:fill="auto"/>
            <w:noWrap/>
            <w:vAlign w:val="center"/>
            <w:hideMark/>
          </w:tcPr>
          <w:p w14:paraId="4F3E084D"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13.054</w:t>
            </w:r>
          </w:p>
        </w:tc>
        <w:tc>
          <w:tcPr>
            <w:tcW w:w="1176" w:type="dxa"/>
            <w:tcBorders>
              <w:top w:val="nil"/>
              <w:left w:val="nil"/>
              <w:bottom w:val="single" w:sz="4" w:space="0" w:color="auto"/>
              <w:right w:val="nil"/>
            </w:tcBorders>
            <w:shd w:val="clear" w:color="auto" w:fill="auto"/>
            <w:noWrap/>
            <w:vAlign w:val="center"/>
            <w:hideMark/>
          </w:tcPr>
          <w:p w14:paraId="19D1496B"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37.779</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0CFA4060"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1308" w:type="dxa"/>
            <w:tcBorders>
              <w:top w:val="nil"/>
              <w:left w:val="nil"/>
              <w:bottom w:val="single" w:sz="4" w:space="0" w:color="auto"/>
              <w:right w:val="single" w:sz="8" w:space="0" w:color="auto"/>
            </w:tcBorders>
            <w:shd w:val="clear" w:color="auto" w:fill="auto"/>
            <w:noWrap/>
            <w:vAlign w:val="center"/>
            <w:hideMark/>
          </w:tcPr>
          <w:p w14:paraId="778466AF"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15.000.000</w:t>
            </w:r>
          </w:p>
        </w:tc>
        <w:tc>
          <w:tcPr>
            <w:tcW w:w="1329" w:type="dxa"/>
            <w:tcBorders>
              <w:top w:val="nil"/>
              <w:left w:val="single" w:sz="4" w:space="0" w:color="auto"/>
              <w:bottom w:val="single" w:sz="4" w:space="0" w:color="auto"/>
              <w:right w:val="single" w:sz="4" w:space="0" w:color="auto"/>
            </w:tcBorders>
            <w:shd w:val="clear" w:color="auto" w:fill="auto"/>
            <w:vAlign w:val="bottom"/>
          </w:tcPr>
          <w:p w14:paraId="68B82D35" w14:textId="56EA31B9"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1.990.842,13</w:t>
            </w:r>
          </w:p>
        </w:tc>
      </w:tr>
      <w:tr w:rsidR="007E3868" w:rsidRPr="00FB7CFE" w14:paraId="55553579" w14:textId="7CAB3D0A"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7798F7B3"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Zadarska </w:t>
            </w:r>
          </w:p>
        </w:tc>
        <w:tc>
          <w:tcPr>
            <w:tcW w:w="1305" w:type="dxa"/>
            <w:tcBorders>
              <w:top w:val="nil"/>
              <w:left w:val="nil"/>
              <w:bottom w:val="single" w:sz="4" w:space="0" w:color="auto"/>
              <w:right w:val="single" w:sz="4" w:space="0" w:color="auto"/>
            </w:tcBorders>
            <w:shd w:val="clear" w:color="auto" w:fill="auto"/>
            <w:noWrap/>
            <w:vAlign w:val="center"/>
            <w:hideMark/>
          </w:tcPr>
          <w:p w14:paraId="42638790"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85.461</w:t>
            </w:r>
          </w:p>
        </w:tc>
        <w:tc>
          <w:tcPr>
            <w:tcW w:w="1208" w:type="dxa"/>
            <w:tcBorders>
              <w:top w:val="nil"/>
              <w:left w:val="nil"/>
              <w:bottom w:val="single" w:sz="4" w:space="0" w:color="auto"/>
              <w:right w:val="single" w:sz="4" w:space="0" w:color="auto"/>
            </w:tcBorders>
            <w:shd w:val="clear" w:color="auto" w:fill="auto"/>
            <w:noWrap/>
            <w:vAlign w:val="center"/>
            <w:hideMark/>
          </w:tcPr>
          <w:p w14:paraId="7F546AC3"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13.568</w:t>
            </w:r>
          </w:p>
        </w:tc>
        <w:tc>
          <w:tcPr>
            <w:tcW w:w="1176" w:type="dxa"/>
            <w:tcBorders>
              <w:top w:val="nil"/>
              <w:left w:val="nil"/>
              <w:bottom w:val="single" w:sz="4" w:space="0" w:color="auto"/>
              <w:right w:val="nil"/>
            </w:tcBorders>
            <w:shd w:val="clear" w:color="auto" w:fill="auto"/>
            <w:noWrap/>
            <w:vAlign w:val="center"/>
            <w:hideMark/>
          </w:tcPr>
          <w:p w14:paraId="6490B7AB"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71.893</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1EE30CA4"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1308" w:type="dxa"/>
            <w:tcBorders>
              <w:top w:val="nil"/>
              <w:left w:val="nil"/>
              <w:bottom w:val="single" w:sz="4" w:space="0" w:color="auto"/>
              <w:right w:val="single" w:sz="8" w:space="0" w:color="auto"/>
            </w:tcBorders>
            <w:shd w:val="clear" w:color="auto" w:fill="auto"/>
            <w:noWrap/>
            <w:vAlign w:val="center"/>
            <w:hideMark/>
          </w:tcPr>
          <w:p w14:paraId="0768AA2D"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15.000.000</w:t>
            </w:r>
          </w:p>
        </w:tc>
        <w:tc>
          <w:tcPr>
            <w:tcW w:w="1329" w:type="dxa"/>
            <w:tcBorders>
              <w:top w:val="nil"/>
              <w:left w:val="single" w:sz="4" w:space="0" w:color="auto"/>
              <w:bottom w:val="single" w:sz="4" w:space="0" w:color="auto"/>
              <w:right w:val="single" w:sz="4" w:space="0" w:color="auto"/>
            </w:tcBorders>
            <w:shd w:val="clear" w:color="auto" w:fill="auto"/>
            <w:vAlign w:val="bottom"/>
          </w:tcPr>
          <w:p w14:paraId="5051B353" w14:textId="71826BE2"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1.990.842,13</w:t>
            </w:r>
          </w:p>
        </w:tc>
      </w:tr>
      <w:tr w:rsidR="007E3868" w:rsidRPr="00FB7CFE" w14:paraId="1166843A" w14:textId="69595962" w:rsidTr="00BB2706">
        <w:trPr>
          <w:trHeight w:val="170"/>
        </w:trPr>
        <w:tc>
          <w:tcPr>
            <w:tcW w:w="2040" w:type="dxa"/>
            <w:tcBorders>
              <w:top w:val="nil"/>
              <w:left w:val="single" w:sz="8" w:space="0" w:color="auto"/>
              <w:bottom w:val="nil"/>
              <w:right w:val="single" w:sz="4" w:space="0" w:color="auto"/>
            </w:tcBorders>
            <w:shd w:val="clear" w:color="auto" w:fill="auto"/>
            <w:noWrap/>
            <w:vAlign w:val="center"/>
            <w:hideMark/>
          </w:tcPr>
          <w:p w14:paraId="40F1347B"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Zagrebačka </w:t>
            </w:r>
          </w:p>
        </w:tc>
        <w:tc>
          <w:tcPr>
            <w:tcW w:w="1305" w:type="dxa"/>
            <w:tcBorders>
              <w:top w:val="nil"/>
              <w:left w:val="nil"/>
              <w:bottom w:val="nil"/>
              <w:right w:val="single" w:sz="4" w:space="0" w:color="auto"/>
            </w:tcBorders>
            <w:shd w:val="clear" w:color="auto" w:fill="auto"/>
            <w:noWrap/>
            <w:vAlign w:val="center"/>
            <w:hideMark/>
          </w:tcPr>
          <w:p w14:paraId="00771E24"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107.589</w:t>
            </w:r>
          </w:p>
        </w:tc>
        <w:tc>
          <w:tcPr>
            <w:tcW w:w="1208" w:type="dxa"/>
            <w:tcBorders>
              <w:top w:val="nil"/>
              <w:left w:val="nil"/>
              <w:bottom w:val="nil"/>
              <w:right w:val="single" w:sz="4" w:space="0" w:color="auto"/>
            </w:tcBorders>
            <w:shd w:val="clear" w:color="auto" w:fill="auto"/>
            <w:noWrap/>
            <w:vAlign w:val="center"/>
            <w:hideMark/>
          </w:tcPr>
          <w:p w14:paraId="74CBFB2E"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480.000</w:t>
            </w:r>
          </w:p>
        </w:tc>
        <w:tc>
          <w:tcPr>
            <w:tcW w:w="1176" w:type="dxa"/>
            <w:tcBorders>
              <w:top w:val="nil"/>
              <w:left w:val="nil"/>
              <w:bottom w:val="nil"/>
              <w:right w:val="nil"/>
            </w:tcBorders>
            <w:shd w:val="clear" w:color="auto" w:fill="auto"/>
            <w:noWrap/>
            <w:vAlign w:val="center"/>
            <w:hideMark/>
          </w:tcPr>
          <w:p w14:paraId="50700514"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263" w:type="dxa"/>
            <w:tcBorders>
              <w:top w:val="nil"/>
              <w:left w:val="single" w:sz="4" w:space="0" w:color="auto"/>
              <w:bottom w:val="nil"/>
              <w:right w:val="single" w:sz="4" w:space="0" w:color="auto"/>
            </w:tcBorders>
            <w:shd w:val="clear" w:color="auto" w:fill="auto"/>
            <w:noWrap/>
            <w:vAlign w:val="center"/>
            <w:hideMark/>
          </w:tcPr>
          <w:p w14:paraId="747FAEE6"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08" w:type="dxa"/>
            <w:tcBorders>
              <w:top w:val="nil"/>
              <w:left w:val="nil"/>
              <w:bottom w:val="nil"/>
              <w:right w:val="single" w:sz="8" w:space="0" w:color="auto"/>
            </w:tcBorders>
            <w:shd w:val="clear" w:color="auto" w:fill="auto"/>
            <w:noWrap/>
            <w:vAlign w:val="center"/>
            <w:hideMark/>
          </w:tcPr>
          <w:p w14:paraId="61659734"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29" w:type="dxa"/>
            <w:tcBorders>
              <w:top w:val="nil"/>
              <w:left w:val="single" w:sz="4" w:space="0" w:color="auto"/>
              <w:bottom w:val="single" w:sz="4" w:space="0" w:color="auto"/>
              <w:right w:val="single" w:sz="4" w:space="0" w:color="auto"/>
            </w:tcBorders>
            <w:shd w:val="clear" w:color="auto" w:fill="auto"/>
            <w:vAlign w:val="bottom"/>
          </w:tcPr>
          <w:p w14:paraId="23C6E376" w14:textId="11D6831A"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7E3868" w:rsidRPr="00FB7CFE" w14:paraId="50F5A3E0" w14:textId="2010FE0F" w:rsidTr="00BB2706">
        <w:trPr>
          <w:trHeight w:val="170"/>
        </w:trPr>
        <w:tc>
          <w:tcPr>
            <w:tcW w:w="20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4EB72D9" w14:textId="77777777" w:rsidR="007E3868" w:rsidRPr="00FB7CFE" w:rsidRDefault="007E3868" w:rsidP="007E3868">
            <w:pPr>
              <w:spacing w:after="0" w:line="240" w:lineRule="auto"/>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Ukupno</w:t>
            </w:r>
          </w:p>
        </w:tc>
        <w:tc>
          <w:tcPr>
            <w:tcW w:w="1305" w:type="dxa"/>
            <w:tcBorders>
              <w:top w:val="single" w:sz="8" w:space="0" w:color="auto"/>
              <w:left w:val="nil"/>
              <w:bottom w:val="single" w:sz="8" w:space="0" w:color="auto"/>
              <w:right w:val="single" w:sz="4" w:space="0" w:color="auto"/>
            </w:tcBorders>
            <w:shd w:val="clear" w:color="auto" w:fill="auto"/>
            <w:noWrap/>
            <w:vAlign w:val="center"/>
            <w:hideMark/>
          </w:tcPr>
          <w:p w14:paraId="77A1B722" w14:textId="77777777" w:rsidR="007E3868" w:rsidRPr="00FB7CFE" w:rsidRDefault="007E3868" w:rsidP="007E3868">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1.399.193</w:t>
            </w:r>
          </w:p>
        </w:tc>
        <w:tc>
          <w:tcPr>
            <w:tcW w:w="1208" w:type="dxa"/>
            <w:tcBorders>
              <w:top w:val="single" w:sz="8" w:space="0" w:color="auto"/>
              <w:left w:val="nil"/>
              <w:bottom w:val="single" w:sz="8" w:space="0" w:color="auto"/>
              <w:right w:val="single" w:sz="4" w:space="0" w:color="auto"/>
            </w:tcBorders>
            <w:shd w:val="clear" w:color="auto" w:fill="auto"/>
            <w:noWrap/>
            <w:vAlign w:val="center"/>
            <w:hideMark/>
          </w:tcPr>
          <w:p w14:paraId="11FB9E6C" w14:textId="77777777" w:rsidR="007E3868" w:rsidRPr="00FB7CFE" w:rsidRDefault="007E3868" w:rsidP="007E3868">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5.662.222</w:t>
            </w:r>
          </w:p>
        </w:tc>
        <w:tc>
          <w:tcPr>
            <w:tcW w:w="1176" w:type="dxa"/>
            <w:tcBorders>
              <w:top w:val="single" w:sz="8" w:space="0" w:color="auto"/>
              <w:left w:val="nil"/>
              <w:bottom w:val="single" w:sz="8" w:space="0" w:color="auto"/>
              <w:right w:val="nil"/>
            </w:tcBorders>
            <w:shd w:val="clear" w:color="auto" w:fill="auto"/>
            <w:noWrap/>
            <w:vAlign w:val="center"/>
            <w:hideMark/>
          </w:tcPr>
          <w:p w14:paraId="7CF94D81" w14:textId="77777777" w:rsidR="007E3868" w:rsidRPr="00FB7CFE" w:rsidRDefault="007E3868" w:rsidP="007E3868">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279.781</w:t>
            </w:r>
          </w:p>
        </w:tc>
        <w:tc>
          <w:tcPr>
            <w:tcW w:w="1263"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31F3784" w14:textId="77777777" w:rsidR="007E3868" w:rsidRPr="00FB7CFE" w:rsidRDefault="007E3868" w:rsidP="007E3868">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22</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FA17AEC" w14:textId="77777777" w:rsidR="007E3868" w:rsidRPr="00FB7CFE" w:rsidRDefault="007E3868" w:rsidP="007E3868">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165.000.000</w:t>
            </w:r>
          </w:p>
        </w:tc>
        <w:tc>
          <w:tcPr>
            <w:tcW w:w="1329" w:type="dxa"/>
            <w:tcBorders>
              <w:top w:val="nil"/>
              <w:left w:val="single" w:sz="4" w:space="0" w:color="auto"/>
              <w:bottom w:val="single" w:sz="4" w:space="0" w:color="auto"/>
              <w:right w:val="single" w:sz="4" w:space="0" w:color="auto"/>
            </w:tcBorders>
            <w:shd w:val="clear" w:color="auto" w:fill="auto"/>
            <w:vAlign w:val="bottom"/>
          </w:tcPr>
          <w:p w14:paraId="46EF5745" w14:textId="2A842D06" w:rsidR="007E3868" w:rsidRPr="00FB7CFE" w:rsidRDefault="007E3868" w:rsidP="007E3868">
            <w:pPr>
              <w:spacing w:after="0" w:line="240" w:lineRule="auto"/>
              <w:jc w:val="center"/>
              <w:rPr>
                <w:rFonts w:ascii="Calibri" w:eastAsia="Times New Roman" w:hAnsi="Calibri" w:cs="Calibri"/>
                <w:b/>
                <w:bCs/>
                <w:color w:val="000000"/>
                <w:sz w:val="16"/>
                <w:szCs w:val="16"/>
                <w:lang w:eastAsia="hr-HR"/>
              </w:rPr>
            </w:pPr>
            <w:r>
              <w:rPr>
                <w:rFonts w:ascii="Calibri" w:hAnsi="Calibri" w:cs="Calibri"/>
                <w:color w:val="000000"/>
                <w:sz w:val="16"/>
                <w:szCs w:val="16"/>
              </w:rPr>
              <w:t>21.899.263,39</w:t>
            </w:r>
          </w:p>
        </w:tc>
      </w:tr>
    </w:tbl>
    <w:p w14:paraId="49513906" w14:textId="176EF27E" w:rsidR="00351C00" w:rsidRDefault="00351C00" w:rsidP="0018450E">
      <w:pPr>
        <w:pStyle w:val="IRNaslov3"/>
        <w:numPr>
          <w:ilvl w:val="2"/>
          <w:numId w:val="22"/>
        </w:numPr>
      </w:pPr>
      <w:bookmarkStart w:id="272" w:name="_Toc123211668"/>
      <w:r>
        <w:t>Postrojenja za oporabu plastike</w:t>
      </w:r>
      <w:bookmarkEnd w:id="272"/>
    </w:p>
    <w:p w14:paraId="237E09CC" w14:textId="0757AB3F" w:rsidR="00730D8A" w:rsidRDefault="00730D8A" w:rsidP="00730D8A">
      <w:pPr>
        <w:rPr>
          <w:highlight w:val="yellow"/>
        </w:rPr>
      </w:pPr>
      <w:r>
        <w:t xml:space="preserve">S obzirom da za materijalnu oporabu plastike ne postoje dostatni kapaciteti na razini RH dana je procjena potrebnih dodatnih kapaciteta za oporabu plastike na razini RH. </w:t>
      </w:r>
    </w:p>
    <w:p w14:paraId="39B71630" w14:textId="12CF5FC0" w:rsidR="002F2E13" w:rsidRDefault="002F2E13" w:rsidP="000E10DF">
      <w:pPr>
        <w:pStyle w:val="Tablica"/>
      </w:pPr>
      <w:bookmarkStart w:id="273" w:name="_Toc125364440"/>
      <w:r>
        <w:t xml:space="preserve">Tablica </w:t>
      </w:r>
      <w:fldSimple w:instr=" SEQ Tablica \* ARABIC ">
        <w:r w:rsidR="00F37B62">
          <w:rPr>
            <w:noProof/>
          </w:rPr>
          <w:t>51</w:t>
        </w:r>
      </w:fldSimple>
      <w:r>
        <w:t xml:space="preserve">. </w:t>
      </w:r>
      <w:r w:rsidRPr="00A23664">
        <w:rPr>
          <w:b w:val="0"/>
          <w:bCs/>
        </w:rPr>
        <w:t>Potre</w:t>
      </w:r>
      <w:r>
        <w:rPr>
          <w:b w:val="0"/>
          <w:bCs/>
        </w:rPr>
        <w:t xml:space="preserve">bni kapaciteti postrojenja za </w:t>
      </w:r>
      <w:r w:rsidR="003D214B">
        <w:rPr>
          <w:b w:val="0"/>
          <w:bCs/>
        </w:rPr>
        <w:t>recikliranje</w:t>
      </w:r>
      <w:r>
        <w:rPr>
          <w:b w:val="0"/>
          <w:bCs/>
        </w:rPr>
        <w:t xml:space="preserve"> plastike </w:t>
      </w:r>
      <w:r w:rsidR="002B0726">
        <w:rPr>
          <w:b w:val="0"/>
          <w:bCs/>
        </w:rPr>
        <w:t xml:space="preserve">- </w:t>
      </w:r>
      <w:r>
        <w:rPr>
          <w:b w:val="0"/>
          <w:bCs/>
        </w:rPr>
        <w:t xml:space="preserve"> SCENARIJ 1</w:t>
      </w:r>
      <w:bookmarkEnd w:id="273"/>
    </w:p>
    <w:tbl>
      <w:tblPr>
        <w:tblW w:w="8941" w:type="dxa"/>
        <w:tblInd w:w="-30" w:type="dxa"/>
        <w:tblLook w:val="04A0" w:firstRow="1" w:lastRow="0" w:firstColumn="1" w:lastColumn="0" w:noHBand="0" w:noVBand="1"/>
      </w:tblPr>
      <w:tblGrid>
        <w:gridCol w:w="1906"/>
        <w:gridCol w:w="1074"/>
        <w:gridCol w:w="945"/>
        <w:gridCol w:w="989"/>
        <w:gridCol w:w="989"/>
        <w:gridCol w:w="1168"/>
        <w:gridCol w:w="1870"/>
      </w:tblGrid>
      <w:tr w:rsidR="00CC41BC" w:rsidRPr="006F5FDB" w14:paraId="2AEC2F67" w14:textId="77777777" w:rsidTr="007E3868">
        <w:trPr>
          <w:trHeight w:val="170"/>
          <w:tblHeader/>
        </w:trPr>
        <w:tc>
          <w:tcPr>
            <w:tcW w:w="8941"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36DBD7A2"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2028.-PLASTIKA-</w:t>
            </w:r>
          </w:p>
        </w:tc>
      </w:tr>
      <w:tr w:rsidR="00CC41BC" w:rsidRPr="006F5FDB" w14:paraId="52FF6FE6" w14:textId="77777777" w:rsidTr="007E3868">
        <w:trPr>
          <w:trHeight w:val="170"/>
          <w:tblHeader/>
        </w:trPr>
        <w:tc>
          <w:tcPr>
            <w:tcW w:w="1906" w:type="dxa"/>
            <w:tcBorders>
              <w:top w:val="single" w:sz="8" w:space="0" w:color="auto"/>
              <w:left w:val="single" w:sz="8" w:space="0" w:color="auto"/>
              <w:bottom w:val="single" w:sz="4" w:space="0" w:color="auto"/>
              <w:right w:val="single" w:sz="4" w:space="0" w:color="auto"/>
            </w:tcBorders>
            <w:shd w:val="clear" w:color="auto" w:fill="002060"/>
            <w:noWrap/>
            <w:vAlign w:val="center"/>
            <w:hideMark/>
          </w:tcPr>
          <w:p w14:paraId="41E35C2F"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Županija</w:t>
            </w:r>
          </w:p>
        </w:tc>
        <w:tc>
          <w:tcPr>
            <w:tcW w:w="1074" w:type="dxa"/>
            <w:tcBorders>
              <w:top w:val="single" w:sz="8" w:space="0" w:color="auto"/>
              <w:left w:val="nil"/>
              <w:bottom w:val="single" w:sz="4" w:space="0" w:color="auto"/>
              <w:right w:val="single" w:sz="4" w:space="0" w:color="auto"/>
            </w:tcBorders>
            <w:shd w:val="clear" w:color="auto" w:fill="002060"/>
            <w:vAlign w:val="center"/>
            <w:hideMark/>
          </w:tcPr>
          <w:p w14:paraId="4A5441C7"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Udio županije u ukupno skupljenoj količini KO</w:t>
            </w:r>
          </w:p>
        </w:tc>
        <w:tc>
          <w:tcPr>
            <w:tcW w:w="945" w:type="dxa"/>
            <w:tcBorders>
              <w:top w:val="single" w:sz="8" w:space="0" w:color="auto"/>
              <w:left w:val="nil"/>
              <w:bottom w:val="single" w:sz="4" w:space="0" w:color="auto"/>
              <w:right w:val="single" w:sz="4" w:space="0" w:color="auto"/>
            </w:tcBorders>
            <w:shd w:val="clear" w:color="auto" w:fill="002060"/>
            <w:vAlign w:val="center"/>
            <w:hideMark/>
          </w:tcPr>
          <w:p w14:paraId="1D6C4CCE"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Ulaz u sustav reciklaže</w:t>
            </w:r>
            <w:r w:rsidRPr="006F5FDB">
              <w:rPr>
                <w:rFonts w:ascii="Calibri" w:eastAsia="Times New Roman" w:hAnsi="Calibri" w:cs="Calibri"/>
                <w:b/>
                <w:color w:val="FFFFFF" w:themeColor="background1"/>
                <w:sz w:val="16"/>
                <w:szCs w:val="16"/>
                <w:lang w:eastAsia="hr-HR"/>
              </w:rPr>
              <w:br/>
              <w:t>(t)</w:t>
            </w:r>
          </w:p>
        </w:tc>
        <w:tc>
          <w:tcPr>
            <w:tcW w:w="989" w:type="dxa"/>
            <w:tcBorders>
              <w:top w:val="single" w:sz="8" w:space="0" w:color="auto"/>
              <w:left w:val="nil"/>
              <w:bottom w:val="single" w:sz="4" w:space="0" w:color="auto"/>
              <w:right w:val="single" w:sz="4" w:space="0" w:color="auto"/>
            </w:tcBorders>
            <w:shd w:val="clear" w:color="auto" w:fill="002060"/>
            <w:vAlign w:val="center"/>
            <w:hideMark/>
          </w:tcPr>
          <w:p w14:paraId="5ECB48AF"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Potrebni kapacitet</w:t>
            </w:r>
            <w:r w:rsidRPr="006F5FDB">
              <w:rPr>
                <w:rFonts w:ascii="Calibri" w:eastAsia="Times New Roman" w:hAnsi="Calibri" w:cs="Calibri"/>
                <w:b/>
                <w:color w:val="FFFFFF" w:themeColor="background1"/>
                <w:sz w:val="16"/>
                <w:szCs w:val="16"/>
                <w:lang w:eastAsia="hr-HR"/>
              </w:rPr>
              <w:br/>
              <w:t>(t)</w:t>
            </w:r>
          </w:p>
        </w:tc>
        <w:tc>
          <w:tcPr>
            <w:tcW w:w="989" w:type="dxa"/>
            <w:tcBorders>
              <w:top w:val="single" w:sz="8" w:space="0" w:color="auto"/>
              <w:left w:val="nil"/>
              <w:bottom w:val="single" w:sz="4" w:space="0" w:color="auto"/>
              <w:right w:val="single" w:sz="4" w:space="0" w:color="auto"/>
            </w:tcBorders>
            <w:shd w:val="clear" w:color="auto" w:fill="002060"/>
            <w:vAlign w:val="center"/>
            <w:hideMark/>
          </w:tcPr>
          <w:p w14:paraId="37B05736"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Ukupni kapacitet </w:t>
            </w:r>
            <w:r w:rsidRPr="006F5FDB">
              <w:rPr>
                <w:rFonts w:ascii="Calibri" w:eastAsia="Times New Roman" w:hAnsi="Calibri" w:cs="Calibri"/>
                <w:b/>
                <w:color w:val="FFFFFF" w:themeColor="background1"/>
                <w:sz w:val="16"/>
                <w:szCs w:val="16"/>
                <w:lang w:eastAsia="hr-HR"/>
              </w:rPr>
              <w:br/>
              <w:t>(t/god)</w:t>
            </w:r>
          </w:p>
        </w:tc>
        <w:tc>
          <w:tcPr>
            <w:tcW w:w="1168" w:type="dxa"/>
            <w:tcBorders>
              <w:top w:val="single" w:sz="8" w:space="0" w:color="auto"/>
              <w:left w:val="nil"/>
              <w:bottom w:val="single" w:sz="4" w:space="0" w:color="auto"/>
              <w:right w:val="single" w:sz="4" w:space="0" w:color="auto"/>
            </w:tcBorders>
            <w:shd w:val="clear" w:color="auto" w:fill="002060"/>
            <w:vAlign w:val="center"/>
            <w:hideMark/>
          </w:tcPr>
          <w:p w14:paraId="030E9334"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Broj postrojenja</w:t>
            </w:r>
          </w:p>
        </w:tc>
        <w:tc>
          <w:tcPr>
            <w:tcW w:w="1870" w:type="dxa"/>
            <w:tcBorders>
              <w:top w:val="single" w:sz="8" w:space="0" w:color="auto"/>
              <w:left w:val="nil"/>
              <w:bottom w:val="single" w:sz="4" w:space="0" w:color="auto"/>
              <w:right w:val="single" w:sz="8" w:space="0" w:color="auto"/>
            </w:tcBorders>
            <w:shd w:val="clear" w:color="auto" w:fill="002060"/>
            <w:vAlign w:val="center"/>
            <w:hideMark/>
          </w:tcPr>
          <w:p w14:paraId="6131EA89"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Potrebni dodatni kapacitet </w:t>
            </w:r>
            <w:r w:rsidRPr="006F5FDB">
              <w:rPr>
                <w:rFonts w:ascii="Calibri" w:eastAsia="Times New Roman" w:hAnsi="Calibri" w:cs="Calibri"/>
                <w:b/>
                <w:color w:val="FFFFFF" w:themeColor="background1"/>
                <w:sz w:val="16"/>
                <w:szCs w:val="16"/>
                <w:lang w:eastAsia="hr-HR"/>
              </w:rPr>
              <w:br/>
              <w:t>(t/god)</w:t>
            </w:r>
          </w:p>
        </w:tc>
      </w:tr>
      <w:tr w:rsidR="00CC41BC" w:rsidRPr="006F5FDB" w14:paraId="413F9FC5"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2C74AB24"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Bjelovarsko-bilogorska</w:t>
            </w:r>
          </w:p>
        </w:tc>
        <w:tc>
          <w:tcPr>
            <w:tcW w:w="1074" w:type="dxa"/>
            <w:tcBorders>
              <w:top w:val="nil"/>
              <w:left w:val="nil"/>
              <w:bottom w:val="single" w:sz="4" w:space="0" w:color="auto"/>
              <w:right w:val="single" w:sz="4" w:space="0" w:color="auto"/>
            </w:tcBorders>
            <w:shd w:val="clear" w:color="auto" w:fill="auto"/>
            <w:noWrap/>
            <w:vAlign w:val="center"/>
            <w:hideMark/>
          </w:tcPr>
          <w:p w14:paraId="12D63CB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1,6%</w:t>
            </w:r>
          </w:p>
        </w:tc>
        <w:tc>
          <w:tcPr>
            <w:tcW w:w="945" w:type="dxa"/>
            <w:vMerge w:val="restart"/>
            <w:tcBorders>
              <w:top w:val="nil"/>
              <w:left w:val="single" w:sz="4" w:space="0" w:color="auto"/>
              <w:bottom w:val="single" w:sz="4" w:space="0" w:color="auto"/>
              <w:right w:val="single" w:sz="4" w:space="0" w:color="auto"/>
            </w:tcBorders>
            <w:shd w:val="clear" w:color="auto" w:fill="auto"/>
            <w:vAlign w:val="center"/>
            <w:hideMark/>
          </w:tcPr>
          <w:p w14:paraId="3FE46B5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237.784</w:t>
            </w:r>
          </w:p>
        </w:tc>
        <w:tc>
          <w:tcPr>
            <w:tcW w:w="989" w:type="dxa"/>
            <w:tcBorders>
              <w:top w:val="nil"/>
              <w:left w:val="nil"/>
              <w:bottom w:val="single" w:sz="4" w:space="0" w:color="auto"/>
              <w:right w:val="single" w:sz="4" w:space="0" w:color="auto"/>
            </w:tcBorders>
            <w:shd w:val="clear" w:color="auto" w:fill="auto"/>
            <w:noWrap/>
            <w:vAlign w:val="center"/>
            <w:hideMark/>
          </w:tcPr>
          <w:p w14:paraId="38F68BD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3.796</w:t>
            </w:r>
          </w:p>
        </w:tc>
        <w:tc>
          <w:tcPr>
            <w:tcW w:w="989" w:type="dxa"/>
            <w:tcBorders>
              <w:top w:val="nil"/>
              <w:left w:val="nil"/>
              <w:bottom w:val="single" w:sz="4" w:space="0" w:color="auto"/>
              <w:right w:val="single" w:sz="4" w:space="0" w:color="auto"/>
            </w:tcBorders>
            <w:shd w:val="clear" w:color="auto" w:fill="auto"/>
            <w:noWrap/>
            <w:vAlign w:val="center"/>
            <w:hideMark/>
          </w:tcPr>
          <w:p w14:paraId="655EDF5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03ABD81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728DB40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3.796</w:t>
            </w:r>
          </w:p>
        </w:tc>
      </w:tr>
      <w:tr w:rsidR="00CC41BC" w:rsidRPr="006F5FDB" w14:paraId="5797C088"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40E129E6"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Brodsko-posavska</w:t>
            </w:r>
          </w:p>
        </w:tc>
        <w:tc>
          <w:tcPr>
            <w:tcW w:w="1074" w:type="dxa"/>
            <w:tcBorders>
              <w:top w:val="nil"/>
              <w:left w:val="nil"/>
              <w:bottom w:val="single" w:sz="4" w:space="0" w:color="auto"/>
              <w:right w:val="single" w:sz="4" w:space="0" w:color="auto"/>
            </w:tcBorders>
            <w:shd w:val="clear" w:color="auto" w:fill="auto"/>
            <w:noWrap/>
            <w:vAlign w:val="center"/>
            <w:hideMark/>
          </w:tcPr>
          <w:p w14:paraId="1911348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w:t>
            </w:r>
          </w:p>
        </w:tc>
        <w:tc>
          <w:tcPr>
            <w:tcW w:w="945" w:type="dxa"/>
            <w:vMerge/>
            <w:tcBorders>
              <w:top w:val="nil"/>
              <w:left w:val="single" w:sz="4" w:space="0" w:color="auto"/>
              <w:bottom w:val="single" w:sz="4" w:space="0" w:color="auto"/>
              <w:right w:val="single" w:sz="4" w:space="0" w:color="auto"/>
            </w:tcBorders>
            <w:vAlign w:val="center"/>
            <w:hideMark/>
          </w:tcPr>
          <w:p w14:paraId="4418B599"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02FB7BE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4.866</w:t>
            </w:r>
          </w:p>
        </w:tc>
        <w:tc>
          <w:tcPr>
            <w:tcW w:w="989" w:type="dxa"/>
            <w:tcBorders>
              <w:top w:val="nil"/>
              <w:left w:val="nil"/>
              <w:bottom w:val="single" w:sz="4" w:space="0" w:color="auto"/>
              <w:right w:val="single" w:sz="4" w:space="0" w:color="auto"/>
            </w:tcBorders>
            <w:shd w:val="clear" w:color="auto" w:fill="auto"/>
            <w:noWrap/>
            <w:vAlign w:val="center"/>
            <w:hideMark/>
          </w:tcPr>
          <w:p w14:paraId="04CD5E8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55AF51E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41E70AD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4.866</w:t>
            </w:r>
          </w:p>
        </w:tc>
      </w:tr>
      <w:tr w:rsidR="00CC41BC" w:rsidRPr="006F5FDB" w14:paraId="2D6707EF"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73C206DB"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1074" w:type="dxa"/>
            <w:tcBorders>
              <w:top w:val="nil"/>
              <w:left w:val="nil"/>
              <w:bottom w:val="single" w:sz="4" w:space="0" w:color="auto"/>
              <w:right w:val="single" w:sz="4" w:space="0" w:color="auto"/>
            </w:tcBorders>
            <w:shd w:val="clear" w:color="auto" w:fill="auto"/>
            <w:noWrap/>
            <w:vAlign w:val="center"/>
            <w:hideMark/>
          </w:tcPr>
          <w:p w14:paraId="758DFD8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3,9%</w:t>
            </w:r>
          </w:p>
        </w:tc>
        <w:tc>
          <w:tcPr>
            <w:tcW w:w="945" w:type="dxa"/>
            <w:vMerge/>
            <w:tcBorders>
              <w:top w:val="nil"/>
              <w:left w:val="single" w:sz="4" w:space="0" w:color="auto"/>
              <w:bottom w:val="single" w:sz="4" w:space="0" w:color="auto"/>
              <w:right w:val="single" w:sz="4" w:space="0" w:color="auto"/>
            </w:tcBorders>
            <w:vAlign w:val="center"/>
            <w:hideMark/>
          </w:tcPr>
          <w:p w14:paraId="63437177"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2D64CB3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9.278</w:t>
            </w:r>
          </w:p>
        </w:tc>
        <w:tc>
          <w:tcPr>
            <w:tcW w:w="989" w:type="dxa"/>
            <w:tcBorders>
              <w:top w:val="nil"/>
              <w:left w:val="nil"/>
              <w:bottom w:val="single" w:sz="4" w:space="0" w:color="auto"/>
              <w:right w:val="single" w:sz="4" w:space="0" w:color="auto"/>
            </w:tcBorders>
            <w:shd w:val="clear" w:color="auto" w:fill="auto"/>
            <w:noWrap/>
            <w:vAlign w:val="center"/>
            <w:hideMark/>
          </w:tcPr>
          <w:p w14:paraId="0ED4761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07C30EE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612040E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9.278</w:t>
            </w:r>
          </w:p>
        </w:tc>
      </w:tr>
      <w:tr w:rsidR="00CC41BC" w:rsidRPr="006F5FDB" w14:paraId="5B6A811C"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64A814C5"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lastRenderedPageBreak/>
              <w:t>Grad Zagreb</w:t>
            </w:r>
          </w:p>
        </w:tc>
        <w:tc>
          <w:tcPr>
            <w:tcW w:w="1074" w:type="dxa"/>
            <w:tcBorders>
              <w:top w:val="nil"/>
              <w:left w:val="nil"/>
              <w:bottom w:val="single" w:sz="4" w:space="0" w:color="auto"/>
              <w:right w:val="single" w:sz="4" w:space="0" w:color="auto"/>
            </w:tcBorders>
            <w:shd w:val="clear" w:color="auto" w:fill="auto"/>
            <w:noWrap/>
            <w:vAlign w:val="center"/>
            <w:hideMark/>
          </w:tcPr>
          <w:p w14:paraId="1F31A53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19,8%</w:t>
            </w:r>
          </w:p>
        </w:tc>
        <w:tc>
          <w:tcPr>
            <w:tcW w:w="945" w:type="dxa"/>
            <w:vMerge/>
            <w:tcBorders>
              <w:top w:val="nil"/>
              <w:left w:val="single" w:sz="4" w:space="0" w:color="auto"/>
              <w:bottom w:val="single" w:sz="4" w:space="0" w:color="auto"/>
              <w:right w:val="single" w:sz="4" w:space="0" w:color="auto"/>
            </w:tcBorders>
            <w:vAlign w:val="center"/>
            <w:hideMark/>
          </w:tcPr>
          <w:p w14:paraId="4E9B9B59"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42A38EE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46.963</w:t>
            </w:r>
          </w:p>
        </w:tc>
        <w:tc>
          <w:tcPr>
            <w:tcW w:w="989" w:type="dxa"/>
            <w:tcBorders>
              <w:top w:val="nil"/>
              <w:left w:val="nil"/>
              <w:bottom w:val="single" w:sz="4" w:space="0" w:color="auto"/>
              <w:right w:val="single" w:sz="4" w:space="0" w:color="auto"/>
            </w:tcBorders>
            <w:shd w:val="clear" w:color="auto" w:fill="auto"/>
            <w:noWrap/>
            <w:vAlign w:val="center"/>
            <w:hideMark/>
          </w:tcPr>
          <w:p w14:paraId="17AE318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10ADBF7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7496E20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46.963</w:t>
            </w:r>
          </w:p>
        </w:tc>
      </w:tr>
      <w:tr w:rsidR="00CC41BC" w:rsidRPr="006F5FDB" w14:paraId="269787A7"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1FE7E32B"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Istarska </w:t>
            </w:r>
          </w:p>
        </w:tc>
        <w:tc>
          <w:tcPr>
            <w:tcW w:w="1074" w:type="dxa"/>
            <w:tcBorders>
              <w:top w:val="nil"/>
              <w:left w:val="nil"/>
              <w:bottom w:val="single" w:sz="4" w:space="0" w:color="auto"/>
              <w:right w:val="single" w:sz="4" w:space="0" w:color="auto"/>
            </w:tcBorders>
            <w:shd w:val="clear" w:color="auto" w:fill="auto"/>
            <w:noWrap/>
            <w:vAlign w:val="center"/>
            <w:hideMark/>
          </w:tcPr>
          <w:p w14:paraId="1E02B3D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7,5%</w:t>
            </w:r>
          </w:p>
        </w:tc>
        <w:tc>
          <w:tcPr>
            <w:tcW w:w="945" w:type="dxa"/>
            <w:vMerge/>
            <w:tcBorders>
              <w:top w:val="nil"/>
              <w:left w:val="single" w:sz="4" w:space="0" w:color="auto"/>
              <w:bottom w:val="single" w:sz="4" w:space="0" w:color="auto"/>
              <w:right w:val="single" w:sz="4" w:space="0" w:color="auto"/>
            </w:tcBorders>
            <w:vAlign w:val="center"/>
            <w:hideMark/>
          </w:tcPr>
          <w:p w14:paraId="68BA73C1"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53F7B0D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17.719</w:t>
            </w:r>
          </w:p>
        </w:tc>
        <w:tc>
          <w:tcPr>
            <w:tcW w:w="989" w:type="dxa"/>
            <w:tcBorders>
              <w:top w:val="nil"/>
              <w:left w:val="nil"/>
              <w:bottom w:val="single" w:sz="4" w:space="0" w:color="auto"/>
              <w:right w:val="single" w:sz="4" w:space="0" w:color="auto"/>
            </w:tcBorders>
            <w:shd w:val="clear" w:color="auto" w:fill="auto"/>
            <w:noWrap/>
            <w:vAlign w:val="center"/>
            <w:hideMark/>
          </w:tcPr>
          <w:p w14:paraId="6048205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4A0E7E1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2907AD7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17.719</w:t>
            </w:r>
          </w:p>
        </w:tc>
      </w:tr>
      <w:tr w:rsidR="00CC41BC" w:rsidRPr="006F5FDB" w14:paraId="56323F82"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1E3BD315"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Karlovačka </w:t>
            </w:r>
          </w:p>
        </w:tc>
        <w:tc>
          <w:tcPr>
            <w:tcW w:w="1074" w:type="dxa"/>
            <w:tcBorders>
              <w:top w:val="nil"/>
              <w:left w:val="nil"/>
              <w:bottom w:val="single" w:sz="4" w:space="0" w:color="auto"/>
              <w:right w:val="single" w:sz="4" w:space="0" w:color="auto"/>
            </w:tcBorders>
            <w:shd w:val="clear" w:color="auto" w:fill="auto"/>
            <w:noWrap/>
            <w:vAlign w:val="center"/>
            <w:hideMark/>
          </w:tcPr>
          <w:p w14:paraId="781D960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2,5%</w:t>
            </w:r>
          </w:p>
        </w:tc>
        <w:tc>
          <w:tcPr>
            <w:tcW w:w="945" w:type="dxa"/>
            <w:vMerge/>
            <w:tcBorders>
              <w:top w:val="nil"/>
              <w:left w:val="single" w:sz="4" w:space="0" w:color="auto"/>
              <w:bottom w:val="single" w:sz="4" w:space="0" w:color="auto"/>
              <w:right w:val="single" w:sz="4" w:space="0" w:color="auto"/>
            </w:tcBorders>
            <w:vAlign w:val="center"/>
            <w:hideMark/>
          </w:tcPr>
          <w:p w14:paraId="22129797"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3E4E431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5.865</w:t>
            </w:r>
          </w:p>
        </w:tc>
        <w:tc>
          <w:tcPr>
            <w:tcW w:w="989" w:type="dxa"/>
            <w:tcBorders>
              <w:top w:val="nil"/>
              <w:left w:val="nil"/>
              <w:bottom w:val="single" w:sz="4" w:space="0" w:color="auto"/>
              <w:right w:val="single" w:sz="4" w:space="0" w:color="auto"/>
            </w:tcBorders>
            <w:shd w:val="clear" w:color="auto" w:fill="auto"/>
            <w:noWrap/>
            <w:vAlign w:val="center"/>
            <w:hideMark/>
          </w:tcPr>
          <w:p w14:paraId="5B717F6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8.808</w:t>
            </w:r>
          </w:p>
        </w:tc>
        <w:tc>
          <w:tcPr>
            <w:tcW w:w="1168" w:type="dxa"/>
            <w:tcBorders>
              <w:top w:val="nil"/>
              <w:left w:val="nil"/>
              <w:bottom w:val="single" w:sz="4" w:space="0" w:color="auto"/>
              <w:right w:val="single" w:sz="4" w:space="0" w:color="auto"/>
            </w:tcBorders>
            <w:shd w:val="clear" w:color="auto" w:fill="auto"/>
            <w:noWrap/>
            <w:vAlign w:val="center"/>
            <w:hideMark/>
          </w:tcPr>
          <w:p w14:paraId="2C31AAC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w:t>
            </w:r>
          </w:p>
        </w:tc>
        <w:tc>
          <w:tcPr>
            <w:tcW w:w="1870" w:type="dxa"/>
            <w:tcBorders>
              <w:top w:val="nil"/>
              <w:left w:val="nil"/>
              <w:bottom w:val="single" w:sz="4" w:space="0" w:color="auto"/>
              <w:right w:val="single" w:sz="8" w:space="0" w:color="auto"/>
            </w:tcBorders>
            <w:shd w:val="clear" w:color="auto" w:fill="auto"/>
            <w:noWrap/>
            <w:vAlign w:val="center"/>
            <w:hideMark/>
          </w:tcPr>
          <w:p w14:paraId="087045C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-2.943</w:t>
            </w:r>
          </w:p>
        </w:tc>
      </w:tr>
      <w:tr w:rsidR="00CC41BC" w:rsidRPr="006F5FDB" w14:paraId="6DB302C1"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60BB31F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Koprivničko-križevačka</w:t>
            </w:r>
          </w:p>
        </w:tc>
        <w:tc>
          <w:tcPr>
            <w:tcW w:w="1074" w:type="dxa"/>
            <w:tcBorders>
              <w:top w:val="nil"/>
              <w:left w:val="nil"/>
              <w:bottom w:val="single" w:sz="4" w:space="0" w:color="auto"/>
              <w:right w:val="single" w:sz="4" w:space="0" w:color="auto"/>
            </w:tcBorders>
            <w:shd w:val="clear" w:color="auto" w:fill="auto"/>
            <w:noWrap/>
            <w:vAlign w:val="center"/>
            <w:hideMark/>
          </w:tcPr>
          <w:p w14:paraId="0879E05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w:t>
            </w:r>
          </w:p>
        </w:tc>
        <w:tc>
          <w:tcPr>
            <w:tcW w:w="945" w:type="dxa"/>
            <w:vMerge/>
            <w:tcBorders>
              <w:top w:val="nil"/>
              <w:left w:val="single" w:sz="4" w:space="0" w:color="auto"/>
              <w:bottom w:val="single" w:sz="4" w:space="0" w:color="auto"/>
              <w:right w:val="single" w:sz="4" w:space="0" w:color="auto"/>
            </w:tcBorders>
            <w:vAlign w:val="center"/>
            <w:hideMark/>
          </w:tcPr>
          <w:p w14:paraId="469F9E14"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74803B8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4.080</w:t>
            </w:r>
          </w:p>
        </w:tc>
        <w:tc>
          <w:tcPr>
            <w:tcW w:w="989" w:type="dxa"/>
            <w:tcBorders>
              <w:top w:val="nil"/>
              <w:left w:val="nil"/>
              <w:bottom w:val="single" w:sz="4" w:space="0" w:color="auto"/>
              <w:right w:val="single" w:sz="4" w:space="0" w:color="auto"/>
            </w:tcBorders>
            <w:shd w:val="clear" w:color="auto" w:fill="auto"/>
            <w:noWrap/>
            <w:vAlign w:val="center"/>
            <w:hideMark/>
          </w:tcPr>
          <w:p w14:paraId="7677C6A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6C0E2D7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76F3453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4.080</w:t>
            </w:r>
          </w:p>
        </w:tc>
      </w:tr>
      <w:tr w:rsidR="00CC41BC" w:rsidRPr="006F5FDB" w14:paraId="303B9AF6"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077D93BD"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w:t>
            </w:r>
          </w:p>
        </w:tc>
        <w:tc>
          <w:tcPr>
            <w:tcW w:w="1074" w:type="dxa"/>
            <w:tcBorders>
              <w:top w:val="nil"/>
              <w:left w:val="nil"/>
              <w:bottom w:val="single" w:sz="4" w:space="0" w:color="auto"/>
              <w:right w:val="single" w:sz="4" w:space="0" w:color="auto"/>
            </w:tcBorders>
            <w:shd w:val="clear" w:color="auto" w:fill="auto"/>
            <w:noWrap/>
            <w:vAlign w:val="center"/>
            <w:hideMark/>
          </w:tcPr>
          <w:p w14:paraId="7799633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w:t>
            </w:r>
          </w:p>
        </w:tc>
        <w:tc>
          <w:tcPr>
            <w:tcW w:w="945" w:type="dxa"/>
            <w:vMerge/>
            <w:tcBorders>
              <w:top w:val="nil"/>
              <w:left w:val="single" w:sz="4" w:space="0" w:color="auto"/>
              <w:bottom w:val="single" w:sz="4" w:space="0" w:color="auto"/>
              <w:right w:val="single" w:sz="4" w:space="0" w:color="auto"/>
            </w:tcBorders>
            <w:vAlign w:val="center"/>
            <w:hideMark/>
          </w:tcPr>
          <w:p w14:paraId="52813A75"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42AC7AF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4.116</w:t>
            </w:r>
          </w:p>
        </w:tc>
        <w:tc>
          <w:tcPr>
            <w:tcW w:w="989" w:type="dxa"/>
            <w:tcBorders>
              <w:top w:val="nil"/>
              <w:left w:val="nil"/>
              <w:bottom w:val="single" w:sz="4" w:space="0" w:color="auto"/>
              <w:right w:val="single" w:sz="4" w:space="0" w:color="auto"/>
            </w:tcBorders>
            <w:shd w:val="clear" w:color="auto" w:fill="auto"/>
            <w:noWrap/>
            <w:vAlign w:val="center"/>
            <w:hideMark/>
          </w:tcPr>
          <w:p w14:paraId="6DF51A4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6EFD445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0533D33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4.116</w:t>
            </w:r>
          </w:p>
        </w:tc>
      </w:tr>
      <w:tr w:rsidR="00CC41BC" w:rsidRPr="006F5FDB" w14:paraId="7B8B8EEB"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79B49400"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Ličko-senjska </w:t>
            </w:r>
          </w:p>
        </w:tc>
        <w:tc>
          <w:tcPr>
            <w:tcW w:w="1074" w:type="dxa"/>
            <w:tcBorders>
              <w:top w:val="nil"/>
              <w:left w:val="nil"/>
              <w:bottom w:val="single" w:sz="4" w:space="0" w:color="auto"/>
              <w:right w:val="single" w:sz="4" w:space="0" w:color="auto"/>
            </w:tcBorders>
            <w:shd w:val="clear" w:color="auto" w:fill="auto"/>
            <w:noWrap/>
            <w:vAlign w:val="center"/>
            <w:hideMark/>
          </w:tcPr>
          <w:p w14:paraId="1F9EAC8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w:t>
            </w:r>
          </w:p>
        </w:tc>
        <w:tc>
          <w:tcPr>
            <w:tcW w:w="945" w:type="dxa"/>
            <w:vMerge/>
            <w:tcBorders>
              <w:top w:val="nil"/>
              <w:left w:val="single" w:sz="4" w:space="0" w:color="auto"/>
              <w:bottom w:val="single" w:sz="4" w:space="0" w:color="auto"/>
              <w:right w:val="single" w:sz="4" w:space="0" w:color="auto"/>
            </w:tcBorders>
            <w:vAlign w:val="center"/>
            <w:hideMark/>
          </w:tcPr>
          <w:p w14:paraId="254D7982"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283B282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3.532</w:t>
            </w:r>
          </w:p>
        </w:tc>
        <w:tc>
          <w:tcPr>
            <w:tcW w:w="989" w:type="dxa"/>
            <w:tcBorders>
              <w:top w:val="nil"/>
              <w:left w:val="nil"/>
              <w:bottom w:val="single" w:sz="4" w:space="0" w:color="auto"/>
              <w:right w:val="single" w:sz="4" w:space="0" w:color="auto"/>
            </w:tcBorders>
            <w:shd w:val="clear" w:color="auto" w:fill="auto"/>
            <w:noWrap/>
            <w:vAlign w:val="center"/>
            <w:hideMark/>
          </w:tcPr>
          <w:p w14:paraId="007F1A7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2725E0C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732C0A1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3.532</w:t>
            </w:r>
          </w:p>
        </w:tc>
      </w:tr>
      <w:tr w:rsidR="00CC41BC" w:rsidRPr="006F5FDB" w14:paraId="6E9CFC8B"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33F6DA50"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Međimurska </w:t>
            </w:r>
          </w:p>
        </w:tc>
        <w:tc>
          <w:tcPr>
            <w:tcW w:w="1074" w:type="dxa"/>
            <w:tcBorders>
              <w:top w:val="nil"/>
              <w:left w:val="nil"/>
              <w:bottom w:val="single" w:sz="4" w:space="0" w:color="auto"/>
              <w:right w:val="single" w:sz="4" w:space="0" w:color="auto"/>
            </w:tcBorders>
            <w:shd w:val="clear" w:color="auto" w:fill="auto"/>
            <w:noWrap/>
            <w:vAlign w:val="center"/>
            <w:hideMark/>
          </w:tcPr>
          <w:p w14:paraId="2021FC2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2,6%</w:t>
            </w:r>
          </w:p>
        </w:tc>
        <w:tc>
          <w:tcPr>
            <w:tcW w:w="945" w:type="dxa"/>
            <w:vMerge/>
            <w:tcBorders>
              <w:top w:val="nil"/>
              <w:left w:val="single" w:sz="4" w:space="0" w:color="auto"/>
              <w:bottom w:val="single" w:sz="4" w:space="0" w:color="auto"/>
              <w:right w:val="single" w:sz="4" w:space="0" w:color="auto"/>
            </w:tcBorders>
            <w:vAlign w:val="center"/>
            <w:hideMark/>
          </w:tcPr>
          <w:p w14:paraId="52D3AD93"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1DB6C3D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6.229</w:t>
            </w:r>
          </w:p>
        </w:tc>
        <w:tc>
          <w:tcPr>
            <w:tcW w:w="989" w:type="dxa"/>
            <w:tcBorders>
              <w:top w:val="nil"/>
              <w:left w:val="nil"/>
              <w:bottom w:val="single" w:sz="4" w:space="0" w:color="auto"/>
              <w:right w:val="single" w:sz="4" w:space="0" w:color="auto"/>
            </w:tcBorders>
            <w:shd w:val="clear" w:color="auto" w:fill="auto"/>
            <w:noWrap/>
            <w:vAlign w:val="center"/>
            <w:hideMark/>
          </w:tcPr>
          <w:p w14:paraId="07839DA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5F437F8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3B8168C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6.229</w:t>
            </w:r>
          </w:p>
        </w:tc>
      </w:tr>
      <w:tr w:rsidR="00CC41BC" w:rsidRPr="006F5FDB" w14:paraId="69E058C7"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17915C6E"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Osječko-baranjska </w:t>
            </w:r>
          </w:p>
        </w:tc>
        <w:tc>
          <w:tcPr>
            <w:tcW w:w="1074" w:type="dxa"/>
            <w:tcBorders>
              <w:top w:val="nil"/>
              <w:left w:val="nil"/>
              <w:bottom w:val="single" w:sz="4" w:space="0" w:color="auto"/>
              <w:right w:val="single" w:sz="4" w:space="0" w:color="auto"/>
            </w:tcBorders>
            <w:shd w:val="clear" w:color="auto" w:fill="auto"/>
            <w:noWrap/>
            <w:vAlign w:val="center"/>
            <w:hideMark/>
          </w:tcPr>
          <w:p w14:paraId="3E93AC3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5,1%</w:t>
            </w:r>
          </w:p>
        </w:tc>
        <w:tc>
          <w:tcPr>
            <w:tcW w:w="945" w:type="dxa"/>
            <w:vMerge/>
            <w:tcBorders>
              <w:top w:val="nil"/>
              <w:left w:val="single" w:sz="4" w:space="0" w:color="auto"/>
              <w:bottom w:val="single" w:sz="4" w:space="0" w:color="auto"/>
              <w:right w:val="single" w:sz="4" w:space="0" w:color="auto"/>
            </w:tcBorders>
            <w:vAlign w:val="center"/>
            <w:hideMark/>
          </w:tcPr>
          <w:p w14:paraId="4242CC64"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17A7EF5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12.011</w:t>
            </w:r>
          </w:p>
        </w:tc>
        <w:tc>
          <w:tcPr>
            <w:tcW w:w="989" w:type="dxa"/>
            <w:tcBorders>
              <w:top w:val="nil"/>
              <w:left w:val="nil"/>
              <w:bottom w:val="single" w:sz="4" w:space="0" w:color="auto"/>
              <w:right w:val="single" w:sz="4" w:space="0" w:color="auto"/>
            </w:tcBorders>
            <w:shd w:val="clear" w:color="auto" w:fill="auto"/>
            <w:noWrap/>
            <w:vAlign w:val="center"/>
            <w:hideMark/>
          </w:tcPr>
          <w:p w14:paraId="2094F23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50.000</w:t>
            </w:r>
          </w:p>
        </w:tc>
        <w:tc>
          <w:tcPr>
            <w:tcW w:w="1168" w:type="dxa"/>
            <w:tcBorders>
              <w:top w:val="nil"/>
              <w:left w:val="nil"/>
              <w:bottom w:val="single" w:sz="4" w:space="0" w:color="auto"/>
              <w:right w:val="single" w:sz="4" w:space="0" w:color="auto"/>
            </w:tcBorders>
            <w:shd w:val="clear" w:color="auto" w:fill="auto"/>
            <w:noWrap/>
            <w:vAlign w:val="center"/>
            <w:hideMark/>
          </w:tcPr>
          <w:p w14:paraId="0D1CB7C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w:t>
            </w:r>
          </w:p>
        </w:tc>
        <w:tc>
          <w:tcPr>
            <w:tcW w:w="1870" w:type="dxa"/>
            <w:tcBorders>
              <w:top w:val="nil"/>
              <w:left w:val="nil"/>
              <w:bottom w:val="single" w:sz="4" w:space="0" w:color="auto"/>
              <w:right w:val="single" w:sz="8" w:space="0" w:color="auto"/>
            </w:tcBorders>
            <w:shd w:val="clear" w:color="auto" w:fill="auto"/>
            <w:noWrap/>
            <w:vAlign w:val="center"/>
            <w:hideMark/>
          </w:tcPr>
          <w:p w14:paraId="21C3A6B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-37.989</w:t>
            </w:r>
          </w:p>
        </w:tc>
      </w:tr>
      <w:tr w:rsidR="00CC41BC" w:rsidRPr="006F5FDB" w14:paraId="32142E1B"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5EBACC5E"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w:t>
            </w:r>
          </w:p>
        </w:tc>
        <w:tc>
          <w:tcPr>
            <w:tcW w:w="1074" w:type="dxa"/>
            <w:tcBorders>
              <w:top w:val="nil"/>
              <w:left w:val="nil"/>
              <w:bottom w:val="single" w:sz="4" w:space="0" w:color="auto"/>
              <w:right w:val="single" w:sz="4" w:space="0" w:color="auto"/>
            </w:tcBorders>
            <w:shd w:val="clear" w:color="auto" w:fill="auto"/>
            <w:noWrap/>
            <w:vAlign w:val="center"/>
            <w:hideMark/>
          </w:tcPr>
          <w:p w14:paraId="3F3F189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w:t>
            </w:r>
          </w:p>
        </w:tc>
        <w:tc>
          <w:tcPr>
            <w:tcW w:w="945" w:type="dxa"/>
            <w:vMerge/>
            <w:tcBorders>
              <w:top w:val="nil"/>
              <w:left w:val="single" w:sz="4" w:space="0" w:color="auto"/>
              <w:bottom w:val="single" w:sz="4" w:space="0" w:color="auto"/>
              <w:right w:val="single" w:sz="4" w:space="0" w:color="auto"/>
            </w:tcBorders>
            <w:vAlign w:val="center"/>
            <w:hideMark/>
          </w:tcPr>
          <w:p w14:paraId="729EA4DA"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4B273D2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2.282</w:t>
            </w:r>
          </w:p>
        </w:tc>
        <w:tc>
          <w:tcPr>
            <w:tcW w:w="989" w:type="dxa"/>
            <w:tcBorders>
              <w:top w:val="nil"/>
              <w:left w:val="nil"/>
              <w:bottom w:val="single" w:sz="4" w:space="0" w:color="auto"/>
              <w:right w:val="single" w:sz="4" w:space="0" w:color="auto"/>
            </w:tcBorders>
            <w:shd w:val="clear" w:color="auto" w:fill="auto"/>
            <w:noWrap/>
            <w:vAlign w:val="center"/>
            <w:hideMark/>
          </w:tcPr>
          <w:p w14:paraId="3B61C1A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3050191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0BE02C6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2.282</w:t>
            </w:r>
          </w:p>
        </w:tc>
      </w:tr>
      <w:tr w:rsidR="00CC41BC" w:rsidRPr="006F5FDB" w14:paraId="37AB7AC6"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4B398E9C"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Primorsko-goranska </w:t>
            </w:r>
          </w:p>
        </w:tc>
        <w:tc>
          <w:tcPr>
            <w:tcW w:w="1074" w:type="dxa"/>
            <w:tcBorders>
              <w:top w:val="nil"/>
              <w:left w:val="nil"/>
              <w:bottom w:val="single" w:sz="4" w:space="0" w:color="auto"/>
              <w:right w:val="single" w:sz="4" w:space="0" w:color="auto"/>
            </w:tcBorders>
            <w:shd w:val="clear" w:color="auto" w:fill="auto"/>
            <w:noWrap/>
            <w:vAlign w:val="center"/>
            <w:hideMark/>
          </w:tcPr>
          <w:p w14:paraId="7A20D77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9,7%</w:t>
            </w:r>
          </w:p>
        </w:tc>
        <w:tc>
          <w:tcPr>
            <w:tcW w:w="945" w:type="dxa"/>
            <w:vMerge/>
            <w:tcBorders>
              <w:top w:val="nil"/>
              <w:left w:val="single" w:sz="4" w:space="0" w:color="auto"/>
              <w:bottom w:val="single" w:sz="4" w:space="0" w:color="auto"/>
              <w:right w:val="single" w:sz="4" w:space="0" w:color="auto"/>
            </w:tcBorders>
            <w:vAlign w:val="center"/>
            <w:hideMark/>
          </w:tcPr>
          <w:p w14:paraId="58F7573C"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23DA72A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23.127</w:t>
            </w:r>
          </w:p>
        </w:tc>
        <w:tc>
          <w:tcPr>
            <w:tcW w:w="989" w:type="dxa"/>
            <w:tcBorders>
              <w:top w:val="nil"/>
              <w:left w:val="nil"/>
              <w:bottom w:val="single" w:sz="4" w:space="0" w:color="auto"/>
              <w:right w:val="single" w:sz="4" w:space="0" w:color="auto"/>
            </w:tcBorders>
            <w:shd w:val="clear" w:color="auto" w:fill="auto"/>
            <w:noWrap/>
            <w:vAlign w:val="center"/>
            <w:hideMark/>
          </w:tcPr>
          <w:p w14:paraId="0E6CA8E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7997E5D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5359D0C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23.127</w:t>
            </w:r>
          </w:p>
        </w:tc>
      </w:tr>
      <w:tr w:rsidR="00CC41BC" w:rsidRPr="006F5FDB" w14:paraId="00A8B4CC"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4891C9E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Sisačko-moslavačka </w:t>
            </w:r>
          </w:p>
        </w:tc>
        <w:tc>
          <w:tcPr>
            <w:tcW w:w="1074" w:type="dxa"/>
            <w:tcBorders>
              <w:top w:val="nil"/>
              <w:left w:val="nil"/>
              <w:bottom w:val="single" w:sz="4" w:space="0" w:color="auto"/>
              <w:right w:val="single" w:sz="4" w:space="0" w:color="auto"/>
            </w:tcBorders>
            <w:shd w:val="clear" w:color="auto" w:fill="auto"/>
            <w:noWrap/>
            <w:vAlign w:val="center"/>
            <w:hideMark/>
          </w:tcPr>
          <w:p w14:paraId="1BFBAA2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w:t>
            </w:r>
          </w:p>
        </w:tc>
        <w:tc>
          <w:tcPr>
            <w:tcW w:w="945" w:type="dxa"/>
            <w:vMerge/>
            <w:tcBorders>
              <w:top w:val="nil"/>
              <w:left w:val="single" w:sz="4" w:space="0" w:color="auto"/>
              <w:bottom w:val="single" w:sz="4" w:space="0" w:color="auto"/>
              <w:right w:val="single" w:sz="4" w:space="0" w:color="auto"/>
            </w:tcBorders>
            <w:vAlign w:val="center"/>
            <w:hideMark/>
          </w:tcPr>
          <w:p w14:paraId="20BBE1C7"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62D164E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6.483</w:t>
            </w:r>
          </w:p>
        </w:tc>
        <w:tc>
          <w:tcPr>
            <w:tcW w:w="989" w:type="dxa"/>
            <w:tcBorders>
              <w:top w:val="nil"/>
              <w:left w:val="nil"/>
              <w:bottom w:val="single" w:sz="4" w:space="0" w:color="auto"/>
              <w:right w:val="single" w:sz="4" w:space="0" w:color="auto"/>
            </w:tcBorders>
            <w:shd w:val="clear" w:color="auto" w:fill="auto"/>
            <w:noWrap/>
            <w:vAlign w:val="center"/>
            <w:hideMark/>
          </w:tcPr>
          <w:p w14:paraId="161A164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01D508B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64BB4DE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6.483</w:t>
            </w:r>
          </w:p>
        </w:tc>
      </w:tr>
      <w:tr w:rsidR="00CC41BC" w:rsidRPr="006F5FDB" w14:paraId="5AF8CAF0"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632CB5B9"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Splitsko-dalmatinska </w:t>
            </w:r>
          </w:p>
        </w:tc>
        <w:tc>
          <w:tcPr>
            <w:tcW w:w="1074" w:type="dxa"/>
            <w:tcBorders>
              <w:top w:val="nil"/>
              <w:left w:val="nil"/>
              <w:bottom w:val="single" w:sz="4" w:space="0" w:color="auto"/>
              <w:right w:val="single" w:sz="4" w:space="0" w:color="auto"/>
            </w:tcBorders>
            <w:shd w:val="clear" w:color="auto" w:fill="auto"/>
            <w:noWrap/>
            <w:vAlign w:val="center"/>
            <w:hideMark/>
          </w:tcPr>
          <w:p w14:paraId="45445C3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14,3%</w:t>
            </w:r>
          </w:p>
        </w:tc>
        <w:tc>
          <w:tcPr>
            <w:tcW w:w="945" w:type="dxa"/>
            <w:vMerge/>
            <w:tcBorders>
              <w:top w:val="nil"/>
              <w:left w:val="single" w:sz="4" w:space="0" w:color="auto"/>
              <w:bottom w:val="single" w:sz="4" w:space="0" w:color="auto"/>
              <w:right w:val="single" w:sz="4" w:space="0" w:color="auto"/>
            </w:tcBorders>
            <w:vAlign w:val="center"/>
            <w:hideMark/>
          </w:tcPr>
          <w:p w14:paraId="6A927F65"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112E489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33.939</w:t>
            </w:r>
          </w:p>
        </w:tc>
        <w:tc>
          <w:tcPr>
            <w:tcW w:w="989" w:type="dxa"/>
            <w:tcBorders>
              <w:top w:val="nil"/>
              <w:left w:val="nil"/>
              <w:bottom w:val="single" w:sz="4" w:space="0" w:color="auto"/>
              <w:right w:val="single" w:sz="4" w:space="0" w:color="auto"/>
            </w:tcBorders>
            <w:shd w:val="clear" w:color="auto" w:fill="auto"/>
            <w:noWrap/>
            <w:vAlign w:val="center"/>
            <w:hideMark/>
          </w:tcPr>
          <w:p w14:paraId="37A3AF3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1D8562B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2129C86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33.939</w:t>
            </w:r>
          </w:p>
        </w:tc>
      </w:tr>
      <w:tr w:rsidR="00CC41BC" w:rsidRPr="006F5FDB" w14:paraId="155A18EF"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158E3EA5"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Šibensko-kninska</w:t>
            </w:r>
          </w:p>
        </w:tc>
        <w:tc>
          <w:tcPr>
            <w:tcW w:w="1074" w:type="dxa"/>
            <w:tcBorders>
              <w:top w:val="nil"/>
              <w:left w:val="nil"/>
              <w:bottom w:val="single" w:sz="4" w:space="0" w:color="auto"/>
              <w:right w:val="single" w:sz="4" w:space="0" w:color="auto"/>
            </w:tcBorders>
            <w:shd w:val="clear" w:color="auto" w:fill="auto"/>
            <w:noWrap/>
            <w:vAlign w:val="center"/>
            <w:hideMark/>
          </w:tcPr>
          <w:p w14:paraId="0D05F12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3,2%</w:t>
            </w:r>
          </w:p>
        </w:tc>
        <w:tc>
          <w:tcPr>
            <w:tcW w:w="945" w:type="dxa"/>
            <w:vMerge/>
            <w:tcBorders>
              <w:top w:val="nil"/>
              <w:left w:val="single" w:sz="4" w:space="0" w:color="auto"/>
              <w:bottom w:val="single" w:sz="4" w:space="0" w:color="auto"/>
              <w:right w:val="single" w:sz="4" w:space="0" w:color="auto"/>
            </w:tcBorders>
            <w:vAlign w:val="center"/>
            <w:hideMark/>
          </w:tcPr>
          <w:p w14:paraId="3801E56C"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3BCB422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7.711</w:t>
            </w:r>
          </w:p>
        </w:tc>
        <w:tc>
          <w:tcPr>
            <w:tcW w:w="989" w:type="dxa"/>
            <w:tcBorders>
              <w:top w:val="nil"/>
              <w:left w:val="nil"/>
              <w:bottom w:val="single" w:sz="4" w:space="0" w:color="auto"/>
              <w:right w:val="single" w:sz="4" w:space="0" w:color="auto"/>
            </w:tcBorders>
            <w:shd w:val="clear" w:color="auto" w:fill="auto"/>
            <w:noWrap/>
            <w:vAlign w:val="center"/>
            <w:hideMark/>
          </w:tcPr>
          <w:p w14:paraId="7FB62E9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0B26D8F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6C5F0BF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7.711</w:t>
            </w:r>
          </w:p>
        </w:tc>
      </w:tr>
      <w:tr w:rsidR="00CC41BC" w:rsidRPr="006F5FDB" w14:paraId="6796A9DA"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3C7B5062"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Varaždinska </w:t>
            </w:r>
          </w:p>
        </w:tc>
        <w:tc>
          <w:tcPr>
            <w:tcW w:w="1074" w:type="dxa"/>
            <w:tcBorders>
              <w:top w:val="nil"/>
              <w:left w:val="nil"/>
              <w:bottom w:val="single" w:sz="4" w:space="0" w:color="auto"/>
              <w:right w:val="single" w:sz="4" w:space="0" w:color="auto"/>
            </w:tcBorders>
            <w:shd w:val="clear" w:color="auto" w:fill="auto"/>
            <w:noWrap/>
            <w:vAlign w:val="center"/>
            <w:hideMark/>
          </w:tcPr>
          <w:p w14:paraId="61C784F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2,6%</w:t>
            </w:r>
          </w:p>
        </w:tc>
        <w:tc>
          <w:tcPr>
            <w:tcW w:w="945" w:type="dxa"/>
            <w:vMerge/>
            <w:tcBorders>
              <w:top w:val="nil"/>
              <w:left w:val="single" w:sz="4" w:space="0" w:color="auto"/>
              <w:bottom w:val="single" w:sz="4" w:space="0" w:color="auto"/>
              <w:right w:val="single" w:sz="4" w:space="0" w:color="auto"/>
            </w:tcBorders>
            <w:vAlign w:val="center"/>
            <w:hideMark/>
          </w:tcPr>
          <w:p w14:paraId="3E459907"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0F0C877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6.069</w:t>
            </w:r>
          </w:p>
        </w:tc>
        <w:tc>
          <w:tcPr>
            <w:tcW w:w="989" w:type="dxa"/>
            <w:tcBorders>
              <w:top w:val="nil"/>
              <w:left w:val="nil"/>
              <w:bottom w:val="single" w:sz="4" w:space="0" w:color="auto"/>
              <w:right w:val="single" w:sz="4" w:space="0" w:color="auto"/>
            </w:tcBorders>
            <w:shd w:val="clear" w:color="auto" w:fill="auto"/>
            <w:noWrap/>
            <w:vAlign w:val="center"/>
            <w:hideMark/>
          </w:tcPr>
          <w:p w14:paraId="6EB4FB7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5.000</w:t>
            </w:r>
          </w:p>
        </w:tc>
        <w:tc>
          <w:tcPr>
            <w:tcW w:w="1168" w:type="dxa"/>
            <w:tcBorders>
              <w:top w:val="nil"/>
              <w:left w:val="nil"/>
              <w:bottom w:val="single" w:sz="4" w:space="0" w:color="auto"/>
              <w:right w:val="single" w:sz="4" w:space="0" w:color="auto"/>
            </w:tcBorders>
            <w:shd w:val="clear" w:color="auto" w:fill="auto"/>
            <w:noWrap/>
            <w:vAlign w:val="center"/>
            <w:hideMark/>
          </w:tcPr>
          <w:p w14:paraId="301F5F3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w:t>
            </w:r>
          </w:p>
        </w:tc>
        <w:tc>
          <w:tcPr>
            <w:tcW w:w="1870" w:type="dxa"/>
            <w:tcBorders>
              <w:top w:val="nil"/>
              <w:left w:val="nil"/>
              <w:bottom w:val="single" w:sz="4" w:space="0" w:color="auto"/>
              <w:right w:val="single" w:sz="8" w:space="0" w:color="auto"/>
            </w:tcBorders>
            <w:shd w:val="clear" w:color="auto" w:fill="auto"/>
            <w:noWrap/>
            <w:vAlign w:val="center"/>
            <w:hideMark/>
          </w:tcPr>
          <w:p w14:paraId="3E94A54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1.069</w:t>
            </w:r>
          </w:p>
        </w:tc>
      </w:tr>
      <w:tr w:rsidR="00CC41BC" w:rsidRPr="006F5FDB" w14:paraId="1B546FDA"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19FF0E74"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Virovitičko-podravska</w:t>
            </w:r>
          </w:p>
        </w:tc>
        <w:tc>
          <w:tcPr>
            <w:tcW w:w="1074" w:type="dxa"/>
            <w:tcBorders>
              <w:top w:val="nil"/>
              <w:left w:val="nil"/>
              <w:bottom w:val="single" w:sz="4" w:space="0" w:color="auto"/>
              <w:right w:val="single" w:sz="4" w:space="0" w:color="auto"/>
            </w:tcBorders>
            <w:shd w:val="clear" w:color="auto" w:fill="auto"/>
            <w:noWrap/>
            <w:vAlign w:val="center"/>
            <w:hideMark/>
          </w:tcPr>
          <w:p w14:paraId="68DA2E1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w:t>
            </w:r>
          </w:p>
        </w:tc>
        <w:tc>
          <w:tcPr>
            <w:tcW w:w="945" w:type="dxa"/>
            <w:vMerge/>
            <w:tcBorders>
              <w:top w:val="nil"/>
              <w:left w:val="single" w:sz="4" w:space="0" w:color="auto"/>
              <w:bottom w:val="single" w:sz="4" w:space="0" w:color="auto"/>
              <w:right w:val="single" w:sz="4" w:space="0" w:color="auto"/>
            </w:tcBorders>
            <w:vAlign w:val="center"/>
            <w:hideMark/>
          </w:tcPr>
          <w:p w14:paraId="1526F9CE"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134A185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3.115</w:t>
            </w:r>
          </w:p>
        </w:tc>
        <w:tc>
          <w:tcPr>
            <w:tcW w:w="989" w:type="dxa"/>
            <w:tcBorders>
              <w:top w:val="nil"/>
              <w:left w:val="nil"/>
              <w:bottom w:val="single" w:sz="4" w:space="0" w:color="auto"/>
              <w:right w:val="single" w:sz="4" w:space="0" w:color="auto"/>
            </w:tcBorders>
            <w:shd w:val="clear" w:color="auto" w:fill="auto"/>
            <w:noWrap/>
            <w:vAlign w:val="center"/>
            <w:hideMark/>
          </w:tcPr>
          <w:p w14:paraId="1C93DC6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6F7A3FD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3FF0FE3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3.115</w:t>
            </w:r>
          </w:p>
        </w:tc>
      </w:tr>
      <w:tr w:rsidR="00CC41BC" w:rsidRPr="006F5FDB" w14:paraId="71630797"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1153ADB4"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Vukovarsko-srijemska </w:t>
            </w:r>
          </w:p>
        </w:tc>
        <w:tc>
          <w:tcPr>
            <w:tcW w:w="1074" w:type="dxa"/>
            <w:tcBorders>
              <w:top w:val="nil"/>
              <w:left w:val="nil"/>
              <w:bottom w:val="single" w:sz="4" w:space="0" w:color="auto"/>
              <w:right w:val="single" w:sz="4" w:space="0" w:color="auto"/>
            </w:tcBorders>
            <w:shd w:val="clear" w:color="auto" w:fill="auto"/>
            <w:noWrap/>
            <w:vAlign w:val="center"/>
            <w:hideMark/>
          </w:tcPr>
          <w:p w14:paraId="523B8C0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2,9%</w:t>
            </w:r>
          </w:p>
        </w:tc>
        <w:tc>
          <w:tcPr>
            <w:tcW w:w="945" w:type="dxa"/>
            <w:vMerge/>
            <w:tcBorders>
              <w:top w:val="nil"/>
              <w:left w:val="single" w:sz="4" w:space="0" w:color="auto"/>
              <w:bottom w:val="single" w:sz="4" w:space="0" w:color="auto"/>
              <w:right w:val="single" w:sz="4" w:space="0" w:color="auto"/>
            </w:tcBorders>
            <w:vAlign w:val="center"/>
            <w:hideMark/>
          </w:tcPr>
          <w:p w14:paraId="51771CB7"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6195793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6.867</w:t>
            </w:r>
          </w:p>
        </w:tc>
        <w:tc>
          <w:tcPr>
            <w:tcW w:w="989" w:type="dxa"/>
            <w:tcBorders>
              <w:top w:val="nil"/>
              <w:left w:val="nil"/>
              <w:bottom w:val="single" w:sz="4" w:space="0" w:color="auto"/>
              <w:right w:val="single" w:sz="4" w:space="0" w:color="auto"/>
            </w:tcBorders>
            <w:shd w:val="clear" w:color="auto" w:fill="auto"/>
            <w:noWrap/>
            <w:vAlign w:val="center"/>
            <w:hideMark/>
          </w:tcPr>
          <w:p w14:paraId="3E57F99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500DE73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406B59D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6.867</w:t>
            </w:r>
          </w:p>
        </w:tc>
      </w:tr>
      <w:tr w:rsidR="00CC41BC" w:rsidRPr="006F5FDB" w14:paraId="24800462"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7F270E4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Zadarska </w:t>
            </w:r>
          </w:p>
        </w:tc>
        <w:tc>
          <w:tcPr>
            <w:tcW w:w="1074" w:type="dxa"/>
            <w:tcBorders>
              <w:top w:val="nil"/>
              <w:left w:val="nil"/>
              <w:bottom w:val="single" w:sz="4" w:space="0" w:color="auto"/>
              <w:right w:val="single" w:sz="4" w:space="0" w:color="auto"/>
            </w:tcBorders>
            <w:shd w:val="clear" w:color="auto" w:fill="auto"/>
            <w:noWrap/>
            <w:vAlign w:val="center"/>
            <w:hideMark/>
          </w:tcPr>
          <w:p w14:paraId="185CE09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6,1%</w:t>
            </w:r>
          </w:p>
        </w:tc>
        <w:tc>
          <w:tcPr>
            <w:tcW w:w="945" w:type="dxa"/>
            <w:vMerge/>
            <w:tcBorders>
              <w:top w:val="nil"/>
              <w:left w:val="single" w:sz="4" w:space="0" w:color="auto"/>
              <w:bottom w:val="single" w:sz="4" w:space="0" w:color="auto"/>
              <w:right w:val="single" w:sz="4" w:space="0" w:color="auto"/>
            </w:tcBorders>
            <w:vAlign w:val="center"/>
            <w:hideMark/>
          </w:tcPr>
          <w:p w14:paraId="3E21C0E0"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2FF1230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14.512</w:t>
            </w:r>
          </w:p>
        </w:tc>
        <w:tc>
          <w:tcPr>
            <w:tcW w:w="989" w:type="dxa"/>
            <w:tcBorders>
              <w:top w:val="nil"/>
              <w:left w:val="nil"/>
              <w:bottom w:val="single" w:sz="4" w:space="0" w:color="auto"/>
              <w:right w:val="single" w:sz="4" w:space="0" w:color="auto"/>
            </w:tcBorders>
            <w:shd w:val="clear" w:color="auto" w:fill="auto"/>
            <w:noWrap/>
            <w:vAlign w:val="center"/>
            <w:hideMark/>
          </w:tcPr>
          <w:p w14:paraId="50DA5CC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6424FFF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7A7CE59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14.512</w:t>
            </w:r>
          </w:p>
        </w:tc>
      </w:tr>
      <w:tr w:rsidR="00CC41BC" w:rsidRPr="006F5FDB" w14:paraId="4685D6AA" w14:textId="77777777" w:rsidTr="007E3868">
        <w:trPr>
          <w:trHeight w:val="170"/>
        </w:trPr>
        <w:tc>
          <w:tcPr>
            <w:tcW w:w="1906" w:type="dxa"/>
            <w:tcBorders>
              <w:top w:val="nil"/>
              <w:left w:val="single" w:sz="8" w:space="0" w:color="auto"/>
              <w:bottom w:val="nil"/>
              <w:right w:val="single" w:sz="4" w:space="0" w:color="auto"/>
            </w:tcBorders>
            <w:shd w:val="clear" w:color="auto" w:fill="auto"/>
            <w:noWrap/>
            <w:vAlign w:val="center"/>
            <w:hideMark/>
          </w:tcPr>
          <w:p w14:paraId="5E34DE45"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Zagrebačka </w:t>
            </w:r>
          </w:p>
        </w:tc>
        <w:tc>
          <w:tcPr>
            <w:tcW w:w="1074" w:type="dxa"/>
            <w:tcBorders>
              <w:top w:val="nil"/>
              <w:left w:val="nil"/>
              <w:bottom w:val="nil"/>
              <w:right w:val="single" w:sz="4" w:space="0" w:color="auto"/>
            </w:tcBorders>
            <w:shd w:val="clear" w:color="auto" w:fill="auto"/>
            <w:noWrap/>
            <w:vAlign w:val="center"/>
            <w:hideMark/>
          </w:tcPr>
          <w:p w14:paraId="2D3FDF8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6,4%</w:t>
            </w:r>
          </w:p>
        </w:tc>
        <w:tc>
          <w:tcPr>
            <w:tcW w:w="945" w:type="dxa"/>
            <w:vMerge/>
            <w:tcBorders>
              <w:top w:val="nil"/>
              <w:left w:val="single" w:sz="4" w:space="0" w:color="auto"/>
              <w:bottom w:val="single" w:sz="4" w:space="0" w:color="auto"/>
              <w:right w:val="single" w:sz="4" w:space="0" w:color="auto"/>
            </w:tcBorders>
            <w:vAlign w:val="center"/>
            <w:hideMark/>
          </w:tcPr>
          <w:p w14:paraId="066EE516"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nil"/>
              <w:right w:val="single" w:sz="4" w:space="0" w:color="auto"/>
            </w:tcBorders>
            <w:shd w:val="clear" w:color="auto" w:fill="auto"/>
            <w:noWrap/>
            <w:vAlign w:val="center"/>
            <w:hideMark/>
          </w:tcPr>
          <w:p w14:paraId="6757227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15.225</w:t>
            </w:r>
          </w:p>
        </w:tc>
        <w:tc>
          <w:tcPr>
            <w:tcW w:w="989" w:type="dxa"/>
            <w:tcBorders>
              <w:top w:val="nil"/>
              <w:left w:val="nil"/>
              <w:bottom w:val="nil"/>
              <w:right w:val="single" w:sz="4" w:space="0" w:color="auto"/>
            </w:tcBorders>
            <w:shd w:val="clear" w:color="auto" w:fill="auto"/>
            <w:noWrap/>
            <w:vAlign w:val="center"/>
            <w:hideMark/>
          </w:tcPr>
          <w:p w14:paraId="14D1B57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440</w:t>
            </w:r>
          </w:p>
        </w:tc>
        <w:tc>
          <w:tcPr>
            <w:tcW w:w="1168" w:type="dxa"/>
            <w:tcBorders>
              <w:top w:val="nil"/>
              <w:left w:val="nil"/>
              <w:bottom w:val="nil"/>
              <w:right w:val="single" w:sz="4" w:space="0" w:color="auto"/>
            </w:tcBorders>
            <w:shd w:val="clear" w:color="auto" w:fill="auto"/>
            <w:noWrap/>
            <w:vAlign w:val="center"/>
            <w:hideMark/>
          </w:tcPr>
          <w:p w14:paraId="4C2AD98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w:t>
            </w:r>
          </w:p>
        </w:tc>
        <w:tc>
          <w:tcPr>
            <w:tcW w:w="1870" w:type="dxa"/>
            <w:tcBorders>
              <w:top w:val="nil"/>
              <w:left w:val="nil"/>
              <w:bottom w:val="nil"/>
              <w:right w:val="single" w:sz="8" w:space="0" w:color="auto"/>
            </w:tcBorders>
            <w:shd w:val="clear" w:color="auto" w:fill="auto"/>
            <w:noWrap/>
            <w:vAlign w:val="center"/>
            <w:hideMark/>
          </w:tcPr>
          <w:p w14:paraId="22E8580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14.785</w:t>
            </w:r>
          </w:p>
        </w:tc>
      </w:tr>
      <w:tr w:rsidR="00CC41BC" w:rsidRPr="006F5FDB" w14:paraId="70DDDC1E" w14:textId="77777777" w:rsidTr="00BB2706">
        <w:trPr>
          <w:trHeight w:val="170"/>
        </w:trPr>
        <w:tc>
          <w:tcPr>
            <w:tcW w:w="3925"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7891499" w14:textId="77777777" w:rsidR="00CC41BC" w:rsidRPr="006F5FDB" w:rsidRDefault="00CC41BC" w:rsidP="00CC41BC">
            <w:pPr>
              <w:spacing w:after="0" w:line="240" w:lineRule="auto"/>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Ukupno</w:t>
            </w:r>
          </w:p>
        </w:tc>
        <w:tc>
          <w:tcPr>
            <w:tcW w:w="989" w:type="dxa"/>
            <w:tcBorders>
              <w:top w:val="single" w:sz="8" w:space="0" w:color="auto"/>
              <w:left w:val="nil"/>
              <w:bottom w:val="single" w:sz="8" w:space="0" w:color="auto"/>
              <w:right w:val="single" w:sz="4" w:space="0" w:color="auto"/>
            </w:tcBorders>
            <w:shd w:val="clear" w:color="auto" w:fill="auto"/>
            <w:noWrap/>
            <w:vAlign w:val="center"/>
            <w:hideMark/>
          </w:tcPr>
          <w:p w14:paraId="00E7E716"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237.784</w:t>
            </w:r>
          </w:p>
        </w:tc>
        <w:tc>
          <w:tcPr>
            <w:tcW w:w="989" w:type="dxa"/>
            <w:tcBorders>
              <w:top w:val="single" w:sz="8" w:space="0" w:color="auto"/>
              <w:left w:val="nil"/>
              <w:bottom w:val="single" w:sz="8" w:space="0" w:color="auto"/>
              <w:right w:val="single" w:sz="4" w:space="0" w:color="auto"/>
            </w:tcBorders>
            <w:shd w:val="clear" w:color="auto" w:fill="auto"/>
            <w:noWrap/>
            <w:vAlign w:val="center"/>
            <w:hideMark/>
          </w:tcPr>
          <w:p w14:paraId="5B98DEA1"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64.248</w:t>
            </w:r>
          </w:p>
        </w:tc>
        <w:tc>
          <w:tcPr>
            <w:tcW w:w="1168" w:type="dxa"/>
            <w:tcBorders>
              <w:top w:val="single" w:sz="8" w:space="0" w:color="auto"/>
              <w:left w:val="nil"/>
              <w:bottom w:val="single" w:sz="8" w:space="0" w:color="auto"/>
              <w:right w:val="single" w:sz="4" w:space="0" w:color="auto"/>
            </w:tcBorders>
            <w:shd w:val="clear" w:color="auto" w:fill="auto"/>
            <w:noWrap/>
            <w:vAlign w:val="center"/>
            <w:hideMark/>
          </w:tcPr>
          <w:p w14:paraId="12A1A3B4"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7</w:t>
            </w:r>
          </w:p>
        </w:tc>
        <w:tc>
          <w:tcPr>
            <w:tcW w:w="1870" w:type="dxa"/>
            <w:tcBorders>
              <w:top w:val="single" w:sz="8" w:space="0" w:color="auto"/>
              <w:left w:val="nil"/>
              <w:bottom w:val="single" w:sz="4" w:space="0" w:color="auto"/>
              <w:right w:val="single" w:sz="8" w:space="0" w:color="auto"/>
            </w:tcBorders>
            <w:shd w:val="clear" w:color="auto" w:fill="auto"/>
            <w:noWrap/>
            <w:vAlign w:val="center"/>
            <w:hideMark/>
          </w:tcPr>
          <w:p w14:paraId="5E11EDD5"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173.536</w:t>
            </w:r>
          </w:p>
        </w:tc>
      </w:tr>
      <w:tr w:rsidR="007E3868" w:rsidRPr="006F5FDB" w14:paraId="728B239C" w14:textId="77777777" w:rsidTr="00BB2706">
        <w:trPr>
          <w:trHeight w:val="170"/>
        </w:trPr>
        <w:tc>
          <w:tcPr>
            <w:tcW w:w="1906" w:type="dxa"/>
            <w:tcBorders>
              <w:top w:val="nil"/>
              <w:left w:val="nil"/>
              <w:bottom w:val="nil"/>
              <w:right w:val="nil"/>
            </w:tcBorders>
            <w:shd w:val="clear" w:color="auto" w:fill="auto"/>
            <w:noWrap/>
            <w:vAlign w:val="bottom"/>
            <w:hideMark/>
          </w:tcPr>
          <w:p w14:paraId="0A525FA4" w14:textId="77777777" w:rsidR="007E3868" w:rsidRPr="006F5FDB" w:rsidRDefault="007E3868" w:rsidP="00CC41BC">
            <w:pPr>
              <w:spacing w:after="0" w:line="240" w:lineRule="auto"/>
              <w:jc w:val="center"/>
              <w:rPr>
                <w:rFonts w:ascii="Calibri" w:eastAsia="Times New Roman" w:hAnsi="Calibri" w:cs="Calibri"/>
                <w:b/>
                <w:bCs/>
                <w:color w:val="000000"/>
                <w:sz w:val="16"/>
                <w:szCs w:val="16"/>
                <w:lang w:eastAsia="hr-HR"/>
              </w:rPr>
            </w:pPr>
          </w:p>
        </w:tc>
        <w:tc>
          <w:tcPr>
            <w:tcW w:w="1074" w:type="dxa"/>
            <w:tcBorders>
              <w:top w:val="nil"/>
              <w:left w:val="nil"/>
              <w:bottom w:val="nil"/>
              <w:right w:val="nil"/>
            </w:tcBorders>
            <w:shd w:val="clear" w:color="auto" w:fill="auto"/>
            <w:noWrap/>
            <w:vAlign w:val="bottom"/>
            <w:hideMark/>
          </w:tcPr>
          <w:p w14:paraId="152BCA0F" w14:textId="77777777" w:rsidR="007E3868" w:rsidRPr="006F5FDB" w:rsidRDefault="007E3868" w:rsidP="00CC41BC">
            <w:pPr>
              <w:spacing w:after="0" w:line="240" w:lineRule="auto"/>
              <w:rPr>
                <w:rFonts w:ascii="Times New Roman" w:eastAsia="Times New Roman" w:hAnsi="Times New Roman" w:cs="Times New Roman"/>
                <w:sz w:val="16"/>
                <w:szCs w:val="16"/>
                <w:lang w:eastAsia="hr-HR"/>
              </w:rPr>
            </w:pPr>
          </w:p>
        </w:tc>
        <w:tc>
          <w:tcPr>
            <w:tcW w:w="945" w:type="dxa"/>
            <w:tcBorders>
              <w:top w:val="nil"/>
              <w:left w:val="nil"/>
              <w:bottom w:val="nil"/>
              <w:right w:val="nil"/>
            </w:tcBorders>
            <w:shd w:val="clear" w:color="auto" w:fill="auto"/>
            <w:noWrap/>
            <w:vAlign w:val="bottom"/>
            <w:hideMark/>
          </w:tcPr>
          <w:p w14:paraId="4BF34CC2" w14:textId="77777777" w:rsidR="007E3868" w:rsidRPr="006F5FDB" w:rsidRDefault="007E3868" w:rsidP="00CC41BC">
            <w:pPr>
              <w:spacing w:after="0" w:line="240" w:lineRule="auto"/>
              <w:rPr>
                <w:rFonts w:ascii="Times New Roman" w:eastAsia="Times New Roman" w:hAnsi="Times New Roman" w:cs="Times New Roman"/>
                <w:sz w:val="16"/>
                <w:szCs w:val="16"/>
                <w:lang w:eastAsia="hr-HR"/>
              </w:rPr>
            </w:pPr>
          </w:p>
        </w:tc>
        <w:tc>
          <w:tcPr>
            <w:tcW w:w="989" w:type="dxa"/>
            <w:tcBorders>
              <w:top w:val="nil"/>
              <w:left w:val="nil"/>
              <w:bottom w:val="nil"/>
              <w:right w:val="nil"/>
            </w:tcBorders>
            <w:shd w:val="clear" w:color="auto" w:fill="auto"/>
            <w:noWrap/>
            <w:vAlign w:val="bottom"/>
            <w:hideMark/>
          </w:tcPr>
          <w:p w14:paraId="4FD487DE" w14:textId="77777777" w:rsidR="007E3868" w:rsidRPr="006F5FDB" w:rsidRDefault="007E3868" w:rsidP="00CC41BC">
            <w:pPr>
              <w:spacing w:after="0" w:line="240" w:lineRule="auto"/>
              <w:rPr>
                <w:rFonts w:ascii="Times New Roman" w:eastAsia="Times New Roman" w:hAnsi="Times New Roman" w:cs="Times New Roman"/>
                <w:sz w:val="16"/>
                <w:szCs w:val="16"/>
                <w:lang w:eastAsia="hr-HR"/>
              </w:rPr>
            </w:pPr>
          </w:p>
        </w:tc>
        <w:tc>
          <w:tcPr>
            <w:tcW w:w="989" w:type="dxa"/>
            <w:tcBorders>
              <w:top w:val="nil"/>
              <w:left w:val="nil"/>
              <w:bottom w:val="nil"/>
              <w:right w:val="nil"/>
            </w:tcBorders>
            <w:shd w:val="clear" w:color="auto" w:fill="auto"/>
            <w:noWrap/>
            <w:vAlign w:val="bottom"/>
            <w:hideMark/>
          </w:tcPr>
          <w:p w14:paraId="276D1DE0" w14:textId="77777777" w:rsidR="007E3868" w:rsidRPr="006F5FDB" w:rsidRDefault="007E3868" w:rsidP="00CC41BC">
            <w:pPr>
              <w:spacing w:after="0" w:line="240" w:lineRule="auto"/>
              <w:jc w:val="center"/>
              <w:rPr>
                <w:rFonts w:ascii="Times New Roman" w:eastAsia="Times New Roman" w:hAnsi="Times New Roman" w:cs="Times New Roman"/>
                <w:sz w:val="16"/>
                <w:szCs w:val="16"/>
                <w:lang w:eastAsia="hr-HR"/>
              </w:rPr>
            </w:pPr>
          </w:p>
        </w:tc>
        <w:tc>
          <w:tcPr>
            <w:tcW w:w="1168" w:type="dxa"/>
            <w:vMerge w:val="restart"/>
            <w:tcBorders>
              <w:top w:val="nil"/>
              <w:left w:val="single" w:sz="8" w:space="0" w:color="auto"/>
              <w:right w:val="single" w:sz="4" w:space="0" w:color="auto"/>
            </w:tcBorders>
            <w:shd w:val="clear" w:color="auto" w:fill="auto"/>
            <w:noWrap/>
            <w:vAlign w:val="center"/>
            <w:hideMark/>
          </w:tcPr>
          <w:p w14:paraId="201FE621" w14:textId="77777777" w:rsidR="007E3868" w:rsidRPr="006F5FDB" w:rsidRDefault="007E3868" w:rsidP="007E3868">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Investicija</w:t>
            </w:r>
          </w:p>
        </w:tc>
        <w:tc>
          <w:tcPr>
            <w:tcW w:w="1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C4BF8" w14:textId="77777777" w:rsidR="007E3868" w:rsidRPr="006F5FDB" w:rsidRDefault="007E3868"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2.603.041.170,00 kn</w:t>
            </w:r>
          </w:p>
        </w:tc>
      </w:tr>
      <w:tr w:rsidR="007E3868" w:rsidRPr="006F5FDB" w14:paraId="0341F786" w14:textId="77777777" w:rsidTr="00BB2706">
        <w:trPr>
          <w:trHeight w:val="170"/>
        </w:trPr>
        <w:tc>
          <w:tcPr>
            <w:tcW w:w="1906" w:type="dxa"/>
            <w:tcBorders>
              <w:top w:val="nil"/>
              <w:left w:val="nil"/>
              <w:bottom w:val="nil"/>
              <w:right w:val="nil"/>
            </w:tcBorders>
            <w:shd w:val="clear" w:color="auto" w:fill="auto"/>
            <w:noWrap/>
            <w:vAlign w:val="bottom"/>
          </w:tcPr>
          <w:p w14:paraId="77D11DE3" w14:textId="77777777" w:rsidR="007E3868" w:rsidRPr="006F5FDB" w:rsidRDefault="007E3868" w:rsidP="00CC41BC">
            <w:pPr>
              <w:spacing w:after="0" w:line="240" w:lineRule="auto"/>
              <w:jc w:val="center"/>
              <w:rPr>
                <w:rFonts w:ascii="Calibri" w:eastAsia="Times New Roman" w:hAnsi="Calibri" w:cs="Calibri"/>
                <w:b/>
                <w:bCs/>
                <w:color w:val="000000"/>
                <w:sz w:val="16"/>
                <w:szCs w:val="16"/>
                <w:lang w:eastAsia="hr-HR"/>
              </w:rPr>
            </w:pPr>
          </w:p>
        </w:tc>
        <w:tc>
          <w:tcPr>
            <w:tcW w:w="1074" w:type="dxa"/>
            <w:tcBorders>
              <w:top w:val="nil"/>
              <w:left w:val="nil"/>
              <w:bottom w:val="nil"/>
              <w:right w:val="nil"/>
            </w:tcBorders>
            <w:shd w:val="clear" w:color="auto" w:fill="auto"/>
            <w:noWrap/>
            <w:vAlign w:val="bottom"/>
          </w:tcPr>
          <w:p w14:paraId="2C748161" w14:textId="77777777" w:rsidR="007E3868" w:rsidRPr="006F5FDB" w:rsidRDefault="007E3868" w:rsidP="00CC41BC">
            <w:pPr>
              <w:spacing w:after="0" w:line="240" w:lineRule="auto"/>
              <w:rPr>
                <w:rFonts w:ascii="Times New Roman" w:eastAsia="Times New Roman" w:hAnsi="Times New Roman" w:cs="Times New Roman"/>
                <w:sz w:val="16"/>
                <w:szCs w:val="16"/>
                <w:lang w:eastAsia="hr-HR"/>
              </w:rPr>
            </w:pPr>
          </w:p>
        </w:tc>
        <w:tc>
          <w:tcPr>
            <w:tcW w:w="945" w:type="dxa"/>
            <w:tcBorders>
              <w:top w:val="nil"/>
              <w:left w:val="nil"/>
              <w:bottom w:val="nil"/>
              <w:right w:val="nil"/>
            </w:tcBorders>
            <w:shd w:val="clear" w:color="auto" w:fill="auto"/>
            <w:noWrap/>
            <w:vAlign w:val="bottom"/>
          </w:tcPr>
          <w:p w14:paraId="0C944015" w14:textId="77777777" w:rsidR="007E3868" w:rsidRPr="006F5FDB" w:rsidRDefault="007E3868" w:rsidP="00CC41BC">
            <w:pPr>
              <w:spacing w:after="0" w:line="240" w:lineRule="auto"/>
              <w:rPr>
                <w:rFonts w:ascii="Times New Roman" w:eastAsia="Times New Roman" w:hAnsi="Times New Roman" w:cs="Times New Roman"/>
                <w:sz w:val="16"/>
                <w:szCs w:val="16"/>
                <w:lang w:eastAsia="hr-HR"/>
              </w:rPr>
            </w:pPr>
          </w:p>
        </w:tc>
        <w:tc>
          <w:tcPr>
            <w:tcW w:w="989" w:type="dxa"/>
            <w:tcBorders>
              <w:top w:val="nil"/>
              <w:left w:val="nil"/>
              <w:bottom w:val="nil"/>
              <w:right w:val="nil"/>
            </w:tcBorders>
            <w:shd w:val="clear" w:color="auto" w:fill="auto"/>
            <w:noWrap/>
            <w:vAlign w:val="bottom"/>
          </w:tcPr>
          <w:p w14:paraId="2E6B10F0" w14:textId="77777777" w:rsidR="007E3868" w:rsidRPr="006F5FDB" w:rsidRDefault="007E3868" w:rsidP="00CC41BC">
            <w:pPr>
              <w:spacing w:after="0" w:line="240" w:lineRule="auto"/>
              <w:rPr>
                <w:rFonts w:ascii="Times New Roman" w:eastAsia="Times New Roman" w:hAnsi="Times New Roman" w:cs="Times New Roman"/>
                <w:sz w:val="16"/>
                <w:szCs w:val="16"/>
                <w:lang w:eastAsia="hr-HR"/>
              </w:rPr>
            </w:pPr>
          </w:p>
        </w:tc>
        <w:tc>
          <w:tcPr>
            <w:tcW w:w="989" w:type="dxa"/>
            <w:tcBorders>
              <w:top w:val="nil"/>
              <w:left w:val="nil"/>
              <w:bottom w:val="nil"/>
              <w:right w:val="nil"/>
            </w:tcBorders>
            <w:shd w:val="clear" w:color="auto" w:fill="auto"/>
            <w:noWrap/>
            <w:vAlign w:val="bottom"/>
          </w:tcPr>
          <w:p w14:paraId="5C75A093" w14:textId="77777777" w:rsidR="007E3868" w:rsidRPr="006F5FDB" w:rsidRDefault="007E3868" w:rsidP="00CC41BC">
            <w:pPr>
              <w:spacing w:after="0" w:line="240" w:lineRule="auto"/>
              <w:jc w:val="center"/>
              <w:rPr>
                <w:rFonts w:ascii="Times New Roman" w:eastAsia="Times New Roman" w:hAnsi="Times New Roman" w:cs="Times New Roman"/>
                <w:sz w:val="16"/>
                <w:szCs w:val="16"/>
                <w:lang w:eastAsia="hr-HR"/>
              </w:rPr>
            </w:pPr>
          </w:p>
        </w:tc>
        <w:tc>
          <w:tcPr>
            <w:tcW w:w="1168" w:type="dxa"/>
            <w:vMerge/>
            <w:tcBorders>
              <w:left w:val="single" w:sz="8" w:space="0" w:color="auto"/>
              <w:bottom w:val="single" w:sz="8" w:space="0" w:color="auto"/>
              <w:right w:val="single" w:sz="4" w:space="0" w:color="auto"/>
            </w:tcBorders>
            <w:shd w:val="clear" w:color="auto" w:fill="auto"/>
            <w:noWrap/>
            <w:vAlign w:val="bottom"/>
          </w:tcPr>
          <w:p w14:paraId="279E1BFE" w14:textId="77777777" w:rsidR="007E3868" w:rsidRPr="006F5FDB" w:rsidRDefault="007E3868" w:rsidP="00CC41BC">
            <w:pPr>
              <w:spacing w:after="0" w:line="240" w:lineRule="auto"/>
              <w:jc w:val="center"/>
              <w:rPr>
                <w:rFonts w:ascii="Calibri" w:eastAsia="Times New Roman" w:hAnsi="Calibri" w:cs="Calibri"/>
                <w:b/>
                <w:bCs/>
                <w:color w:val="000000"/>
                <w:sz w:val="16"/>
                <w:szCs w:val="16"/>
                <w:lang w:eastAsia="hr-HR"/>
              </w:rPr>
            </w:pPr>
          </w:p>
        </w:tc>
        <w:tc>
          <w:tcPr>
            <w:tcW w:w="18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A4AB06" w14:textId="1D8FB299" w:rsidR="007E3868" w:rsidRPr="006F5FDB" w:rsidRDefault="007E3868" w:rsidP="00CC41BC">
            <w:pPr>
              <w:spacing w:after="0" w:line="240" w:lineRule="auto"/>
              <w:jc w:val="center"/>
              <w:rPr>
                <w:rFonts w:ascii="Calibri" w:eastAsia="Times New Roman" w:hAnsi="Calibri" w:cs="Calibri"/>
                <w:b/>
                <w:bCs/>
                <w:color w:val="000000"/>
                <w:sz w:val="16"/>
                <w:szCs w:val="16"/>
                <w:lang w:eastAsia="hr-HR"/>
              </w:rPr>
            </w:pPr>
            <w:r w:rsidRPr="007E3868">
              <w:rPr>
                <w:rFonts w:ascii="Calibri" w:eastAsia="Times New Roman" w:hAnsi="Calibri" w:cs="Calibri"/>
                <w:b/>
                <w:bCs/>
                <w:color w:val="000000"/>
                <w:sz w:val="16"/>
                <w:szCs w:val="16"/>
                <w:lang w:eastAsia="hr-HR"/>
              </w:rPr>
              <w:t>345.482.934,50</w:t>
            </w:r>
            <w:r>
              <w:rPr>
                <w:rFonts w:ascii="Calibri" w:eastAsia="Times New Roman" w:hAnsi="Calibri" w:cs="Calibri"/>
                <w:b/>
                <w:bCs/>
                <w:color w:val="000000"/>
                <w:sz w:val="16"/>
                <w:szCs w:val="16"/>
                <w:lang w:eastAsia="hr-HR"/>
              </w:rPr>
              <w:t xml:space="preserve"> EUR</w:t>
            </w:r>
          </w:p>
        </w:tc>
      </w:tr>
    </w:tbl>
    <w:p w14:paraId="7D6F6DFF" w14:textId="77777777" w:rsidR="00CC41BC" w:rsidRDefault="00CC41BC" w:rsidP="00A23664"/>
    <w:p w14:paraId="5D30B565" w14:textId="1C87C404" w:rsidR="002F2E13" w:rsidRDefault="002F2E13" w:rsidP="000E10DF">
      <w:pPr>
        <w:pStyle w:val="Tablica"/>
      </w:pPr>
      <w:bookmarkStart w:id="274" w:name="_Toc125364441"/>
      <w:r>
        <w:t xml:space="preserve">Tablica </w:t>
      </w:r>
      <w:fldSimple w:instr=" SEQ Tablica \* ARABIC ">
        <w:r w:rsidR="00F37B62">
          <w:rPr>
            <w:noProof/>
          </w:rPr>
          <w:t>52</w:t>
        </w:r>
      </w:fldSimple>
      <w:r>
        <w:t xml:space="preserve">. </w:t>
      </w:r>
      <w:r w:rsidRPr="00A23664">
        <w:rPr>
          <w:b w:val="0"/>
          <w:bCs/>
        </w:rPr>
        <w:t>Potre</w:t>
      </w:r>
      <w:r>
        <w:rPr>
          <w:b w:val="0"/>
          <w:bCs/>
        </w:rPr>
        <w:t xml:space="preserve">bni kapaciteti postrojenja za </w:t>
      </w:r>
      <w:r w:rsidR="003D214B">
        <w:rPr>
          <w:b w:val="0"/>
          <w:bCs/>
        </w:rPr>
        <w:t>recikliranje</w:t>
      </w:r>
      <w:r>
        <w:rPr>
          <w:b w:val="0"/>
          <w:bCs/>
        </w:rPr>
        <w:t xml:space="preserve"> plastike  </w:t>
      </w:r>
      <w:r w:rsidR="002B0726">
        <w:rPr>
          <w:b w:val="0"/>
          <w:bCs/>
        </w:rPr>
        <w:t xml:space="preserve">- </w:t>
      </w:r>
      <w:r>
        <w:rPr>
          <w:b w:val="0"/>
          <w:bCs/>
        </w:rPr>
        <w:t>SCENARIJ 2</w:t>
      </w:r>
      <w:bookmarkEnd w:id="274"/>
    </w:p>
    <w:tbl>
      <w:tblPr>
        <w:tblW w:w="8941" w:type="dxa"/>
        <w:tblInd w:w="-80" w:type="dxa"/>
        <w:tblLook w:val="04A0" w:firstRow="1" w:lastRow="0" w:firstColumn="1" w:lastColumn="0" w:noHBand="0" w:noVBand="1"/>
      </w:tblPr>
      <w:tblGrid>
        <w:gridCol w:w="1906"/>
        <w:gridCol w:w="1100"/>
        <w:gridCol w:w="872"/>
        <w:gridCol w:w="982"/>
        <w:gridCol w:w="1124"/>
        <w:gridCol w:w="1124"/>
        <w:gridCol w:w="1833"/>
      </w:tblGrid>
      <w:tr w:rsidR="00CC41BC" w:rsidRPr="006F5FDB" w14:paraId="34C4180F" w14:textId="77777777" w:rsidTr="007E3868">
        <w:trPr>
          <w:trHeight w:val="170"/>
        </w:trPr>
        <w:tc>
          <w:tcPr>
            <w:tcW w:w="8941"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0695A91"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2028.-PLASTIKA-</w:t>
            </w:r>
          </w:p>
        </w:tc>
      </w:tr>
      <w:tr w:rsidR="00CC41BC" w:rsidRPr="006F5FDB" w14:paraId="37E4D2A8" w14:textId="77777777" w:rsidTr="007E3868">
        <w:trPr>
          <w:trHeight w:val="170"/>
        </w:trPr>
        <w:tc>
          <w:tcPr>
            <w:tcW w:w="1906" w:type="dxa"/>
            <w:tcBorders>
              <w:top w:val="nil"/>
              <w:left w:val="single" w:sz="8" w:space="0" w:color="auto"/>
              <w:bottom w:val="single" w:sz="8" w:space="0" w:color="auto"/>
              <w:right w:val="single" w:sz="4" w:space="0" w:color="auto"/>
            </w:tcBorders>
            <w:shd w:val="clear" w:color="auto" w:fill="002060"/>
            <w:noWrap/>
            <w:vAlign w:val="center"/>
            <w:hideMark/>
          </w:tcPr>
          <w:p w14:paraId="61DBD7CE"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Županija</w:t>
            </w:r>
          </w:p>
        </w:tc>
        <w:tc>
          <w:tcPr>
            <w:tcW w:w="1100" w:type="dxa"/>
            <w:tcBorders>
              <w:top w:val="nil"/>
              <w:left w:val="nil"/>
              <w:bottom w:val="single" w:sz="8" w:space="0" w:color="auto"/>
              <w:right w:val="single" w:sz="4" w:space="0" w:color="auto"/>
            </w:tcBorders>
            <w:shd w:val="clear" w:color="auto" w:fill="002060"/>
            <w:vAlign w:val="center"/>
            <w:hideMark/>
          </w:tcPr>
          <w:p w14:paraId="49F2EA4E"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Udio županije u ukupno skupljenoj količini KO</w:t>
            </w:r>
          </w:p>
        </w:tc>
        <w:tc>
          <w:tcPr>
            <w:tcW w:w="872" w:type="dxa"/>
            <w:tcBorders>
              <w:top w:val="nil"/>
              <w:left w:val="nil"/>
              <w:bottom w:val="single" w:sz="8" w:space="0" w:color="auto"/>
              <w:right w:val="single" w:sz="4" w:space="0" w:color="auto"/>
            </w:tcBorders>
            <w:shd w:val="clear" w:color="auto" w:fill="002060"/>
            <w:vAlign w:val="center"/>
            <w:hideMark/>
          </w:tcPr>
          <w:p w14:paraId="07137E78"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Ulaz u sustav reciklaže</w:t>
            </w:r>
            <w:r w:rsidRPr="006F5FDB">
              <w:rPr>
                <w:rFonts w:ascii="Calibri" w:eastAsia="Times New Roman" w:hAnsi="Calibri" w:cs="Calibri"/>
                <w:b/>
                <w:color w:val="FFFFFF" w:themeColor="background1"/>
                <w:sz w:val="16"/>
                <w:szCs w:val="16"/>
                <w:lang w:eastAsia="hr-HR"/>
              </w:rPr>
              <w:br/>
              <w:t>(t)</w:t>
            </w:r>
          </w:p>
        </w:tc>
        <w:tc>
          <w:tcPr>
            <w:tcW w:w="982" w:type="dxa"/>
            <w:tcBorders>
              <w:top w:val="nil"/>
              <w:left w:val="nil"/>
              <w:bottom w:val="single" w:sz="8" w:space="0" w:color="auto"/>
              <w:right w:val="single" w:sz="4" w:space="0" w:color="auto"/>
            </w:tcBorders>
            <w:shd w:val="clear" w:color="auto" w:fill="002060"/>
            <w:vAlign w:val="center"/>
            <w:hideMark/>
          </w:tcPr>
          <w:p w14:paraId="11E763B0"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Potrebni kapacitet</w:t>
            </w:r>
            <w:r w:rsidRPr="006F5FDB">
              <w:rPr>
                <w:rFonts w:ascii="Calibri" w:eastAsia="Times New Roman" w:hAnsi="Calibri" w:cs="Calibri"/>
                <w:b/>
                <w:color w:val="FFFFFF" w:themeColor="background1"/>
                <w:sz w:val="16"/>
                <w:szCs w:val="16"/>
                <w:lang w:eastAsia="hr-HR"/>
              </w:rPr>
              <w:br/>
              <w:t>(t)</w:t>
            </w:r>
          </w:p>
        </w:tc>
        <w:tc>
          <w:tcPr>
            <w:tcW w:w="1124" w:type="dxa"/>
            <w:tcBorders>
              <w:top w:val="nil"/>
              <w:left w:val="nil"/>
              <w:bottom w:val="single" w:sz="8" w:space="0" w:color="auto"/>
              <w:right w:val="nil"/>
            </w:tcBorders>
            <w:shd w:val="clear" w:color="auto" w:fill="002060"/>
            <w:vAlign w:val="center"/>
            <w:hideMark/>
          </w:tcPr>
          <w:p w14:paraId="74E82336"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Ukupni kapacitet </w:t>
            </w:r>
            <w:r w:rsidRPr="006F5FDB">
              <w:rPr>
                <w:rFonts w:ascii="Calibri" w:eastAsia="Times New Roman" w:hAnsi="Calibri" w:cs="Calibri"/>
                <w:b/>
                <w:color w:val="FFFFFF" w:themeColor="background1"/>
                <w:sz w:val="16"/>
                <w:szCs w:val="16"/>
                <w:lang w:eastAsia="hr-HR"/>
              </w:rPr>
              <w:br/>
              <w:t>(t/god)</w:t>
            </w:r>
          </w:p>
        </w:tc>
        <w:tc>
          <w:tcPr>
            <w:tcW w:w="1124" w:type="dxa"/>
            <w:tcBorders>
              <w:top w:val="nil"/>
              <w:left w:val="single" w:sz="4" w:space="0" w:color="auto"/>
              <w:bottom w:val="single" w:sz="8" w:space="0" w:color="auto"/>
              <w:right w:val="nil"/>
            </w:tcBorders>
            <w:shd w:val="clear" w:color="auto" w:fill="002060"/>
            <w:vAlign w:val="center"/>
            <w:hideMark/>
          </w:tcPr>
          <w:p w14:paraId="089BCB60"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Broj postrojenja</w:t>
            </w:r>
          </w:p>
        </w:tc>
        <w:tc>
          <w:tcPr>
            <w:tcW w:w="1833" w:type="dxa"/>
            <w:tcBorders>
              <w:top w:val="nil"/>
              <w:left w:val="single" w:sz="4" w:space="0" w:color="auto"/>
              <w:bottom w:val="single" w:sz="8" w:space="0" w:color="auto"/>
              <w:right w:val="single" w:sz="8" w:space="0" w:color="auto"/>
            </w:tcBorders>
            <w:shd w:val="clear" w:color="auto" w:fill="002060"/>
            <w:vAlign w:val="center"/>
            <w:hideMark/>
          </w:tcPr>
          <w:p w14:paraId="5BD5E5FC"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Potrebni dodatni kapacitet </w:t>
            </w:r>
            <w:r w:rsidRPr="006F5FDB">
              <w:rPr>
                <w:rFonts w:ascii="Calibri" w:eastAsia="Times New Roman" w:hAnsi="Calibri" w:cs="Calibri"/>
                <w:b/>
                <w:color w:val="FFFFFF" w:themeColor="background1"/>
                <w:sz w:val="16"/>
                <w:szCs w:val="16"/>
                <w:lang w:eastAsia="hr-HR"/>
              </w:rPr>
              <w:br/>
              <w:t>(t/god)</w:t>
            </w:r>
          </w:p>
        </w:tc>
      </w:tr>
      <w:tr w:rsidR="00CC41BC" w:rsidRPr="006F5FDB" w14:paraId="4D2E4329"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60725643"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Bjelovarsko-bilogorska</w:t>
            </w:r>
          </w:p>
        </w:tc>
        <w:tc>
          <w:tcPr>
            <w:tcW w:w="1100" w:type="dxa"/>
            <w:tcBorders>
              <w:top w:val="nil"/>
              <w:left w:val="nil"/>
              <w:bottom w:val="single" w:sz="4" w:space="0" w:color="auto"/>
              <w:right w:val="single" w:sz="4" w:space="0" w:color="auto"/>
            </w:tcBorders>
            <w:shd w:val="clear" w:color="auto" w:fill="auto"/>
            <w:noWrap/>
            <w:vAlign w:val="center"/>
            <w:hideMark/>
          </w:tcPr>
          <w:p w14:paraId="1D64436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1,6%</w:t>
            </w:r>
          </w:p>
        </w:tc>
        <w:tc>
          <w:tcPr>
            <w:tcW w:w="872" w:type="dxa"/>
            <w:vMerge w:val="restart"/>
            <w:tcBorders>
              <w:top w:val="nil"/>
              <w:left w:val="nil"/>
              <w:bottom w:val="nil"/>
              <w:right w:val="single" w:sz="4" w:space="0" w:color="auto"/>
            </w:tcBorders>
            <w:shd w:val="clear" w:color="auto" w:fill="auto"/>
            <w:vAlign w:val="center"/>
            <w:hideMark/>
          </w:tcPr>
          <w:p w14:paraId="2A79771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213.517</w:t>
            </w:r>
          </w:p>
        </w:tc>
        <w:tc>
          <w:tcPr>
            <w:tcW w:w="982" w:type="dxa"/>
            <w:tcBorders>
              <w:top w:val="nil"/>
              <w:left w:val="nil"/>
              <w:bottom w:val="single" w:sz="4" w:space="0" w:color="auto"/>
              <w:right w:val="single" w:sz="4" w:space="0" w:color="auto"/>
            </w:tcBorders>
            <w:shd w:val="clear" w:color="auto" w:fill="auto"/>
            <w:noWrap/>
            <w:vAlign w:val="center"/>
            <w:hideMark/>
          </w:tcPr>
          <w:p w14:paraId="10DA968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3.408</w:t>
            </w:r>
          </w:p>
        </w:tc>
        <w:tc>
          <w:tcPr>
            <w:tcW w:w="1124" w:type="dxa"/>
            <w:tcBorders>
              <w:top w:val="nil"/>
              <w:left w:val="nil"/>
              <w:bottom w:val="single" w:sz="4" w:space="0" w:color="auto"/>
              <w:right w:val="single" w:sz="4" w:space="0" w:color="auto"/>
            </w:tcBorders>
            <w:shd w:val="clear" w:color="auto" w:fill="auto"/>
            <w:noWrap/>
            <w:vAlign w:val="center"/>
            <w:hideMark/>
          </w:tcPr>
          <w:p w14:paraId="2CCEA05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0DE968B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4E63292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3.408</w:t>
            </w:r>
          </w:p>
        </w:tc>
      </w:tr>
      <w:tr w:rsidR="00CC41BC" w:rsidRPr="006F5FDB" w14:paraId="04C155FB"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02D36A1E"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Brodsko-posavska</w:t>
            </w:r>
          </w:p>
        </w:tc>
        <w:tc>
          <w:tcPr>
            <w:tcW w:w="1100" w:type="dxa"/>
            <w:tcBorders>
              <w:top w:val="nil"/>
              <w:left w:val="nil"/>
              <w:bottom w:val="single" w:sz="4" w:space="0" w:color="auto"/>
              <w:right w:val="single" w:sz="4" w:space="0" w:color="auto"/>
            </w:tcBorders>
            <w:shd w:val="clear" w:color="auto" w:fill="auto"/>
            <w:noWrap/>
            <w:vAlign w:val="center"/>
            <w:hideMark/>
          </w:tcPr>
          <w:p w14:paraId="039ABBC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w:t>
            </w:r>
          </w:p>
        </w:tc>
        <w:tc>
          <w:tcPr>
            <w:tcW w:w="872" w:type="dxa"/>
            <w:vMerge/>
            <w:tcBorders>
              <w:top w:val="nil"/>
              <w:left w:val="nil"/>
              <w:bottom w:val="nil"/>
              <w:right w:val="single" w:sz="4" w:space="0" w:color="auto"/>
            </w:tcBorders>
            <w:vAlign w:val="center"/>
            <w:hideMark/>
          </w:tcPr>
          <w:p w14:paraId="62232BB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7A52166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4.370</w:t>
            </w:r>
          </w:p>
        </w:tc>
        <w:tc>
          <w:tcPr>
            <w:tcW w:w="1124" w:type="dxa"/>
            <w:tcBorders>
              <w:top w:val="nil"/>
              <w:left w:val="nil"/>
              <w:bottom w:val="single" w:sz="4" w:space="0" w:color="auto"/>
              <w:right w:val="single" w:sz="4" w:space="0" w:color="auto"/>
            </w:tcBorders>
            <w:shd w:val="clear" w:color="auto" w:fill="auto"/>
            <w:noWrap/>
            <w:vAlign w:val="center"/>
            <w:hideMark/>
          </w:tcPr>
          <w:p w14:paraId="3A32E1D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4D0E960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439D4DE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4.370</w:t>
            </w:r>
          </w:p>
        </w:tc>
      </w:tr>
      <w:tr w:rsidR="00CC41BC" w:rsidRPr="006F5FDB" w14:paraId="0365A56E"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080C3C3A"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1100" w:type="dxa"/>
            <w:tcBorders>
              <w:top w:val="nil"/>
              <w:left w:val="nil"/>
              <w:bottom w:val="single" w:sz="4" w:space="0" w:color="auto"/>
              <w:right w:val="single" w:sz="4" w:space="0" w:color="auto"/>
            </w:tcBorders>
            <w:shd w:val="clear" w:color="auto" w:fill="auto"/>
            <w:noWrap/>
            <w:vAlign w:val="center"/>
            <w:hideMark/>
          </w:tcPr>
          <w:p w14:paraId="586F3FD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3,9%</w:t>
            </w:r>
          </w:p>
        </w:tc>
        <w:tc>
          <w:tcPr>
            <w:tcW w:w="872" w:type="dxa"/>
            <w:vMerge/>
            <w:tcBorders>
              <w:top w:val="nil"/>
              <w:left w:val="nil"/>
              <w:bottom w:val="nil"/>
              <w:right w:val="single" w:sz="4" w:space="0" w:color="auto"/>
            </w:tcBorders>
            <w:vAlign w:val="center"/>
            <w:hideMark/>
          </w:tcPr>
          <w:p w14:paraId="3EF0A226"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3089687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8.331</w:t>
            </w:r>
          </w:p>
        </w:tc>
        <w:tc>
          <w:tcPr>
            <w:tcW w:w="1124" w:type="dxa"/>
            <w:tcBorders>
              <w:top w:val="nil"/>
              <w:left w:val="nil"/>
              <w:bottom w:val="single" w:sz="4" w:space="0" w:color="auto"/>
              <w:right w:val="single" w:sz="4" w:space="0" w:color="auto"/>
            </w:tcBorders>
            <w:shd w:val="clear" w:color="auto" w:fill="auto"/>
            <w:noWrap/>
            <w:vAlign w:val="center"/>
            <w:hideMark/>
          </w:tcPr>
          <w:p w14:paraId="227A77B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4F4EE44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2098078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8.331</w:t>
            </w:r>
          </w:p>
        </w:tc>
      </w:tr>
      <w:tr w:rsidR="00CC41BC" w:rsidRPr="006F5FDB" w14:paraId="16ADB181"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6D882933"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w:t>
            </w:r>
          </w:p>
        </w:tc>
        <w:tc>
          <w:tcPr>
            <w:tcW w:w="1100" w:type="dxa"/>
            <w:tcBorders>
              <w:top w:val="nil"/>
              <w:left w:val="nil"/>
              <w:bottom w:val="single" w:sz="4" w:space="0" w:color="auto"/>
              <w:right w:val="single" w:sz="4" w:space="0" w:color="auto"/>
            </w:tcBorders>
            <w:shd w:val="clear" w:color="auto" w:fill="auto"/>
            <w:noWrap/>
            <w:vAlign w:val="center"/>
            <w:hideMark/>
          </w:tcPr>
          <w:p w14:paraId="1BA18B3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19,8%</w:t>
            </w:r>
          </w:p>
        </w:tc>
        <w:tc>
          <w:tcPr>
            <w:tcW w:w="872" w:type="dxa"/>
            <w:vMerge/>
            <w:tcBorders>
              <w:top w:val="nil"/>
              <w:left w:val="nil"/>
              <w:bottom w:val="nil"/>
              <w:right w:val="single" w:sz="4" w:space="0" w:color="auto"/>
            </w:tcBorders>
            <w:vAlign w:val="center"/>
            <w:hideMark/>
          </w:tcPr>
          <w:p w14:paraId="1F671A19"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5160E56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42.170</w:t>
            </w:r>
          </w:p>
        </w:tc>
        <w:tc>
          <w:tcPr>
            <w:tcW w:w="1124" w:type="dxa"/>
            <w:tcBorders>
              <w:top w:val="nil"/>
              <w:left w:val="nil"/>
              <w:bottom w:val="single" w:sz="4" w:space="0" w:color="auto"/>
              <w:right w:val="single" w:sz="4" w:space="0" w:color="auto"/>
            </w:tcBorders>
            <w:shd w:val="clear" w:color="auto" w:fill="auto"/>
            <w:noWrap/>
            <w:vAlign w:val="center"/>
            <w:hideMark/>
          </w:tcPr>
          <w:p w14:paraId="0D4CB23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525D20F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59C5DC9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42.170</w:t>
            </w:r>
          </w:p>
        </w:tc>
      </w:tr>
      <w:tr w:rsidR="00CC41BC" w:rsidRPr="006F5FDB" w14:paraId="131EA7C9"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207F715D"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Istarska </w:t>
            </w:r>
          </w:p>
        </w:tc>
        <w:tc>
          <w:tcPr>
            <w:tcW w:w="1100" w:type="dxa"/>
            <w:tcBorders>
              <w:top w:val="nil"/>
              <w:left w:val="nil"/>
              <w:bottom w:val="single" w:sz="4" w:space="0" w:color="auto"/>
              <w:right w:val="single" w:sz="4" w:space="0" w:color="auto"/>
            </w:tcBorders>
            <w:shd w:val="clear" w:color="auto" w:fill="auto"/>
            <w:noWrap/>
            <w:vAlign w:val="center"/>
            <w:hideMark/>
          </w:tcPr>
          <w:p w14:paraId="542CCBE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7,5%</w:t>
            </w:r>
          </w:p>
        </w:tc>
        <w:tc>
          <w:tcPr>
            <w:tcW w:w="872" w:type="dxa"/>
            <w:vMerge/>
            <w:tcBorders>
              <w:top w:val="nil"/>
              <w:left w:val="nil"/>
              <w:bottom w:val="nil"/>
              <w:right w:val="single" w:sz="4" w:space="0" w:color="auto"/>
            </w:tcBorders>
            <w:vAlign w:val="center"/>
            <w:hideMark/>
          </w:tcPr>
          <w:p w14:paraId="55977C4A"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2F880A2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15.910</w:t>
            </w:r>
          </w:p>
        </w:tc>
        <w:tc>
          <w:tcPr>
            <w:tcW w:w="1124" w:type="dxa"/>
            <w:tcBorders>
              <w:top w:val="nil"/>
              <w:left w:val="nil"/>
              <w:bottom w:val="single" w:sz="4" w:space="0" w:color="auto"/>
              <w:right w:val="single" w:sz="4" w:space="0" w:color="auto"/>
            </w:tcBorders>
            <w:shd w:val="clear" w:color="auto" w:fill="auto"/>
            <w:noWrap/>
            <w:vAlign w:val="center"/>
            <w:hideMark/>
          </w:tcPr>
          <w:p w14:paraId="10F99FB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5371998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481CC78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15.910</w:t>
            </w:r>
          </w:p>
        </w:tc>
      </w:tr>
      <w:tr w:rsidR="00CC41BC" w:rsidRPr="006F5FDB" w14:paraId="4DA53C4B"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1A17908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Karlovačka </w:t>
            </w:r>
          </w:p>
        </w:tc>
        <w:tc>
          <w:tcPr>
            <w:tcW w:w="1100" w:type="dxa"/>
            <w:tcBorders>
              <w:top w:val="nil"/>
              <w:left w:val="nil"/>
              <w:bottom w:val="single" w:sz="4" w:space="0" w:color="auto"/>
              <w:right w:val="single" w:sz="4" w:space="0" w:color="auto"/>
            </w:tcBorders>
            <w:shd w:val="clear" w:color="auto" w:fill="auto"/>
            <w:noWrap/>
            <w:vAlign w:val="center"/>
            <w:hideMark/>
          </w:tcPr>
          <w:p w14:paraId="151061F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2,5%</w:t>
            </w:r>
          </w:p>
        </w:tc>
        <w:tc>
          <w:tcPr>
            <w:tcW w:w="872" w:type="dxa"/>
            <w:vMerge/>
            <w:tcBorders>
              <w:top w:val="nil"/>
              <w:left w:val="nil"/>
              <w:bottom w:val="nil"/>
              <w:right w:val="single" w:sz="4" w:space="0" w:color="auto"/>
            </w:tcBorders>
            <w:vAlign w:val="center"/>
            <w:hideMark/>
          </w:tcPr>
          <w:p w14:paraId="308AE8D2"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5C127A9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5.266</w:t>
            </w:r>
          </w:p>
        </w:tc>
        <w:tc>
          <w:tcPr>
            <w:tcW w:w="1124" w:type="dxa"/>
            <w:tcBorders>
              <w:top w:val="nil"/>
              <w:left w:val="nil"/>
              <w:bottom w:val="single" w:sz="4" w:space="0" w:color="auto"/>
              <w:right w:val="single" w:sz="4" w:space="0" w:color="auto"/>
            </w:tcBorders>
            <w:shd w:val="clear" w:color="auto" w:fill="auto"/>
            <w:noWrap/>
            <w:vAlign w:val="center"/>
            <w:hideMark/>
          </w:tcPr>
          <w:p w14:paraId="4BF58C1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8.808</w:t>
            </w:r>
          </w:p>
        </w:tc>
        <w:tc>
          <w:tcPr>
            <w:tcW w:w="1124" w:type="dxa"/>
            <w:tcBorders>
              <w:top w:val="nil"/>
              <w:left w:val="nil"/>
              <w:bottom w:val="single" w:sz="4" w:space="0" w:color="auto"/>
              <w:right w:val="single" w:sz="4" w:space="0" w:color="auto"/>
            </w:tcBorders>
            <w:shd w:val="clear" w:color="auto" w:fill="auto"/>
            <w:noWrap/>
            <w:vAlign w:val="center"/>
            <w:hideMark/>
          </w:tcPr>
          <w:p w14:paraId="260CC9D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w:t>
            </w:r>
          </w:p>
        </w:tc>
        <w:tc>
          <w:tcPr>
            <w:tcW w:w="1833" w:type="dxa"/>
            <w:tcBorders>
              <w:top w:val="nil"/>
              <w:left w:val="nil"/>
              <w:bottom w:val="single" w:sz="4" w:space="0" w:color="auto"/>
              <w:right w:val="single" w:sz="8" w:space="0" w:color="auto"/>
            </w:tcBorders>
            <w:shd w:val="clear" w:color="auto" w:fill="auto"/>
            <w:noWrap/>
            <w:vAlign w:val="center"/>
            <w:hideMark/>
          </w:tcPr>
          <w:p w14:paraId="53A720E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-3.542</w:t>
            </w:r>
          </w:p>
        </w:tc>
      </w:tr>
      <w:tr w:rsidR="00CC41BC" w:rsidRPr="006F5FDB" w14:paraId="691C2FAA"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5706D9F1"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Koprivničko-križevačka</w:t>
            </w:r>
          </w:p>
        </w:tc>
        <w:tc>
          <w:tcPr>
            <w:tcW w:w="1100" w:type="dxa"/>
            <w:tcBorders>
              <w:top w:val="nil"/>
              <w:left w:val="nil"/>
              <w:bottom w:val="single" w:sz="4" w:space="0" w:color="auto"/>
              <w:right w:val="single" w:sz="4" w:space="0" w:color="auto"/>
            </w:tcBorders>
            <w:shd w:val="clear" w:color="auto" w:fill="auto"/>
            <w:noWrap/>
            <w:vAlign w:val="center"/>
            <w:hideMark/>
          </w:tcPr>
          <w:p w14:paraId="3CE3E47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w:t>
            </w:r>
          </w:p>
        </w:tc>
        <w:tc>
          <w:tcPr>
            <w:tcW w:w="872" w:type="dxa"/>
            <w:vMerge/>
            <w:tcBorders>
              <w:top w:val="nil"/>
              <w:left w:val="nil"/>
              <w:bottom w:val="nil"/>
              <w:right w:val="single" w:sz="4" w:space="0" w:color="auto"/>
            </w:tcBorders>
            <w:vAlign w:val="center"/>
            <w:hideMark/>
          </w:tcPr>
          <w:p w14:paraId="0DBFA07D"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0B7CA24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3.664</w:t>
            </w:r>
          </w:p>
        </w:tc>
        <w:tc>
          <w:tcPr>
            <w:tcW w:w="1124" w:type="dxa"/>
            <w:tcBorders>
              <w:top w:val="nil"/>
              <w:left w:val="nil"/>
              <w:bottom w:val="single" w:sz="4" w:space="0" w:color="auto"/>
              <w:right w:val="single" w:sz="4" w:space="0" w:color="auto"/>
            </w:tcBorders>
            <w:shd w:val="clear" w:color="auto" w:fill="auto"/>
            <w:noWrap/>
            <w:vAlign w:val="center"/>
            <w:hideMark/>
          </w:tcPr>
          <w:p w14:paraId="476AEAA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6BB875C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1E8B828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3.664</w:t>
            </w:r>
          </w:p>
        </w:tc>
      </w:tr>
      <w:tr w:rsidR="00CC41BC" w:rsidRPr="006F5FDB" w14:paraId="266344F4"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795D81CB"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w:t>
            </w:r>
          </w:p>
        </w:tc>
        <w:tc>
          <w:tcPr>
            <w:tcW w:w="1100" w:type="dxa"/>
            <w:tcBorders>
              <w:top w:val="nil"/>
              <w:left w:val="nil"/>
              <w:bottom w:val="single" w:sz="4" w:space="0" w:color="auto"/>
              <w:right w:val="single" w:sz="4" w:space="0" w:color="auto"/>
            </w:tcBorders>
            <w:shd w:val="clear" w:color="auto" w:fill="auto"/>
            <w:noWrap/>
            <w:vAlign w:val="center"/>
            <w:hideMark/>
          </w:tcPr>
          <w:p w14:paraId="13493E5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w:t>
            </w:r>
          </w:p>
        </w:tc>
        <w:tc>
          <w:tcPr>
            <w:tcW w:w="872" w:type="dxa"/>
            <w:vMerge/>
            <w:tcBorders>
              <w:top w:val="nil"/>
              <w:left w:val="nil"/>
              <w:bottom w:val="nil"/>
              <w:right w:val="single" w:sz="4" w:space="0" w:color="auto"/>
            </w:tcBorders>
            <w:vAlign w:val="center"/>
            <w:hideMark/>
          </w:tcPr>
          <w:p w14:paraId="7BE83663"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167B5E1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3.696</w:t>
            </w:r>
          </w:p>
        </w:tc>
        <w:tc>
          <w:tcPr>
            <w:tcW w:w="1124" w:type="dxa"/>
            <w:tcBorders>
              <w:top w:val="nil"/>
              <w:left w:val="nil"/>
              <w:bottom w:val="single" w:sz="4" w:space="0" w:color="auto"/>
              <w:right w:val="single" w:sz="4" w:space="0" w:color="auto"/>
            </w:tcBorders>
            <w:shd w:val="clear" w:color="auto" w:fill="auto"/>
            <w:noWrap/>
            <w:vAlign w:val="center"/>
            <w:hideMark/>
          </w:tcPr>
          <w:p w14:paraId="15D46D7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11777BE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2FD8ACA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3.696</w:t>
            </w:r>
          </w:p>
        </w:tc>
      </w:tr>
      <w:tr w:rsidR="00CC41BC" w:rsidRPr="006F5FDB" w14:paraId="1D2059DB"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4958FB6A"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Ličko-senjska </w:t>
            </w:r>
          </w:p>
        </w:tc>
        <w:tc>
          <w:tcPr>
            <w:tcW w:w="1100" w:type="dxa"/>
            <w:tcBorders>
              <w:top w:val="nil"/>
              <w:left w:val="nil"/>
              <w:bottom w:val="single" w:sz="4" w:space="0" w:color="auto"/>
              <w:right w:val="single" w:sz="4" w:space="0" w:color="auto"/>
            </w:tcBorders>
            <w:shd w:val="clear" w:color="auto" w:fill="auto"/>
            <w:noWrap/>
            <w:vAlign w:val="center"/>
            <w:hideMark/>
          </w:tcPr>
          <w:p w14:paraId="75B1E2E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w:t>
            </w:r>
          </w:p>
        </w:tc>
        <w:tc>
          <w:tcPr>
            <w:tcW w:w="872" w:type="dxa"/>
            <w:vMerge/>
            <w:tcBorders>
              <w:top w:val="nil"/>
              <w:left w:val="nil"/>
              <w:bottom w:val="nil"/>
              <w:right w:val="single" w:sz="4" w:space="0" w:color="auto"/>
            </w:tcBorders>
            <w:vAlign w:val="center"/>
            <w:hideMark/>
          </w:tcPr>
          <w:p w14:paraId="4459B59E"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40994D2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3.172</w:t>
            </w:r>
          </w:p>
        </w:tc>
        <w:tc>
          <w:tcPr>
            <w:tcW w:w="1124" w:type="dxa"/>
            <w:tcBorders>
              <w:top w:val="nil"/>
              <w:left w:val="nil"/>
              <w:bottom w:val="single" w:sz="4" w:space="0" w:color="auto"/>
              <w:right w:val="single" w:sz="4" w:space="0" w:color="auto"/>
            </w:tcBorders>
            <w:shd w:val="clear" w:color="auto" w:fill="auto"/>
            <w:noWrap/>
            <w:vAlign w:val="center"/>
            <w:hideMark/>
          </w:tcPr>
          <w:p w14:paraId="5432D54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3D2D9A8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198EFA2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3.172</w:t>
            </w:r>
          </w:p>
        </w:tc>
      </w:tr>
      <w:tr w:rsidR="00CC41BC" w:rsidRPr="006F5FDB" w14:paraId="5D009FAA"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7D23E14D"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Međimurska </w:t>
            </w:r>
          </w:p>
        </w:tc>
        <w:tc>
          <w:tcPr>
            <w:tcW w:w="1100" w:type="dxa"/>
            <w:tcBorders>
              <w:top w:val="nil"/>
              <w:left w:val="nil"/>
              <w:bottom w:val="single" w:sz="4" w:space="0" w:color="auto"/>
              <w:right w:val="single" w:sz="4" w:space="0" w:color="auto"/>
            </w:tcBorders>
            <w:shd w:val="clear" w:color="auto" w:fill="auto"/>
            <w:noWrap/>
            <w:vAlign w:val="center"/>
            <w:hideMark/>
          </w:tcPr>
          <w:p w14:paraId="6487306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2,6%</w:t>
            </w:r>
          </w:p>
        </w:tc>
        <w:tc>
          <w:tcPr>
            <w:tcW w:w="872" w:type="dxa"/>
            <w:vMerge/>
            <w:tcBorders>
              <w:top w:val="nil"/>
              <w:left w:val="nil"/>
              <w:bottom w:val="nil"/>
              <w:right w:val="single" w:sz="4" w:space="0" w:color="auto"/>
            </w:tcBorders>
            <w:vAlign w:val="center"/>
            <w:hideMark/>
          </w:tcPr>
          <w:p w14:paraId="31588269"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2B8FC95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5.594</w:t>
            </w:r>
          </w:p>
        </w:tc>
        <w:tc>
          <w:tcPr>
            <w:tcW w:w="1124" w:type="dxa"/>
            <w:tcBorders>
              <w:top w:val="nil"/>
              <w:left w:val="nil"/>
              <w:bottom w:val="single" w:sz="4" w:space="0" w:color="auto"/>
              <w:right w:val="single" w:sz="4" w:space="0" w:color="auto"/>
            </w:tcBorders>
            <w:shd w:val="clear" w:color="auto" w:fill="auto"/>
            <w:noWrap/>
            <w:vAlign w:val="center"/>
            <w:hideMark/>
          </w:tcPr>
          <w:p w14:paraId="462AF3B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78D5157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21A5497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5.594</w:t>
            </w:r>
          </w:p>
        </w:tc>
      </w:tr>
      <w:tr w:rsidR="00CC41BC" w:rsidRPr="006F5FDB" w14:paraId="50DBFC55"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7BFA2E7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Osječko-baranjska </w:t>
            </w:r>
          </w:p>
        </w:tc>
        <w:tc>
          <w:tcPr>
            <w:tcW w:w="1100" w:type="dxa"/>
            <w:tcBorders>
              <w:top w:val="nil"/>
              <w:left w:val="nil"/>
              <w:bottom w:val="single" w:sz="4" w:space="0" w:color="auto"/>
              <w:right w:val="single" w:sz="4" w:space="0" w:color="auto"/>
            </w:tcBorders>
            <w:shd w:val="clear" w:color="auto" w:fill="auto"/>
            <w:noWrap/>
            <w:vAlign w:val="center"/>
            <w:hideMark/>
          </w:tcPr>
          <w:p w14:paraId="47D6B40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5,1%</w:t>
            </w:r>
          </w:p>
        </w:tc>
        <w:tc>
          <w:tcPr>
            <w:tcW w:w="872" w:type="dxa"/>
            <w:vMerge/>
            <w:tcBorders>
              <w:top w:val="nil"/>
              <w:left w:val="nil"/>
              <w:bottom w:val="nil"/>
              <w:right w:val="single" w:sz="4" w:space="0" w:color="auto"/>
            </w:tcBorders>
            <w:vAlign w:val="center"/>
            <w:hideMark/>
          </w:tcPr>
          <w:p w14:paraId="12C43334"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0BED052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10.785</w:t>
            </w:r>
          </w:p>
        </w:tc>
        <w:tc>
          <w:tcPr>
            <w:tcW w:w="1124" w:type="dxa"/>
            <w:tcBorders>
              <w:top w:val="nil"/>
              <w:left w:val="nil"/>
              <w:bottom w:val="single" w:sz="4" w:space="0" w:color="auto"/>
              <w:right w:val="single" w:sz="4" w:space="0" w:color="auto"/>
            </w:tcBorders>
            <w:shd w:val="clear" w:color="auto" w:fill="auto"/>
            <w:noWrap/>
            <w:vAlign w:val="center"/>
            <w:hideMark/>
          </w:tcPr>
          <w:p w14:paraId="1EEB193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50.000</w:t>
            </w:r>
          </w:p>
        </w:tc>
        <w:tc>
          <w:tcPr>
            <w:tcW w:w="1124" w:type="dxa"/>
            <w:tcBorders>
              <w:top w:val="nil"/>
              <w:left w:val="nil"/>
              <w:bottom w:val="single" w:sz="4" w:space="0" w:color="auto"/>
              <w:right w:val="single" w:sz="4" w:space="0" w:color="auto"/>
            </w:tcBorders>
            <w:shd w:val="clear" w:color="auto" w:fill="auto"/>
            <w:noWrap/>
            <w:vAlign w:val="center"/>
            <w:hideMark/>
          </w:tcPr>
          <w:p w14:paraId="3C32EC0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w:t>
            </w:r>
          </w:p>
        </w:tc>
        <w:tc>
          <w:tcPr>
            <w:tcW w:w="1833" w:type="dxa"/>
            <w:tcBorders>
              <w:top w:val="nil"/>
              <w:left w:val="nil"/>
              <w:bottom w:val="single" w:sz="4" w:space="0" w:color="auto"/>
              <w:right w:val="single" w:sz="8" w:space="0" w:color="auto"/>
            </w:tcBorders>
            <w:shd w:val="clear" w:color="auto" w:fill="auto"/>
            <w:noWrap/>
            <w:vAlign w:val="center"/>
            <w:hideMark/>
          </w:tcPr>
          <w:p w14:paraId="0894D5D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-39.215</w:t>
            </w:r>
          </w:p>
        </w:tc>
      </w:tr>
      <w:tr w:rsidR="00CC41BC" w:rsidRPr="006F5FDB" w14:paraId="675C5271"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226C2C50"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w:t>
            </w:r>
          </w:p>
        </w:tc>
        <w:tc>
          <w:tcPr>
            <w:tcW w:w="1100" w:type="dxa"/>
            <w:tcBorders>
              <w:top w:val="nil"/>
              <w:left w:val="nil"/>
              <w:bottom w:val="single" w:sz="4" w:space="0" w:color="auto"/>
              <w:right w:val="single" w:sz="4" w:space="0" w:color="auto"/>
            </w:tcBorders>
            <w:shd w:val="clear" w:color="auto" w:fill="auto"/>
            <w:noWrap/>
            <w:vAlign w:val="center"/>
            <w:hideMark/>
          </w:tcPr>
          <w:p w14:paraId="2AECADF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w:t>
            </w:r>
          </w:p>
        </w:tc>
        <w:tc>
          <w:tcPr>
            <w:tcW w:w="872" w:type="dxa"/>
            <w:vMerge/>
            <w:tcBorders>
              <w:top w:val="nil"/>
              <w:left w:val="nil"/>
              <w:bottom w:val="nil"/>
              <w:right w:val="single" w:sz="4" w:space="0" w:color="auto"/>
            </w:tcBorders>
            <w:vAlign w:val="center"/>
            <w:hideMark/>
          </w:tcPr>
          <w:p w14:paraId="54DA9959"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6139C32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2.049</w:t>
            </w:r>
          </w:p>
        </w:tc>
        <w:tc>
          <w:tcPr>
            <w:tcW w:w="1124" w:type="dxa"/>
            <w:tcBorders>
              <w:top w:val="nil"/>
              <w:left w:val="nil"/>
              <w:bottom w:val="single" w:sz="4" w:space="0" w:color="auto"/>
              <w:right w:val="single" w:sz="4" w:space="0" w:color="auto"/>
            </w:tcBorders>
            <w:shd w:val="clear" w:color="auto" w:fill="auto"/>
            <w:noWrap/>
            <w:vAlign w:val="center"/>
            <w:hideMark/>
          </w:tcPr>
          <w:p w14:paraId="00005E2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2928AD6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188FFFF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2.049</w:t>
            </w:r>
          </w:p>
        </w:tc>
      </w:tr>
      <w:tr w:rsidR="00CC41BC" w:rsidRPr="006F5FDB" w14:paraId="1442200A"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5BD3A87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Primorsko-goranska </w:t>
            </w:r>
          </w:p>
        </w:tc>
        <w:tc>
          <w:tcPr>
            <w:tcW w:w="1100" w:type="dxa"/>
            <w:tcBorders>
              <w:top w:val="nil"/>
              <w:left w:val="nil"/>
              <w:bottom w:val="single" w:sz="4" w:space="0" w:color="auto"/>
              <w:right w:val="single" w:sz="4" w:space="0" w:color="auto"/>
            </w:tcBorders>
            <w:shd w:val="clear" w:color="auto" w:fill="auto"/>
            <w:noWrap/>
            <w:vAlign w:val="center"/>
            <w:hideMark/>
          </w:tcPr>
          <w:p w14:paraId="61F2E14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9,7%</w:t>
            </w:r>
          </w:p>
        </w:tc>
        <w:tc>
          <w:tcPr>
            <w:tcW w:w="872" w:type="dxa"/>
            <w:vMerge/>
            <w:tcBorders>
              <w:top w:val="nil"/>
              <w:left w:val="nil"/>
              <w:bottom w:val="nil"/>
              <w:right w:val="single" w:sz="4" w:space="0" w:color="auto"/>
            </w:tcBorders>
            <w:vAlign w:val="center"/>
            <w:hideMark/>
          </w:tcPr>
          <w:p w14:paraId="3DB85667"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63D7747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20.767</w:t>
            </w:r>
          </w:p>
        </w:tc>
        <w:tc>
          <w:tcPr>
            <w:tcW w:w="1124" w:type="dxa"/>
            <w:tcBorders>
              <w:top w:val="nil"/>
              <w:left w:val="nil"/>
              <w:bottom w:val="single" w:sz="4" w:space="0" w:color="auto"/>
              <w:right w:val="single" w:sz="4" w:space="0" w:color="auto"/>
            </w:tcBorders>
            <w:shd w:val="clear" w:color="auto" w:fill="auto"/>
            <w:noWrap/>
            <w:vAlign w:val="center"/>
            <w:hideMark/>
          </w:tcPr>
          <w:p w14:paraId="5B9B411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6E1DA72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02A1CD0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20.767</w:t>
            </w:r>
          </w:p>
        </w:tc>
      </w:tr>
      <w:tr w:rsidR="00CC41BC" w:rsidRPr="006F5FDB" w14:paraId="798863E3"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47D3EB76"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Sisačko-moslavačka </w:t>
            </w:r>
          </w:p>
        </w:tc>
        <w:tc>
          <w:tcPr>
            <w:tcW w:w="1100" w:type="dxa"/>
            <w:tcBorders>
              <w:top w:val="nil"/>
              <w:left w:val="nil"/>
              <w:bottom w:val="single" w:sz="4" w:space="0" w:color="auto"/>
              <w:right w:val="single" w:sz="4" w:space="0" w:color="auto"/>
            </w:tcBorders>
            <w:shd w:val="clear" w:color="auto" w:fill="auto"/>
            <w:noWrap/>
            <w:vAlign w:val="center"/>
            <w:hideMark/>
          </w:tcPr>
          <w:p w14:paraId="27FCF7D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w:t>
            </w:r>
          </w:p>
        </w:tc>
        <w:tc>
          <w:tcPr>
            <w:tcW w:w="872" w:type="dxa"/>
            <w:vMerge/>
            <w:tcBorders>
              <w:top w:val="nil"/>
              <w:left w:val="nil"/>
              <w:bottom w:val="nil"/>
              <w:right w:val="single" w:sz="4" w:space="0" w:color="auto"/>
            </w:tcBorders>
            <w:vAlign w:val="center"/>
            <w:hideMark/>
          </w:tcPr>
          <w:p w14:paraId="2EBBE09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78A5097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5.821</w:t>
            </w:r>
          </w:p>
        </w:tc>
        <w:tc>
          <w:tcPr>
            <w:tcW w:w="1124" w:type="dxa"/>
            <w:tcBorders>
              <w:top w:val="nil"/>
              <w:left w:val="nil"/>
              <w:bottom w:val="single" w:sz="4" w:space="0" w:color="auto"/>
              <w:right w:val="single" w:sz="4" w:space="0" w:color="auto"/>
            </w:tcBorders>
            <w:shd w:val="clear" w:color="auto" w:fill="auto"/>
            <w:noWrap/>
            <w:vAlign w:val="center"/>
            <w:hideMark/>
          </w:tcPr>
          <w:p w14:paraId="6E6985B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613C2CE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5C92746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5.821</w:t>
            </w:r>
          </w:p>
        </w:tc>
      </w:tr>
      <w:tr w:rsidR="00CC41BC" w:rsidRPr="006F5FDB" w14:paraId="05734531"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006CFED1"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Splitsko-dalmatinska </w:t>
            </w:r>
          </w:p>
        </w:tc>
        <w:tc>
          <w:tcPr>
            <w:tcW w:w="1100" w:type="dxa"/>
            <w:tcBorders>
              <w:top w:val="nil"/>
              <w:left w:val="nil"/>
              <w:bottom w:val="single" w:sz="4" w:space="0" w:color="auto"/>
              <w:right w:val="single" w:sz="4" w:space="0" w:color="auto"/>
            </w:tcBorders>
            <w:shd w:val="clear" w:color="auto" w:fill="auto"/>
            <w:noWrap/>
            <w:vAlign w:val="center"/>
            <w:hideMark/>
          </w:tcPr>
          <w:p w14:paraId="70785B6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14,3%</w:t>
            </w:r>
          </w:p>
        </w:tc>
        <w:tc>
          <w:tcPr>
            <w:tcW w:w="872" w:type="dxa"/>
            <w:vMerge/>
            <w:tcBorders>
              <w:top w:val="nil"/>
              <w:left w:val="nil"/>
              <w:bottom w:val="nil"/>
              <w:right w:val="single" w:sz="4" w:space="0" w:color="auto"/>
            </w:tcBorders>
            <w:vAlign w:val="center"/>
            <w:hideMark/>
          </w:tcPr>
          <w:p w14:paraId="5458A46A"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67A85BE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30.476</w:t>
            </w:r>
          </w:p>
        </w:tc>
        <w:tc>
          <w:tcPr>
            <w:tcW w:w="1124" w:type="dxa"/>
            <w:tcBorders>
              <w:top w:val="nil"/>
              <w:left w:val="nil"/>
              <w:bottom w:val="single" w:sz="4" w:space="0" w:color="auto"/>
              <w:right w:val="single" w:sz="4" w:space="0" w:color="auto"/>
            </w:tcBorders>
            <w:shd w:val="clear" w:color="auto" w:fill="auto"/>
            <w:noWrap/>
            <w:vAlign w:val="center"/>
            <w:hideMark/>
          </w:tcPr>
          <w:p w14:paraId="40D9E41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02100AE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3C7F949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30.476</w:t>
            </w:r>
          </w:p>
        </w:tc>
      </w:tr>
      <w:tr w:rsidR="00CC41BC" w:rsidRPr="006F5FDB" w14:paraId="549C00E2"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323209F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Šibensko-kninska</w:t>
            </w:r>
          </w:p>
        </w:tc>
        <w:tc>
          <w:tcPr>
            <w:tcW w:w="1100" w:type="dxa"/>
            <w:tcBorders>
              <w:top w:val="nil"/>
              <w:left w:val="nil"/>
              <w:bottom w:val="single" w:sz="4" w:space="0" w:color="auto"/>
              <w:right w:val="single" w:sz="4" w:space="0" w:color="auto"/>
            </w:tcBorders>
            <w:shd w:val="clear" w:color="auto" w:fill="auto"/>
            <w:noWrap/>
            <w:vAlign w:val="center"/>
            <w:hideMark/>
          </w:tcPr>
          <w:p w14:paraId="44B6410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3,2%</w:t>
            </w:r>
          </w:p>
        </w:tc>
        <w:tc>
          <w:tcPr>
            <w:tcW w:w="872" w:type="dxa"/>
            <w:vMerge/>
            <w:tcBorders>
              <w:top w:val="nil"/>
              <w:left w:val="nil"/>
              <w:bottom w:val="nil"/>
              <w:right w:val="single" w:sz="4" w:space="0" w:color="auto"/>
            </w:tcBorders>
            <w:vAlign w:val="center"/>
            <w:hideMark/>
          </w:tcPr>
          <w:p w14:paraId="1EE93E4D"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7507CF8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6.924</w:t>
            </w:r>
          </w:p>
        </w:tc>
        <w:tc>
          <w:tcPr>
            <w:tcW w:w="1124" w:type="dxa"/>
            <w:tcBorders>
              <w:top w:val="nil"/>
              <w:left w:val="nil"/>
              <w:bottom w:val="single" w:sz="4" w:space="0" w:color="auto"/>
              <w:right w:val="single" w:sz="4" w:space="0" w:color="auto"/>
            </w:tcBorders>
            <w:shd w:val="clear" w:color="auto" w:fill="auto"/>
            <w:noWrap/>
            <w:vAlign w:val="center"/>
            <w:hideMark/>
          </w:tcPr>
          <w:p w14:paraId="47B0AFA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604E81A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3ED0355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6.924</w:t>
            </w:r>
          </w:p>
        </w:tc>
      </w:tr>
      <w:tr w:rsidR="00CC41BC" w:rsidRPr="006F5FDB" w14:paraId="4E96A4A5"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7FDABE9B"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Varaždinska </w:t>
            </w:r>
          </w:p>
        </w:tc>
        <w:tc>
          <w:tcPr>
            <w:tcW w:w="1100" w:type="dxa"/>
            <w:tcBorders>
              <w:top w:val="nil"/>
              <w:left w:val="nil"/>
              <w:bottom w:val="single" w:sz="4" w:space="0" w:color="auto"/>
              <w:right w:val="single" w:sz="4" w:space="0" w:color="auto"/>
            </w:tcBorders>
            <w:shd w:val="clear" w:color="auto" w:fill="auto"/>
            <w:noWrap/>
            <w:vAlign w:val="center"/>
            <w:hideMark/>
          </w:tcPr>
          <w:p w14:paraId="05CF3EB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2,6%</w:t>
            </w:r>
          </w:p>
        </w:tc>
        <w:tc>
          <w:tcPr>
            <w:tcW w:w="872" w:type="dxa"/>
            <w:vMerge/>
            <w:tcBorders>
              <w:top w:val="nil"/>
              <w:left w:val="nil"/>
              <w:bottom w:val="nil"/>
              <w:right w:val="single" w:sz="4" w:space="0" w:color="auto"/>
            </w:tcBorders>
            <w:vAlign w:val="center"/>
            <w:hideMark/>
          </w:tcPr>
          <w:p w14:paraId="7AA5B670"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4254DD3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5.450</w:t>
            </w:r>
          </w:p>
        </w:tc>
        <w:tc>
          <w:tcPr>
            <w:tcW w:w="1124" w:type="dxa"/>
            <w:tcBorders>
              <w:top w:val="nil"/>
              <w:left w:val="nil"/>
              <w:bottom w:val="single" w:sz="4" w:space="0" w:color="auto"/>
              <w:right w:val="single" w:sz="4" w:space="0" w:color="auto"/>
            </w:tcBorders>
            <w:shd w:val="clear" w:color="auto" w:fill="auto"/>
            <w:noWrap/>
            <w:vAlign w:val="center"/>
            <w:hideMark/>
          </w:tcPr>
          <w:p w14:paraId="4CB7BB5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5.000</w:t>
            </w:r>
          </w:p>
        </w:tc>
        <w:tc>
          <w:tcPr>
            <w:tcW w:w="1124" w:type="dxa"/>
            <w:tcBorders>
              <w:top w:val="nil"/>
              <w:left w:val="nil"/>
              <w:bottom w:val="single" w:sz="4" w:space="0" w:color="auto"/>
              <w:right w:val="single" w:sz="4" w:space="0" w:color="auto"/>
            </w:tcBorders>
            <w:shd w:val="clear" w:color="auto" w:fill="auto"/>
            <w:noWrap/>
            <w:vAlign w:val="center"/>
            <w:hideMark/>
          </w:tcPr>
          <w:p w14:paraId="3F9A8DB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w:t>
            </w:r>
          </w:p>
        </w:tc>
        <w:tc>
          <w:tcPr>
            <w:tcW w:w="1833" w:type="dxa"/>
            <w:tcBorders>
              <w:top w:val="nil"/>
              <w:left w:val="nil"/>
              <w:bottom w:val="single" w:sz="4" w:space="0" w:color="auto"/>
              <w:right w:val="single" w:sz="8" w:space="0" w:color="auto"/>
            </w:tcBorders>
            <w:shd w:val="clear" w:color="auto" w:fill="auto"/>
            <w:noWrap/>
            <w:vAlign w:val="center"/>
            <w:hideMark/>
          </w:tcPr>
          <w:p w14:paraId="273C47A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450</w:t>
            </w:r>
          </w:p>
        </w:tc>
      </w:tr>
      <w:tr w:rsidR="00CC41BC" w:rsidRPr="006F5FDB" w14:paraId="5DF148B9"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04371DE5"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Virovitičko-podravska</w:t>
            </w:r>
          </w:p>
        </w:tc>
        <w:tc>
          <w:tcPr>
            <w:tcW w:w="1100" w:type="dxa"/>
            <w:tcBorders>
              <w:top w:val="nil"/>
              <w:left w:val="nil"/>
              <w:bottom w:val="single" w:sz="4" w:space="0" w:color="auto"/>
              <w:right w:val="single" w:sz="4" w:space="0" w:color="auto"/>
            </w:tcBorders>
            <w:shd w:val="clear" w:color="auto" w:fill="auto"/>
            <w:noWrap/>
            <w:vAlign w:val="center"/>
            <w:hideMark/>
          </w:tcPr>
          <w:p w14:paraId="5182866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w:t>
            </w:r>
          </w:p>
        </w:tc>
        <w:tc>
          <w:tcPr>
            <w:tcW w:w="872" w:type="dxa"/>
            <w:vMerge/>
            <w:tcBorders>
              <w:top w:val="nil"/>
              <w:left w:val="nil"/>
              <w:bottom w:val="nil"/>
              <w:right w:val="single" w:sz="4" w:space="0" w:color="auto"/>
            </w:tcBorders>
            <w:vAlign w:val="center"/>
            <w:hideMark/>
          </w:tcPr>
          <w:p w14:paraId="176AD757"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78D3E7B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2.797</w:t>
            </w:r>
          </w:p>
        </w:tc>
        <w:tc>
          <w:tcPr>
            <w:tcW w:w="1124" w:type="dxa"/>
            <w:tcBorders>
              <w:top w:val="nil"/>
              <w:left w:val="nil"/>
              <w:bottom w:val="single" w:sz="4" w:space="0" w:color="auto"/>
              <w:right w:val="single" w:sz="4" w:space="0" w:color="auto"/>
            </w:tcBorders>
            <w:shd w:val="clear" w:color="auto" w:fill="auto"/>
            <w:noWrap/>
            <w:vAlign w:val="center"/>
            <w:hideMark/>
          </w:tcPr>
          <w:p w14:paraId="746E344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42D8299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79C0365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2.797</w:t>
            </w:r>
          </w:p>
        </w:tc>
      </w:tr>
      <w:tr w:rsidR="00CC41BC" w:rsidRPr="006F5FDB" w14:paraId="25A5AA4F"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0C7FC624"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Vukovarsko-srijemska </w:t>
            </w:r>
          </w:p>
        </w:tc>
        <w:tc>
          <w:tcPr>
            <w:tcW w:w="1100" w:type="dxa"/>
            <w:tcBorders>
              <w:top w:val="nil"/>
              <w:left w:val="nil"/>
              <w:bottom w:val="single" w:sz="4" w:space="0" w:color="auto"/>
              <w:right w:val="single" w:sz="4" w:space="0" w:color="auto"/>
            </w:tcBorders>
            <w:shd w:val="clear" w:color="auto" w:fill="auto"/>
            <w:noWrap/>
            <w:vAlign w:val="center"/>
            <w:hideMark/>
          </w:tcPr>
          <w:p w14:paraId="1CE0F9E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2,9%</w:t>
            </w:r>
          </w:p>
        </w:tc>
        <w:tc>
          <w:tcPr>
            <w:tcW w:w="872" w:type="dxa"/>
            <w:vMerge/>
            <w:tcBorders>
              <w:top w:val="nil"/>
              <w:left w:val="nil"/>
              <w:bottom w:val="nil"/>
              <w:right w:val="single" w:sz="4" w:space="0" w:color="auto"/>
            </w:tcBorders>
            <w:vAlign w:val="center"/>
            <w:hideMark/>
          </w:tcPr>
          <w:p w14:paraId="7DDF7D1C"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01CFA0D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6.166</w:t>
            </w:r>
          </w:p>
        </w:tc>
        <w:tc>
          <w:tcPr>
            <w:tcW w:w="1124" w:type="dxa"/>
            <w:tcBorders>
              <w:top w:val="nil"/>
              <w:left w:val="nil"/>
              <w:bottom w:val="single" w:sz="4" w:space="0" w:color="auto"/>
              <w:right w:val="single" w:sz="4" w:space="0" w:color="auto"/>
            </w:tcBorders>
            <w:shd w:val="clear" w:color="auto" w:fill="auto"/>
            <w:noWrap/>
            <w:vAlign w:val="center"/>
            <w:hideMark/>
          </w:tcPr>
          <w:p w14:paraId="155A5A1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463F9D4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11813A4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6.166</w:t>
            </w:r>
          </w:p>
        </w:tc>
      </w:tr>
      <w:tr w:rsidR="00CC41BC" w:rsidRPr="006F5FDB" w14:paraId="3E28A98A"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5F835D7B"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Zadarska </w:t>
            </w:r>
          </w:p>
        </w:tc>
        <w:tc>
          <w:tcPr>
            <w:tcW w:w="1100" w:type="dxa"/>
            <w:tcBorders>
              <w:top w:val="nil"/>
              <w:left w:val="nil"/>
              <w:bottom w:val="single" w:sz="4" w:space="0" w:color="auto"/>
              <w:right w:val="single" w:sz="4" w:space="0" w:color="auto"/>
            </w:tcBorders>
            <w:shd w:val="clear" w:color="auto" w:fill="auto"/>
            <w:noWrap/>
            <w:vAlign w:val="center"/>
            <w:hideMark/>
          </w:tcPr>
          <w:p w14:paraId="4DA62E2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6,1%</w:t>
            </w:r>
          </w:p>
        </w:tc>
        <w:tc>
          <w:tcPr>
            <w:tcW w:w="872" w:type="dxa"/>
            <w:vMerge/>
            <w:tcBorders>
              <w:top w:val="nil"/>
              <w:left w:val="nil"/>
              <w:bottom w:val="nil"/>
              <w:right w:val="single" w:sz="4" w:space="0" w:color="auto"/>
            </w:tcBorders>
            <w:vAlign w:val="center"/>
            <w:hideMark/>
          </w:tcPr>
          <w:p w14:paraId="7B4521F2"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26343F5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13.031</w:t>
            </w:r>
          </w:p>
        </w:tc>
        <w:tc>
          <w:tcPr>
            <w:tcW w:w="1124" w:type="dxa"/>
            <w:tcBorders>
              <w:top w:val="nil"/>
              <w:left w:val="nil"/>
              <w:bottom w:val="single" w:sz="4" w:space="0" w:color="auto"/>
              <w:right w:val="single" w:sz="4" w:space="0" w:color="auto"/>
            </w:tcBorders>
            <w:shd w:val="clear" w:color="auto" w:fill="auto"/>
            <w:noWrap/>
            <w:vAlign w:val="center"/>
            <w:hideMark/>
          </w:tcPr>
          <w:p w14:paraId="3D6DF0C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3DB9C5E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1AEAD63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13.031</w:t>
            </w:r>
          </w:p>
        </w:tc>
      </w:tr>
      <w:tr w:rsidR="00CC41BC" w:rsidRPr="006F5FDB" w14:paraId="7FADEAF9" w14:textId="77777777" w:rsidTr="007E3868">
        <w:trPr>
          <w:trHeight w:val="170"/>
        </w:trPr>
        <w:tc>
          <w:tcPr>
            <w:tcW w:w="1906" w:type="dxa"/>
            <w:tcBorders>
              <w:top w:val="nil"/>
              <w:left w:val="single" w:sz="8" w:space="0" w:color="auto"/>
              <w:bottom w:val="nil"/>
              <w:right w:val="single" w:sz="4" w:space="0" w:color="auto"/>
            </w:tcBorders>
            <w:shd w:val="clear" w:color="auto" w:fill="auto"/>
            <w:noWrap/>
            <w:vAlign w:val="center"/>
            <w:hideMark/>
          </w:tcPr>
          <w:p w14:paraId="38FCD765"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Zagrebačka </w:t>
            </w:r>
          </w:p>
        </w:tc>
        <w:tc>
          <w:tcPr>
            <w:tcW w:w="1100" w:type="dxa"/>
            <w:tcBorders>
              <w:top w:val="nil"/>
              <w:left w:val="nil"/>
              <w:bottom w:val="nil"/>
              <w:right w:val="single" w:sz="4" w:space="0" w:color="auto"/>
            </w:tcBorders>
            <w:shd w:val="clear" w:color="auto" w:fill="auto"/>
            <w:noWrap/>
            <w:vAlign w:val="center"/>
            <w:hideMark/>
          </w:tcPr>
          <w:p w14:paraId="56E0036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6,4%</w:t>
            </w:r>
          </w:p>
        </w:tc>
        <w:tc>
          <w:tcPr>
            <w:tcW w:w="872" w:type="dxa"/>
            <w:vMerge/>
            <w:tcBorders>
              <w:top w:val="nil"/>
              <w:left w:val="nil"/>
              <w:bottom w:val="nil"/>
              <w:right w:val="single" w:sz="4" w:space="0" w:color="auto"/>
            </w:tcBorders>
            <w:vAlign w:val="center"/>
            <w:hideMark/>
          </w:tcPr>
          <w:p w14:paraId="6AEE50DD"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nil"/>
              <w:right w:val="single" w:sz="4" w:space="0" w:color="auto"/>
            </w:tcBorders>
            <w:shd w:val="clear" w:color="auto" w:fill="auto"/>
            <w:noWrap/>
            <w:vAlign w:val="center"/>
            <w:hideMark/>
          </w:tcPr>
          <w:p w14:paraId="53A12A1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13.671</w:t>
            </w:r>
          </w:p>
        </w:tc>
        <w:tc>
          <w:tcPr>
            <w:tcW w:w="1124" w:type="dxa"/>
            <w:tcBorders>
              <w:top w:val="nil"/>
              <w:left w:val="nil"/>
              <w:bottom w:val="nil"/>
              <w:right w:val="single" w:sz="4" w:space="0" w:color="auto"/>
            </w:tcBorders>
            <w:shd w:val="clear" w:color="auto" w:fill="auto"/>
            <w:noWrap/>
            <w:vAlign w:val="center"/>
            <w:hideMark/>
          </w:tcPr>
          <w:p w14:paraId="68D7AAB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440</w:t>
            </w:r>
          </w:p>
        </w:tc>
        <w:tc>
          <w:tcPr>
            <w:tcW w:w="1124" w:type="dxa"/>
            <w:tcBorders>
              <w:top w:val="nil"/>
              <w:left w:val="nil"/>
              <w:bottom w:val="nil"/>
              <w:right w:val="single" w:sz="4" w:space="0" w:color="auto"/>
            </w:tcBorders>
            <w:shd w:val="clear" w:color="auto" w:fill="auto"/>
            <w:noWrap/>
            <w:vAlign w:val="center"/>
            <w:hideMark/>
          </w:tcPr>
          <w:p w14:paraId="34BCEE7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w:t>
            </w:r>
          </w:p>
        </w:tc>
        <w:tc>
          <w:tcPr>
            <w:tcW w:w="1833" w:type="dxa"/>
            <w:tcBorders>
              <w:top w:val="nil"/>
              <w:left w:val="nil"/>
              <w:bottom w:val="nil"/>
              <w:right w:val="single" w:sz="8" w:space="0" w:color="auto"/>
            </w:tcBorders>
            <w:shd w:val="clear" w:color="auto" w:fill="auto"/>
            <w:noWrap/>
            <w:vAlign w:val="center"/>
            <w:hideMark/>
          </w:tcPr>
          <w:p w14:paraId="4F15501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13.231</w:t>
            </w:r>
          </w:p>
        </w:tc>
      </w:tr>
      <w:tr w:rsidR="00CC41BC" w:rsidRPr="006F5FDB" w14:paraId="1BE3571D" w14:textId="77777777" w:rsidTr="00BB2706">
        <w:trPr>
          <w:trHeight w:val="170"/>
        </w:trPr>
        <w:tc>
          <w:tcPr>
            <w:tcW w:w="3878"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E1C5F3F" w14:textId="77777777" w:rsidR="00CC41BC" w:rsidRPr="006F5FDB" w:rsidRDefault="00CC41BC" w:rsidP="00CC41BC">
            <w:pPr>
              <w:spacing w:after="0" w:line="240" w:lineRule="auto"/>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Ukupno</w:t>
            </w:r>
          </w:p>
        </w:tc>
        <w:tc>
          <w:tcPr>
            <w:tcW w:w="982" w:type="dxa"/>
            <w:tcBorders>
              <w:top w:val="single" w:sz="8" w:space="0" w:color="auto"/>
              <w:left w:val="nil"/>
              <w:bottom w:val="single" w:sz="8" w:space="0" w:color="auto"/>
              <w:right w:val="single" w:sz="4" w:space="0" w:color="auto"/>
            </w:tcBorders>
            <w:shd w:val="clear" w:color="auto" w:fill="auto"/>
            <w:noWrap/>
            <w:vAlign w:val="center"/>
            <w:hideMark/>
          </w:tcPr>
          <w:p w14:paraId="317ED96A"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213.517</w:t>
            </w:r>
          </w:p>
        </w:tc>
        <w:tc>
          <w:tcPr>
            <w:tcW w:w="1124" w:type="dxa"/>
            <w:tcBorders>
              <w:top w:val="single" w:sz="8" w:space="0" w:color="auto"/>
              <w:left w:val="nil"/>
              <w:bottom w:val="single" w:sz="8" w:space="0" w:color="auto"/>
              <w:right w:val="single" w:sz="4" w:space="0" w:color="auto"/>
            </w:tcBorders>
            <w:shd w:val="clear" w:color="auto" w:fill="auto"/>
            <w:noWrap/>
            <w:vAlign w:val="center"/>
            <w:hideMark/>
          </w:tcPr>
          <w:p w14:paraId="6A679611"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64.248</w:t>
            </w:r>
          </w:p>
        </w:tc>
        <w:tc>
          <w:tcPr>
            <w:tcW w:w="1124" w:type="dxa"/>
            <w:tcBorders>
              <w:top w:val="single" w:sz="8" w:space="0" w:color="auto"/>
              <w:left w:val="nil"/>
              <w:bottom w:val="single" w:sz="8" w:space="0" w:color="auto"/>
              <w:right w:val="single" w:sz="4" w:space="0" w:color="auto"/>
            </w:tcBorders>
            <w:shd w:val="clear" w:color="auto" w:fill="auto"/>
            <w:noWrap/>
            <w:vAlign w:val="center"/>
            <w:hideMark/>
          </w:tcPr>
          <w:p w14:paraId="22F4ECDC"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7</w:t>
            </w:r>
          </w:p>
        </w:tc>
        <w:tc>
          <w:tcPr>
            <w:tcW w:w="1833" w:type="dxa"/>
            <w:tcBorders>
              <w:top w:val="single" w:sz="8" w:space="0" w:color="auto"/>
              <w:left w:val="nil"/>
              <w:bottom w:val="single" w:sz="4" w:space="0" w:color="auto"/>
              <w:right w:val="single" w:sz="8" w:space="0" w:color="auto"/>
            </w:tcBorders>
            <w:shd w:val="clear" w:color="auto" w:fill="auto"/>
            <w:noWrap/>
            <w:vAlign w:val="center"/>
            <w:hideMark/>
          </w:tcPr>
          <w:p w14:paraId="292F6FDE"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149.269</w:t>
            </w:r>
          </w:p>
        </w:tc>
      </w:tr>
      <w:tr w:rsidR="007E3868" w:rsidRPr="006F5FDB" w14:paraId="2E3F2FDF" w14:textId="77777777" w:rsidTr="00BB2706">
        <w:trPr>
          <w:trHeight w:val="170"/>
        </w:trPr>
        <w:tc>
          <w:tcPr>
            <w:tcW w:w="1906" w:type="dxa"/>
            <w:tcBorders>
              <w:top w:val="nil"/>
              <w:left w:val="nil"/>
              <w:bottom w:val="nil"/>
              <w:right w:val="nil"/>
            </w:tcBorders>
            <w:shd w:val="clear" w:color="auto" w:fill="auto"/>
            <w:noWrap/>
            <w:vAlign w:val="bottom"/>
            <w:hideMark/>
          </w:tcPr>
          <w:p w14:paraId="7B91C79A" w14:textId="77777777" w:rsidR="007E3868" w:rsidRPr="006F5FDB" w:rsidRDefault="007E3868" w:rsidP="00CC41BC">
            <w:pPr>
              <w:spacing w:after="0" w:line="240" w:lineRule="auto"/>
              <w:jc w:val="center"/>
              <w:rPr>
                <w:rFonts w:ascii="Calibri" w:eastAsia="Times New Roman" w:hAnsi="Calibri" w:cs="Calibri"/>
                <w:b/>
                <w:bCs/>
                <w:color w:val="000000"/>
                <w:sz w:val="16"/>
                <w:szCs w:val="16"/>
                <w:lang w:eastAsia="hr-HR"/>
              </w:rPr>
            </w:pPr>
          </w:p>
        </w:tc>
        <w:tc>
          <w:tcPr>
            <w:tcW w:w="1100" w:type="dxa"/>
            <w:tcBorders>
              <w:top w:val="nil"/>
              <w:left w:val="nil"/>
              <w:bottom w:val="nil"/>
              <w:right w:val="nil"/>
            </w:tcBorders>
            <w:shd w:val="clear" w:color="auto" w:fill="auto"/>
            <w:noWrap/>
            <w:vAlign w:val="bottom"/>
            <w:hideMark/>
          </w:tcPr>
          <w:p w14:paraId="22A35782" w14:textId="77777777" w:rsidR="007E3868" w:rsidRPr="006F5FDB" w:rsidRDefault="007E3868" w:rsidP="00CC41BC">
            <w:pPr>
              <w:spacing w:after="0" w:line="240" w:lineRule="auto"/>
              <w:rPr>
                <w:rFonts w:ascii="Times New Roman" w:eastAsia="Times New Roman" w:hAnsi="Times New Roman" w:cs="Times New Roman"/>
                <w:sz w:val="16"/>
                <w:szCs w:val="16"/>
                <w:lang w:eastAsia="hr-HR"/>
              </w:rPr>
            </w:pPr>
          </w:p>
        </w:tc>
        <w:tc>
          <w:tcPr>
            <w:tcW w:w="872" w:type="dxa"/>
            <w:tcBorders>
              <w:top w:val="nil"/>
              <w:left w:val="nil"/>
              <w:bottom w:val="nil"/>
              <w:right w:val="nil"/>
            </w:tcBorders>
            <w:shd w:val="clear" w:color="auto" w:fill="auto"/>
            <w:noWrap/>
            <w:vAlign w:val="bottom"/>
            <w:hideMark/>
          </w:tcPr>
          <w:p w14:paraId="6F60D3BD" w14:textId="77777777" w:rsidR="007E3868" w:rsidRPr="006F5FDB" w:rsidRDefault="007E3868" w:rsidP="00CC41BC">
            <w:pPr>
              <w:spacing w:after="0" w:line="240" w:lineRule="auto"/>
              <w:rPr>
                <w:rFonts w:ascii="Times New Roman" w:eastAsia="Times New Roman" w:hAnsi="Times New Roman" w:cs="Times New Roman"/>
                <w:sz w:val="16"/>
                <w:szCs w:val="16"/>
                <w:lang w:eastAsia="hr-HR"/>
              </w:rPr>
            </w:pPr>
          </w:p>
        </w:tc>
        <w:tc>
          <w:tcPr>
            <w:tcW w:w="982" w:type="dxa"/>
            <w:tcBorders>
              <w:top w:val="nil"/>
              <w:left w:val="nil"/>
              <w:bottom w:val="nil"/>
              <w:right w:val="nil"/>
            </w:tcBorders>
            <w:shd w:val="clear" w:color="auto" w:fill="auto"/>
            <w:noWrap/>
            <w:vAlign w:val="bottom"/>
            <w:hideMark/>
          </w:tcPr>
          <w:p w14:paraId="70A7FEBB" w14:textId="77777777" w:rsidR="007E3868" w:rsidRPr="006F5FDB" w:rsidRDefault="007E3868" w:rsidP="00CC41BC">
            <w:pPr>
              <w:spacing w:after="0" w:line="240" w:lineRule="auto"/>
              <w:rPr>
                <w:rFonts w:ascii="Times New Roman" w:eastAsia="Times New Roman" w:hAnsi="Times New Roman" w:cs="Times New Roman"/>
                <w:sz w:val="16"/>
                <w:szCs w:val="16"/>
                <w:lang w:eastAsia="hr-HR"/>
              </w:rPr>
            </w:pPr>
          </w:p>
        </w:tc>
        <w:tc>
          <w:tcPr>
            <w:tcW w:w="1124" w:type="dxa"/>
            <w:tcBorders>
              <w:top w:val="nil"/>
              <w:left w:val="nil"/>
              <w:bottom w:val="nil"/>
              <w:right w:val="nil"/>
            </w:tcBorders>
            <w:shd w:val="clear" w:color="auto" w:fill="auto"/>
            <w:noWrap/>
            <w:vAlign w:val="bottom"/>
            <w:hideMark/>
          </w:tcPr>
          <w:p w14:paraId="77E43C8C" w14:textId="77777777" w:rsidR="007E3868" w:rsidRPr="006F5FDB" w:rsidRDefault="007E3868" w:rsidP="00CC41BC">
            <w:pPr>
              <w:spacing w:after="0" w:line="240" w:lineRule="auto"/>
              <w:jc w:val="center"/>
              <w:rPr>
                <w:rFonts w:ascii="Times New Roman" w:eastAsia="Times New Roman" w:hAnsi="Times New Roman" w:cs="Times New Roman"/>
                <w:sz w:val="16"/>
                <w:szCs w:val="16"/>
                <w:lang w:eastAsia="hr-HR"/>
              </w:rPr>
            </w:pPr>
          </w:p>
        </w:tc>
        <w:tc>
          <w:tcPr>
            <w:tcW w:w="1124" w:type="dxa"/>
            <w:vMerge w:val="restart"/>
            <w:tcBorders>
              <w:top w:val="nil"/>
              <w:left w:val="single" w:sz="8" w:space="0" w:color="auto"/>
              <w:right w:val="single" w:sz="4" w:space="0" w:color="auto"/>
            </w:tcBorders>
            <w:shd w:val="clear" w:color="auto" w:fill="auto"/>
            <w:noWrap/>
            <w:vAlign w:val="center"/>
            <w:hideMark/>
          </w:tcPr>
          <w:p w14:paraId="09F3C75D" w14:textId="77777777" w:rsidR="007E3868" w:rsidRPr="006F5FDB" w:rsidRDefault="007E3868" w:rsidP="007E3868">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Investicija</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4020A" w14:textId="77777777" w:rsidR="007E3868" w:rsidRPr="006F5FDB" w:rsidRDefault="007E3868"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2.239.035.990,00 kn</w:t>
            </w:r>
          </w:p>
        </w:tc>
      </w:tr>
      <w:tr w:rsidR="007E3868" w:rsidRPr="006F5FDB" w14:paraId="6BA2113C" w14:textId="77777777" w:rsidTr="00BB2706">
        <w:trPr>
          <w:trHeight w:val="170"/>
        </w:trPr>
        <w:tc>
          <w:tcPr>
            <w:tcW w:w="1906" w:type="dxa"/>
            <w:tcBorders>
              <w:top w:val="nil"/>
              <w:left w:val="nil"/>
              <w:bottom w:val="nil"/>
              <w:right w:val="nil"/>
            </w:tcBorders>
            <w:shd w:val="clear" w:color="auto" w:fill="auto"/>
            <w:noWrap/>
            <w:vAlign w:val="bottom"/>
          </w:tcPr>
          <w:p w14:paraId="0A3C699E" w14:textId="77777777" w:rsidR="007E3868" w:rsidRPr="006F5FDB" w:rsidRDefault="007E3868" w:rsidP="00CC41BC">
            <w:pPr>
              <w:spacing w:after="0" w:line="240" w:lineRule="auto"/>
              <w:jc w:val="center"/>
              <w:rPr>
                <w:rFonts w:ascii="Calibri" w:eastAsia="Times New Roman" w:hAnsi="Calibri" w:cs="Calibri"/>
                <w:b/>
                <w:bCs/>
                <w:color w:val="000000"/>
                <w:sz w:val="16"/>
                <w:szCs w:val="16"/>
                <w:lang w:eastAsia="hr-HR"/>
              </w:rPr>
            </w:pPr>
          </w:p>
        </w:tc>
        <w:tc>
          <w:tcPr>
            <w:tcW w:w="1100" w:type="dxa"/>
            <w:tcBorders>
              <w:top w:val="nil"/>
              <w:left w:val="nil"/>
              <w:bottom w:val="nil"/>
              <w:right w:val="nil"/>
            </w:tcBorders>
            <w:shd w:val="clear" w:color="auto" w:fill="auto"/>
            <w:noWrap/>
            <w:vAlign w:val="bottom"/>
          </w:tcPr>
          <w:p w14:paraId="4AAC8114" w14:textId="77777777" w:rsidR="007E3868" w:rsidRPr="006F5FDB" w:rsidRDefault="007E3868" w:rsidP="00CC41BC">
            <w:pPr>
              <w:spacing w:after="0" w:line="240" w:lineRule="auto"/>
              <w:rPr>
                <w:rFonts w:ascii="Times New Roman" w:eastAsia="Times New Roman" w:hAnsi="Times New Roman" w:cs="Times New Roman"/>
                <w:sz w:val="16"/>
                <w:szCs w:val="16"/>
                <w:lang w:eastAsia="hr-HR"/>
              </w:rPr>
            </w:pPr>
          </w:p>
        </w:tc>
        <w:tc>
          <w:tcPr>
            <w:tcW w:w="872" w:type="dxa"/>
            <w:tcBorders>
              <w:top w:val="nil"/>
              <w:left w:val="nil"/>
              <w:bottom w:val="nil"/>
              <w:right w:val="nil"/>
            </w:tcBorders>
            <w:shd w:val="clear" w:color="auto" w:fill="auto"/>
            <w:noWrap/>
            <w:vAlign w:val="bottom"/>
          </w:tcPr>
          <w:p w14:paraId="56E0BC53" w14:textId="77777777" w:rsidR="007E3868" w:rsidRPr="006F5FDB" w:rsidRDefault="007E3868" w:rsidP="00CC41BC">
            <w:pPr>
              <w:spacing w:after="0" w:line="240" w:lineRule="auto"/>
              <w:rPr>
                <w:rFonts w:ascii="Times New Roman" w:eastAsia="Times New Roman" w:hAnsi="Times New Roman" w:cs="Times New Roman"/>
                <w:sz w:val="16"/>
                <w:szCs w:val="16"/>
                <w:lang w:eastAsia="hr-HR"/>
              </w:rPr>
            </w:pPr>
          </w:p>
        </w:tc>
        <w:tc>
          <w:tcPr>
            <w:tcW w:w="982" w:type="dxa"/>
            <w:tcBorders>
              <w:top w:val="nil"/>
              <w:left w:val="nil"/>
              <w:bottom w:val="nil"/>
              <w:right w:val="nil"/>
            </w:tcBorders>
            <w:shd w:val="clear" w:color="auto" w:fill="auto"/>
            <w:noWrap/>
            <w:vAlign w:val="bottom"/>
          </w:tcPr>
          <w:p w14:paraId="06A590C0" w14:textId="77777777" w:rsidR="007E3868" w:rsidRPr="006F5FDB" w:rsidRDefault="007E3868" w:rsidP="00CC41BC">
            <w:pPr>
              <w:spacing w:after="0" w:line="240" w:lineRule="auto"/>
              <w:rPr>
                <w:rFonts w:ascii="Times New Roman" w:eastAsia="Times New Roman" w:hAnsi="Times New Roman" w:cs="Times New Roman"/>
                <w:sz w:val="16"/>
                <w:szCs w:val="16"/>
                <w:lang w:eastAsia="hr-HR"/>
              </w:rPr>
            </w:pPr>
          </w:p>
        </w:tc>
        <w:tc>
          <w:tcPr>
            <w:tcW w:w="1124" w:type="dxa"/>
            <w:tcBorders>
              <w:top w:val="nil"/>
              <w:left w:val="nil"/>
              <w:bottom w:val="nil"/>
              <w:right w:val="nil"/>
            </w:tcBorders>
            <w:shd w:val="clear" w:color="auto" w:fill="auto"/>
            <w:noWrap/>
            <w:vAlign w:val="bottom"/>
          </w:tcPr>
          <w:p w14:paraId="18AECC00" w14:textId="77777777" w:rsidR="007E3868" w:rsidRPr="006F5FDB" w:rsidRDefault="007E3868" w:rsidP="00CC41BC">
            <w:pPr>
              <w:spacing w:after="0" w:line="240" w:lineRule="auto"/>
              <w:jc w:val="center"/>
              <w:rPr>
                <w:rFonts w:ascii="Times New Roman" w:eastAsia="Times New Roman" w:hAnsi="Times New Roman" w:cs="Times New Roman"/>
                <w:sz w:val="16"/>
                <w:szCs w:val="16"/>
                <w:lang w:eastAsia="hr-HR"/>
              </w:rPr>
            </w:pPr>
          </w:p>
        </w:tc>
        <w:tc>
          <w:tcPr>
            <w:tcW w:w="1124" w:type="dxa"/>
            <w:vMerge/>
            <w:tcBorders>
              <w:left w:val="single" w:sz="8" w:space="0" w:color="auto"/>
              <w:bottom w:val="single" w:sz="8" w:space="0" w:color="auto"/>
              <w:right w:val="single" w:sz="4" w:space="0" w:color="auto"/>
            </w:tcBorders>
            <w:shd w:val="clear" w:color="auto" w:fill="auto"/>
            <w:noWrap/>
            <w:vAlign w:val="bottom"/>
          </w:tcPr>
          <w:p w14:paraId="04D4E2F6" w14:textId="77777777" w:rsidR="007E3868" w:rsidRPr="006F5FDB" w:rsidRDefault="007E3868" w:rsidP="00CC41BC">
            <w:pPr>
              <w:spacing w:after="0" w:line="240" w:lineRule="auto"/>
              <w:jc w:val="center"/>
              <w:rPr>
                <w:rFonts w:ascii="Calibri" w:eastAsia="Times New Roman" w:hAnsi="Calibri" w:cs="Calibri"/>
                <w:b/>
                <w:bCs/>
                <w:color w:val="000000"/>
                <w:sz w:val="16"/>
                <w:szCs w:val="16"/>
                <w:lang w:eastAsia="hr-HR"/>
              </w:rPr>
            </w:pP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13AB5D" w14:textId="25C8D382" w:rsidR="007E3868" w:rsidRPr="006F5FDB" w:rsidRDefault="007E3868" w:rsidP="00CC41BC">
            <w:pPr>
              <w:spacing w:after="0" w:line="240" w:lineRule="auto"/>
              <w:jc w:val="center"/>
              <w:rPr>
                <w:rFonts w:ascii="Calibri" w:eastAsia="Times New Roman" w:hAnsi="Calibri" w:cs="Calibri"/>
                <w:b/>
                <w:bCs/>
                <w:color w:val="000000"/>
                <w:sz w:val="16"/>
                <w:szCs w:val="16"/>
                <w:lang w:eastAsia="hr-HR"/>
              </w:rPr>
            </w:pPr>
            <w:r w:rsidRPr="007E3868">
              <w:rPr>
                <w:rFonts w:ascii="Calibri" w:eastAsia="Times New Roman" w:hAnsi="Calibri" w:cs="Calibri"/>
                <w:b/>
                <w:bCs/>
                <w:color w:val="000000"/>
                <w:sz w:val="16"/>
                <w:szCs w:val="16"/>
                <w:lang w:eastAsia="hr-HR"/>
              </w:rPr>
              <w:t>297.171.144,73</w:t>
            </w:r>
            <w:r>
              <w:rPr>
                <w:rFonts w:ascii="Calibri" w:eastAsia="Times New Roman" w:hAnsi="Calibri" w:cs="Calibri"/>
                <w:b/>
                <w:bCs/>
                <w:color w:val="000000"/>
                <w:sz w:val="16"/>
                <w:szCs w:val="16"/>
                <w:lang w:eastAsia="hr-HR"/>
              </w:rPr>
              <w:t xml:space="preserve"> EUR</w:t>
            </w:r>
          </w:p>
        </w:tc>
      </w:tr>
    </w:tbl>
    <w:p w14:paraId="6D69D6FB" w14:textId="77777777" w:rsidR="00CC41BC" w:rsidRDefault="00CC41BC" w:rsidP="00A23664"/>
    <w:p w14:paraId="738981B3" w14:textId="645FA4FD" w:rsidR="00351C00" w:rsidRDefault="00351C00" w:rsidP="0018450E">
      <w:pPr>
        <w:pStyle w:val="IRNaslov3"/>
        <w:numPr>
          <w:ilvl w:val="2"/>
          <w:numId w:val="22"/>
        </w:numPr>
      </w:pPr>
      <w:bookmarkStart w:id="275" w:name="_Toc123211669"/>
      <w:r>
        <w:lastRenderedPageBreak/>
        <w:t>Postrojenja za oporabu stakla</w:t>
      </w:r>
      <w:bookmarkEnd w:id="275"/>
    </w:p>
    <w:p w14:paraId="39B42E5E" w14:textId="3A0F48AF" w:rsidR="00351C00" w:rsidRDefault="00351C00" w:rsidP="00351C00">
      <w:pPr>
        <w:rPr>
          <w:highlight w:val="yellow"/>
        </w:rPr>
      </w:pPr>
      <w:r>
        <w:t>S obzirom da postojeći kapaciteti postrojenja za materijalnu oporabu stakla zadovoljavaju očekivane količine stakla koje će biti potrebno reciklirati 2028. godine, nisu predviđena dodatna ulaganja u postrojenja za materijalnu oporabu stakla.</w:t>
      </w:r>
    </w:p>
    <w:p w14:paraId="59F6E4B1" w14:textId="3F02399F" w:rsidR="00CC41BC" w:rsidRDefault="002F2E13" w:rsidP="009105C7">
      <w:pPr>
        <w:pStyle w:val="Tablica"/>
      </w:pPr>
      <w:bookmarkStart w:id="276" w:name="_Toc125364442"/>
      <w:r>
        <w:t xml:space="preserve">Tablica </w:t>
      </w:r>
      <w:fldSimple w:instr=" SEQ Tablica \* ARABIC ">
        <w:r w:rsidR="00F37B62">
          <w:rPr>
            <w:noProof/>
          </w:rPr>
          <w:t>53</w:t>
        </w:r>
      </w:fldSimple>
      <w:r>
        <w:t xml:space="preserve">. </w:t>
      </w:r>
      <w:r w:rsidRPr="00A23664">
        <w:rPr>
          <w:b w:val="0"/>
          <w:bCs/>
        </w:rPr>
        <w:t>Potre</w:t>
      </w:r>
      <w:r>
        <w:rPr>
          <w:b w:val="0"/>
          <w:bCs/>
        </w:rPr>
        <w:t xml:space="preserve">bni kapaciteti postrojenja za </w:t>
      </w:r>
      <w:r w:rsidR="003D214B">
        <w:rPr>
          <w:b w:val="0"/>
          <w:bCs/>
        </w:rPr>
        <w:t>recikliranje</w:t>
      </w:r>
      <w:r>
        <w:rPr>
          <w:b w:val="0"/>
          <w:bCs/>
        </w:rPr>
        <w:t xml:space="preserve"> stakla </w:t>
      </w:r>
      <w:r w:rsidR="002B0726">
        <w:rPr>
          <w:b w:val="0"/>
          <w:bCs/>
        </w:rPr>
        <w:t>-</w:t>
      </w:r>
      <w:r>
        <w:rPr>
          <w:b w:val="0"/>
          <w:bCs/>
        </w:rPr>
        <w:t xml:space="preserve"> SCENARIJ 1</w:t>
      </w:r>
      <w:bookmarkEnd w:id="276"/>
    </w:p>
    <w:tbl>
      <w:tblPr>
        <w:tblW w:w="8000" w:type="dxa"/>
        <w:tblLook w:val="04A0" w:firstRow="1" w:lastRow="0" w:firstColumn="1" w:lastColumn="0" w:noHBand="0" w:noVBand="1"/>
      </w:tblPr>
      <w:tblGrid>
        <w:gridCol w:w="2071"/>
        <w:gridCol w:w="981"/>
        <w:gridCol w:w="916"/>
        <w:gridCol w:w="938"/>
        <w:gridCol w:w="938"/>
        <w:gridCol w:w="1028"/>
        <w:gridCol w:w="1128"/>
      </w:tblGrid>
      <w:tr w:rsidR="00995BF3" w:rsidRPr="006F5FDB" w14:paraId="1324FC38" w14:textId="77777777" w:rsidTr="000E10DF">
        <w:trPr>
          <w:trHeight w:val="170"/>
        </w:trPr>
        <w:tc>
          <w:tcPr>
            <w:tcW w:w="800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4470202" w14:textId="77777777" w:rsidR="00995BF3" w:rsidRPr="006F5FDB" w:rsidRDefault="00995BF3" w:rsidP="00995BF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2028.-STAKLO-</w:t>
            </w:r>
          </w:p>
        </w:tc>
      </w:tr>
      <w:tr w:rsidR="00995BF3" w:rsidRPr="006F5FDB" w14:paraId="5BAA4A41" w14:textId="77777777" w:rsidTr="000E10DF">
        <w:trPr>
          <w:trHeight w:val="170"/>
        </w:trPr>
        <w:tc>
          <w:tcPr>
            <w:tcW w:w="2071" w:type="dxa"/>
            <w:tcBorders>
              <w:top w:val="nil"/>
              <w:left w:val="single" w:sz="8" w:space="0" w:color="auto"/>
              <w:bottom w:val="nil"/>
              <w:right w:val="single" w:sz="4" w:space="0" w:color="auto"/>
            </w:tcBorders>
            <w:shd w:val="clear" w:color="000000" w:fill="002060"/>
            <w:noWrap/>
            <w:vAlign w:val="center"/>
            <w:hideMark/>
          </w:tcPr>
          <w:p w14:paraId="0CEC9CA1"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Županija</w:t>
            </w:r>
          </w:p>
        </w:tc>
        <w:tc>
          <w:tcPr>
            <w:tcW w:w="981" w:type="dxa"/>
            <w:tcBorders>
              <w:top w:val="nil"/>
              <w:left w:val="nil"/>
              <w:bottom w:val="nil"/>
              <w:right w:val="single" w:sz="4" w:space="0" w:color="auto"/>
            </w:tcBorders>
            <w:shd w:val="clear" w:color="000000" w:fill="002060"/>
            <w:vAlign w:val="center"/>
            <w:hideMark/>
          </w:tcPr>
          <w:p w14:paraId="6C418D60"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Udio županije u ukupno skupljenoj količini KO</w:t>
            </w:r>
          </w:p>
        </w:tc>
        <w:tc>
          <w:tcPr>
            <w:tcW w:w="916" w:type="dxa"/>
            <w:tcBorders>
              <w:top w:val="nil"/>
              <w:left w:val="nil"/>
              <w:bottom w:val="nil"/>
              <w:right w:val="single" w:sz="4" w:space="0" w:color="auto"/>
            </w:tcBorders>
            <w:shd w:val="clear" w:color="000000" w:fill="002060"/>
            <w:vAlign w:val="center"/>
            <w:hideMark/>
          </w:tcPr>
          <w:p w14:paraId="29D98141"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Ulaz u sustav reciklaže</w:t>
            </w:r>
            <w:r w:rsidRPr="006F5FDB">
              <w:rPr>
                <w:rFonts w:ascii="Calibri" w:eastAsia="Times New Roman" w:hAnsi="Calibri" w:cs="Calibri"/>
                <w:b/>
                <w:bCs/>
                <w:color w:val="FFFFFF"/>
                <w:sz w:val="16"/>
                <w:szCs w:val="16"/>
                <w:lang w:eastAsia="hr-HR"/>
              </w:rPr>
              <w:br/>
              <w:t>(t)</w:t>
            </w:r>
          </w:p>
        </w:tc>
        <w:tc>
          <w:tcPr>
            <w:tcW w:w="938" w:type="dxa"/>
            <w:tcBorders>
              <w:top w:val="nil"/>
              <w:left w:val="nil"/>
              <w:bottom w:val="nil"/>
              <w:right w:val="single" w:sz="4" w:space="0" w:color="auto"/>
            </w:tcBorders>
            <w:shd w:val="clear" w:color="000000" w:fill="002060"/>
            <w:vAlign w:val="center"/>
            <w:hideMark/>
          </w:tcPr>
          <w:p w14:paraId="18406B50"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Potrebni kapacitet</w:t>
            </w:r>
            <w:r w:rsidRPr="006F5FDB">
              <w:rPr>
                <w:rFonts w:ascii="Calibri" w:eastAsia="Times New Roman" w:hAnsi="Calibri" w:cs="Calibri"/>
                <w:b/>
                <w:bCs/>
                <w:color w:val="FFFFFF"/>
                <w:sz w:val="16"/>
                <w:szCs w:val="16"/>
                <w:lang w:eastAsia="hr-HR"/>
              </w:rPr>
              <w:br/>
              <w:t>(t)</w:t>
            </w:r>
          </w:p>
        </w:tc>
        <w:tc>
          <w:tcPr>
            <w:tcW w:w="938" w:type="dxa"/>
            <w:tcBorders>
              <w:top w:val="nil"/>
              <w:left w:val="nil"/>
              <w:bottom w:val="nil"/>
              <w:right w:val="nil"/>
            </w:tcBorders>
            <w:shd w:val="clear" w:color="000000" w:fill="002060"/>
            <w:vAlign w:val="center"/>
            <w:hideMark/>
          </w:tcPr>
          <w:p w14:paraId="7A61A796"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 xml:space="preserve">Ukupni kapacitet </w:t>
            </w:r>
            <w:r w:rsidRPr="006F5FDB">
              <w:rPr>
                <w:rFonts w:ascii="Calibri" w:eastAsia="Times New Roman" w:hAnsi="Calibri" w:cs="Calibri"/>
                <w:b/>
                <w:bCs/>
                <w:color w:val="FFFFFF"/>
                <w:sz w:val="16"/>
                <w:szCs w:val="16"/>
                <w:lang w:eastAsia="hr-HR"/>
              </w:rPr>
              <w:br/>
              <w:t>(t/god)</w:t>
            </w:r>
          </w:p>
        </w:tc>
        <w:tc>
          <w:tcPr>
            <w:tcW w:w="1028" w:type="dxa"/>
            <w:tcBorders>
              <w:top w:val="nil"/>
              <w:left w:val="single" w:sz="4" w:space="0" w:color="auto"/>
              <w:bottom w:val="nil"/>
              <w:right w:val="nil"/>
            </w:tcBorders>
            <w:shd w:val="clear" w:color="000000" w:fill="002060"/>
            <w:vAlign w:val="center"/>
            <w:hideMark/>
          </w:tcPr>
          <w:p w14:paraId="0F67294B"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Broj postrojenja</w:t>
            </w:r>
          </w:p>
        </w:tc>
        <w:tc>
          <w:tcPr>
            <w:tcW w:w="1128" w:type="dxa"/>
            <w:tcBorders>
              <w:top w:val="nil"/>
              <w:left w:val="single" w:sz="4" w:space="0" w:color="auto"/>
              <w:bottom w:val="nil"/>
              <w:right w:val="single" w:sz="8" w:space="0" w:color="auto"/>
            </w:tcBorders>
            <w:shd w:val="clear" w:color="000000" w:fill="002060"/>
            <w:vAlign w:val="center"/>
            <w:hideMark/>
          </w:tcPr>
          <w:p w14:paraId="03A7E935"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 xml:space="preserve">Potrebni dodatni kapacitet </w:t>
            </w:r>
            <w:r w:rsidRPr="006F5FDB">
              <w:rPr>
                <w:rFonts w:ascii="Calibri" w:eastAsia="Times New Roman" w:hAnsi="Calibri" w:cs="Calibri"/>
                <w:b/>
                <w:bCs/>
                <w:color w:val="FFFFFF"/>
                <w:sz w:val="16"/>
                <w:szCs w:val="16"/>
                <w:lang w:eastAsia="hr-HR"/>
              </w:rPr>
              <w:br/>
              <w:t>(t/god)</w:t>
            </w:r>
          </w:p>
        </w:tc>
      </w:tr>
      <w:tr w:rsidR="00995BF3" w:rsidRPr="006F5FDB" w14:paraId="33E6339E" w14:textId="77777777" w:rsidTr="000E10DF">
        <w:trPr>
          <w:trHeight w:val="170"/>
        </w:trPr>
        <w:tc>
          <w:tcPr>
            <w:tcW w:w="207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EEF7BB4"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Bjelovarsko-bilogorska</w:t>
            </w:r>
          </w:p>
        </w:tc>
        <w:tc>
          <w:tcPr>
            <w:tcW w:w="981" w:type="dxa"/>
            <w:tcBorders>
              <w:top w:val="single" w:sz="8" w:space="0" w:color="auto"/>
              <w:left w:val="nil"/>
              <w:bottom w:val="single" w:sz="4" w:space="0" w:color="auto"/>
              <w:right w:val="single" w:sz="4" w:space="0" w:color="auto"/>
            </w:tcBorders>
            <w:shd w:val="clear" w:color="auto" w:fill="auto"/>
            <w:noWrap/>
            <w:vAlign w:val="center"/>
            <w:hideMark/>
          </w:tcPr>
          <w:p w14:paraId="346964E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1,6%</w:t>
            </w:r>
          </w:p>
        </w:tc>
        <w:tc>
          <w:tcPr>
            <w:tcW w:w="916" w:type="dxa"/>
            <w:vMerge w:val="restart"/>
            <w:tcBorders>
              <w:top w:val="single" w:sz="8" w:space="0" w:color="auto"/>
              <w:left w:val="single" w:sz="4" w:space="0" w:color="auto"/>
              <w:bottom w:val="nil"/>
              <w:right w:val="single" w:sz="4" w:space="0" w:color="auto"/>
            </w:tcBorders>
            <w:shd w:val="clear" w:color="auto" w:fill="auto"/>
            <w:vAlign w:val="center"/>
            <w:hideMark/>
          </w:tcPr>
          <w:p w14:paraId="4A51F5A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59.782</w:t>
            </w:r>
          </w:p>
        </w:tc>
        <w:tc>
          <w:tcPr>
            <w:tcW w:w="938" w:type="dxa"/>
            <w:tcBorders>
              <w:top w:val="single" w:sz="8" w:space="0" w:color="auto"/>
              <w:left w:val="nil"/>
              <w:bottom w:val="single" w:sz="4" w:space="0" w:color="auto"/>
              <w:right w:val="single" w:sz="4" w:space="0" w:color="auto"/>
            </w:tcBorders>
            <w:shd w:val="clear" w:color="auto" w:fill="auto"/>
            <w:noWrap/>
            <w:vAlign w:val="center"/>
            <w:hideMark/>
          </w:tcPr>
          <w:p w14:paraId="454AA0F3"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954</w:t>
            </w:r>
          </w:p>
        </w:tc>
        <w:tc>
          <w:tcPr>
            <w:tcW w:w="938" w:type="dxa"/>
            <w:tcBorders>
              <w:top w:val="single" w:sz="8" w:space="0" w:color="auto"/>
              <w:left w:val="nil"/>
              <w:bottom w:val="single" w:sz="4" w:space="0" w:color="auto"/>
              <w:right w:val="nil"/>
            </w:tcBorders>
            <w:shd w:val="clear" w:color="auto" w:fill="auto"/>
            <w:noWrap/>
            <w:vAlign w:val="center"/>
            <w:hideMark/>
          </w:tcPr>
          <w:p w14:paraId="5B0D5F7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single" w:sz="8" w:space="0" w:color="auto"/>
              <w:left w:val="single" w:sz="4" w:space="0" w:color="auto"/>
              <w:bottom w:val="single" w:sz="4" w:space="0" w:color="auto"/>
              <w:right w:val="nil"/>
            </w:tcBorders>
            <w:shd w:val="clear" w:color="auto" w:fill="auto"/>
            <w:noWrap/>
            <w:vAlign w:val="center"/>
            <w:hideMark/>
          </w:tcPr>
          <w:p w14:paraId="2B146C97"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4996A935"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954</w:t>
            </w:r>
          </w:p>
        </w:tc>
      </w:tr>
      <w:tr w:rsidR="00995BF3" w:rsidRPr="006F5FDB" w14:paraId="63C97417"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2156F451"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Brodsko-posavska</w:t>
            </w:r>
          </w:p>
        </w:tc>
        <w:tc>
          <w:tcPr>
            <w:tcW w:w="981" w:type="dxa"/>
            <w:tcBorders>
              <w:top w:val="nil"/>
              <w:left w:val="nil"/>
              <w:bottom w:val="single" w:sz="4" w:space="0" w:color="auto"/>
              <w:right w:val="single" w:sz="4" w:space="0" w:color="auto"/>
            </w:tcBorders>
            <w:shd w:val="clear" w:color="auto" w:fill="auto"/>
            <w:noWrap/>
            <w:vAlign w:val="center"/>
            <w:hideMark/>
          </w:tcPr>
          <w:p w14:paraId="1FE77895"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w:t>
            </w:r>
          </w:p>
        </w:tc>
        <w:tc>
          <w:tcPr>
            <w:tcW w:w="916" w:type="dxa"/>
            <w:vMerge/>
            <w:tcBorders>
              <w:top w:val="single" w:sz="8" w:space="0" w:color="auto"/>
              <w:left w:val="single" w:sz="4" w:space="0" w:color="auto"/>
              <w:bottom w:val="nil"/>
              <w:right w:val="single" w:sz="4" w:space="0" w:color="auto"/>
            </w:tcBorders>
            <w:vAlign w:val="center"/>
            <w:hideMark/>
          </w:tcPr>
          <w:p w14:paraId="0E09A59A"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2322C4A3"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1.223</w:t>
            </w:r>
          </w:p>
        </w:tc>
        <w:tc>
          <w:tcPr>
            <w:tcW w:w="938" w:type="dxa"/>
            <w:tcBorders>
              <w:top w:val="nil"/>
              <w:left w:val="nil"/>
              <w:bottom w:val="single" w:sz="4" w:space="0" w:color="auto"/>
              <w:right w:val="nil"/>
            </w:tcBorders>
            <w:shd w:val="clear" w:color="auto" w:fill="auto"/>
            <w:noWrap/>
            <w:vAlign w:val="center"/>
            <w:hideMark/>
          </w:tcPr>
          <w:p w14:paraId="07DE63D4"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79A881D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508A46C2"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1.223</w:t>
            </w:r>
          </w:p>
        </w:tc>
      </w:tr>
      <w:tr w:rsidR="00995BF3" w:rsidRPr="006F5FDB" w14:paraId="05DEB3D3"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42777A9C"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981" w:type="dxa"/>
            <w:tcBorders>
              <w:top w:val="nil"/>
              <w:left w:val="nil"/>
              <w:bottom w:val="single" w:sz="4" w:space="0" w:color="auto"/>
              <w:right w:val="single" w:sz="4" w:space="0" w:color="auto"/>
            </w:tcBorders>
            <w:shd w:val="clear" w:color="auto" w:fill="auto"/>
            <w:noWrap/>
            <w:vAlign w:val="center"/>
            <w:hideMark/>
          </w:tcPr>
          <w:p w14:paraId="7CA78DD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3,9%</w:t>
            </w:r>
          </w:p>
        </w:tc>
        <w:tc>
          <w:tcPr>
            <w:tcW w:w="916" w:type="dxa"/>
            <w:vMerge/>
            <w:tcBorders>
              <w:top w:val="single" w:sz="8" w:space="0" w:color="auto"/>
              <w:left w:val="single" w:sz="4" w:space="0" w:color="auto"/>
              <w:bottom w:val="nil"/>
              <w:right w:val="single" w:sz="4" w:space="0" w:color="auto"/>
            </w:tcBorders>
            <w:vAlign w:val="center"/>
            <w:hideMark/>
          </w:tcPr>
          <w:p w14:paraId="42FA0CEF"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0DCF08C4"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2.333</w:t>
            </w:r>
          </w:p>
        </w:tc>
        <w:tc>
          <w:tcPr>
            <w:tcW w:w="938" w:type="dxa"/>
            <w:tcBorders>
              <w:top w:val="nil"/>
              <w:left w:val="nil"/>
              <w:bottom w:val="single" w:sz="4" w:space="0" w:color="auto"/>
              <w:right w:val="nil"/>
            </w:tcBorders>
            <w:shd w:val="clear" w:color="auto" w:fill="auto"/>
            <w:noWrap/>
            <w:vAlign w:val="center"/>
            <w:hideMark/>
          </w:tcPr>
          <w:p w14:paraId="5A8FF5C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5FD5DF4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2AE3F299"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2.333</w:t>
            </w:r>
          </w:p>
        </w:tc>
      </w:tr>
      <w:tr w:rsidR="00995BF3" w:rsidRPr="006F5FDB" w14:paraId="52F432E0"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4BA549C4"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w:t>
            </w:r>
          </w:p>
        </w:tc>
        <w:tc>
          <w:tcPr>
            <w:tcW w:w="981" w:type="dxa"/>
            <w:tcBorders>
              <w:top w:val="nil"/>
              <w:left w:val="nil"/>
              <w:bottom w:val="single" w:sz="4" w:space="0" w:color="auto"/>
              <w:right w:val="single" w:sz="4" w:space="0" w:color="auto"/>
            </w:tcBorders>
            <w:shd w:val="clear" w:color="auto" w:fill="auto"/>
            <w:noWrap/>
            <w:vAlign w:val="center"/>
            <w:hideMark/>
          </w:tcPr>
          <w:p w14:paraId="1F0BD32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19,8%</w:t>
            </w:r>
          </w:p>
        </w:tc>
        <w:tc>
          <w:tcPr>
            <w:tcW w:w="916" w:type="dxa"/>
            <w:vMerge/>
            <w:tcBorders>
              <w:top w:val="single" w:sz="8" w:space="0" w:color="auto"/>
              <w:left w:val="single" w:sz="4" w:space="0" w:color="auto"/>
              <w:bottom w:val="nil"/>
              <w:right w:val="single" w:sz="4" w:space="0" w:color="auto"/>
            </w:tcBorders>
            <w:vAlign w:val="center"/>
            <w:hideMark/>
          </w:tcPr>
          <w:p w14:paraId="23B11933"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5C2087A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11.807</w:t>
            </w:r>
          </w:p>
        </w:tc>
        <w:tc>
          <w:tcPr>
            <w:tcW w:w="938" w:type="dxa"/>
            <w:tcBorders>
              <w:top w:val="nil"/>
              <w:left w:val="nil"/>
              <w:bottom w:val="single" w:sz="4" w:space="0" w:color="auto"/>
              <w:right w:val="nil"/>
            </w:tcBorders>
            <w:shd w:val="clear" w:color="auto" w:fill="auto"/>
            <w:noWrap/>
            <w:vAlign w:val="center"/>
            <w:hideMark/>
          </w:tcPr>
          <w:p w14:paraId="6701E2F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4E6E20B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71EAACC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11.807</w:t>
            </w:r>
          </w:p>
        </w:tc>
      </w:tr>
      <w:tr w:rsidR="00995BF3" w:rsidRPr="006F5FDB" w14:paraId="7C5D84CF"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7D50A5B2"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Istarska </w:t>
            </w:r>
          </w:p>
        </w:tc>
        <w:tc>
          <w:tcPr>
            <w:tcW w:w="981" w:type="dxa"/>
            <w:tcBorders>
              <w:top w:val="nil"/>
              <w:left w:val="nil"/>
              <w:bottom w:val="single" w:sz="4" w:space="0" w:color="auto"/>
              <w:right w:val="single" w:sz="4" w:space="0" w:color="auto"/>
            </w:tcBorders>
            <w:shd w:val="clear" w:color="auto" w:fill="auto"/>
            <w:noWrap/>
            <w:vAlign w:val="center"/>
            <w:hideMark/>
          </w:tcPr>
          <w:p w14:paraId="19F19434"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7,5%</w:t>
            </w:r>
          </w:p>
        </w:tc>
        <w:tc>
          <w:tcPr>
            <w:tcW w:w="916" w:type="dxa"/>
            <w:vMerge/>
            <w:tcBorders>
              <w:top w:val="single" w:sz="8" w:space="0" w:color="auto"/>
              <w:left w:val="single" w:sz="4" w:space="0" w:color="auto"/>
              <w:bottom w:val="nil"/>
              <w:right w:val="single" w:sz="4" w:space="0" w:color="auto"/>
            </w:tcBorders>
            <w:vAlign w:val="center"/>
            <w:hideMark/>
          </w:tcPr>
          <w:p w14:paraId="63CF5027"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2342CA07"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4.455</w:t>
            </w:r>
          </w:p>
        </w:tc>
        <w:tc>
          <w:tcPr>
            <w:tcW w:w="938" w:type="dxa"/>
            <w:tcBorders>
              <w:top w:val="nil"/>
              <w:left w:val="nil"/>
              <w:bottom w:val="single" w:sz="4" w:space="0" w:color="auto"/>
              <w:right w:val="nil"/>
            </w:tcBorders>
            <w:shd w:val="clear" w:color="auto" w:fill="auto"/>
            <w:noWrap/>
            <w:vAlign w:val="center"/>
            <w:hideMark/>
          </w:tcPr>
          <w:p w14:paraId="544D2A8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2F669CB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0E981B57"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4.455</w:t>
            </w:r>
          </w:p>
        </w:tc>
      </w:tr>
      <w:tr w:rsidR="00995BF3" w:rsidRPr="006F5FDB" w14:paraId="11404366"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2ABCFFD9"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Karlovačka </w:t>
            </w:r>
          </w:p>
        </w:tc>
        <w:tc>
          <w:tcPr>
            <w:tcW w:w="981" w:type="dxa"/>
            <w:tcBorders>
              <w:top w:val="nil"/>
              <w:left w:val="nil"/>
              <w:bottom w:val="single" w:sz="4" w:space="0" w:color="auto"/>
              <w:right w:val="single" w:sz="4" w:space="0" w:color="auto"/>
            </w:tcBorders>
            <w:shd w:val="clear" w:color="auto" w:fill="auto"/>
            <w:noWrap/>
            <w:vAlign w:val="center"/>
            <w:hideMark/>
          </w:tcPr>
          <w:p w14:paraId="2FAFEB0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2,5%</w:t>
            </w:r>
          </w:p>
        </w:tc>
        <w:tc>
          <w:tcPr>
            <w:tcW w:w="916" w:type="dxa"/>
            <w:vMerge/>
            <w:tcBorders>
              <w:top w:val="single" w:sz="8" w:space="0" w:color="auto"/>
              <w:left w:val="single" w:sz="4" w:space="0" w:color="auto"/>
              <w:bottom w:val="nil"/>
              <w:right w:val="single" w:sz="4" w:space="0" w:color="auto"/>
            </w:tcBorders>
            <w:vAlign w:val="center"/>
            <w:hideMark/>
          </w:tcPr>
          <w:p w14:paraId="0AD8DC37"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3C84EDF1"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1.475</w:t>
            </w:r>
          </w:p>
        </w:tc>
        <w:tc>
          <w:tcPr>
            <w:tcW w:w="938" w:type="dxa"/>
            <w:tcBorders>
              <w:top w:val="nil"/>
              <w:left w:val="nil"/>
              <w:bottom w:val="single" w:sz="4" w:space="0" w:color="auto"/>
              <w:right w:val="nil"/>
            </w:tcBorders>
            <w:shd w:val="clear" w:color="auto" w:fill="auto"/>
            <w:noWrap/>
            <w:vAlign w:val="center"/>
            <w:hideMark/>
          </w:tcPr>
          <w:p w14:paraId="52A906B9"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3973CEA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2ACCE37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1.475</w:t>
            </w:r>
          </w:p>
        </w:tc>
      </w:tr>
      <w:tr w:rsidR="00995BF3" w:rsidRPr="006F5FDB" w14:paraId="5EFD23E0"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696665BC"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Koprivničko-križevačka</w:t>
            </w:r>
          </w:p>
        </w:tc>
        <w:tc>
          <w:tcPr>
            <w:tcW w:w="981" w:type="dxa"/>
            <w:tcBorders>
              <w:top w:val="nil"/>
              <w:left w:val="nil"/>
              <w:bottom w:val="single" w:sz="4" w:space="0" w:color="auto"/>
              <w:right w:val="single" w:sz="4" w:space="0" w:color="auto"/>
            </w:tcBorders>
            <w:shd w:val="clear" w:color="auto" w:fill="auto"/>
            <w:noWrap/>
            <w:vAlign w:val="center"/>
            <w:hideMark/>
          </w:tcPr>
          <w:p w14:paraId="1859DAA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w:t>
            </w:r>
          </w:p>
        </w:tc>
        <w:tc>
          <w:tcPr>
            <w:tcW w:w="916" w:type="dxa"/>
            <w:vMerge/>
            <w:tcBorders>
              <w:top w:val="single" w:sz="8" w:space="0" w:color="auto"/>
              <w:left w:val="single" w:sz="4" w:space="0" w:color="auto"/>
              <w:bottom w:val="nil"/>
              <w:right w:val="single" w:sz="4" w:space="0" w:color="auto"/>
            </w:tcBorders>
            <w:vAlign w:val="center"/>
            <w:hideMark/>
          </w:tcPr>
          <w:p w14:paraId="4A260E16"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30F73E8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1.026</w:t>
            </w:r>
          </w:p>
        </w:tc>
        <w:tc>
          <w:tcPr>
            <w:tcW w:w="938" w:type="dxa"/>
            <w:tcBorders>
              <w:top w:val="nil"/>
              <w:left w:val="nil"/>
              <w:bottom w:val="single" w:sz="4" w:space="0" w:color="auto"/>
              <w:right w:val="nil"/>
            </w:tcBorders>
            <w:shd w:val="clear" w:color="auto" w:fill="auto"/>
            <w:noWrap/>
            <w:vAlign w:val="center"/>
            <w:hideMark/>
          </w:tcPr>
          <w:p w14:paraId="1826A76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1DF0AC2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350A161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1.026</w:t>
            </w:r>
          </w:p>
        </w:tc>
      </w:tr>
      <w:tr w:rsidR="00995BF3" w:rsidRPr="006F5FDB" w14:paraId="428DA800"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30562DD4"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w:t>
            </w:r>
          </w:p>
        </w:tc>
        <w:tc>
          <w:tcPr>
            <w:tcW w:w="981" w:type="dxa"/>
            <w:tcBorders>
              <w:top w:val="nil"/>
              <w:left w:val="nil"/>
              <w:bottom w:val="single" w:sz="4" w:space="0" w:color="auto"/>
              <w:right w:val="single" w:sz="4" w:space="0" w:color="auto"/>
            </w:tcBorders>
            <w:shd w:val="clear" w:color="auto" w:fill="auto"/>
            <w:noWrap/>
            <w:vAlign w:val="center"/>
            <w:hideMark/>
          </w:tcPr>
          <w:p w14:paraId="7528F59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w:t>
            </w:r>
          </w:p>
        </w:tc>
        <w:tc>
          <w:tcPr>
            <w:tcW w:w="916" w:type="dxa"/>
            <w:vMerge/>
            <w:tcBorders>
              <w:top w:val="single" w:sz="8" w:space="0" w:color="auto"/>
              <w:left w:val="single" w:sz="4" w:space="0" w:color="auto"/>
              <w:bottom w:val="nil"/>
              <w:right w:val="single" w:sz="4" w:space="0" w:color="auto"/>
            </w:tcBorders>
            <w:vAlign w:val="center"/>
            <w:hideMark/>
          </w:tcPr>
          <w:p w14:paraId="3F63221C"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59206E1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1.035</w:t>
            </w:r>
          </w:p>
        </w:tc>
        <w:tc>
          <w:tcPr>
            <w:tcW w:w="938" w:type="dxa"/>
            <w:tcBorders>
              <w:top w:val="nil"/>
              <w:left w:val="nil"/>
              <w:bottom w:val="single" w:sz="4" w:space="0" w:color="auto"/>
              <w:right w:val="nil"/>
            </w:tcBorders>
            <w:shd w:val="clear" w:color="auto" w:fill="auto"/>
            <w:noWrap/>
            <w:vAlign w:val="center"/>
            <w:hideMark/>
          </w:tcPr>
          <w:p w14:paraId="4C2CC4C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131.400</w:t>
            </w:r>
          </w:p>
        </w:tc>
        <w:tc>
          <w:tcPr>
            <w:tcW w:w="1028" w:type="dxa"/>
            <w:tcBorders>
              <w:top w:val="nil"/>
              <w:left w:val="single" w:sz="4" w:space="0" w:color="auto"/>
              <w:bottom w:val="single" w:sz="4" w:space="0" w:color="auto"/>
              <w:right w:val="nil"/>
            </w:tcBorders>
            <w:shd w:val="clear" w:color="auto" w:fill="auto"/>
            <w:noWrap/>
            <w:vAlign w:val="center"/>
            <w:hideMark/>
          </w:tcPr>
          <w:p w14:paraId="6C86886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002C679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-130.365</w:t>
            </w:r>
          </w:p>
        </w:tc>
      </w:tr>
      <w:tr w:rsidR="00995BF3" w:rsidRPr="006F5FDB" w14:paraId="060FAE7C"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4F72D3AE"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Ličko-senjska </w:t>
            </w:r>
          </w:p>
        </w:tc>
        <w:tc>
          <w:tcPr>
            <w:tcW w:w="981" w:type="dxa"/>
            <w:tcBorders>
              <w:top w:val="nil"/>
              <w:left w:val="nil"/>
              <w:bottom w:val="single" w:sz="4" w:space="0" w:color="auto"/>
              <w:right w:val="single" w:sz="4" w:space="0" w:color="auto"/>
            </w:tcBorders>
            <w:shd w:val="clear" w:color="auto" w:fill="auto"/>
            <w:noWrap/>
            <w:vAlign w:val="center"/>
            <w:hideMark/>
          </w:tcPr>
          <w:p w14:paraId="032F8D9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w:t>
            </w:r>
          </w:p>
        </w:tc>
        <w:tc>
          <w:tcPr>
            <w:tcW w:w="916" w:type="dxa"/>
            <w:vMerge/>
            <w:tcBorders>
              <w:top w:val="single" w:sz="8" w:space="0" w:color="auto"/>
              <w:left w:val="single" w:sz="4" w:space="0" w:color="auto"/>
              <w:bottom w:val="nil"/>
              <w:right w:val="single" w:sz="4" w:space="0" w:color="auto"/>
            </w:tcBorders>
            <w:vAlign w:val="center"/>
            <w:hideMark/>
          </w:tcPr>
          <w:p w14:paraId="52585384"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2188D17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888</w:t>
            </w:r>
          </w:p>
        </w:tc>
        <w:tc>
          <w:tcPr>
            <w:tcW w:w="938" w:type="dxa"/>
            <w:tcBorders>
              <w:top w:val="nil"/>
              <w:left w:val="nil"/>
              <w:bottom w:val="single" w:sz="4" w:space="0" w:color="auto"/>
              <w:right w:val="nil"/>
            </w:tcBorders>
            <w:shd w:val="clear" w:color="auto" w:fill="auto"/>
            <w:noWrap/>
            <w:vAlign w:val="center"/>
            <w:hideMark/>
          </w:tcPr>
          <w:p w14:paraId="18D96D6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684786D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1B0E138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888</w:t>
            </w:r>
          </w:p>
        </w:tc>
      </w:tr>
      <w:tr w:rsidR="00995BF3" w:rsidRPr="006F5FDB" w14:paraId="5B559866"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22A5845E"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Međimurska </w:t>
            </w:r>
          </w:p>
        </w:tc>
        <w:tc>
          <w:tcPr>
            <w:tcW w:w="981" w:type="dxa"/>
            <w:tcBorders>
              <w:top w:val="nil"/>
              <w:left w:val="nil"/>
              <w:bottom w:val="single" w:sz="4" w:space="0" w:color="auto"/>
              <w:right w:val="single" w:sz="4" w:space="0" w:color="auto"/>
            </w:tcBorders>
            <w:shd w:val="clear" w:color="auto" w:fill="auto"/>
            <w:noWrap/>
            <w:vAlign w:val="center"/>
            <w:hideMark/>
          </w:tcPr>
          <w:p w14:paraId="42D3E244"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2,6%</w:t>
            </w:r>
          </w:p>
        </w:tc>
        <w:tc>
          <w:tcPr>
            <w:tcW w:w="916" w:type="dxa"/>
            <w:vMerge/>
            <w:tcBorders>
              <w:top w:val="single" w:sz="8" w:space="0" w:color="auto"/>
              <w:left w:val="single" w:sz="4" w:space="0" w:color="auto"/>
              <w:bottom w:val="nil"/>
              <w:right w:val="single" w:sz="4" w:space="0" w:color="auto"/>
            </w:tcBorders>
            <w:vAlign w:val="center"/>
            <w:hideMark/>
          </w:tcPr>
          <w:p w14:paraId="559C158E"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5FF3D40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1.566</w:t>
            </w:r>
          </w:p>
        </w:tc>
        <w:tc>
          <w:tcPr>
            <w:tcW w:w="938" w:type="dxa"/>
            <w:tcBorders>
              <w:top w:val="nil"/>
              <w:left w:val="nil"/>
              <w:bottom w:val="single" w:sz="4" w:space="0" w:color="auto"/>
              <w:right w:val="nil"/>
            </w:tcBorders>
            <w:shd w:val="clear" w:color="auto" w:fill="auto"/>
            <w:noWrap/>
            <w:vAlign w:val="center"/>
            <w:hideMark/>
          </w:tcPr>
          <w:p w14:paraId="281A22E1"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0DB8E1C4"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08B9CF62"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1.566</w:t>
            </w:r>
          </w:p>
        </w:tc>
      </w:tr>
      <w:tr w:rsidR="00995BF3" w:rsidRPr="006F5FDB" w14:paraId="2853B21B"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7DC46AED"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Osječko-baranjska </w:t>
            </w:r>
          </w:p>
        </w:tc>
        <w:tc>
          <w:tcPr>
            <w:tcW w:w="981" w:type="dxa"/>
            <w:tcBorders>
              <w:top w:val="nil"/>
              <w:left w:val="nil"/>
              <w:bottom w:val="single" w:sz="4" w:space="0" w:color="auto"/>
              <w:right w:val="single" w:sz="4" w:space="0" w:color="auto"/>
            </w:tcBorders>
            <w:shd w:val="clear" w:color="auto" w:fill="auto"/>
            <w:noWrap/>
            <w:vAlign w:val="center"/>
            <w:hideMark/>
          </w:tcPr>
          <w:p w14:paraId="7346F92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5,1%</w:t>
            </w:r>
          </w:p>
        </w:tc>
        <w:tc>
          <w:tcPr>
            <w:tcW w:w="916" w:type="dxa"/>
            <w:vMerge/>
            <w:tcBorders>
              <w:top w:val="single" w:sz="8" w:space="0" w:color="auto"/>
              <w:left w:val="single" w:sz="4" w:space="0" w:color="auto"/>
              <w:bottom w:val="nil"/>
              <w:right w:val="single" w:sz="4" w:space="0" w:color="auto"/>
            </w:tcBorders>
            <w:vAlign w:val="center"/>
            <w:hideMark/>
          </w:tcPr>
          <w:p w14:paraId="04D28048"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1A8FF58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3.020</w:t>
            </w:r>
          </w:p>
        </w:tc>
        <w:tc>
          <w:tcPr>
            <w:tcW w:w="938" w:type="dxa"/>
            <w:tcBorders>
              <w:top w:val="nil"/>
              <w:left w:val="nil"/>
              <w:bottom w:val="single" w:sz="4" w:space="0" w:color="auto"/>
              <w:right w:val="nil"/>
            </w:tcBorders>
            <w:shd w:val="clear" w:color="auto" w:fill="auto"/>
            <w:noWrap/>
            <w:vAlign w:val="center"/>
            <w:hideMark/>
          </w:tcPr>
          <w:p w14:paraId="1FCB8F7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5F4C9EE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1977E9D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3.020</w:t>
            </w:r>
          </w:p>
        </w:tc>
      </w:tr>
      <w:tr w:rsidR="00995BF3" w:rsidRPr="006F5FDB" w14:paraId="7CEEECF0"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2DE48216"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w:t>
            </w:r>
          </w:p>
        </w:tc>
        <w:tc>
          <w:tcPr>
            <w:tcW w:w="981" w:type="dxa"/>
            <w:tcBorders>
              <w:top w:val="nil"/>
              <w:left w:val="nil"/>
              <w:bottom w:val="single" w:sz="4" w:space="0" w:color="auto"/>
              <w:right w:val="single" w:sz="4" w:space="0" w:color="auto"/>
            </w:tcBorders>
            <w:shd w:val="clear" w:color="auto" w:fill="auto"/>
            <w:noWrap/>
            <w:vAlign w:val="center"/>
            <w:hideMark/>
          </w:tcPr>
          <w:p w14:paraId="325F5C63"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w:t>
            </w:r>
          </w:p>
        </w:tc>
        <w:tc>
          <w:tcPr>
            <w:tcW w:w="916" w:type="dxa"/>
            <w:vMerge/>
            <w:tcBorders>
              <w:top w:val="single" w:sz="8" w:space="0" w:color="auto"/>
              <w:left w:val="single" w:sz="4" w:space="0" w:color="auto"/>
              <w:bottom w:val="nil"/>
              <w:right w:val="single" w:sz="4" w:space="0" w:color="auto"/>
            </w:tcBorders>
            <w:vAlign w:val="center"/>
            <w:hideMark/>
          </w:tcPr>
          <w:p w14:paraId="0F680601"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24BB0525"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574</w:t>
            </w:r>
          </w:p>
        </w:tc>
        <w:tc>
          <w:tcPr>
            <w:tcW w:w="938" w:type="dxa"/>
            <w:tcBorders>
              <w:top w:val="nil"/>
              <w:left w:val="nil"/>
              <w:bottom w:val="single" w:sz="4" w:space="0" w:color="auto"/>
              <w:right w:val="nil"/>
            </w:tcBorders>
            <w:shd w:val="clear" w:color="auto" w:fill="auto"/>
            <w:noWrap/>
            <w:vAlign w:val="center"/>
            <w:hideMark/>
          </w:tcPr>
          <w:p w14:paraId="35C1196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4BF98B9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3F6E138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574</w:t>
            </w:r>
          </w:p>
        </w:tc>
      </w:tr>
      <w:tr w:rsidR="00995BF3" w:rsidRPr="006F5FDB" w14:paraId="0B72BBD4"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7504B26A"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Primorsko-goranska </w:t>
            </w:r>
          </w:p>
        </w:tc>
        <w:tc>
          <w:tcPr>
            <w:tcW w:w="981" w:type="dxa"/>
            <w:tcBorders>
              <w:top w:val="nil"/>
              <w:left w:val="nil"/>
              <w:bottom w:val="single" w:sz="4" w:space="0" w:color="auto"/>
              <w:right w:val="single" w:sz="4" w:space="0" w:color="auto"/>
            </w:tcBorders>
            <w:shd w:val="clear" w:color="auto" w:fill="auto"/>
            <w:noWrap/>
            <w:vAlign w:val="center"/>
            <w:hideMark/>
          </w:tcPr>
          <w:p w14:paraId="503D76D5"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9,7%</w:t>
            </w:r>
          </w:p>
        </w:tc>
        <w:tc>
          <w:tcPr>
            <w:tcW w:w="916" w:type="dxa"/>
            <w:vMerge/>
            <w:tcBorders>
              <w:top w:val="single" w:sz="8" w:space="0" w:color="auto"/>
              <w:left w:val="single" w:sz="4" w:space="0" w:color="auto"/>
              <w:bottom w:val="nil"/>
              <w:right w:val="single" w:sz="4" w:space="0" w:color="auto"/>
            </w:tcBorders>
            <w:vAlign w:val="center"/>
            <w:hideMark/>
          </w:tcPr>
          <w:p w14:paraId="610499A0"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08867D93"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5.815</w:t>
            </w:r>
          </w:p>
        </w:tc>
        <w:tc>
          <w:tcPr>
            <w:tcW w:w="938" w:type="dxa"/>
            <w:tcBorders>
              <w:top w:val="nil"/>
              <w:left w:val="nil"/>
              <w:bottom w:val="single" w:sz="4" w:space="0" w:color="auto"/>
              <w:right w:val="nil"/>
            </w:tcBorders>
            <w:shd w:val="clear" w:color="auto" w:fill="auto"/>
            <w:noWrap/>
            <w:vAlign w:val="center"/>
            <w:hideMark/>
          </w:tcPr>
          <w:p w14:paraId="2A8C19D7"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5BC811B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255D683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5.815</w:t>
            </w:r>
          </w:p>
        </w:tc>
      </w:tr>
      <w:tr w:rsidR="00995BF3" w:rsidRPr="006F5FDB" w14:paraId="469F956E"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4B9C64F2"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Sisačko-moslavačka </w:t>
            </w:r>
          </w:p>
        </w:tc>
        <w:tc>
          <w:tcPr>
            <w:tcW w:w="981" w:type="dxa"/>
            <w:tcBorders>
              <w:top w:val="nil"/>
              <w:left w:val="nil"/>
              <w:bottom w:val="single" w:sz="4" w:space="0" w:color="auto"/>
              <w:right w:val="single" w:sz="4" w:space="0" w:color="auto"/>
            </w:tcBorders>
            <w:shd w:val="clear" w:color="auto" w:fill="auto"/>
            <w:noWrap/>
            <w:vAlign w:val="center"/>
            <w:hideMark/>
          </w:tcPr>
          <w:p w14:paraId="49D962D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w:t>
            </w:r>
          </w:p>
        </w:tc>
        <w:tc>
          <w:tcPr>
            <w:tcW w:w="916" w:type="dxa"/>
            <w:vMerge/>
            <w:tcBorders>
              <w:top w:val="single" w:sz="8" w:space="0" w:color="auto"/>
              <w:left w:val="single" w:sz="4" w:space="0" w:color="auto"/>
              <w:bottom w:val="nil"/>
              <w:right w:val="single" w:sz="4" w:space="0" w:color="auto"/>
            </w:tcBorders>
            <w:vAlign w:val="center"/>
            <w:hideMark/>
          </w:tcPr>
          <w:p w14:paraId="33B1C486"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45CD0A2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1.630</w:t>
            </w:r>
          </w:p>
        </w:tc>
        <w:tc>
          <w:tcPr>
            <w:tcW w:w="938" w:type="dxa"/>
            <w:tcBorders>
              <w:top w:val="nil"/>
              <w:left w:val="nil"/>
              <w:bottom w:val="single" w:sz="4" w:space="0" w:color="auto"/>
              <w:right w:val="nil"/>
            </w:tcBorders>
            <w:shd w:val="clear" w:color="auto" w:fill="auto"/>
            <w:noWrap/>
            <w:vAlign w:val="center"/>
            <w:hideMark/>
          </w:tcPr>
          <w:p w14:paraId="660BE404"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713769D5"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75E3FE4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1.630</w:t>
            </w:r>
          </w:p>
        </w:tc>
      </w:tr>
      <w:tr w:rsidR="00995BF3" w:rsidRPr="006F5FDB" w14:paraId="423419F7"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7334857C"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Splitsko-dalmatinska </w:t>
            </w:r>
          </w:p>
        </w:tc>
        <w:tc>
          <w:tcPr>
            <w:tcW w:w="981" w:type="dxa"/>
            <w:tcBorders>
              <w:top w:val="nil"/>
              <w:left w:val="nil"/>
              <w:bottom w:val="single" w:sz="4" w:space="0" w:color="auto"/>
              <w:right w:val="single" w:sz="4" w:space="0" w:color="auto"/>
            </w:tcBorders>
            <w:shd w:val="clear" w:color="auto" w:fill="auto"/>
            <w:noWrap/>
            <w:vAlign w:val="center"/>
            <w:hideMark/>
          </w:tcPr>
          <w:p w14:paraId="40F1CEC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14,3%</w:t>
            </w:r>
          </w:p>
        </w:tc>
        <w:tc>
          <w:tcPr>
            <w:tcW w:w="916" w:type="dxa"/>
            <w:vMerge/>
            <w:tcBorders>
              <w:top w:val="single" w:sz="8" w:space="0" w:color="auto"/>
              <w:left w:val="single" w:sz="4" w:space="0" w:color="auto"/>
              <w:bottom w:val="nil"/>
              <w:right w:val="single" w:sz="4" w:space="0" w:color="auto"/>
            </w:tcBorders>
            <w:vAlign w:val="center"/>
            <w:hideMark/>
          </w:tcPr>
          <w:p w14:paraId="17973F8E"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206DDD17"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8.533</w:t>
            </w:r>
          </w:p>
        </w:tc>
        <w:tc>
          <w:tcPr>
            <w:tcW w:w="938" w:type="dxa"/>
            <w:tcBorders>
              <w:top w:val="nil"/>
              <w:left w:val="nil"/>
              <w:bottom w:val="single" w:sz="4" w:space="0" w:color="auto"/>
              <w:right w:val="nil"/>
            </w:tcBorders>
            <w:shd w:val="clear" w:color="auto" w:fill="auto"/>
            <w:noWrap/>
            <w:vAlign w:val="center"/>
            <w:hideMark/>
          </w:tcPr>
          <w:p w14:paraId="31C77F2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4D6656D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6A1EFF4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8.533</w:t>
            </w:r>
          </w:p>
        </w:tc>
      </w:tr>
      <w:tr w:rsidR="00995BF3" w:rsidRPr="006F5FDB" w14:paraId="6D8FC173"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63D4E408"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Šibensko-kninska</w:t>
            </w:r>
          </w:p>
        </w:tc>
        <w:tc>
          <w:tcPr>
            <w:tcW w:w="981" w:type="dxa"/>
            <w:tcBorders>
              <w:top w:val="nil"/>
              <w:left w:val="nil"/>
              <w:bottom w:val="single" w:sz="4" w:space="0" w:color="auto"/>
              <w:right w:val="single" w:sz="4" w:space="0" w:color="auto"/>
            </w:tcBorders>
            <w:shd w:val="clear" w:color="auto" w:fill="auto"/>
            <w:noWrap/>
            <w:vAlign w:val="center"/>
            <w:hideMark/>
          </w:tcPr>
          <w:p w14:paraId="793CF5C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3,2%</w:t>
            </w:r>
          </w:p>
        </w:tc>
        <w:tc>
          <w:tcPr>
            <w:tcW w:w="916" w:type="dxa"/>
            <w:vMerge/>
            <w:tcBorders>
              <w:top w:val="single" w:sz="8" w:space="0" w:color="auto"/>
              <w:left w:val="single" w:sz="4" w:space="0" w:color="auto"/>
              <w:bottom w:val="nil"/>
              <w:right w:val="single" w:sz="4" w:space="0" w:color="auto"/>
            </w:tcBorders>
            <w:vAlign w:val="center"/>
            <w:hideMark/>
          </w:tcPr>
          <w:p w14:paraId="32AE8CB8"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6D59413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1.939</w:t>
            </w:r>
          </w:p>
        </w:tc>
        <w:tc>
          <w:tcPr>
            <w:tcW w:w="938" w:type="dxa"/>
            <w:tcBorders>
              <w:top w:val="nil"/>
              <w:left w:val="nil"/>
              <w:bottom w:val="single" w:sz="4" w:space="0" w:color="auto"/>
              <w:right w:val="nil"/>
            </w:tcBorders>
            <w:shd w:val="clear" w:color="auto" w:fill="auto"/>
            <w:noWrap/>
            <w:vAlign w:val="center"/>
            <w:hideMark/>
          </w:tcPr>
          <w:p w14:paraId="1426C02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2DA7745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0C27CA7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1.939</w:t>
            </w:r>
          </w:p>
        </w:tc>
      </w:tr>
      <w:tr w:rsidR="00995BF3" w:rsidRPr="006F5FDB" w14:paraId="20797AEE"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3EFD40C7"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Varaždinska </w:t>
            </w:r>
          </w:p>
        </w:tc>
        <w:tc>
          <w:tcPr>
            <w:tcW w:w="981" w:type="dxa"/>
            <w:tcBorders>
              <w:top w:val="nil"/>
              <w:left w:val="nil"/>
              <w:bottom w:val="single" w:sz="4" w:space="0" w:color="auto"/>
              <w:right w:val="single" w:sz="4" w:space="0" w:color="auto"/>
            </w:tcBorders>
            <w:shd w:val="clear" w:color="auto" w:fill="auto"/>
            <w:noWrap/>
            <w:vAlign w:val="center"/>
            <w:hideMark/>
          </w:tcPr>
          <w:p w14:paraId="14AAF0A1"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2,6%</w:t>
            </w:r>
          </w:p>
        </w:tc>
        <w:tc>
          <w:tcPr>
            <w:tcW w:w="916" w:type="dxa"/>
            <w:vMerge/>
            <w:tcBorders>
              <w:top w:val="single" w:sz="8" w:space="0" w:color="auto"/>
              <w:left w:val="single" w:sz="4" w:space="0" w:color="auto"/>
              <w:bottom w:val="nil"/>
              <w:right w:val="single" w:sz="4" w:space="0" w:color="auto"/>
            </w:tcBorders>
            <w:vAlign w:val="center"/>
            <w:hideMark/>
          </w:tcPr>
          <w:p w14:paraId="7CDE1E43"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703BDF02"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1.526</w:t>
            </w:r>
          </w:p>
        </w:tc>
        <w:tc>
          <w:tcPr>
            <w:tcW w:w="938" w:type="dxa"/>
            <w:tcBorders>
              <w:top w:val="nil"/>
              <w:left w:val="nil"/>
              <w:bottom w:val="single" w:sz="4" w:space="0" w:color="auto"/>
              <w:right w:val="nil"/>
            </w:tcBorders>
            <w:shd w:val="clear" w:color="auto" w:fill="auto"/>
            <w:noWrap/>
            <w:vAlign w:val="center"/>
            <w:hideMark/>
          </w:tcPr>
          <w:p w14:paraId="43E73481"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17D61E8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0C5E80A2"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1.526</w:t>
            </w:r>
          </w:p>
        </w:tc>
      </w:tr>
      <w:tr w:rsidR="00995BF3" w:rsidRPr="006F5FDB" w14:paraId="1829048B"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6F6DB926"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Virovitičko-podravska</w:t>
            </w:r>
          </w:p>
        </w:tc>
        <w:tc>
          <w:tcPr>
            <w:tcW w:w="981" w:type="dxa"/>
            <w:tcBorders>
              <w:top w:val="nil"/>
              <w:left w:val="nil"/>
              <w:bottom w:val="single" w:sz="4" w:space="0" w:color="auto"/>
              <w:right w:val="single" w:sz="4" w:space="0" w:color="auto"/>
            </w:tcBorders>
            <w:shd w:val="clear" w:color="auto" w:fill="auto"/>
            <w:noWrap/>
            <w:vAlign w:val="center"/>
            <w:hideMark/>
          </w:tcPr>
          <w:p w14:paraId="5F64EBF3"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w:t>
            </w:r>
          </w:p>
        </w:tc>
        <w:tc>
          <w:tcPr>
            <w:tcW w:w="916" w:type="dxa"/>
            <w:vMerge/>
            <w:tcBorders>
              <w:top w:val="single" w:sz="8" w:space="0" w:color="auto"/>
              <w:left w:val="single" w:sz="4" w:space="0" w:color="auto"/>
              <w:bottom w:val="nil"/>
              <w:right w:val="single" w:sz="4" w:space="0" w:color="auto"/>
            </w:tcBorders>
            <w:vAlign w:val="center"/>
            <w:hideMark/>
          </w:tcPr>
          <w:p w14:paraId="3DBCC0F0"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0D42941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783</w:t>
            </w:r>
          </w:p>
        </w:tc>
        <w:tc>
          <w:tcPr>
            <w:tcW w:w="938" w:type="dxa"/>
            <w:tcBorders>
              <w:top w:val="nil"/>
              <w:left w:val="nil"/>
              <w:bottom w:val="single" w:sz="4" w:space="0" w:color="auto"/>
              <w:right w:val="nil"/>
            </w:tcBorders>
            <w:shd w:val="clear" w:color="auto" w:fill="auto"/>
            <w:noWrap/>
            <w:vAlign w:val="center"/>
            <w:hideMark/>
          </w:tcPr>
          <w:p w14:paraId="4E3865E9"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64AA8BE3"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7DC5610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783</w:t>
            </w:r>
          </w:p>
        </w:tc>
      </w:tr>
      <w:tr w:rsidR="00995BF3" w:rsidRPr="006F5FDB" w14:paraId="3377A959"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78A013A5"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Vukovarsko-srijemska </w:t>
            </w:r>
          </w:p>
        </w:tc>
        <w:tc>
          <w:tcPr>
            <w:tcW w:w="981" w:type="dxa"/>
            <w:tcBorders>
              <w:top w:val="nil"/>
              <w:left w:val="nil"/>
              <w:bottom w:val="single" w:sz="4" w:space="0" w:color="auto"/>
              <w:right w:val="single" w:sz="4" w:space="0" w:color="auto"/>
            </w:tcBorders>
            <w:shd w:val="clear" w:color="auto" w:fill="auto"/>
            <w:noWrap/>
            <w:vAlign w:val="center"/>
            <w:hideMark/>
          </w:tcPr>
          <w:p w14:paraId="301EA843"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2,9%</w:t>
            </w:r>
          </w:p>
        </w:tc>
        <w:tc>
          <w:tcPr>
            <w:tcW w:w="916" w:type="dxa"/>
            <w:vMerge/>
            <w:tcBorders>
              <w:top w:val="single" w:sz="8" w:space="0" w:color="auto"/>
              <w:left w:val="single" w:sz="4" w:space="0" w:color="auto"/>
              <w:bottom w:val="nil"/>
              <w:right w:val="single" w:sz="4" w:space="0" w:color="auto"/>
            </w:tcBorders>
            <w:vAlign w:val="center"/>
            <w:hideMark/>
          </w:tcPr>
          <w:p w14:paraId="2329EDFB"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1A9B6F4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1.726</w:t>
            </w:r>
          </w:p>
        </w:tc>
        <w:tc>
          <w:tcPr>
            <w:tcW w:w="938" w:type="dxa"/>
            <w:tcBorders>
              <w:top w:val="nil"/>
              <w:left w:val="nil"/>
              <w:bottom w:val="single" w:sz="4" w:space="0" w:color="auto"/>
              <w:right w:val="nil"/>
            </w:tcBorders>
            <w:shd w:val="clear" w:color="auto" w:fill="auto"/>
            <w:noWrap/>
            <w:vAlign w:val="center"/>
            <w:hideMark/>
          </w:tcPr>
          <w:p w14:paraId="5808E05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67944D5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3F68D31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1.726</w:t>
            </w:r>
          </w:p>
        </w:tc>
      </w:tr>
      <w:tr w:rsidR="00995BF3" w:rsidRPr="006F5FDB" w14:paraId="1D981565"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10A87C73"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Zadarska </w:t>
            </w:r>
          </w:p>
        </w:tc>
        <w:tc>
          <w:tcPr>
            <w:tcW w:w="981" w:type="dxa"/>
            <w:tcBorders>
              <w:top w:val="nil"/>
              <w:left w:val="nil"/>
              <w:bottom w:val="single" w:sz="4" w:space="0" w:color="auto"/>
              <w:right w:val="single" w:sz="4" w:space="0" w:color="auto"/>
            </w:tcBorders>
            <w:shd w:val="clear" w:color="auto" w:fill="auto"/>
            <w:noWrap/>
            <w:vAlign w:val="center"/>
            <w:hideMark/>
          </w:tcPr>
          <w:p w14:paraId="2ABAF55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6,1%</w:t>
            </w:r>
          </w:p>
        </w:tc>
        <w:tc>
          <w:tcPr>
            <w:tcW w:w="916" w:type="dxa"/>
            <w:vMerge/>
            <w:tcBorders>
              <w:top w:val="single" w:sz="8" w:space="0" w:color="auto"/>
              <w:left w:val="single" w:sz="4" w:space="0" w:color="auto"/>
              <w:bottom w:val="nil"/>
              <w:right w:val="single" w:sz="4" w:space="0" w:color="auto"/>
            </w:tcBorders>
            <w:vAlign w:val="center"/>
            <w:hideMark/>
          </w:tcPr>
          <w:p w14:paraId="6162A880"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20E7228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3.649</w:t>
            </w:r>
          </w:p>
        </w:tc>
        <w:tc>
          <w:tcPr>
            <w:tcW w:w="938" w:type="dxa"/>
            <w:tcBorders>
              <w:top w:val="nil"/>
              <w:left w:val="nil"/>
              <w:bottom w:val="single" w:sz="4" w:space="0" w:color="auto"/>
              <w:right w:val="nil"/>
            </w:tcBorders>
            <w:shd w:val="clear" w:color="auto" w:fill="auto"/>
            <w:noWrap/>
            <w:vAlign w:val="center"/>
            <w:hideMark/>
          </w:tcPr>
          <w:p w14:paraId="5E252BD9"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53101F9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2C99A693"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3.649</w:t>
            </w:r>
          </w:p>
        </w:tc>
      </w:tr>
      <w:tr w:rsidR="00995BF3" w:rsidRPr="006F5FDB" w14:paraId="7A3F840E" w14:textId="77777777" w:rsidTr="000E10DF">
        <w:trPr>
          <w:trHeight w:val="170"/>
        </w:trPr>
        <w:tc>
          <w:tcPr>
            <w:tcW w:w="2071" w:type="dxa"/>
            <w:tcBorders>
              <w:top w:val="nil"/>
              <w:left w:val="single" w:sz="8" w:space="0" w:color="auto"/>
              <w:bottom w:val="nil"/>
              <w:right w:val="single" w:sz="4" w:space="0" w:color="auto"/>
            </w:tcBorders>
            <w:shd w:val="clear" w:color="auto" w:fill="auto"/>
            <w:noWrap/>
            <w:vAlign w:val="center"/>
            <w:hideMark/>
          </w:tcPr>
          <w:p w14:paraId="6E797BCF"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Zagrebačka </w:t>
            </w:r>
          </w:p>
        </w:tc>
        <w:tc>
          <w:tcPr>
            <w:tcW w:w="981" w:type="dxa"/>
            <w:tcBorders>
              <w:top w:val="nil"/>
              <w:left w:val="nil"/>
              <w:bottom w:val="nil"/>
              <w:right w:val="single" w:sz="4" w:space="0" w:color="auto"/>
            </w:tcBorders>
            <w:shd w:val="clear" w:color="auto" w:fill="auto"/>
            <w:noWrap/>
            <w:vAlign w:val="center"/>
            <w:hideMark/>
          </w:tcPr>
          <w:p w14:paraId="458FB64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6,4%</w:t>
            </w:r>
          </w:p>
        </w:tc>
        <w:tc>
          <w:tcPr>
            <w:tcW w:w="916" w:type="dxa"/>
            <w:vMerge/>
            <w:tcBorders>
              <w:top w:val="single" w:sz="8" w:space="0" w:color="auto"/>
              <w:left w:val="single" w:sz="4" w:space="0" w:color="auto"/>
              <w:bottom w:val="nil"/>
              <w:right w:val="single" w:sz="4" w:space="0" w:color="auto"/>
            </w:tcBorders>
            <w:vAlign w:val="center"/>
            <w:hideMark/>
          </w:tcPr>
          <w:p w14:paraId="355081DC"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nil"/>
              <w:right w:val="single" w:sz="4" w:space="0" w:color="auto"/>
            </w:tcBorders>
            <w:shd w:val="clear" w:color="auto" w:fill="auto"/>
            <w:noWrap/>
            <w:vAlign w:val="center"/>
            <w:hideMark/>
          </w:tcPr>
          <w:p w14:paraId="6C929402"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3.828</w:t>
            </w:r>
          </w:p>
        </w:tc>
        <w:tc>
          <w:tcPr>
            <w:tcW w:w="938" w:type="dxa"/>
            <w:tcBorders>
              <w:top w:val="nil"/>
              <w:left w:val="nil"/>
              <w:bottom w:val="nil"/>
              <w:right w:val="nil"/>
            </w:tcBorders>
            <w:shd w:val="clear" w:color="auto" w:fill="auto"/>
            <w:noWrap/>
            <w:vAlign w:val="center"/>
            <w:hideMark/>
          </w:tcPr>
          <w:p w14:paraId="4E450EA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nil"/>
              <w:right w:val="nil"/>
            </w:tcBorders>
            <w:shd w:val="clear" w:color="auto" w:fill="auto"/>
            <w:noWrap/>
            <w:vAlign w:val="center"/>
            <w:hideMark/>
          </w:tcPr>
          <w:p w14:paraId="4A51101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nil"/>
              <w:right w:val="single" w:sz="8" w:space="0" w:color="auto"/>
            </w:tcBorders>
            <w:shd w:val="clear" w:color="auto" w:fill="auto"/>
            <w:noWrap/>
            <w:vAlign w:val="center"/>
            <w:hideMark/>
          </w:tcPr>
          <w:p w14:paraId="22E304E5"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3.828</w:t>
            </w:r>
          </w:p>
        </w:tc>
      </w:tr>
      <w:tr w:rsidR="00995BF3" w:rsidRPr="006F5FDB" w14:paraId="47C7D75D" w14:textId="77777777" w:rsidTr="000E10DF">
        <w:trPr>
          <w:trHeight w:val="170"/>
        </w:trPr>
        <w:tc>
          <w:tcPr>
            <w:tcW w:w="3968"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1B9F622" w14:textId="77777777" w:rsidR="00995BF3" w:rsidRPr="006F5FDB" w:rsidRDefault="00995BF3" w:rsidP="00995BF3">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Ukupno</w:t>
            </w:r>
          </w:p>
        </w:tc>
        <w:tc>
          <w:tcPr>
            <w:tcW w:w="938" w:type="dxa"/>
            <w:tcBorders>
              <w:top w:val="single" w:sz="8" w:space="0" w:color="auto"/>
              <w:left w:val="nil"/>
              <w:bottom w:val="single" w:sz="8" w:space="0" w:color="auto"/>
              <w:right w:val="single" w:sz="4" w:space="0" w:color="auto"/>
            </w:tcBorders>
            <w:shd w:val="clear" w:color="auto" w:fill="auto"/>
            <w:noWrap/>
            <w:vAlign w:val="center"/>
            <w:hideMark/>
          </w:tcPr>
          <w:p w14:paraId="062469AC" w14:textId="77777777" w:rsidR="00995BF3" w:rsidRPr="006F5FDB" w:rsidRDefault="00995BF3" w:rsidP="00995BF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59.782</w:t>
            </w:r>
          </w:p>
        </w:tc>
        <w:tc>
          <w:tcPr>
            <w:tcW w:w="938" w:type="dxa"/>
            <w:tcBorders>
              <w:top w:val="single" w:sz="8" w:space="0" w:color="auto"/>
              <w:left w:val="nil"/>
              <w:bottom w:val="single" w:sz="8" w:space="0" w:color="auto"/>
              <w:right w:val="single" w:sz="4" w:space="0" w:color="auto"/>
            </w:tcBorders>
            <w:shd w:val="clear" w:color="auto" w:fill="auto"/>
            <w:noWrap/>
            <w:vAlign w:val="center"/>
            <w:hideMark/>
          </w:tcPr>
          <w:p w14:paraId="3DF68D94" w14:textId="77777777" w:rsidR="00995BF3" w:rsidRPr="006F5FDB" w:rsidRDefault="00995BF3" w:rsidP="00995BF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131.400</w:t>
            </w:r>
          </w:p>
        </w:tc>
        <w:tc>
          <w:tcPr>
            <w:tcW w:w="1028" w:type="dxa"/>
            <w:tcBorders>
              <w:top w:val="single" w:sz="8" w:space="0" w:color="auto"/>
              <w:left w:val="nil"/>
              <w:bottom w:val="single" w:sz="8" w:space="0" w:color="auto"/>
              <w:right w:val="single" w:sz="4" w:space="0" w:color="auto"/>
            </w:tcBorders>
            <w:shd w:val="clear" w:color="auto" w:fill="auto"/>
            <w:noWrap/>
            <w:vAlign w:val="center"/>
            <w:hideMark/>
          </w:tcPr>
          <w:p w14:paraId="36A2330B" w14:textId="77777777" w:rsidR="00995BF3" w:rsidRPr="006F5FDB" w:rsidRDefault="00995BF3" w:rsidP="00995BF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1</w:t>
            </w:r>
          </w:p>
        </w:tc>
        <w:tc>
          <w:tcPr>
            <w:tcW w:w="1128" w:type="dxa"/>
            <w:tcBorders>
              <w:top w:val="single" w:sz="8" w:space="0" w:color="auto"/>
              <w:left w:val="nil"/>
              <w:bottom w:val="single" w:sz="8" w:space="0" w:color="auto"/>
              <w:right w:val="single" w:sz="8" w:space="0" w:color="auto"/>
            </w:tcBorders>
            <w:shd w:val="clear" w:color="auto" w:fill="auto"/>
            <w:noWrap/>
            <w:vAlign w:val="center"/>
            <w:hideMark/>
          </w:tcPr>
          <w:p w14:paraId="078D0364" w14:textId="77777777" w:rsidR="00995BF3" w:rsidRPr="006F5FDB" w:rsidRDefault="00995BF3" w:rsidP="00995BF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-71.618</w:t>
            </w:r>
          </w:p>
        </w:tc>
      </w:tr>
    </w:tbl>
    <w:p w14:paraId="4F1245D9" w14:textId="739CDDAE" w:rsidR="002F2E13" w:rsidRDefault="002F2E13" w:rsidP="000E10DF">
      <w:pPr>
        <w:pStyle w:val="Tablica"/>
      </w:pPr>
      <w:bookmarkStart w:id="277" w:name="_Toc125364443"/>
      <w:r w:rsidRPr="00464AC5">
        <w:t xml:space="preserve">Tablica </w:t>
      </w:r>
      <w:fldSimple w:instr=" SEQ Tablica \* ARABIC ">
        <w:r w:rsidR="00F37B62">
          <w:rPr>
            <w:noProof/>
          </w:rPr>
          <w:t>54</w:t>
        </w:r>
      </w:fldSimple>
      <w:r w:rsidRPr="00464AC5">
        <w:t xml:space="preserve">. </w:t>
      </w:r>
      <w:r w:rsidRPr="00464AC5">
        <w:rPr>
          <w:b w:val="0"/>
          <w:bCs/>
        </w:rPr>
        <w:t xml:space="preserve">Potrebni kapaciteti postrojenja za </w:t>
      </w:r>
      <w:r w:rsidR="003D214B" w:rsidRPr="00464AC5">
        <w:rPr>
          <w:b w:val="0"/>
          <w:bCs/>
        </w:rPr>
        <w:t>recikliranje</w:t>
      </w:r>
      <w:r w:rsidRPr="00464AC5">
        <w:rPr>
          <w:b w:val="0"/>
          <w:bCs/>
        </w:rPr>
        <w:t xml:space="preserve"> stakla</w:t>
      </w:r>
      <w:r w:rsidR="002B0726" w:rsidRPr="00464AC5">
        <w:rPr>
          <w:b w:val="0"/>
          <w:bCs/>
        </w:rPr>
        <w:t xml:space="preserve"> -</w:t>
      </w:r>
      <w:r w:rsidRPr="00464AC5">
        <w:rPr>
          <w:b w:val="0"/>
          <w:bCs/>
        </w:rPr>
        <w:t xml:space="preserve"> SCENARIJ 2</w:t>
      </w:r>
      <w:bookmarkEnd w:id="277"/>
    </w:p>
    <w:tbl>
      <w:tblPr>
        <w:tblW w:w="8141" w:type="dxa"/>
        <w:tblLook w:val="04A0" w:firstRow="1" w:lastRow="0" w:firstColumn="1" w:lastColumn="0" w:noHBand="0" w:noVBand="1"/>
      </w:tblPr>
      <w:tblGrid>
        <w:gridCol w:w="2087"/>
        <w:gridCol w:w="988"/>
        <w:gridCol w:w="923"/>
        <w:gridCol w:w="946"/>
        <w:gridCol w:w="946"/>
        <w:gridCol w:w="1092"/>
        <w:gridCol w:w="1159"/>
      </w:tblGrid>
      <w:tr w:rsidR="00995BF3" w:rsidRPr="006F5FDB" w14:paraId="59038D13" w14:textId="77777777" w:rsidTr="009105C7">
        <w:trPr>
          <w:trHeight w:val="170"/>
          <w:tblHeader/>
        </w:trPr>
        <w:tc>
          <w:tcPr>
            <w:tcW w:w="8141"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4457E1A" w14:textId="77777777" w:rsidR="00995BF3" w:rsidRPr="006F5FDB" w:rsidRDefault="00995BF3" w:rsidP="00995BF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2028.-STAKLO-</w:t>
            </w:r>
          </w:p>
        </w:tc>
      </w:tr>
      <w:tr w:rsidR="00995BF3" w:rsidRPr="006F5FDB" w14:paraId="4728F4C9" w14:textId="77777777" w:rsidTr="009105C7">
        <w:trPr>
          <w:trHeight w:val="170"/>
          <w:tblHeader/>
        </w:trPr>
        <w:tc>
          <w:tcPr>
            <w:tcW w:w="2087" w:type="dxa"/>
            <w:tcBorders>
              <w:top w:val="nil"/>
              <w:left w:val="single" w:sz="8" w:space="0" w:color="auto"/>
              <w:bottom w:val="single" w:sz="8" w:space="0" w:color="auto"/>
              <w:right w:val="single" w:sz="4" w:space="0" w:color="auto"/>
            </w:tcBorders>
            <w:shd w:val="clear" w:color="000000" w:fill="002060"/>
            <w:noWrap/>
            <w:vAlign w:val="center"/>
            <w:hideMark/>
          </w:tcPr>
          <w:p w14:paraId="784805BD"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Županija</w:t>
            </w:r>
          </w:p>
        </w:tc>
        <w:tc>
          <w:tcPr>
            <w:tcW w:w="988" w:type="dxa"/>
            <w:tcBorders>
              <w:top w:val="nil"/>
              <w:left w:val="nil"/>
              <w:bottom w:val="single" w:sz="8" w:space="0" w:color="auto"/>
              <w:right w:val="single" w:sz="4" w:space="0" w:color="auto"/>
            </w:tcBorders>
            <w:shd w:val="clear" w:color="000000" w:fill="002060"/>
            <w:vAlign w:val="center"/>
            <w:hideMark/>
          </w:tcPr>
          <w:p w14:paraId="7E111CD1"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Udio županije u ukupno skupljenoj količini KO</w:t>
            </w:r>
          </w:p>
        </w:tc>
        <w:tc>
          <w:tcPr>
            <w:tcW w:w="923" w:type="dxa"/>
            <w:tcBorders>
              <w:top w:val="nil"/>
              <w:left w:val="nil"/>
              <w:bottom w:val="single" w:sz="8" w:space="0" w:color="auto"/>
              <w:right w:val="single" w:sz="4" w:space="0" w:color="auto"/>
            </w:tcBorders>
            <w:shd w:val="clear" w:color="000000" w:fill="002060"/>
            <w:vAlign w:val="center"/>
            <w:hideMark/>
          </w:tcPr>
          <w:p w14:paraId="718B7330"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Ulaz u sustav reciklaže</w:t>
            </w:r>
            <w:r w:rsidRPr="006F5FDB">
              <w:rPr>
                <w:rFonts w:ascii="Calibri" w:eastAsia="Times New Roman" w:hAnsi="Calibri" w:cs="Calibri"/>
                <w:b/>
                <w:bCs/>
                <w:color w:val="FFFFFF"/>
                <w:sz w:val="16"/>
                <w:szCs w:val="16"/>
                <w:lang w:eastAsia="hr-HR"/>
              </w:rPr>
              <w:br/>
              <w:t>(t)</w:t>
            </w:r>
          </w:p>
        </w:tc>
        <w:tc>
          <w:tcPr>
            <w:tcW w:w="946" w:type="dxa"/>
            <w:tcBorders>
              <w:top w:val="nil"/>
              <w:left w:val="nil"/>
              <w:bottom w:val="single" w:sz="8" w:space="0" w:color="auto"/>
              <w:right w:val="single" w:sz="4" w:space="0" w:color="auto"/>
            </w:tcBorders>
            <w:shd w:val="clear" w:color="000000" w:fill="002060"/>
            <w:vAlign w:val="center"/>
            <w:hideMark/>
          </w:tcPr>
          <w:p w14:paraId="0DCEDC9F"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Potrebni kapacitet</w:t>
            </w:r>
            <w:r w:rsidRPr="006F5FDB">
              <w:rPr>
                <w:rFonts w:ascii="Calibri" w:eastAsia="Times New Roman" w:hAnsi="Calibri" w:cs="Calibri"/>
                <w:b/>
                <w:bCs/>
                <w:color w:val="FFFFFF"/>
                <w:sz w:val="16"/>
                <w:szCs w:val="16"/>
                <w:lang w:eastAsia="hr-HR"/>
              </w:rPr>
              <w:br/>
              <w:t>(t)</w:t>
            </w:r>
          </w:p>
        </w:tc>
        <w:tc>
          <w:tcPr>
            <w:tcW w:w="946" w:type="dxa"/>
            <w:tcBorders>
              <w:top w:val="nil"/>
              <w:left w:val="nil"/>
              <w:bottom w:val="single" w:sz="8" w:space="0" w:color="auto"/>
              <w:right w:val="nil"/>
            </w:tcBorders>
            <w:shd w:val="clear" w:color="000000" w:fill="002060"/>
            <w:vAlign w:val="center"/>
            <w:hideMark/>
          </w:tcPr>
          <w:p w14:paraId="53F26DB1"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 xml:space="preserve">Ukupni kapacitet </w:t>
            </w:r>
            <w:r w:rsidRPr="006F5FDB">
              <w:rPr>
                <w:rFonts w:ascii="Calibri" w:eastAsia="Times New Roman" w:hAnsi="Calibri" w:cs="Calibri"/>
                <w:b/>
                <w:bCs/>
                <w:color w:val="FFFFFF"/>
                <w:sz w:val="16"/>
                <w:szCs w:val="16"/>
                <w:lang w:eastAsia="hr-HR"/>
              </w:rPr>
              <w:br/>
              <w:t>(t/god)</w:t>
            </w:r>
          </w:p>
        </w:tc>
        <w:tc>
          <w:tcPr>
            <w:tcW w:w="1092" w:type="dxa"/>
            <w:tcBorders>
              <w:top w:val="nil"/>
              <w:left w:val="single" w:sz="4" w:space="0" w:color="auto"/>
              <w:bottom w:val="single" w:sz="8" w:space="0" w:color="auto"/>
              <w:right w:val="nil"/>
            </w:tcBorders>
            <w:shd w:val="clear" w:color="000000" w:fill="002060"/>
            <w:vAlign w:val="center"/>
            <w:hideMark/>
          </w:tcPr>
          <w:p w14:paraId="16670668"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Broj postrojenja</w:t>
            </w:r>
          </w:p>
        </w:tc>
        <w:tc>
          <w:tcPr>
            <w:tcW w:w="1159" w:type="dxa"/>
            <w:tcBorders>
              <w:top w:val="nil"/>
              <w:left w:val="single" w:sz="4" w:space="0" w:color="auto"/>
              <w:bottom w:val="single" w:sz="8" w:space="0" w:color="auto"/>
              <w:right w:val="single" w:sz="8" w:space="0" w:color="auto"/>
            </w:tcBorders>
            <w:shd w:val="clear" w:color="000000" w:fill="002060"/>
            <w:vAlign w:val="center"/>
            <w:hideMark/>
          </w:tcPr>
          <w:p w14:paraId="096D74DD"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 xml:space="preserve">Potrebni dodatni kapacitet </w:t>
            </w:r>
            <w:r w:rsidRPr="006F5FDB">
              <w:rPr>
                <w:rFonts w:ascii="Calibri" w:eastAsia="Times New Roman" w:hAnsi="Calibri" w:cs="Calibri"/>
                <w:b/>
                <w:bCs/>
                <w:color w:val="FFFFFF"/>
                <w:sz w:val="16"/>
                <w:szCs w:val="16"/>
                <w:lang w:eastAsia="hr-HR"/>
              </w:rPr>
              <w:br/>
              <w:t>(t/god)</w:t>
            </w:r>
          </w:p>
        </w:tc>
      </w:tr>
      <w:tr w:rsidR="00995BF3" w:rsidRPr="006F5FDB" w14:paraId="0F3D30B1"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0943AD32"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Bjelovarsko-bilogorska</w:t>
            </w:r>
          </w:p>
        </w:tc>
        <w:tc>
          <w:tcPr>
            <w:tcW w:w="988" w:type="dxa"/>
            <w:tcBorders>
              <w:top w:val="nil"/>
              <w:left w:val="nil"/>
              <w:bottom w:val="single" w:sz="4" w:space="0" w:color="auto"/>
              <w:right w:val="single" w:sz="4" w:space="0" w:color="auto"/>
            </w:tcBorders>
            <w:shd w:val="clear" w:color="auto" w:fill="auto"/>
            <w:noWrap/>
            <w:vAlign w:val="center"/>
            <w:hideMark/>
          </w:tcPr>
          <w:p w14:paraId="0458196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1,6%</w:t>
            </w:r>
          </w:p>
        </w:tc>
        <w:tc>
          <w:tcPr>
            <w:tcW w:w="923" w:type="dxa"/>
            <w:vMerge w:val="restart"/>
            <w:tcBorders>
              <w:top w:val="nil"/>
              <w:left w:val="single" w:sz="4" w:space="0" w:color="auto"/>
              <w:bottom w:val="single" w:sz="4" w:space="0" w:color="auto"/>
              <w:right w:val="single" w:sz="4" w:space="0" w:color="auto"/>
            </w:tcBorders>
            <w:shd w:val="clear" w:color="auto" w:fill="auto"/>
            <w:vAlign w:val="center"/>
            <w:hideMark/>
          </w:tcPr>
          <w:p w14:paraId="42D34DC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53.681</w:t>
            </w:r>
          </w:p>
        </w:tc>
        <w:tc>
          <w:tcPr>
            <w:tcW w:w="946" w:type="dxa"/>
            <w:tcBorders>
              <w:top w:val="nil"/>
              <w:left w:val="nil"/>
              <w:bottom w:val="single" w:sz="4" w:space="0" w:color="auto"/>
              <w:right w:val="single" w:sz="4" w:space="0" w:color="auto"/>
            </w:tcBorders>
            <w:shd w:val="clear" w:color="auto" w:fill="auto"/>
            <w:noWrap/>
            <w:vAlign w:val="center"/>
            <w:hideMark/>
          </w:tcPr>
          <w:p w14:paraId="3F5B781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857</w:t>
            </w:r>
          </w:p>
        </w:tc>
        <w:tc>
          <w:tcPr>
            <w:tcW w:w="946" w:type="dxa"/>
            <w:tcBorders>
              <w:top w:val="nil"/>
              <w:left w:val="nil"/>
              <w:bottom w:val="single" w:sz="4" w:space="0" w:color="auto"/>
              <w:right w:val="single" w:sz="4" w:space="0" w:color="auto"/>
            </w:tcBorders>
            <w:shd w:val="clear" w:color="auto" w:fill="auto"/>
            <w:noWrap/>
            <w:vAlign w:val="center"/>
            <w:hideMark/>
          </w:tcPr>
          <w:p w14:paraId="331B48C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38C2B64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20D7BB67"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857</w:t>
            </w:r>
          </w:p>
        </w:tc>
      </w:tr>
      <w:tr w:rsidR="00995BF3" w:rsidRPr="006F5FDB" w14:paraId="0994963F"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3981BAB6"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Brodsko-posavska</w:t>
            </w:r>
          </w:p>
        </w:tc>
        <w:tc>
          <w:tcPr>
            <w:tcW w:w="988" w:type="dxa"/>
            <w:tcBorders>
              <w:top w:val="nil"/>
              <w:left w:val="nil"/>
              <w:bottom w:val="single" w:sz="4" w:space="0" w:color="auto"/>
              <w:right w:val="single" w:sz="4" w:space="0" w:color="auto"/>
            </w:tcBorders>
            <w:shd w:val="clear" w:color="auto" w:fill="auto"/>
            <w:noWrap/>
            <w:vAlign w:val="center"/>
            <w:hideMark/>
          </w:tcPr>
          <w:p w14:paraId="40E4ABB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w:t>
            </w:r>
          </w:p>
        </w:tc>
        <w:tc>
          <w:tcPr>
            <w:tcW w:w="923" w:type="dxa"/>
            <w:vMerge/>
            <w:tcBorders>
              <w:top w:val="nil"/>
              <w:left w:val="single" w:sz="4" w:space="0" w:color="auto"/>
              <w:bottom w:val="single" w:sz="4" w:space="0" w:color="auto"/>
              <w:right w:val="single" w:sz="4" w:space="0" w:color="auto"/>
            </w:tcBorders>
            <w:vAlign w:val="center"/>
            <w:hideMark/>
          </w:tcPr>
          <w:p w14:paraId="1F9D4069"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6EBCD24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1.099</w:t>
            </w:r>
          </w:p>
        </w:tc>
        <w:tc>
          <w:tcPr>
            <w:tcW w:w="946" w:type="dxa"/>
            <w:tcBorders>
              <w:top w:val="nil"/>
              <w:left w:val="nil"/>
              <w:bottom w:val="single" w:sz="4" w:space="0" w:color="auto"/>
              <w:right w:val="single" w:sz="4" w:space="0" w:color="auto"/>
            </w:tcBorders>
            <w:shd w:val="clear" w:color="auto" w:fill="auto"/>
            <w:noWrap/>
            <w:vAlign w:val="center"/>
            <w:hideMark/>
          </w:tcPr>
          <w:p w14:paraId="5CDD1C8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299D572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1425CF7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1.099</w:t>
            </w:r>
          </w:p>
        </w:tc>
      </w:tr>
      <w:tr w:rsidR="00995BF3" w:rsidRPr="006F5FDB" w14:paraId="0DBE068C"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2454A117"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988" w:type="dxa"/>
            <w:tcBorders>
              <w:top w:val="nil"/>
              <w:left w:val="nil"/>
              <w:bottom w:val="single" w:sz="4" w:space="0" w:color="auto"/>
              <w:right w:val="single" w:sz="4" w:space="0" w:color="auto"/>
            </w:tcBorders>
            <w:shd w:val="clear" w:color="auto" w:fill="auto"/>
            <w:noWrap/>
            <w:vAlign w:val="center"/>
            <w:hideMark/>
          </w:tcPr>
          <w:p w14:paraId="5DB4BDA7"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3,9%</w:t>
            </w:r>
          </w:p>
        </w:tc>
        <w:tc>
          <w:tcPr>
            <w:tcW w:w="923" w:type="dxa"/>
            <w:vMerge/>
            <w:tcBorders>
              <w:top w:val="nil"/>
              <w:left w:val="single" w:sz="4" w:space="0" w:color="auto"/>
              <w:bottom w:val="single" w:sz="4" w:space="0" w:color="auto"/>
              <w:right w:val="single" w:sz="4" w:space="0" w:color="auto"/>
            </w:tcBorders>
            <w:vAlign w:val="center"/>
            <w:hideMark/>
          </w:tcPr>
          <w:p w14:paraId="79DCA8C0"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2142BBF9"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2.094</w:t>
            </w:r>
          </w:p>
        </w:tc>
        <w:tc>
          <w:tcPr>
            <w:tcW w:w="946" w:type="dxa"/>
            <w:tcBorders>
              <w:top w:val="nil"/>
              <w:left w:val="nil"/>
              <w:bottom w:val="single" w:sz="4" w:space="0" w:color="auto"/>
              <w:right w:val="single" w:sz="4" w:space="0" w:color="auto"/>
            </w:tcBorders>
            <w:shd w:val="clear" w:color="auto" w:fill="auto"/>
            <w:noWrap/>
            <w:vAlign w:val="center"/>
            <w:hideMark/>
          </w:tcPr>
          <w:p w14:paraId="1831FA6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5060FF9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34391A9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2.094</w:t>
            </w:r>
          </w:p>
        </w:tc>
      </w:tr>
      <w:tr w:rsidR="00995BF3" w:rsidRPr="006F5FDB" w14:paraId="7F46809F"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4E0DEDB8"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w:t>
            </w:r>
          </w:p>
        </w:tc>
        <w:tc>
          <w:tcPr>
            <w:tcW w:w="988" w:type="dxa"/>
            <w:tcBorders>
              <w:top w:val="nil"/>
              <w:left w:val="nil"/>
              <w:bottom w:val="single" w:sz="4" w:space="0" w:color="auto"/>
              <w:right w:val="single" w:sz="4" w:space="0" w:color="auto"/>
            </w:tcBorders>
            <w:shd w:val="clear" w:color="auto" w:fill="auto"/>
            <w:noWrap/>
            <w:vAlign w:val="center"/>
            <w:hideMark/>
          </w:tcPr>
          <w:p w14:paraId="076582E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19,8%</w:t>
            </w:r>
          </w:p>
        </w:tc>
        <w:tc>
          <w:tcPr>
            <w:tcW w:w="923" w:type="dxa"/>
            <w:vMerge/>
            <w:tcBorders>
              <w:top w:val="nil"/>
              <w:left w:val="single" w:sz="4" w:space="0" w:color="auto"/>
              <w:bottom w:val="single" w:sz="4" w:space="0" w:color="auto"/>
              <w:right w:val="single" w:sz="4" w:space="0" w:color="auto"/>
            </w:tcBorders>
            <w:vAlign w:val="center"/>
            <w:hideMark/>
          </w:tcPr>
          <w:p w14:paraId="5C5C0108"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50A06852"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10.602</w:t>
            </w:r>
          </w:p>
        </w:tc>
        <w:tc>
          <w:tcPr>
            <w:tcW w:w="946" w:type="dxa"/>
            <w:tcBorders>
              <w:top w:val="nil"/>
              <w:left w:val="nil"/>
              <w:bottom w:val="single" w:sz="4" w:space="0" w:color="auto"/>
              <w:right w:val="single" w:sz="4" w:space="0" w:color="auto"/>
            </w:tcBorders>
            <w:shd w:val="clear" w:color="auto" w:fill="auto"/>
            <w:noWrap/>
            <w:vAlign w:val="center"/>
            <w:hideMark/>
          </w:tcPr>
          <w:p w14:paraId="34CEF884"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0320BAE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19AF907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10.602</w:t>
            </w:r>
          </w:p>
        </w:tc>
      </w:tr>
      <w:tr w:rsidR="00995BF3" w:rsidRPr="006F5FDB" w14:paraId="68EE26D6"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4EC13E9C"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Istarska </w:t>
            </w:r>
          </w:p>
        </w:tc>
        <w:tc>
          <w:tcPr>
            <w:tcW w:w="988" w:type="dxa"/>
            <w:tcBorders>
              <w:top w:val="nil"/>
              <w:left w:val="nil"/>
              <w:bottom w:val="single" w:sz="4" w:space="0" w:color="auto"/>
              <w:right w:val="single" w:sz="4" w:space="0" w:color="auto"/>
            </w:tcBorders>
            <w:shd w:val="clear" w:color="auto" w:fill="auto"/>
            <w:noWrap/>
            <w:vAlign w:val="center"/>
            <w:hideMark/>
          </w:tcPr>
          <w:p w14:paraId="668BC16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7,5%</w:t>
            </w:r>
          </w:p>
        </w:tc>
        <w:tc>
          <w:tcPr>
            <w:tcW w:w="923" w:type="dxa"/>
            <w:vMerge/>
            <w:tcBorders>
              <w:top w:val="nil"/>
              <w:left w:val="single" w:sz="4" w:space="0" w:color="auto"/>
              <w:bottom w:val="single" w:sz="4" w:space="0" w:color="auto"/>
              <w:right w:val="single" w:sz="4" w:space="0" w:color="auto"/>
            </w:tcBorders>
            <w:vAlign w:val="center"/>
            <w:hideMark/>
          </w:tcPr>
          <w:p w14:paraId="1A87B1B6"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62B9616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4.000</w:t>
            </w:r>
          </w:p>
        </w:tc>
        <w:tc>
          <w:tcPr>
            <w:tcW w:w="946" w:type="dxa"/>
            <w:tcBorders>
              <w:top w:val="nil"/>
              <w:left w:val="nil"/>
              <w:bottom w:val="single" w:sz="4" w:space="0" w:color="auto"/>
              <w:right w:val="single" w:sz="4" w:space="0" w:color="auto"/>
            </w:tcBorders>
            <w:shd w:val="clear" w:color="auto" w:fill="auto"/>
            <w:noWrap/>
            <w:vAlign w:val="center"/>
            <w:hideMark/>
          </w:tcPr>
          <w:p w14:paraId="7CDB1897"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7C4B4712"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6EF2853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4.000</w:t>
            </w:r>
          </w:p>
        </w:tc>
      </w:tr>
      <w:tr w:rsidR="00995BF3" w:rsidRPr="006F5FDB" w14:paraId="3E20FCB6"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1354CA12"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Karlovačka </w:t>
            </w:r>
          </w:p>
        </w:tc>
        <w:tc>
          <w:tcPr>
            <w:tcW w:w="988" w:type="dxa"/>
            <w:tcBorders>
              <w:top w:val="nil"/>
              <w:left w:val="nil"/>
              <w:bottom w:val="single" w:sz="4" w:space="0" w:color="auto"/>
              <w:right w:val="single" w:sz="4" w:space="0" w:color="auto"/>
            </w:tcBorders>
            <w:shd w:val="clear" w:color="auto" w:fill="auto"/>
            <w:noWrap/>
            <w:vAlign w:val="center"/>
            <w:hideMark/>
          </w:tcPr>
          <w:p w14:paraId="36D8BE5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2,5%</w:t>
            </w:r>
          </w:p>
        </w:tc>
        <w:tc>
          <w:tcPr>
            <w:tcW w:w="923" w:type="dxa"/>
            <w:vMerge/>
            <w:tcBorders>
              <w:top w:val="nil"/>
              <w:left w:val="single" w:sz="4" w:space="0" w:color="auto"/>
              <w:bottom w:val="single" w:sz="4" w:space="0" w:color="auto"/>
              <w:right w:val="single" w:sz="4" w:space="0" w:color="auto"/>
            </w:tcBorders>
            <w:vAlign w:val="center"/>
            <w:hideMark/>
          </w:tcPr>
          <w:p w14:paraId="340B43CF"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2F35301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1.324</w:t>
            </w:r>
          </w:p>
        </w:tc>
        <w:tc>
          <w:tcPr>
            <w:tcW w:w="946" w:type="dxa"/>
            <w:tcBorders>
              <w:top w:val="nil"/>
              <w:left w:val="nil"/>
              <w:bottom w:val="single" w:sz="4" w:space="0" w:color="auto"/>
              <w:right w:val="single" w:sz="4" w:space="0" w:color="auto"/>
            </w:tcBorders>
            <w:shd w:val="clear" w:color="auto" w:fill="auto"/>
            <w:noWrap/>
            <w:vAlign w:val="center"/>
            <w:hideMark/>
          </w:tcPr>
          <w:p w14:paraId="2683D98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2B3CAF5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522059C7"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1.324</w:t>
            </w:r>
          </w:p>
        </w:tc>
      </w:tr>
      <w:tr w:rsidR="00995BF3" w:rsidRPr="006F5FDB" w14:paraId="2D709EA1"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128BAEA8"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Koprivničko-križevačka</w:t>
            </w:r>
          </w:p>
        </w:tc>
        <w:tc>
          <w:tcPr>
            <w:tcW w:w="988" w:type="dxa"/>
            <w:tcBorders>
              <w:top w:val="nil"/>
              <w:left w:val="nil"/>
              <w:bottom w:val="single" w:sz="4" w:space="0" w:color="auto"/>
              <w:right w:val="single" w:sz="4" w:space="0" w:color="auto"/>
            </w:tcBorders>
            <w:shd w:val="clear" w:color="auto" w:fill="auto"/>
            <w:noWrap/>
            <w:vAlign w:val="center"/>
            <w:hideMark/>
          </w:tcPr>
          <w:p w14:paraId="13B8230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w:t>
            </w:r>
          </w:p>
        </w:tc>
        <w:tc>
          <w:tcPr>
            <w:tcW w:w="923" w:type="dxa"/>
            <w:vMerge/>
            <w:tcBorders>
              <w:top w:val="nil"/>
              <w:left w:val="single" w:sz="4" w:space="0" w:color="auto"/>
              <w:bottom w:val="single" w:sz="4" w:space="0" w:color="auto"/>
              <w:right w:val="single" w:sz="4" w:space="0" w:color="auto"/>
            </w:tcBorders>
            <w:vAlign w:val="center"/>
            <w:hideMark/>
          </w:tcPr>
          <w:p w14:paraId="1A24554E"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7EE946A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921</w:t>
            </w:r>
          </w:p>
        </w:tc>
        <w:tc>
          <w:tcPr>
            <w:tcW w:w="946" w:type="dxa"/>
            <w:tcBorders>
              <w:top w:val="nil"/>
              <w:left w:val="nil"/>
              <w:bottom w:val="single" w:sz="4" w:space="0" w:color="auto"/>
              <w:right w:val="single" w:sz="4" w:space="0" w:color="auto"/>
            </w:tcBorders>
            <w:shd w:val="clear" w:color="auto" w:fill="auto"/>
            <w:noWrap/>
            <w:vAlign w:val="center"/>
            <w:hideMark/>
          </w:tcPr>
          <w:p w14:paraId="56498E0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5ED97B87"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5864C89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921</w:t>
            </w:r>
          </w:p>
        </w:tc>
      </w:tr>
      <w:tr w:rsidR="00995BF3" w:rsidRPr="006F5FDB" w14:paraId="24ED7BFB"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5482426E"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w:t>
            </w:r>
          </w:p>
        </w:tc>
        <w:tc>
          <w:tcPr>
            <w:tcW w:w="988" w:type="dxa"/>
            <w:tcBorders>
              <w:top w:val="nil"/>
              <w:left w:val="nil"/>
              <w:bottom w:val="single" w:sz="4" w:space="0" w:color="auto"/>
              <w:right w:val="single" w:sz="4" w:space="0" w:color="auto"/>
            </w:tcBorders>
            <w:shd w:val="clear" w:color="auto" w:fill="auto"/>
            <w:noWrap/>
            <w:vAlign w:val="center"/>
            <w:hideMark/>
          </w:tcPr>
          <w:p w14:paraId="243B5BC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w:t>
            </w:r>
          </w:p>
        </w:tc>
        <w:tc>
          <w:tcPr>
            <w:tcW w:w="923" w:type="dxa"/>
            <w:vMerge/>
            <w:tcBorders>
              <w:top w:val="nil"/>
              <w:left w:val="single" w:sz="4" w:space="0" w:color="auto"/>
              <w:bottom w:val="single" w:sz="4" w:space="0" w:color="auto"/>
              <w:right w:val="single" w:sz="4" w:space="0" w:color="auto"/>
            </w:tcBorders>
            <w:vAlign w:val="center"/>
            <w:hideMark/>
          </w:tcPr>
          <w:p w14:paraId="143D2875"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0945BC57"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929</w:t>
            </w:r>
          </w:p>
        </w:tc>
        <w:tc>
          <w:tcPr>
            <w:tcW w:w="946" w:type="dxa"/>
            <w:tcBorders>
              <w:top w:val="nil"/>
              <w:left w:val="nil"/>
              <w:bottom w:val="single" w:sz="4" w:space="0" w:color="auto"/>
              <w:right w:val="single" w:sz="4" w:space="0" w:color="auto"/>
            </w:tcBorders>
            <w:shd w:val="clear" w:color="auto" w:fill="auto"/>
            <w:noWrap/>
            <w:vAlign w:val="center"/>
            <w:hideMark/>
          </w:tcPr>
          <w:p w14:paraId="5357130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131.400</w:t>
            </w:r>
          </w:p>
        </w:tc>
        <w:tc>
          <w:tcPr>
            <w:tcW w:w="1092" w:type="dxa"/>
            <w:tcBorders>
              <w:top w:val="nil"/>
              <w:left w:val="nil"/>
              <w:bottom w:val="single" w:sz="4" w:space="0" w:color="auto"/>
              <w:right w:val="single" w:sz="4" w:space="0" w:color="auto"/>
            </w:tcBorders>
            <w:shd w:val="clear" w:color="auto" w:fill="auto"/>
            <w:noWrap/>
            <w:vAlign w:val="center"/>
            <w:hideMark/>
          </w:tcPr>
          <w:p w14:paraId="4E828B1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w:t>
            </w:r>
          </w:p>
        </w:tc>
        <w:tc>
          <w:tcPr>
            <w:tcW w:w="1159" w:type="dxa"/>
            <w:tcBorders>
              <w:top w:val="nil"/>
              <w:left w:val="nil"/>
              <w:bottom w:val="single" w:sz="4" w:space="0" w:color="auto"/>
              <w:right w:val="single" w:sz="8" w:space="0" w:color="auto"/>
            </w:tcBorders>
            <w:shd w:val="clear" w:color="auto" w:fill="auto"/>
            <w:noWrap/>
            <w:vAlign w:val="center"/>
            <w:hideMark/>
          </w:tcPr>
          <w:p w14:paraId="011F32D3"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-130.471</w:t>
            </w:r>
          </w:p>
        </w:tc>
      </w:tr>
      <w:tr w:rsidR="00995BF3" w:rsidRPr="006F5FDB" w14:paraId="72518AF2"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45BA0FEB"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Ličko-senjska </w:t>
            </w:r>
          </w:p>
        </w:tc>
        <w:tc>
          <w:tcPr>
            <w:tcW w:w="988" w:type="dxa"/>
            <w:tcBorders>
              <w:top w:val="nil"/>
              <w:left w:val="nil"/>
              <w:bottom w:val="single" w:sz="4" w:space="0" w:color="auto"/>
              <w:right w:val="single" w:sz="4" w:space="0" w:color="auto"/>
            </w:tcBorders>
            <w:shd w:val="clear" w:color="auto" w:fill="auto"/>
            <w:noWrap/>
            <w:vAlign w:val="center"/>
            <w:hideMark/>
          </w:tcPr>
          <w:p w14:paraId="0E019782"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w:t>
            </w:r>
          </w:p>
        </w:tc>
        <w:tc>
          <w:tcPr>
            <w:tcW w:w="923" w:type="dxa"/>
            <w:vMerge/>
            <w:tcBorders>
              <w:top w:val="nil"/>
              <w:left w:val="single" w:sz="4" w:space="0" w:color="auto"/>
              <w:bottom w:val="single" w:sz="4" w:space="0" w:color="auto"/>
              <w:right w:val="single" w:sz="4" w:space="0" w:color="auto"/>
            </w:tcBorders>
            <w:vAlign w:val="center"/>
            <w:hideMark/>
          </w:tcPr>
          <w:p w14:paraId="6E1E0C06"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11C02C0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797</w:t>
            </w:r>
          </w:p>
        </w:tc>
        <w:tc>
          <w:tcPr>
            <w:tcW w:w="946" w:type="dxa"/>
            <w:tcBorders>
              <w:top w:val="nil"/>
              <w:left w:val="nil"/>
              <w:bottom w:val="single" w:sz="4" w:space="0" w:color="auto"/>
              <w:right w:val="single" w:sz="4" w:space="0" w:color="auto"/>
            </w:tcBorders>
            <w:shd w:val="clear" w:color="auto" w:fill="auto"/>
            <w:noWrap/>
            <w:vAlign w:val="center"/>
            <w:hideMark/>
          </w:tcPr>
          <w:p w14:paraId="1466E1E4"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49F4A24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490224F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797</w:t>
            </w:r>
          </w:p>
        </w:tc>
      </w:tr>
      <w:tr w:rsidR="00995BF3" w:rsidRPr="006F5FDB" w14:paraId="126E1D8F"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3D4C56FB"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Međimurska </w:t>
            </w:r>
          </w:p>
        </w:tc>
        <w:tc>
          <w:tcPr>
            <w:tcW w:w="988" w:type="dxa"/>
            <w:tcBorders>
              <w:top w:val="nil"/>
              <w:left w:val="nil"/>
              <w:bottom w:val="single" w:sz="4" w:space="0" w:color="auto"/>
              <w:right w:val="single" w:sz="4" w:space="0" w:color="auto"/>
            </w:tcBorders>
            <w:shd w:val="clear" w:color="auto" w:fill="auto"/>
            <w:noWrap/>
            <w:vAlign w:val="center"/>
            <w:hideMark/>
          </w:tcPr>
          <w:p w14:paraId="34B1B8C5"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2,6%</w:t>
            </w:r>
          </w:p>
        </w:tc>
        <w:tc>
          <w:tcPr>
            <w:tcW w:w="923" w:type="dxa"/>
            <w:vMerge/>
            <w:tcBorders>
              <w:top w:val="nil"/>
              <w:left w:val="single" w:sz="4" w:space="0" w:color="auto"/>
              <w:bottom w:val="single" w:sz="4" w:space="0" w:color="auto"/>
              <w:right w:val="single" w:sz="4" w:space="0" w:color="auto"/>
            </w:tcBorders>
            <w:vAlign w:val="center"/>
            <w:hideMark/>
          </w:tcPr>
          <w:p w14:paraId="210A3263"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1F3BCB1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1.406</w:t>
            </w:r>
          </w:p>
        </w:tc>
        <w:tc>
          <w:tcPr>
            <w:tcW w:w="946" w:type="dxa"/>
            <w:tcBorders>
              <w:top w:val="nil"/>
              <w:left w:val="nil"/>
              <w:bottom w:val="single" w:sz="4" w:space="0" w:color="auto"/>
              <w:right w:val="single" w:sz="4" w:space="0" w:color="auto"/>
            </w:tcBorders>
            <w:shd w:val="clear" w:color="auto" w:fill="auto"/>
            <w:noWrap/>
            <w:vAlign w:val="center"/>
            <w:hideMark/>
          </w:tcPr>
          <w:p w14:paraId="53EC1ED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2468930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5ADE04E1"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1.406</w:t>
            </w:r>
          </w:p>
        </w:tc>
      </w:tr>
      <w:tr w:rsidR="00995BF3" w:rsidRPr="006F5FDB" w14:paraId="2A8465CF"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2570A70E"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Osječko-baranjska </w:t>
            </w:r>
          </w:p>
        </w:tc>
        <w:tc>
          <w:tcPr>
            <w:tcW w:w="988" w:type="dxa"/>
            <w:tcBorders>
              <w:top w:val="nil"/>
              <w:left w:val="nil"/>
              <w:bottom w:val="single" w:sz="4" w:space="0" w:color="auto"/>
              <w:right w:val="single" w:sz="4" w:space="0" w:color="auto"/>
            </w:tcBorders>
            <w:shd w:val="clear" w:color="auto" w:fill="auto"/>
            <w:noWrap/>
            <w:vAlign w:val="center"/>
            <w:hideMark/>
          </w:tcPr>
          <w:p w14:paraId="6DC58F1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5,1%</w:t>
            </w:r>
          </w:p>
        </w:tc>
        <w:tc>
          <w:tcPr>
            <w:tcW w:w="923" w:type="dxa"/>
            <w:vMerge/>
            <w:tcBorders>
              <w:top w:val="nil"/>
              <w:left w:val="single" w:sz="4" w:space="0" w:color="auto"/>
              <w:bottom w:val="single" w:sz="4" w:space="0" w:color="auto"/>
              <w:right w:val="single" w:sz="4" w:space="0" w:color="auto"/>
            </w:tcBorders>
            <w:vAlign w:val="center"/>
            <w:hideMark/>
          </w:tcPr>
          <w:p w14:paraId="4F0F3860"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15F29E9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2.711</w:t>
            </w:r>
          </w:p>
        </w:tc>
        <w:tc>
          <w:tcPr>
            <w:tcW w:w="946" w:type="dxa"/>
            <w:tcBorders>
              <w:top w:val="nil"/>
              <w:left w:val="nil"/>
              <w:bottom w:val="single" w:sz="4" w:space="0" w:color="auto"/>
              <w:right w:val="single" w:sz="4" w:space="0" w:color="auto"/>
            </w:tcBorders>
            <w:shd w:val="clear" w:color="auto" w:fill="auto"/>
            <w:noWrap/>
            <w:vAlign w:val="center"/>
            <w:hideMark/>
          </w:tcPr>
          <w:p w14:paraId="17BB711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0CEE0521"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224775F1"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2.711</w:t>
            </w:r>
          </w:p>
        </w:tc>
      </w:tr>
      <w:tr w:rsidR="00995BF3" w:rsidRPr="006F5FDB" w14:paraId="4DB43D74"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34428613"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w:t>
            </w:r>
          </w:p>
        </w:tc>
        <w:tc>
          <w:tcPr>
            <w:tcW w:w="988" w:type="dxa"/>
            <w:tcBorders>
              <w:top w:val="nil"/>
              <w:left w:val="nil"/>
              <w:bottom w:val="single" w:sz="4" w:space="0" w:color="auto"/>
              <w:right w:val="single" w:sz="4" w:space="0" w:color="auto"/>
            </w:tcBorders>
            <w:shd w:val="clear" w:color="auto" w:fill="auto"/>
            <w:noWrap/>
            <w:vAlign w:val="center"/>
            <w:hideMark/>
          </w:tcPr>
          <w:p w14:paraId="771E5281"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w:t>
            </w:r>
          </w:p>
        </w:tc>
        <w:tc>
          <w:tcPr>
            <w:tcW w:w="923" w:type="dxa"/>
            <w:vMerge/>
            <w:tcBorders>
              <w:top w:val="nil"/>
              <w:left w:val="single" w:sz="4" w:space="0" w:color="auto"/>
              <w:bottom w:val="single" w:sz="4" w:space="0" w:color="auto"/>
              <w:right w:val="single" w:sz="4" w:space="0" w:color="auto"/>
            </w:tcBorders>
            <w:vAlign w:val="center"/>
            <w:hideMark/>
          </w:tcPr>
          <w:p w14:paraId="61500344"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559A30D4"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515</w:t>
            </w:r>
          </w:p>
        </w:tc>
        <w:tc>
          <w:tcPr>
            <w:tcW w:w="946" w:type="dxa"/>
            <w:tcBorders>
              <w:top w:val="nil"/>
              <w:left w:val="nil"/>
              <w:bottom w:val="single" w:sz="4" w:space="0" w:color="auto"/>
              <w:right w:val="single" w:sz="4" w:space="0" w:color="auto"/>
            </w:tcBorders>
            <w:shd w:val="clear" w:color="auto" w:fill="auto"/>
            <w:noWrap/>
            <w:vAlign w:val="center"/>
            <w:hideMark/>
          </w:tcPr>
          <w:p w14:paraId="175008C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746DE3B4"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36C564A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515</w:t>
            </w:r>
          </w:p>
        </w:tc>
      </w:tr>
      <w:tr w:rsidR="00995BF3" w:rsidRPr="006F5FDB" w14:paraId="02648F4F"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16A6679B"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Primorsko-goranska </w:t>
            </w:r>
          </w:p>
        </w:tc>
        <w:tc>
          <w:tcPr>
            <w:tcW w:w="988" w:type="dxa"/>
            <w:tcBorders>
              <w:top w:val="nil"/>
              <w:left w:val="nil"/>
              <w:bottom w:val="single" w:sz="4" w:space="0" w:color="auto"/>
              <w:right w:val="single" w:sz="4" w:space="0" w:color="auto"/>
            </w:tcBorders>
            <w:shd w:val="clear" w:color="auto" w:fill="auto"/>
            <w:noWrap/>
            <w:vAlign w:val="center"/>
            <w:hideMark/>
          </w:tcPr>
          <w:p w14:paraId="08E15E55"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9,7%</w:t>
            </w:r>
          </w:p>
        </w:tc>
        <w:tc>
          <w:tcPr>
            <w:tcW w:w="923" w:type="dxa"/>
            <w:vMerge/>
            <w:tcBorders>
              <w:top w:val="nil"/>
              <w:left w:val="single" w:sz="4" w:space="0" w:color="auto"/>
              <w:bottom w:val="single" w:sz="4" w:space="0" w:color="auto"/>
              <w:right w:val="single" w:sz="4" w:space="0" w:color="auto"/>
            </w:tcBorders>
            <w:vAlign w:val="center"/>
            <w:hideMark/>
          </w:tcPr>
          <w:p w14:paraId="48EC9F1F"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38A1439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5.221</w:t>
            </w:r>
          </w:p>
        </w:tc>
        <w:tc>
          <w:tcPr>
            <w:tcW w:w="946" w:type="dxa"/>
            <w:tcBorders>
              <w:top w:val="nil"/>
              <w:left w:val="nil"/>
              <w:bottom w:val="single" w:sz="4" w:space="0" w:color="auto"/>
              <w:right w:val="single" w:sz="4" w:space="0" w:color="auto"/>
            </w:tcBorders>
            <w:shd w:val="clear" w:color="auto" w:fill="auto"/>
            <w:noWrap/>
            <w:vAlign w:val="center"/>
            <w:hideMark/>
          </w:tcPr>
          <w:p w14:paraId="1DAB2E8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4B24EB1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625C1A29"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5.221</w:t>
            </w:r>
          </w:p>
        </w:tc>
      </w:tr>
      <w:tr w:rsidR="00995BF3" w:rsidRPr="006F5FDB" w14:paraId="4A60C474"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66DA7934"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Sisačko-moslavačka </w:t>
            </w:r>
          </w:p>
        </w:tc>
        <w:tc>
          <w:tcPr>
            <w:tcW w:w="988" w:type="dxa"/>
            <w:tcBorders>
              <w:top w:val="nil"/>
              <w:left w:val="nil"/>
              <w:bottom w:val="single" w:sz="4" w:space="0" w:color="auto"/>
              <w:right w:val="single" w:sz="4" w:space="0" w:color="auto"/>
            </w:tcBorders>
            <w:shd w:val="clear" w:color="auto" w:fill="auto"/>
            <w:noWrap/>
            <w:vAlign w:val="center"/>
            <w:hideMark/>
          </w:tcPr>
          <w:p w14:paraId="66689FE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w:t>
            </w:r>
          </w:p>
        </w:tc>
        <w:tc>
          <w:tcPr>
            <w:tcW w:w="923" w:type="dxa"/>
            <w:vMerge/>
            <w:tcBorders>
              <w:top w:val="nil"/>
              <w:left w:val="single" w:sz="4" w:space="0" w:color="auto"/>
              <w:bottom w:val="single" w:sz="4" w:space="0" w:color="auto"/>
              <w:right w:val="single" w:sz="4" w:space="0" w:color="auto"/>
            </w:tcBorders>
            <w:vAlign w:val="center"/>
            <w:hideMark/>
          </w:tcPr>
          <w:p w14:paraId="56CA3901"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26F9B30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1.463</w:t>
            </w:r>
          </w:p>
        </w:tc>
        <w:tc>
          <w:tcPr>
            <w:tcW w:w="946" w:type="dxa"/>
            <w:tcBorders>
              <w:top w:val="nil"/>
              <w:left w:val="nil"/>
              <w:bottom w:val="single" w:sz="4" w:space="0" w:color="auto"/>
              <w:right w:val="single" w:sz="4" w:space="0" w:color="auto"/>
            </w:tcBorders>
            <w:shd w:val="clear" w:color="auto" w:fill="auto"/>
            <w:noWrap/>
            <w:vAlign w:val="center"/>
            <w:hideMark/>
          </w:tcPr>
          <w:p w14:paraId="5456015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027D37E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18D54FB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1.463</w:t>
            </w:r>
          </w:p>
        </w:tc>
      </w:tr>
      <w:tr w:rsidR="00995BF3" w:rsidRPr="006F5FDB" w14:paraId="163DE936"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7D5D68DC"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Splitsko-dalmatinska </w:t>
            </w:r>
          </w:p>
        </w:tc>
        <w:tc>
          <w:tcPr>
            <w:tcW w:w="988" w:type="dxa"/>
            <w:tcBorders>
              <w:top w:val="nil"/>
              <w:left w:val="nil"/>
              <w:bottom w:val="single" w:sz="4" w:space="0" w:color="auto"/>
              <w:right w:val="single" w:sz="4" w:space="0" w:color="auto"/>
            </w:tcBorders>
            <w:shd w:val="clear" w:color="auto" w:fill="auto"/>
            <w:noWrap/>
            <w:vAlign w:val="center"/>
            <w:hideMark/>
          </w:tcPr>
          <w:p w14:paraId="038CAE25"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14,3%</w:t>
            </w:r>
          </w:p>
        </w:tc>
        <w:tc>
          <w:tcPr>
            <w:tcW w:w="923" w:type="dxa"/>
            <w:vMerge/>
            <w:tcBorders>
              <w:top w:val="nil"/>
              <w:left w:val="single" w:sz="4" w:space="0" w:color="auto"/>
              <w:bottom w:val="single" w:sz="4" w:space="0" w:color="auto"/>
              <w:right w:val="single" w:sz="4" w:space="0" w:color="auto"/>
            </w:tcBorders>
            <w:vAlign w:val="center"/>
            <w:hideMark/>
          </w:tcPr>
          <w:p w14:paraId="47017C69"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1F0EA01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7.662</w:t>
            </w:r>
          </w:p>
        </w:tc>
        <w:tc>
          <w:tcPr>
            <w:tcW w:w="946" w:type="dxa"/>
            <w:tcBorders>
              <w:top w:val="nil"/>
              <w:left w:val="nil"/>
              <w:bottom w:val="single" w:sz="4" w:space="0" w:color="auto"/>
              <w:right w:val="single" w:sz="4" w:space="0" w:color="auto"/>
            </w:tcBorders>
            <w:shd w:val="clear" w:color="auto" w:fill="auto"/>
            <w:noWrap/>
            <w:vAlign w:val="center"/>
            <w:hideMark/>
          </w:tcPr>
          <w:p w14:paraId="0F213575"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080C707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60437074"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7.662</w:t>
            </w:r>
          </w:p>
        </w:tc>
      </w:tr>
      <w:tr w:rsidR="00995BF3" w:rsidRPr="006F5FDB" w14:paraId="1A865F3E"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602872A4"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Šibensko-kninska</w:t>
            </w:r>
          </w:p>
        </w:tc>
        <w:tc>
          <w:tcPr>
            <w:tcW w:w="988" w:type="dxa"/>
            <w:tcBorders>
              <w:top w:val="nil"/>
              <w:left w:val="nil"/>
              <w:bottom w:val="single" w:sz="4" w:space="0" w:color="auto"/>
              <w:right w:val="single" w:sz="4" w:space="0" w:color="auto"/>
            </w:tcBorders>
            <w:shd w:val="clear" w:color="auto" w:fill="auto"/>
            <w:noWrap/>
            <w:vAlign w:val="center"/>
            <w:hideMark/>
          </w:tcPr>
          <w:p w14:paraId="0AC2D5F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3,2%</w:t>
            </w:r>
          </w:p>
        </w:tc>
        <w:tc>
          <w:tcPr>
            <w:tcW w:w="923" w:type="dxa"/>
            <w:vMerge/>
            <w:tcBorders>
              <w:top w:val="nil"/>
              <w:left w:val="single" w:sz="4" w:space="0" w:color="auto"/>
              <w:bottom w:val="single" w:sz="4" w:space="0" w:color="auto"/>
              <w:right w:val="single" w:sz="4" w:space="0" w:color="auto"/>
            </w:tcBorders>
            <w:vAlign w:val="center"/>
            <w:hideMark/>
          </w:tcPr>
          <w:p w14:paraId="6F9857FF"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4274D2F7"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1.741</w:t>
            </w:r>
          </w:p>
        </w:tc>
        <w:tc>
          <w:tcPr>
            <w:tcW w:w="946" w:type="dxa"/>
            <w:tcBorders>
              <w:top w:val="nil"/>
              <w:left w:val="nil"/>
              <w:bottom w:val="single" w:sz="4" w:space="0" w:color="auto"/>
              <w:right w:val="single" w:sz="4" w:space="0" w:color="auto"/>
            </w:tcBorders>
            <w:shd w:val="clear" w:color="auto" w:fill="auto"/>
            <w:noWrap/>
            <w:vAlign w:val="center"/>
            <w:hideMark/>
          </w:tcPr>
          <w:p w14:paraId="16CE14F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7B07FDC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7C9FD39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1.741</w:t>
            </w:r>
          </w:p>
        </w:tc>
      </w:tr>
      <w:tr w:rsidR="00995BF3" w:rsidRPr="006F5FDB" w14:paraId="107A09ED"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30009754"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Varaždinska </w:t>
            </w:r>
          </w:p>
        </w:tc>
        <w:tc>
          <w:tcPr>
            <w:tcW w:w="988" w:type="dxa"/>
            <w:tcBorders>
              <w:top w:val="nil"/>
              <w:left w:val="nil"/>
              <w:bottom w:val="single" w:sz="4" w:space="0" w:color="auto"/>
              <w:right w:val="single" w:sz="4" w:space="0" w:color="auto"/>
            </w:tcBorders>
            <w:shd w:val="clear" w:color="auto" w:fill="auto"/>
            <w:noWrap/>
            <w:vAlign w:val="center"/>
            <w:hideMark/>
          </w:tcPr>
          <w:p w14:paraId="21BA4823"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2,6%</w:t>
            </w:r>
          </w:p>
        </w:tc>
        <w:tc>
          <w:tcPr>
            <w:tcW w:w="923" w:type="dxa"/>
            <w:vMerge/>
            <w:tcBorders>
              <w:top w:val="nil"/>
              <w:left w:val="single" w:sz="4" w:space="0" w:color="auto"/>
              <w:bottom w:val="single" w:sz="4" w:space="0" w:color="auto"/>
              <w:right w:val="single" w:sz="4" w:space="0" w:color="auto"/>
            </w:tcBorders>
            <w:vAlign w:val="center"/>
            <w:hideMark/>
          </w:tcPr>
          <w:p w14:paraId="026E194C"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54CD1D0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1.370</w:t>
            </w:r>
          </w:p>
        </w:tc>
        <w:tc>
          <w:tcPr>
            <w:tcW w:w="946" w:type="dxa"/>
            <w:tcBorders>
              <w:top w:val="nil"/>
              <w:left w:val="nil"/>
              <w:bottom w:val="single" w:sz="4" w:space="0" w:color="auto"/>
              <w:right w:val="single" w:sz="4" w:space="0" w:color="auto"/>
            </w:tcBorders>
            <w:shd w:val="clear" w:color="auto" w:fill="auto"/>
            <w:noWrap/>
            <w:vAlign w:val="center"/>
            <w:hideMark/>
          </w:tcPr>
          <w:p w14:paraId="5BDF53A9"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21995B21"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1349C793"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1.370</w:t>
            </w:r>
          </w:p>
        </w:tc>
      </w:tr>
      <w:tr w:rsidR="00995BF3" w:rsidRPr="006F5FDB" w14:paraId="2D8FC803"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34DB936D"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Virovitičko-podravska</w:t>
            </w:r>
          </w:p>
        </w:tc>
        <w:tc>
          <w:tcPr>
            <w:tcW w:w="988" w:type="dxa"/>
            <w:tcBorders>
              <w:top w:val="nil"/>
              <w:left w:val="nil"/>
              <w:bottom w:val="single" w:sz="4" w:space="0" w:color="auto"/>
              <w:right w:val="single" w:sz="4" w:space="0" w:color="auto"/>
            </w:tcBorders>
            <w:shd w:val="clear" w:color="auto" w:fill="auto"/>
            <w:noWrap/>
            <w:vAlign w:val="center"/>
            <w:hideMark/>
          </w:tcPr>
          <w:p w14:paraId="66B39DA1"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w:t>
            </w:r>
          </w:p>
        </w:tc>
        <w:tc>
          <w:tcPr>
            <w:tcW w:w="923" w:type="dxa"/>
            <w:vMerge/>
            <w:tcBorders>
              <w:top w:val="nil"/>
              <w:left w:val="single" w:sz="4" w:space="0" w:color="auto"/>
              <w:bottom w:val="single" w:sz="4" w:space="0" w:color="auto"/>
              <w:right w:val="single" w:sz="4" w:space="0" w:color="auto"/>
            </w:tcBorders>
            <w:vAlign w:val="center"/>
            <w:hideMark/>
          </w:tcPr>
          <w:p w14:paraId="13B30BF2"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56DE105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703</w:t>
            </w:r>
          </w:p>
        </w:tc>
        <w:tc>
          <w:tcPr>
            <w:tcW w:w="946" w:type="dxa"/>
            <w:tcBorders>
              <w:top w:val="nil"/>
              <w:left w:val="nil"/>
              <w:bottom w:val="single" w:sz="4" w:space="0" w:color="auto"/>
              <w:right w:val="single" w:sz="4" w:space="0" w:color="auto"/>
            </w:tcBorders>
            <w:shd w:val="clear" w:color="auto" w:fill="auto"/>
            <w:noWrap/>
            <w:vAlign w:val="center"/>
            <w:hideMark/>
          </w:tcPr>
          <w:p w14:paraId="2024BF41"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3CC9F38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2A9191B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703</w:t>
            </w:r>
          </w:p>
        </w:tc>
      </w:tr>
      <w:tr w:rsidR="00995BF3" w:rsidRPr="006F5FDB" w14:paraId="570966D4"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7FF8ED35"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Vukovarsko-srijemska </w:t>
            </w:r>
          </w:p>
        </w:tc>
        <w:tc>
          <w:tcPr>
            <w:tcW w:w="988" w:type="dxa"/>
            <w:tcBorders>
              <w:top w:val="nil"/>
              <w:left w:val="nil"/>
              <w:bottom w:val="single" w:sz="4" w:space="0" w:color="auto"/>
              <w:right w:val="single" w:sz="4" w:space="0" w:color="auto"/>
            </w:tcBorders>
            <w:shd w:val="clear" w:color="auto" w:fill="auto"/>
            <w:noWrap/>
            <w:vAlign w:val="center"/>
            <w:hideMark/>
          </w:tcPr>
          <w:p w14:paraId="0BB10D75"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2,9%</w:t>
            </w:r>
          </w:p>
        </w:tc>
        <w:tc>
          <w:tcPr>
            <w:tcW w:w="923" w:type="dxa"/>
            <w:vMerge/>
            <w:tcBorders>
              <w:top w:val="nil"/>
              <w:left w:val="single" w:sz="4" w:space="0" w:color="auto"/>
              <w:bottom w:val="single" w:sz="4" w:space="0" w:color="auto"/>
              <w:right w:val="single" w:sz="4" w:space="0" w:color="auto"/>
            </w:tcBorders>
            <w:vAlign w:val="center"/>
            <w:hideMark/>
          </w:tcPr>
          <w:p w14:paraId="225DF714"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09DC8F3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1.550</w:t>
            </w:r>
          </w:p>
        </w:tc>
        <w:tc>
          <w:tcPr>
            <w:tcW w:w="946" w:type="dxa"/>
            <w:tcBorders>
              <w:top w:val="nil"/>
              <w:left w:val="nil"/>
              <w:bottom w:val="single" w:sz="4" w:space="0" w:color="auto"/>
              <w:right w:val="single" w:sz="4" w:space="0" w:color="auto"/>
            </w:tcBorders>
            <w:shd w:val="clear" w:color="auto" w:fill="auto"/>
            <w:noWrap/>
            <w:vAlign w:val="center"/>
            <w:hideMark/>
          </w:tcPr>
          <w:p w14:paraId="6D6FC9E2"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74A0E22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5B11DAF2"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1.550</w:t>
            </w:r>
          </w:p>
        </w:tc>
      </w:tr>
      <w:tr w:rsidR="00995BF3" w:rsidRPr="006F5FDB" w14:paraId="6F0E3E88"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1EBAC8F5"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Zadarska </w:t>
            </w:r>
          </w:p>
        </w:tc>
        <w:tc>
          <w:tcPr>
            <w:tcW w:w="988" w:type="dxa"/>
            <w:tcBorders>
              <w:top w:val="nil"/>
              <w:left w:val="nil"/>
              <w:bottom w:val="single" w:sz="4" w:space="0" w:color="auto"/>
              <w:right w:val="single" w:sz="4" w:space="0" w:color="auto"/>
            </w:tcBorders>
            <w:shd w:val="clear" w:color="auto" w:fill="auto"/>
            <w:noWrap/>
            <w:vAlign w:val="center"/>
            <w:hideMark/>
          </w:tcPr>
          <w:p w14:paraId="7EBC0EB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6,1%</w:t>
            </w:r>
          </w:p>
        </w:tc>
        <w:tc>
          <w:tcPr>
            <w:tcW w:w="923" w:type="dxa"/>
            <w:vMerge/>
            <w:tcBorders>
              <w:top w:val="nil"/>
              <w:left w:val="single" w:sz="4" w:space="0" w:color="auto"/>
              <w:bottom w:val="single" w:sz="4" w:space="0" w:color="auto"/>
              <w:right w:val="single" w:sz="4" w:space="0" w:color="auto"/>
            </w:tcBorders>
            <w:vAlign w:val="center"/>
            <w:hideMark/>
          </w:tcPr>
          <w:p w14:paraId="0F8E10D3"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58282FE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3.276</w:t>
            </w:r>
          </w:p>
        </w:tc>
        <w:tc>
          <w:tcPr>
            <w:tcW w:w="946" w:type="dxa"/>
            <w:tcBorders>
              <w:top w:val="nil"/>
              <w:left w:val="nil"/>
              <w:bottom w:val="single" w:sz="4" w:space="0" w:color="auto"/>
              <w:right w:val="single" w:sz="4" w:space="0" w:color="auto"/>
            </w:tcBorders>
            <w:shd w:val="clear" w:color="auto" w:fill="auto"/>
            <w:noWrap/>
            <w:vAlign w:val="center"/>
            <w:hideMark/>
          </w:tcPr>
          <w:p w14:paraId="18C305D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0CC4D1A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75AC538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3.276</w:t>
            </w:r>
          </w:p>
        </w:tc>
      </w:tr>
      <w:tr w:rsidR="00995BF3" w:rsidRPr="006F5FDB" w14:paraId="6A4538E3" w14:textId="77777777" w:rsidTr="000E10DF">
        <w:trPr>
          <w:trHeight w:val="170"/>
        </w:trPr>
        <w:tc>
          <w:tcPr>
            <w:tcW w:w="2087" w:type="dxa"/>
            <w:tcBorders>
              <w:top w:val="nil"/>
              <w:left w:val="single" w:sz="8" w:space="0" w:color="auto"/>
              <w:bottom w:val="nil"/>
              <w:right w:val="single" w:sz="4" w:space="0" w:color="auto"/>
            </w:tcBorders>
            <w:shd w:val="clear" w:color="auto" w:fill="auto"/>
            <w:noWrap/>
            <w:vAlign w:val="center"/>
            <w:hideMark/>
          </w:tcPr>
          <w:p w14:paraId="1081E06B"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Zagrebačka </w:t>
            </w:r>
          </w:p>
        </w:tc>
        <w:tc>
          <w:tcPr>
            <w:tcW w:w="988" w:type="dxa"/>
            <w:tcBorders>
              <w:top w:val="nil"/>
              <w:left w:val="nil"/>
              <w:bottom w:val="nil"/>
              <w:right w:val="single" w:sz="4" w:space="0" w:color="auto"/>
            </w:tcBorders>
            <w:shd w:val="clear" w:color="auto" w:fill="auto"/>
            <w:noWrap/>
            <w:vAlign w:val="center"/>
            <w:hideMark/>
          </w:tcPr>
          <w:p w14:paraId="618B29D5"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6,4%</w:t>
            </w:r>
          </w:p>
        </w:tc>
        <w:tc>
          <w:tcPr>
            <w:tcW w:w="923" w:type="dxa"/>
            <w:vMerge/>
            <w:tcBorders>
              <w:top w:val="nil"/>
              <w:left w:val="single" w:sz="4" w:space="0" w:color="auto"/>
              <w:bottom w:val="single" w:sz="4" w:space="0" w:color="auto"/>
              <w:right w:val="single" w:sz="4" w:space="0" w:color="auto"/>
            </w:tcBorders>
            <w:vAlign w:val="center"/>
            <w:hideMark/>
          </w:tcPr>
          <w:p w14:paraId="32D0BCBA"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nil"/>
              <w:right w:val="single" w:sz="4" w:space="0" w:color="auto"/>
            </w:tcBorders>
            <w:shd w:val="clear" w:color="auto" w:fill="auto"/>
            <w:noWrap/>
            <w:vAlign w:val="center"/>
            <w:hideMark/>
          </w:tcPr>
          <w:p w14:paraId="0CE4F813"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3.437</w:t>
            </w:r>
          </w:p>
        </w:tc>
        <w:tc>
          <w:tcPr>
            <w:tcW w:w="946" w:type="dxa"/>
            <w:tcBorders>
              <w:top w:val="nil"/>
              <w:left w:val="nil"/>
              <w:bottom w:val="nil"/>
              <w:right w:val="single" w:sz="4" w:space="0" w:color="auto"/>
            </w:tcBorders>
            <w:shd w:val="clear" w:color="auto" w:fill="auto"/>
            <w:noWrap/>
            <w:vAlign w:val="center"/>
            <w:hideMark/>
          </w:tcPr>
          <w:p w14:paraId="470DB5D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nil"/>
              <w:right w:val="single" w:sz="4" w:space="0" w:color="auto"/>
            </w:tcBorders>
            <w:shd w:val="clear" w:color="auto" w:fill="auto"/>
            <w:noWrap/>
            <w:vAlign w:val="center"/>
            <w:hideMark/>
          </w:tcPr>
          <w:p w14:paraId="7405B0C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nil"/>
              <w:right w:val="single" w:sz="8" w:space="0" w:color="auto"/>
            </w:tcBorders>
            <w:shd w:val="clear" w:color="auto" w:fill="auto"/>
            <w:noWrap/>
            <w:vAlign w:val="center"/>
            <w:hideMark/>
          </w:tcPr>
          <w:p w14:paraId="195B9A9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3.437</w:t>
            </w:r>
          </w:p>
        </w:tc>
      </w:tr>
      <w:tr w:rsidR="00995BF3" w:rsidRPr="006F5FDB" w14:paraId="07CF1B66" w14:textId="77777777" w:rsidTr="000E10DF">
        <w:trPr>
          <w:trHeight w:val="170"/>
        </w:trPr>
        <w:tc>
          <w:tcPr>
            <w:tcW w:w="3998"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CA44D9A" w14:textId="77777777" w:rsidR="00995BF3" w:rsidRPr="006F5FDB" w:rsidRDefault="00995BF3" w:rsidP="00995BF3">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lastRenderedPageBreak/>
              <w:t>Ukupno</w:t>
            </w:r>
          </w:p>
        </w:tc>
        <w:tc>
          <w:tcPr>
            <w:tcW w:w="946" w:type="dxa"/>
            <w:tcBorders>
              <w:top w:val="single" w:sz="8" w:space="0" w:color="auto"/>
              <w:left w:val="nil"/>
              <w:bottom w:val="single" w:sz="8" w:space="0" w:color="auto"/>
              <w:right w:val="single" w:sz="4" w:space="0" w:color="auto"/>
            </w:tcBorders>
            <w:shd w:val="clear" w:color="auto" w:fill="auto"/>
            <w:noWrap/>
            <w:vAlign w:val="center"/>
            <w:hideMark/>
          </w:tcPr>
          <w:p w14:paraId="464217CA" w14:textId="77777777" w:rsidR="00995BF3" w:rsidRPr="006F5FDB" w:rsidRDefault="00995BF3" w:rsidP="00995BF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53.681</w:t>
            </w:r>
          </w:p>
        </w:tc>
        <w:tc>
          <w:tcPr>
            <w:tcW w:w="946" w:type="dxa"/>
            <w:tcBorders>
              <w:top w:val="single" w:sz="8" w:space="0" w:color="auto"/>
              <w:left w:val="nil"/>
              <w:bottom w:val="single" w:sz="8" w:space="0" w:color="auto"/>
              <w:right w:val="single" w:sz="4" w:space="0" w:color="auto"/>
            </w:tcBorders>
            <w:shd w:val="clear" w:color="auto" w:fill="auto"/>
            <w:noWrap/>
            <w:vAlign w:val="center"/>
            <w:hideMark/>
          </w:tcPr>
          <w:p w14:paraId="70976A2F" w14:textId="77777777" w:rsidR="00995BF3" w:rsidRPr="006F5FDB" w:rsidRDefault="00995BF3" w:rsidP="00995BF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131.400</w:t>
            </w:r>
          </w:p>
        </w:tc>
        <w:tc>
          <w:tcPr>
            <w:tcW w:w="1092" w:type="dxa"/>
            <w:tcBorders>
              <w:top w:val="single" w:sz="8" w:space="0" w:color="auto"/>
              <w:left w:val="nil"/>
              <w:bottom w:val="single" w:sz="8" w:space="0" w:color="auto"/>
              <w:right w:val="single" w:sz="4" w:space="0" w:color="auto"/>
            </w:tcBorders>
            <w:shd w:val="clear" w:color="auto" w:fill="auto"/>
            <w:noWrap/>
            <w:vAlign w:val="center"/>
            <w:hideMark/>
          </w:tcPr>
          <w:p w14:paraId="7BD18A0D" w14:textId="77777777" w:rsidR="00995BF3" w:rsidRPr="006F5FDB" w:rsidRDefault="00995BF3" w:rsidP="00995BF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1</w:t>
            </w:r>
          </w:p>
        </w:tc>
        <w:tc>
          <w:tcPr>
            <w:tcW w:w="1159" w:type="dxa"/>
            <w:tcBorders>
              <w:top w:val="single" w:sz="8" w:space="0" w:color="auto"/>
              <w:left w:val="nil"/>
              <w:bottom w:val="single" w:sz="8" w:space="0" w:color="auto"/>
              <w:right w:val="single" w:sz="8" w:space="0" w:color="auto"/>
            </w:tcBorders>
            <w:shd w:val="clear" w:color="auto" w:fill="auto"/>
            <w:noWrap/>
            <w:vAlign w:val="center"/>
            <w:hideMark/>
          </w:tcPr>
          <w:p w14:paraId="30AA1407" w14:textId="77777777" w:rsidR="00995BF3" w:rsidRPr="006F5FDB" w:rsidRDefault="00995BF3" w:rsidP="00995BF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-77.719</w:t>
            </w:r>
          </w:p>
        </w:tc>
      </w:tr>
    </w:tbl>
    <w:p w14:paraId="49472FAB" w14:textId="77777777" w:rsidR="00CC41BC" w:rsidRDefault="00CC41BC" w:rsidP="00A23664"/>
    <w:p w14:paraId="655AB395" w14:textId="182A77EB" w:rsidR="00351C00" w:rsidRDefault="00351C00" w:rsidP="0018450E">
      <w:pPr>
        <w:pStyle w:val="IRNaslov3"/>
        <w:numPr>
          <w:ilvl w:val="2"/>
          <w:numId w:val="22"/>
        </w:numPr>
      </w:pPr>
      <w:bookmarkStart w:id="278" w:name="_Toc123211670"/>
      <w:r>
        <w:t>Postrojenja za oporabu papira i kartona</w:t>
      </w:r>
      <w:bookmarkEnd w:id="278"/>
    </w:p>
    <w:p w14:paraId="765AEE5F" w14:textId="049864AB" w:rsidR="00730D8A" w:rsidRDefault="00730D8A" w:rsidP="00730D8A">
      <w:pPr>
        <w:rPr>
          <w:highlight w:val="yellow"/>
        </w:rPr>
      </w:pPr>
      <w:r>
        <w:t xml:space="preserve">S obzirom da postojeći kapaciteti postrojenja za materijalnu oporabu papira i kartona zadovoljavaju </w:t>
      </w:r>
      <w:r w:rsidR="003D0E85">
        <w:t>očekivane količine papira i kartona koji će biti potrebno reciklirati 2028. godine, nisu predviđena dodatna ulaganja u postrojenja za materijalnu oporabu papira i kartona.</w:t>
      </w:r>
    </w:p>
    <w:p w14:paraId="70AEF001" w14:textId="57CA6918" w:rsidR="002F2E13" w:rsidRDefault="002F2E13" w:rsidP="000E10DF">
      <w:pPr>
        <w:pStyle w:val="Tablica"/>
      </w:pPr>
      <w:bookmarkStart w:id="279" w:name="_Toc125364444"/>
      <w:r>
        <w:t xml:space="preserve">Tablica </w:t>
      </w:r>
      <w:fldSimple w:instr=" SEQ Tablica \* ARABIC ">
        <w:r w:rsidR="00F37B62">
          <w:rPr>
            <w:noProof/>
          </w:rPr>
          <w:t>55</w:t>
        </w:r>
      </w:fldSimple>
      <w:r>
        <w:t xml:space="preserve">. </w:t>
      </w:r>
      <w:r w:rsidRPr="00A23664">
        <w:rPr>
          <w:b w:val="0"/>
          <w:bCs/>
        </w:rPr>
        <w:t>Potre</w:t>
      </w:r>
      <w:r>
        <w:rPr>
          <w:b w:val="0"/>
          <w:bCs/>
        </w:rPr>
        <w:t xml:space="preserve">bni kapaciteti postrojenja za </w:t>
      </w:r>
      <w:r w:rsidR="003D214B">
        <w:rPr>
          <w:b w:val="0"/>
          <w:bCs/>
        </w:rPr>
        <w:t>recikliranje</w:t>
      </w:r>
      <w:r>
        <w:rPr>
          <w:b w:val="0"/>
          <w:bCs/>
        </w:rPr>
        <w:t xml:space="preserve"> papira</w:t>
      </w:r>
      <w:r w:rsidR="002B0726">
        <w:rPr>
          <w:b w:val="0"/>
          <w:bCs/>
        </w:rPr>
        <w:t xml:space="preserve"> -</w:t>
      </w:r>
      <w:r>
        <w:rPr>
          <w:b w:val="0"/>
          <w:bCs/>
        </w:rPr>
        <w:t xml:space="preserve"> SCENARIJ 1</w:t>
      </w:r>
      <w:bookmarkEnd w:id="279"/>
    </w:p>
    <w:tbl>
      <w:tblPr>
        <w:tblW w:w="7660" w:type="dxa"/>
        <w:tblLook w:val="04A0" w:firstRow="1" w:lastRow="0" w:firstColumn="1" w:lastColumn="0" w:noHBand="0" w:noVBand="1"/>
      </w:tblPr>
      <w:tblGrid>
        <w:gridCol w:w="1948"/>
        <w:gridCol w:w="973"/>
        <w:gridCol w:w="916"/>
        <w:gridCol w:w="935"/>
        <w:gridCol w:w="935"/>
        <w:gridCol w:w="1018"/>
        <w:gridCol w:w="935"/>
      </w:tblGrid>
      <w:tr w:rsidR="00CC41BC" w:rsidRPr="006F5FDB" w14:paraId="2C761325" w14:textId="77777777" w:rsidTr="000E10DF">
        <w:trPr>
          <w:trHeight w:val="170"/>
        </w:trPr>
        <w:tc>
          <w:tcPr>
            <w:tcW w:w="766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F3B2E8F"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2028.-PAPIR-</w:t>
            </w:r>
          </w:p>
        </w:tc>
      </w:tr>
      <w:tr w:rsidR="00CC41BC" w:rsidRPr="006F5FDB" w14:paraId="49A87C37" w14:textId="77777777" w:rsidTr="000E10DF">
        <w:trPr>
          <w:trHeight w:val="170"/>
        </w:trPr>
        <w:tc>
          <w:tcPr>
            <w:tcW w:w="1948" w:type="dxa"/>
            <w:tcBorders>
              <w:top w:val="nil"/>
              <w:left w:val="single" w:sz="8" w:space="0" w:color="auto"/>
              <w:bottom w:val="nil"/>
              <w:right w:val="single" w:sz="4" w:space="0" w:color="auto"/>
            </w:tcBorders>
            <w:shd w:val="clear" w:color="auto" w:fill="002060"/>
            <w:noWrap/>
            <w:vAlign w:val="center"/>
            <w:hideMark/>
          </w:tcPr>
          <w:p w14:paraId="48C93B32"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Županija</w:t>
            </w:r>
          </w:p>
        </w:tc>
        <w:tc>
          <w:tcPr>
            <w:tcW w:w="973" w:type="dxa"/>
            <w:tcBorders>
              <w:top w:val="nil"/>
              <w:left w:val="nil"/>
              <w:bottom w:val="nil"/>
              <w:right w:val="single" w:sz="4" w:space="0" w:color="auto"/>
            </w:tcBorders>
            <w:shd w:val="clear" w:color="auto" w:fill="002060"/>
            <w:vAlign w:val="center"/>
            <w:hideMark/>
          </w:tcPr>
          <w:p w14:paraId="6AF0D550"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Udio županije u ukupno skupljenoj količini KO</w:t>
            </w:r>
          </w:p>
        </w:tc>
        <w:tc>
          <w:tcPr>
            <w:tcW w:w="916" w:type="dxa"/>
            <w:tcBorders>
              <w:top w:val="nil"/>
              <w:left w:val="nil"/>
              <w:bottom w:val="nil"/>
              <w:right w:val="single" w:sz="4" w:space="0" w:color="auto"/>
            </w:tcBorders>
            <w:shd w:val="clear" w:color="auto" w:fill="002060"/>
            <w:vAlign w:val="center"/>
            <w:hideMark/>
          </w:tcPr>
          <w:p w14:paraId="34344A56"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Ulaz u sustav reciklaže </w:t>
            </w:r>
            <w:r w:rsidRPr="006F5FDB">
              <w:rPr>
                <w:rFonts w:ascii="Calibri" w:eastAsia="Times New Roman" w:hAnsi="Calibri" w:cs="Calibri"/>
                <w:b/>
                <w:color w:val="FFFFFF" w:themeColor="background1"/>
                <w:sz w:val="16"/>
                <w:szCs w:val="16"/>
                <w:lang w:eastAsia="hr-HR"/>
              </w:rPr>
              <w:br/>
              <w:t>(t)</w:t>
            </w:r>
          </w:p>
        </w:tc>
        <w:tc>
          <w:tcPr>
            <w:tcW w:w="935" w:type="dxa"/>
            <w:tcBorders>
              <w:top w:val="nil"/>
              <w:left w:val="nil"/>
              <w:bottom w:val="nil"/>
              <w:right w:val="single" w:sz="4" w:space="0" w:color="auto"/>
            </w:tcBorders>
            <w:shd w:val="clear" w:color="auto" w:fill="002060"/>
            <w:vAlign w:val="center"/>
            <w:hideMark/>
          </w:tcPr>
          <w:p w14:paraId="55148ADA"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Potrebni kapacitet</w:t>
            </w:r>
            <w:r w:rsidRPr="006F5FDB">
              <w:rPr>
                <w:rFonts w:ascii="Calibri" w:eastAsia="Times New Roman" w:hAnsi="Calibri" w:cs="Calibri"/>
                <w:b/>
                <w:color w:val="FFFFFF" w:themeColor="background1"/>
                <w:sz w:val="16"/>
                <w:szCs w:val="16"/>
                <w:lang w:eastAsia="hr-HR"/>
              </w:rPr>
              <w:br/>
              <w:t>(t)</w:t>
            </w:r>
          </w:p>
        </w:tc>
        <w:tc>
          <w:tcPr>
            <w:tcW w:w="935" w:type="dxa"/>
            <w:tcBorders>
              <w:top w:val="nil"/>
              <w:left w:val="nil"/>
              <w:bottom w:val="nil"/>
              <w:right w:val="nil"/>
            </w:tcBorders>
            <w:shd w:val="clear" w:color="auto" w:fill="002060"/>
            <w:vAlign w:val="center"/>
            <w:hideMark/>
          </w:tcPr>
          <w:p w14:paraId="101F9D39"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Ukupni kapacitet </w:t>
            </w:r>
            <w:r w:rsidRPr="006F5FDB">
              <w:rPr>
                <w:rFonts w:ascii="Calibri" w:eastAsia="Times New Roman" w:hAnsi="Calibri" w:cs="Calibri"/>
                <w:b/>
                <w:color w:val="FFFFFF" w:themeColor="background1"/>
                <w:sz w:val="16"/>
                <w:szCs w:val="16"/>
                <w:lang w:eastAsia="hr-HR"/>
              </w:rPr>
              <w:br/>
              <w:t>(t/god)</w:t>
            </w:r>
          </w:p>
        </w:tc>
        <w:tc>
          <w:tcPr>
            <w:tcW w:w="1018" w:type="dxa"/>
            <w:tcBorders>
              <w:top w:val="nil"/>
              <w:left w:val="single" w:sz="4" w:space="0" w:color="auto"/>
              <w:bottom w:val="nil"/>
              <w:right w:val="nil"/>
            </w:tcBorders>
            <w:shd w:val="clear" w:color="auto" w:fill="002060"/>
            <w:vAlign w:val="center"/>
            <w:hideMark/>
          </w:tcPr>
          <w:p w14:paraId="27DF46E3"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Broj postrojenja</w:t>
            </w:r>
          </w:p>
        </w:tc>
        <w:tc>
          <w:tcPr>
            <w:tcW w:w="935" w:type="dxa"/>
            <w:tcBorders>
              <w:top w:val="nil"/>
              <w:left w:val="single" w:sz="4" w:space="0" w:color="auto"/>
              <w:bottom w:val="nil"/>
              <w:right w:val="single" w:sz="8" w:space="0" w:color="auto"/>
            </w:tcBorders>
            <w:shd w:val="clear" w:color="auto" w:fill="002060"/>
            <w:vAlign w:val="center"/>
            <w:hideMark/>
          </w:tcPr>
          <w:p w14:paraId="3BAF2844"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Potrebni dodatni kapacitet </w:t>
            </w:r>
            <w:r w:rsidRPr="006F5FDB">
              <w:rPr>
                <w:rFonts w:ascii="Calibri" w:eastAsia="Times New Roman" w:hAnsi="Calibri" w:cs="Calibri"/>
                <w:b/>
                <w:color w:val="FFFFFF" w:themeColor="background1"/>
                <w:sz w:val="16"/>
                <w:szCs w:val="16"/>
                <w:lang w:eastAsia="hr-HR"/>
              </w:rPr>
              <w:br/>
              <w:t>(t/god)</w:t>
            </w:r>
          </w:p>
        </w:tc>
      </w:tr>
      <w:tr w:rsidR="00CC41BC" w:rsidRPr="006F5FDB" w14:paraId="59795021" w14:textId="77777777" w:rsidTr="000E10DF">
        <w:trPr>
          <w:trHeight w:val="170"/>
        </w:trPr>
        <w:tc>
          <w:tcPr>
            <w:tcW w:w="194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FB216B5"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Bjelovarsko-bilogorska</w:t>
            </w:r>
          </w:p>
        </w:tc>
        <w:tc>
          <w:tcPr>
            <w:tcW w:w="973" w:type="dxa"/>
            <w:tcBorders>
              <w:top w:val="single" w:sz="8" w:space="0" w:color="auto"/>
              <w:left w:val="nil"/>
              <w:bottom w:val="single" w:sz="4" w:space="0" w:color="auto"/>
              <w:right w:val="single" w:sz="4" w:space="0" w:color="auto"/>
            </w:tcBorders>
            <w:shd w:val="clear" w:color="auto" w:fill="auto"/>
            <w:noWrap/>
            <w:vAlign w:val="center"/>
            <w:hideMark/>
          </w:tcPr>
          <w:p w14:paraId="4E1DF79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1,6%</w:t>
            </w:r>
          </w:p>
        </w:tc>
        <w:tc>
          <w:tcPr>
            <w:tcW w:w="916" w:type="dxa"/>
            <w:vMerge w:val="restart"/>
            <w:tcBorders>
              <w:top w:val="single" w:sz="8" w:space="0" w:color="auto"/>
              <w:left w:val="single" w:sz="4" w:space="0" w:color="auto"/>
              <w:bottom w:val="nil"/>
              <w:right w:val="single" w:sz="4" w:space="0" w:color="auto"/>
            </w:tcBorders>
            <w:shd w:val="clear" w:color="auto" w:fill="auto"/>
            <w:vAlign w:val="center"/>
            <w:hideMark/>
          </w:tcPr>
          <w:p w14:paraId="6EB053E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314.071</w:t>
            </w:r>
          </w:p>
        </w:tc>
        <w:tc>
          <w:tcPr>
            <w:tcW w:w="935" w:type="dxa"/>
            <w:tcBorders>
              <w:top w:val="single" w:sz="8" w:space="0" w:color="auto"/>
              <w:left w:val="nil"/>
              <w:bottom w:val="single" w:sz="4" w:space="0" w:color="auto"/>
              <w:right w:val="single" w:sz="4" w:space="0" w:color="auto"/>
            </w:tcBorders>
            <w:shd w:val="clear" w:color="auto" w:fill="auto"/>
            <w:noWrap/>
            <w:vAlign w:val="center"/>
            <w:hideMark/>
          </w:tcPr>
          <w:p w14:paraId="7D8F2B3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5.013</w:t>
            </w:r>
          </w:p>
        </w:tc>
        <w:tc>
          <w:tcPr>
            <w:tcW w:w="935" w:type="dxa"/>
            <w:tcBorders>
              <w:top w:val="single" w:sz="8" w:space="0" w:color="auto"/>
              <w:left w:val="nil"/>
              <w:bottom w:val="single" w:sz="4" w:space="0" w:color="auto"/>
              <w:right w:val="nil"/>
            </w:tcBorders>
            <w:shd w:val="clear" w:color="auto" w:fill="auto"/>
            <w:noWrap/>
            <w:vAlign w:val="center"/>
            <w:hideMark/>
          </w:tcPr>
          <w:p w14:paraId="7879D1A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single" w:sz="8" w:space="0" w:color="auto"/>
              <w:left w:val="single" w:sz="4" w:space="0" w:color="auto"/>
              <w:bottom w:val="single" w:sz="4" w:space="0" w:color="auto"/>
              <w:right w:val="nil"/>
            </w:tcBorders>
            <w:shd w:val="clear" w:color="auto" w:fill="auto"/>
            <w:noWrap/>
            <w:vAlign w:val="center"/>
            <w:hideMark/>
          </w:tcPr>
          <w:p w14:paraId="746C79B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0087169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5.013</w:t>
            </w:r>
          </w:p>
        </w:tc>
      </w:tr>
      <w:tr w:rsidR="00CC41BC" w:rsidRPr="006F5FDB" w14:paraId="72A17C5A"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1E03D636"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Brodsko-posavska</w:t>
            </w:r>
          </w:p>
        </w:tc>
        <w:tc>
          <w:tcPr>
            <w:tcW w:w="973" w:type="dxa"/>
            <w:tcBorders>
              <w:top w:val="nil"/>
              <w:left w:val="nil"/>
              <w:bottom w:val="single" w:sz="4" w:space="0" w:color="auto"/>
              <w:right w:val="single" w:sz="4" w:space="0" w:color="auto"/>
            </w:tcBorders>
            <w:shd w:val="clear" w:color="auto" w:fill="auto"/>
            <w:noWrap/>
            <w:vAlign w:val="center"/>
            <w:hideMark/>
          </w:tcPr>
          <w:p w14:paraId="143D9AD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w:t>
            </w:r>
          </w:p>
        </w:tc>
        <w:tc>
          <w:tcPr>
            <w:tcW w:w="916" w:type="dxa"/>
            <w:vMerge/>
            <w:tcBorders>
              <w:top w:val="single" w:sz="8" w:space="0" w:color="auto"/>
              <w:left w:val="single" w:sz="4" w:space="0" w:color="auto"/>
              <w:bottom w:val="nil"/>
              <w:right w:val="single" w:sz="4" w:space="0" w:color="auto"/>
            </w:tcBorders>
            <w:vAlign w:val="center"/>
            <w:hideMark/>
          </w:tcPr>
          <w:p w14:paraId="1A6A70BE"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0073F0C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6.427</w:t>
            </w:r>
          </w:p>
        </w:tc>
        <w:tc>
          <w:tcPr>
            <w:tcW w:w="935" w:type="dxa"/>
            <w:tcBorders>
              <w:top w:val="nil"/>
              <w:left w:val="nil"/>
              <w:bottom w:val="single" w:sz="4" w:space="0" w:color="auto"/>
              <w:right w:val="nil"/>
            </w:tcBorders>
            <w:shd w:val="clear" w:color="auto" w:fill="auto"/>
            <w:noWrap/>
            <w:vAlign w:val="center"/>
            <w:hideMark/>
          </w:tcPr>
          <w:p w14:paraId="7AE9E91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7AA145B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17FD7C9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6.427</w:t>
            </w:r>
          </w:p>
        </w:tc>
      </w:tr>
      <w:tr w:rsidR="00CC41BC" w:rsidRPr="006F5FDB" w14:paraId="0F14CA46"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382C7E2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973" w:type="dxa"/>
            <w:tcBorders>
              <w:top w:val="nil"/>
              <w:left w:val="nil"/>
              <w:bottom w:val="single" w:sz="4" w:space="0" w:color="auto"/>
              <w:right w:val="single" w:sz="4" w:space="0" w:color="auto"/>
            </w:tcBorders>
            <w:shd w:val="clear" w:color="auto" w:fill="auto"/>
            <w:noWrap/>
            <w:vAlign w:val="center"/>
            <w:hideMark/>
          </w:tcPr>
          <w:p w14:paraId="1DF1A3B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3,9%</w:t>
            </w:r>
          </w:p>
        </w:tc>
        <w:tc>
          <w:tcPr>
            <w:tcW w:w="916" w:type="dxa"/>
            <w:vMerge/>
            <w:tcBorders>
              <w:top w:val="single" w:sz="8" w:space="0" w:color="auto"/>
              <w:left w:val="single" w:sz="4" w:space="0" w:color="auto"/>
              <w:bottom w:val="nil"/>
              <w:right w:val="single" w:sz="4" w:space="0" w:color="auto"/>
            </w:tcBorders>
            <w:vAlign w:val="center"/>
            <w:hideMark/>
          </w:tcPr>
          <w:p w14:paraId="5A22B11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7FF0CB1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12.254</w:t>
            </w:r>
          </w:p>
        </w:tc>
        <w:tc>
          <w:tcPr>
            <w:tcW w:w="935" w:type="dxa"/>
            <w:tcBorders>
              <w:top w:val="nil"/>
              <w:left w:val="nil"/>
              <w:bottom w:val="single" w:sz="4" w:space="0" w:color="auto"/>
              <w:right w:val="nil"/>
            </w:tcBorders>
            <w:shd w:val="clear" w:color="auto" w:fill="auto"/>
            <w:noWrap/>
            <w:vAlign w:val="center"/>
            <w:hideMark/>
          </w:tcPr>
          <w:p w14:paraId="53AC4EB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14543A5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7E4DF09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12.254</w:t>
            </w:r>
          </w:p>
        </w:tc>
      </w:tr>
      <w:tr w:rsidR="00CC41BC" w:rsidRPr="006F5FDB" w14:paraId="731E275B"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2BA0900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w:t>
            </w:r>
          </w:p>
        </w:tc>
        <w:tc>
          <w:tcPr>
            <w:tcW w:w="973" w:type="dxa"/>
            <w:tcBorders>
              <w:top w:val="nil"/>
              <w:left w:val="nil"/>
              <w:bottom w:val="single" w:sz="4" w:space="0" w:color="auto"/>
              <w:right w:val="single" w:sz="4" w:space="0" w:color="auto"/>
            </w:tcBorders>
            <w:shd w:val="clear" w:color="auto" w:fill="auto"/>
            <w:noWrap/>
            <w:vAlign w:val="center"/>
            <w:hideMark/>
          </w:tcPr>
          <w:p w14:paraId="49C364D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19,8%</w:t>
            </w:r>
          </w:p>
        </w:tc>
        <w:tc>
          <w:tcPr>
            <w:tcW w:w="916" w:type="dxa"/>
            <w:vMerge/>
            <w:tcBorders>
              <w:top w:val="single" w:sz="8" w:space="0" w:color="auto"/>
              <w:left w:val="single" w:sz="4" w:space="0" w:color="auto"/>
              <w:bottom w:val="nil"/>
              <w:right w:val="single" w:sz="4" w:space="0" w:color="auto"/>
            </w:tcBorders>
            <w:vAlign w:val="center"/>
            <w:hideMark/>
          </w:tcPr>
          <w:p w14:paraId="6801752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1AF9726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62.030</w:t>
            </w:r>
          </w:p>
        </w:tc>
        <w:tc>
          <w:tcPr>
            <w:tcW w:w="935" w:type="dxa"/>
            <w:tcBorders>
              <w:top w:val="nil"/>
              <w:left w:val="nil"/>
              <w:bottom w:val="single" w:sz="4" w:space="0" w:color="auto"/>
              <w:right w:val="nil"/>
            </w:tcBorders>
            <w:shd w:val="clear" w:color="auto" w:fill="auto"/>
            <w:noWrap/>
            <w:vAlign w:val="center"/>
            <w:hideMark/>
          </w:tcPr>
          <w:p w14:paraId="6EA79E1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2F68675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53515B0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62.030</w:t>
            </w:r>
          </w:p>
        </w:tc>
      </w:tr>
      <w:tr w:rsidR="00CC41BC" w:rsidRPr="006F5FDB" w14:paraId="406A9291"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66D8CC03"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Istarska </w:t>
            </w:r>
          </w:p>
        </w:tc>
        <w:tc>
          <w:tcPr>
            <w:tcW w:w="973" w:type="dxa"/>
            <w:tcBorders>
              <w:top w:val="nil"/>
              <w:left w:val="nil"/>
              <w:bottom w:val="single" w:sz="4" w:space="0" w:color="auto"/>
              <w:right w:val="single" w:sz="4" w:space="0" w:color="auto"/>
            </w:tcBorders>
            <w:shd w:val="clear" w:color="auto" w:fill="auto"/>
            <w:noWrap/>
            <w:vAlign w:val="center"/>
            <w:hideMark/>
          </w:tcPr>
          <w:p w14:paraId="261775F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7,5%</w:t>
            </w:r>
          </w:p>
        </w:tc>
        <w:tc>
          <w:tcPr>
            <w:tcW w:w="916" w:type="dxa"/>
            <w:vMerge/>
            <w:tcBorders>
              <w:top w:val="single" w:sz="8" w:space="0" w:color="auto"/>
              <w:left w:val="single" w:sz="4" w:space="0" w:color="auto"/>
              <w:bottom w:val="nil"/>
              <w:right w:val="single" w:sz="4" w:space="0" w:color="auto"/>
            </w:tcBorders>
            <w:vAlign w:val="center"/>
            <w:hideMark/>
          </w:tcPr>
          <w:p w14:paraId="6D156DA1"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6A1B9EB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23.403</w:t>
            </w:r>
          </w:p>
        </w:tc>
        <w:tc>
          <w:tcPr>
            <w:tcW w:w="935" w:type="dxa"/>
            <w:tcBorders>
              <w:top w:val="nil"/>
              <w:left w:val="nil"/>
              <w:bottom w:val="single" w:sz="4" w:space="0" w:color="auto"/>
              <w:right w:val="nil"/>
            </w:tcBorders>
            <w:shd w:val="clear" w:color="auto" w:fill="auto"/>
            <w:noWrap/>
            <w:vAlign w:val="center"/>
            <w:hideMark/>
          </w:tcPr>
          <w:p w14:paraId="40A4BB9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0ABDFD1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35A2C4F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23.403</w:t>
            </w:r>
          </w:p>
        </w:tc>
      </w:tr>
      <w:tr w:rsidR="00CC41BC" w:rsidRPr="006F5FDB" w14:paraId="42E07E00"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53859AEB"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Karlovačka </w:t>
            </w:r>
          </w:p>
        </w:tc>
        <w:tc>
          <w:tcPr>
            <w:tcW w:w="973" w:type="dxa"/>
            <w:tcBorders>
              <w:top w:val="nil"/>
              <w:left w:val="nil"/>
              <w:bottom w:val="single" w:sz="4" w:space="0" w:color="auto"/>
              <w:right w:val="single" w:sz="4" w:space="0" w:color="auto"/>
            </w:tcBorders>
            <w:shd w:val="clear" w:color="auto" w:fill="auto"/>
            <w:noWrap/>
            <w:vAlign w:val="center"/>
            <w:hideMark/>
          </w:tcPr>
          <w:p w14:paraId="479505D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2,5%</w:t>
            </w:r>
          </w:p>
        </w:tc>
        <w:tc>
          <w:tcPr>
            <w:tcW w:w="916" w:type="dxa"/>
            <w:vMerge/>
            <w:tcBorders>
              <w:top w:val="single" w:sz="8" w:space="0" w:color="auto"/>
              <w:left w:val="single" w:sz="4" w:space="0" w:color="auto"/>
              <w:bottom w:val="nil"/>
              <w:right w:val="single" w:sz="4" w:space="0" w:color="auto"/>
            </w:tcBorders>
            <w:vAlign w:val="center"/>
            <w:hideMark/>
          </w:tcPr>
          <w:p w14:paraId="3B0D9BC3"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141D6A7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7.747</w:t>
            </w:r>
          </w:p>
        </w:tc>
        <w:tc>
          <w:tcPr>
            <w:tcW w:w="935" w:type="dxa"/>
            <w:tcBorders>
              <w:top w:val="nil"/>
              <w:left w:val="nil"/>
              <w:bottom w:val="single" w:sz="4" w:space="0" w:color="auto"/>
              <w:right w:val="nil"/>
            </w:tcBorders>
            <w:shd w:val="clear" w:color="auto" w:fill="auto"/>
            <w:noWrap/>
            <w:vAlign w:val="center"/>
            <w:hideMark/>
          </w:tcPr>
          <w:p w14:paraId="478972C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7F0419B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5B5ABBB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7.747</w:t>
            </w:r>
          </w:p>
        </w:tc>
      </w:tr>
      <w:tr w:rsidR="00CC41BC" w:rsidRPr="006F5FDB" w14:paraId="718A34E3"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394E9F04"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Koprivničko-križevačka</w:t>
            </w:r>
          </w:p>
        </w:tc>
        <w:tc>
          <w:tcPr>
            <w:tcW w:w="973" w:type="dxa"/>
            <w:tcBorders>
              <w:top w:val="nil"/>
              <w:left w:val="nil"/>
              <w:bottom w:val="single" w:sz="4" w:space="0" w:color="auto"/>
              <w:right w:val="single" w:sz="4" w:space="0" w:color="auto"/>
            </w:tcBorders>
            <w:shd w:val="clear" w:color="auto" w:fill="auto"/>
            <w:noWrap/>
            <w:vAlign w:val="center"/>
            <w:hideMark/>
          </w:tcPr>
          <w:p w14:paraId="18372E3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w:t>
            </w:r>
          </w:p>
        </w:tc>
        <w:tc>
          <w:tcPr>
            <w:tcW w:w="916" w:type="dxa"/>
            <w:vMerge/>
            <w:tcBorders>
              <w:top w:val="single" w:sz="8" w:space="0" w:color="auto"/>
              <w:left w:val="single" w:sz="4" w:space="0" w:color="auto"/>
              <w:bottom w:val="nil"/>
              <w:right w:val="single" w:sz="4" w:space="0" w:color="auto"/>
            </w:tcBorders>
            <w:vAlign w:val="center"/>
            <w:hideMark/>
          </w:tcPr>
          <w:p w14:paraId="17F43AE3"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0F83E09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5.389</w:t>
            </w:r>
          </w:p>
        </w:tc>
        <w:tc>
          <w:tcPr>
            <w:tcW w:w="935" w:type="dxa"/>
            <w:tcBorders>
              <w:top w:val="nil"/>
              <w:left w:val="nil"/>
              <w:bottom w:val="single" w:sz="4" w:space="0" w:color="auto"/>
              <w:right w:val="nil"/>
            </w:tcBorders>
            <w:shd w:val="clear" w:color="auto" w:fill="auto"/>
            <w:noWrap/>
            <w:vAlign w:val="center"/>
            <w:hideMark/>
          </w:tcPr>
          <w:p w14:paraId="514B0D2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29.930</w:t>
            </w:r>
          </w:p>
        </w:tc>
        <w:tc>
          <w:tcPr>
            <w:tcW w:w="1018" w:type="dxa"/>
            <w:tcBorders>
              <w:top w:val="nil"/>
              <w:left w:val="single" w:sz="4" w:space="0" w:color="auto"/>
              <w:bottom w:val="single" w:sz="4" w:space="0" w:color="auto"/>
              <w:right w:val="nil"/>
            </w:tcBorders>
            <w:shd w:val="clear" w:color="auto" w:fill="auto"/>
            <w:noWrap/>
            <w:vAlign w:val="center"/>
            <w:hideMark/>
          </w:tcPr>
          <w:p w14:paraId="4744F31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3B2E128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-24.541</w:t>
            </w:r>
          </w:p>
        </w:tc>
      </w:tr>
      <w:tr w:rsidR="00CC41BC" w:rsidRPr="006F5FDB" w14:paraId="21F7268D"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5E1BD2DD"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w:t>
            </w:r>
          </w:p>
        </w:tc>
        <w:tc>
          <w:tcPr>
            <w:tcW w:w="973" w:type="dxa"/>
            <w:tcBorders>
              <w:top w:val="nil"/>
              <w:left w:val="nil"/>
              <w:bottom w:val="single" w:sz="4" w:space="0" w:color="auto"/>
              <w:right w:val="single" w:sz="4" w:space="0" w:color="auto"/>
            </w:tcBorders>
            <w:shd w:val="clear" w:color="auto" w:fill="auto"/>
            <w:noWrap/>
            <w:vAlign w:val="center"/>
            <w:hideMark/>
          </w:tcPr>
          <w:p w14:paraId="6C753F6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w:t>
            </w:r>
          </w:p>
        </w:tc>
        <w:tc>
          <w:tcPr>
            <w:tcW w:w="916" w:type="dxa"/>
            <w:vMerge/>
            <w:tcBorders>
              <w:top w:val="single" w:sz="8" w:space="0" w:color="auto"/>
              <w:left w:val="single" w:sz="4" w:space="0" w:color="auto"/>
              <w:bottom w:val="nil"/>
              <w:right w:val="single" w:sz="4" w:space="0" w:color="auto"/>
            </w:tcBorders>
            <w:vAlign w:val="center"/>
            <w:hideMark/>
          </w:tcPr>
          <w:p w14:paraId="690F1BF3"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03B0341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5.436</w:t>
            </w:r>
          </w:p>
        </w:tc>
        <w:tc>
          <w:tcPr>
            <w:tcW w:w="935" w:type="dxa"/>
            <w:tcBorders>
              <w:top w:val="nil"/>
              <w:left w:val="nil"/>
              <w:bottom w:val="single" w:sz="4" w:space="0" w:color="auto"/>
              <w:right w:val="nil"/>
            </w:tcBorders>
            <w:shd w:val="clear" w:color="auto" w:fill="auto"/>
            <w:noWrap/>
            <w:vAlign w:val="center"/>
            <w:hideMark/>
          </w:tcPr>
          <w:p w14:paraId="19CAFEA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1B98B55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4C70E46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5.436</w:t>
            </w:r>
          </w:p>
        </w:tc>
      </w:tr>
      <w:tr w:rsidR="00CC41BC" w:rsidRPr="006F5FDB" w14:paraId="1EA4DD84"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218EAE9D"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Ličko-senjska </w:t>
            </w:r>
          </w:p>
        </w:tc>
        <w:tc>
          <w:tcPr>
            <w:tcW w:w="973" w:type="dxa"/>
            <w:tcBorders>
              <w:top w:val="nil"/>
              <w:left w:val="nil"/>
              <w:bottom w:val="single" w:sz="4" w:space="0" w:color="auto"/>
              <w:right w:val="single" w:sz="4" w:space="0" w:color="auto"/>
            </w:tcBorders>
            <w:shd w:val="clear" w:color="auto" w:fill="auto"/>
            <w:noWrap/>
            <w:vAlign w:val="center"/>
            <w:hideMark/>
          </w:tcPr>
          <w:p w14:paraId="79CD8A2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w:t>
            </w:r>
          </w:p>
        </w:tc>
        <w:tc>
          <w:tcPr>
            <w:tcW w:w="916" w:type="dxa"/>
            <w:vMerge/>
            <w:tcBorders>
              <w:top w:val="single" w:sz="8" w:space="0" w:color="auto"/>
              <w:left w:val="single" w:sz="4" w:space="0" w:color="auto"/>
              <w:bottom w:val="nil"/>
              <w:right w:val="single" w:sz="4" w:space="0" w:color="auto"/>
            </w:tcBorders>
            <w:vAlign w:val="center"/>
            <w:hideMark/>
          </w:tcPr>
          <w:p w14:paraId="5D39370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7701115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4.665</w:t>
            </w:r>
          </w:p>
        </w:tc>
        <w:tc>
          <w:tcPr>
            <w:tcW w:w="935" w:type="dxa"/>
            <w:tcBorders>
              <w:top w:val="nil"/>
              <w:left w:val="nil"/>
              <w:bottom w:val="single" w:sz="4" w:space="0" w:color="auto"/>
              <w:right w:val="nil"/>
            </w:tcBorders>
            <w:shd w:val="clear" w:color="auto" w:fill="auto"/>
            <w:noWrap/>
            <w:vAlign w:val="center"/>
            <w:hideMark/>
          </w:tcPr>
          <w:p w14:paraId="7F02EB8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2E1196F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73DA741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4.665</w:t>
            </w:r>
          </w:p>
        </w:tc>
      </w:tr>
      <w:tr w:rsidR="00CC41BC" w:rsidRPr="006F5FDB" w14:paraId="77B3601D"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35D2E34D"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Međimurska </w:t>
            </w:r>
          </w:p>
        </w:tc>
        <w:tc>
          <w:tcPr>
            <w:tcW w:w="973" w:type="dxa"/>
            <w:tcBorders>
              <w:top w:val="nil"/>
              <w:left w:val="nil"/>
              <w:bottom w:val="single" w:sz="4" w:space="0" w:color="auto"/>
              <w:right w:val="single" w:sz="4" w:space="0" w:color="auto"/>
            </w:tcBorders>
            <w:shd w:val="clear" w:color="auto" w:fill="auto"/>
            <w:noWrap/>
            <w:vAlign w:val="center"/>
            <w:hideMark/>
          </w:tcPr>
          <w:p w14:paraId="7666CC5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2,6%</w:t>
            </w:r>
          </w:p>
        </w:tc>
        <w:tc>
          <w:tcPr>
            <w:tcW w:w="916" w:type="dxa"/>
            <w:vMerge/>
            <w:tcBorders>
              <w:top w:val="single" w:sz="8" w:space="0" w:color="auto"/>
              <w:left w:val="single" w:sz="4" w:space="0" w:color="auto"/>
              <w:bottom w:val="nil"/>
              <w:right w:val="single" w:sz="4" w:space="0" w:color="auto"/>
            </w:tcBorders>
            <w:vAlign w:val="center"/>
            <w:hideMark/>
          </w:tcPr>
          <w:p w14:paraId="60BA6831"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6A3C155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8.228</w:t>
            </w:r>
          </w:p>
        </w:tc>
        <w:tc>
          <w:tcPr>
            <w:tcW w:w="935" w:type="dxa"/>
            <w:tcBorders>
              <w:top w:val="nil"/>
              <w:left w:val="nil"/>
              <w:bottom w:val="single" w:sz="4" w:space="0" w:color="auto"/>
              <w:right w:val="nil"/>
            </w:tcBorders>
            <w:shd w:val="clear" w:color="auto" w:fill="auto"/>
            <w:noWrap/>
            <w:vAlign w:val="center"/>
            <w:hideMark/>
          </w:tcPr>
          <w:p w14:paraId="1E0C6A6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5D5AAE2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7AD926D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8.228</w:t>
            </w:r>
          </w:p>
        </w:tc>
      </w:tr>
      <w:tr w:rsidR="00CC41BC" w:rsidRPr="006F5FDB" w14:paraId="0F51E3FE"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377B354B"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Osječko-baranjska </w:t>
            </w:r>
          </w:p>
        </w:tc>
        <w:tc>
          <w:tcPr>
            <w:tcW w:w="973" w:type="dxa"/>
            <w:tcBorders>
              <w:top w:val="nil"/>
              <w:left w:val="nil"/>
              <w:bottom w:val="single" w:sz="4" w:space="0" w:color="auto"/>
              <w:right w:val="single" w:sz="4" w:space="0" w:color="auto"/>
            </w:tcBorders>
            <w:shd w:val="clear" w:color="auto" w:fill="auto"/>
            <w:noWrap/>
            <w:vAlign w:val="center"/>
            <w:hideMark/>
          </w:tcPr>
          <w:p w14:paraId="0CB8425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5,1%</w:t>
            </w:r>
          </w:p>
        </w:tc>
        <w:tc>
          <w:tcPr>
            <w:tcW w:w="916" w:type="dxa"/>
            <w:vMerge/>
            <w:tcBorders>
              <w:top w:val="single" w:sz="8" w:space="0" w:color="auto"/>
              <w:left w:val="single" w:sz="4" w:space="0" w:color="auto"/>
              <w:bottom w:val="nil"/>
              <w:right w:val="single" w:sz="4" w:space="0" w:color="auto"/>
            </w:tcBorders>
            <w:vAlign w:val="center"/>
            <w:hideMark/>
          </w:tcPr>
          <w:p w14:paraId="13D67B2C"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263FFFD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15.864</w:t>
            </w:r>
          </w:p>
        </w:tc>
        <w:tc>
          <w:tcPr>
            <w:tcW w:w="935" w:type="dxa"/>
            <w:tcBorders>
              <w:top w:val="nil"/>
              <w:left w:val="nil"/>
              <w:bottom w:val="single" w:sz="4" w:space="0" w:color="auto"/>
              <w:right w:val="nil"/>
            </w:tcBorders>
            <w:shd w:val="clear" w:color="auto" w:fill="auto"/>
            <w:noWrap/>
            <w:vAlign w:val="center"/>
            <w:hideMark/>
          </w:tcPr>
          <w:p w14:paraId="0047493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320.000</w:t>
            </w:r>
          </w:p>
        </w:tc>
        <w:tc>
          <w:tcPr>
            <w:tcW w:w="1018" w:type="dxa"/>
            <w:tcBorders>
              <w:top w:val="nil"/>
              <w:left w:val="single" w:sz="4" w:space="0" w:color="auto"/>
              <w:bottom w:val="single" w:sz="4" w:space="0" w:color="auto"/>
              <w:right w:val="nil"/>
            </w:tcBorders>
            <w:shd w:val="clear" w:color="auto" w:fill="auto"/>
            <w:noWrap/>
            <w:vAlign w:val="center"/>
            <w:hideMark/>
          </w:tcPr>
          <w:p w14:paraId="49D119A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75D1DE8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-304.136</w:t>
            </w:r>
          </w:p>
        </w:tc>
      </w:tr>
      <w:tr w:rsidR="00CC41BC" w:rsidRPr="006F5FDB" w14:paraId="0FA43563"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53A434C1"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w:t>
            </w:r>
          </w:p>
        </w:tc>
        <w:tc>
          <w:tcPr>
            <w:tcW w:w="973" w:type="dxa"/>
            <w:tcBorders>
              <w:top w:val="nil"/>
              <w:left w:val="nil"/>
              <w:bottom w:val="single" w:sz="4" w:space="0" w:color="auto"/>
              <w:right w:val="single" w:sz="4" w:space="0" w:color="auto"/>
            </w:tcBorders>
            <w:shd w:val="clear" w:color="auto" w:fill="auto"/>
            <w:noWrap/>
            <w:vAlign w:val="center"/>
            <w:hideMark/>
          </w:tcPr>
          <w:p w14:paraId="5D88B3C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w:t>
            </w:r>
          </w:p>
        </w:tc>
        <w:tc>
          <w:tcPr>
            <w:tcW w:w="916" w:type="dxa"/>
            <w:vMerge/>
            <w:tcBorders>
              <w:top w:val="single" w:sz="8" w:space="0" w:color="auto"/>
              <w:left w:val="single" w:sz="4" w:space="0" w:color="auto"/>
              <w:bottom w:val="nil"/>
              <w:right w:val="single" w:sz="4" w:space="0" w:color="auto"/>
            </w:tcBorders>
            <w:vAlign w:val="center"/>
            <w:hideMark/>
          </w:tcPr>
          <w:p w14:paraId="6065565E"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2AAF512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3.014</w:t>
            </w:r>
          </w:p>
        </w:tc>
        <w:tc>
          <w:tcPr>
            <w:tcW w:w="935" w:type="dxa"/>
            <w:tcBorders>
              <w:top w:val="nil"/>
              <w:left w:val="nil"/>
              <w:bottom w:val="single" w:sz="4" w:space="0" w:color="auto"/>
              <w:right w:val="nil"/>
            </w:tcBorders>
            <w:shd w:val="clear" w:color="auto" w:fill="auto"/>
            <w:noWrap/>
            <w:vAlign w:val="center"/>
            <w:hideMark/>
          </w:tcPr>
          <w:p w14:paraId="22C837E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7616703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55DCB8A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3.014</w:t>
            </w:r>
          </w:p>
        </w:tc>
      </w:tr>
      <w:tr w:rsidR="00CC41BC" w:rsidRPr="006F5FDB" w14:paraId="1BC3EC30"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29A0C73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Primorsko-goranska </w:t>
            </w:r>
          </w:p>
        </w:tc>
        <w:tc>
          <w:tcPr>
            <w:tcW w:w="973" w:type="dxa"/>
            <w:tcBorders>
              <w:top w:val="nil"/>
              <w:left w:val="nil"/>
              <w:bottom w:val="single" w:sz="4" w:space="0" w:color="auto"/>
              <w:right w:val="single" w:sz="4" w:space="0" w:color="auto"/>
            </w:tcBorders>
            <w:shd w:val="clear" w:color="auto" w:fill="auto"/>
            <w:noWrap/>
            <w:vAlign w:val="center"/>
            <w:hideMark/>
          </w:tcPr>
          <w:p w14:paraId="1807884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9,7%</w:t>
            </w:r>
          </w:p>
        </w:tc>
        <w:tc>
          <w:tcPr>
            <w:tcW w:w="916" w:type="dxa"/>
            <w:vMerge/>
            <w:tcBorders>
              <w:top w:val="single" w:sz="8" w:space="0" w:color="auto"/>
              <w:left w:val="single" w:sz="4" w:space="0" w:color="auto"/>
              <w:bottom w:val="nil"/>
              <w:right w:val="single" w:sz="4" w:space="0" w:color="auto"/>
            </w:tcBorders>
            <w:vAlign w:val="center"/>
            <w:hideMark/>
          </w:tcPr>
          <w:p w14:paraId="7404234C"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5DCAFF1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30.547</w:t>
            </w:r>
          </w:p>
        </w:tc>
        <w:tc>
          <w:tcPr>
            <w:tcW w:w="935" w:type="dxa"/>
            <w:tcBorders>
              <w:top w:val="nil"/>
              <w:left w:val="nil"/>
              <w:bottom w:val="single" w:sz="4" w:space="0" w:color="auto"/>
              <w:right w:val="nil"/>
            </w:tcBorders>
            <w:shd w:val="clear" w:color="auto" w:fill="auto"/>
            <w:noWrap/>
            <w:vAlign w:val="center"/>
            <w:hideMark/>
          </w:tcPr>
          <w:p w14:paraId="4FA8DF2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1C85FE8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5B81C08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30.547</w:t>
            </w:r>
          </w:p>
        </w:tc>
      </w:tr>
      <w:tr w:rsidR="00CC41BC" w:rsidRPr="006F5FDB" w14:paraId="232CA941"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4648AB8E"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Sisačko-moslavačka </w:t>
            </w:r>
          </w:p>
        </w:tc>
        <w:tc>
          <w:tcPr>
            <w:tcW w:w="973" w:type="dxa"/>
            <w:tcBorders>
              <w:top w:val="nil"/>
              <w:left w:val="nil"/>
              <w:bottom w:val="single" w:sz="4" w:space="0" w:color="auto"/>
              <w:right w:val="single" w:sz="4" w:space="0" w:color="auto"/>
            </w:tcBorders>
            <w:shd w:val="clear" w:color="auto" w:fill="auto"/>
            <w:noWrap/>
            <w:vAlign w:val="center"/>
            <w:hideMark/>
          </w:tcPr>
          <w:p w14:paraId="6CEA305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w:t>
            </w:r>
          </w:p>
        </w:tc>
        <w:tc>
          <w:tcPr>
            <w:tcW w:w="916" w:type="dxa"/>
            <w:vMerge/>
            <w:tcBorders>
              <w:top w:val="single" w:sz="8" w:space="0" w:color="auto"/>
              <w:left w:val="single" w:sz="4" w:space="0" w:color="auto"/>
              <w:bottom w:val="nil"/>
              <w:right w:val="single" w:sz="4" w:space="0" w:color="auto"/>
            </w:tcBorders>
            <w:vAlign w:val="center"/>
            <w:hideMark/>
          </w:tcPr>
          <w:p w14:paraId="6F4C6312"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6081AD0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8.562</w:t>
            </w:r>
          </w:p>
        </w:tc>
        <w:tc>
          <w:tcPr>
            <w:tcW w:w="935" w:type="dxa"/>
            <w:tcBorders>
              <w:top w:val="nil"/>
              <w:left w:val="nil"/>
              <w:bottom w:val="single" w:sz="4" w:space="0" w:color="auto"/>
              <w:right w:val="nil"/>
            </w:tcBorders>
            <w:shd w:val="clear" w:color="auto" w:fill="auto"/>
            <w:noWrap/>
            <w:vAlign w:val="center"/>
            <w:hideMark/>
          </w:tcPr>
          <w:p w14:paraId="69D82A1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24D32C1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54502F1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8.562</w:t>
            </w:r>
          </w:p>
        </w:tc>
      </w:tr>
      <w:tr w:rsidR="00CC41BC" w:rsidRPr="006F5FDB" w14:paraId="0B711DF5"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0365F929"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Splitsko-dalmatinska </w:t>
            </w:r>
          </w:p>
        </w:tc>
        <w:tc>
          <w:tcPr>
            <w:tcW w:w="973" w:type="dxa"/>
            <w:tcBorders>
              <w:top w:val="nil"/>
              <w:left w:val="nil"/>
              <w:bottom w:val="single" w:sz="4" w:space="0" w:color="auto"/>
              <w:right w:val="single" w:sz="4" w:space="0" w:color="auto"/>
            </w:tcBorders>
            <w:shd w:val="clear" w:color="auto" w:fill="auto"/>
            <w:noWrap/>
            <w:vAlign w:val="center"/>
            <w:hideMark/>
          </w:tcPr>
          <w:p w14:paraId="7A14458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14,3%</w:t>
            </w:r>
          </w:p>
        </w:tc>
        <w:tc>
          <w:tcPr>
            <w:tcW w:w="916" w:type="dxa"/>
            <w:vMerge/>
            <w:tcBorders>
              <w:top w:val="single" w:sz="8" w:space="0" w:color="auto"/>
              <w:left w:val="single" w:sz="4" w:space="0" w:color="auto"/>
              <w:bottom w:val="nil"/>
              <w:right w:val="single" w:sz="4" w:space="0" w:color="auto"/>
            </w:tcBorders>
            <w:vAlign w:val="center"/>
            <w:hideMark/>
          </w:tcPr>
          <w:p w14:paraId="76BB34C3"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06E4010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44.828</w:t>
            </w:r>
          </w:p>
        </w:tc>
        <w:tc>
          <w:tcPr>
            <w:tcW w:w="935" w:type="dxa"/>
            <w:tcBorders>
              <w:top w:val="nil"/>
              <w:left w:val="nil"/>
              <w:bottom w:val="single" w:sz="4" w:space="0" w:color="auto"/>
              <w:right w:val="nil"/>
            </w:tcBorders>
            <w:shd w:val="clear" w:color="auto" w:fill="auto"/>
            <w:noWrap/>
            <w:vAlign w:val="center"/>
            <w:hideMark/>
          </w:tcPr>
          <w:p w14:paraId="7407F11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6FB9A64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402CA2D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44.828</w:t>
            </w:r>
          </w:p>
        </w:tc>
      </w:tr>
      <w:tr w:rsidR="00CC41BC" w:rsidRPr="006F5FDB" w14:paraId="10F865E6"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0D96E46C"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Šibensko-kninska</w:t>
            </w:r>
          </w:p>
        </w:tc>
        <w:tc>
          <w:tcPr>
            <w:tcW w:w="973" w:type="dxa"/>
            <w:tcBorders>
              <w:top w:val="nil"/>
              <w:left w:val="nil"/>
              <w:bottom w:val="single" w:sz="4" w:space="0" w:color="auto"/>
              <w:right w:val="single" w:sz="4" w:space="0" w:color="auto"/>
            </w:tcBorders>
            <w:shd w:val="clear" w:color="auto" w:fill="auto"/>
            <w:noWrap/>
            <w:vAlign w:val="center"/>
            <w:hideMark/>
          </w:tcPr>
          <w:p w14:paraId="70C5C15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3,2%</w:t>
            </w:r>
          </w:p>
        </w:tc>
        <w:tc>
          <w:tcPr>
            <w:tcW w:w="916" w:type="dxa"/>
            <w:vMerge/>
            <w:tcBorders>
              <w:top w:val="single" w:sz="8" w:space="0" w:color="auto"/>
              <w:left w:val="single" w:sz="4" w:space="0" w:color="auto"/>
              <w:bottom w:val="nil"/>
              <w:right w:val="single" w:sz="4" w:space="0" w:color="auto"/>
            </w:tcBorders>
            <w:vAlign w:val="center"/>
            <w:hideMark/>
          </w:tcPr>
          <w:p w14:paraId="6D97636C"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63CE1C3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10.185</w:t>
            </w:r>
          </w:p>
        </w:tc>
        <w:tc>
          <w:tcPr>
            <w:tcW w:w="935" w:type="dxa"/>
            <w:tcBorders>
              <w:top w:val="nil"/>
              <w:left w:val="nil"/>
              <w:bottom w:val="single" w:sz="4" w:space="0" w:color="auto"/>
              <w:right w:val="nil"/>
            </w:tcBorders>
            <w:shd w:val="clear" w:color="auto" w:fill="auto"/>
            <w:noWrap/>
            <w:vAlign w:val="center"/>
            <w:hideMark/>
          </w:tcPr>
          <w:p w14:paraId="751E7A0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2D3C098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73474A4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10.185</w:t>
            </w:r>
          </w:p>
        </w:tc>
      </w:tr>
      <w:tr w:rsidR="00CC41BC" w:rsidRPr="006F5FDB" w14:paraId="473DE334"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2469EAB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Varaždinska </w:t>
            </w:r>
          </w:p>
        </w:tc>
        <w:tc>
          <w:tcPr>
            <w:tcW w:w="973" w:type="dxa"/>
            <w:tcBorders>
              <w:top w:val="nil"/>
              <w:left w:val="nil"/>
              <w:bottom w:val="single" w:sz="4" w:space="0" w:color="auto"/>
              <w:right w:val="single" w:sz="4" w:space="0" w:color="auto"/>
            </w:tcBorders>
            <w:shd w:val="clear" w:color="auto" w:fill="auto"/>
            <w:noWrap/>
            <w:vAlign w:val="center"/>
            <w:hideMark/>
          </w:tcPr>
          <w:p w14:paraId="0E5E573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2,6%</w:t>
            </w:r>
          </w:p>
        </w:tc>
        <w:tc>
          <w:tcPr>
            <w:tcW w:w="916" w:type="dxa"/>
            <w:vMerge/>
            <w:tcBorders>
              <w:top w:val="single" w:sz="8" w:space="0" w:color="auto"/>
              <w:left w:val="single" w:sz="4" w:space="0" w:color="auto"/>
              <w:bottom w:val="nil"/>
              <w:right w:val="single" w:sz="4" w:space="0" w:color="auto"/>
            </w:tcBorders>
            <w:vAlign w:val="center"/>
            <w:hideMark/>
          </w:tcPr>
          <w:p w14:paraId="544549B9"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012A2F8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8.016</w:t>
            </w:r>
          </w:p>
        </w:tc>
        <w:tc>
          <w:tcPr>
            <w:tcW w:w="935" w:type="dxa"/>
            <w:tcBorders>
              <w:top w:val="nil"/>
              <w:left w:val="nil"/>
              <w:bottom w:val="single" w:sz="4" w:space="0" w:color="auto"/>
              <w:right w:val="nil"/>
            </w:tcBorders>
            <w:shd w:val="clear" w:color="auto" w:fill="auto"/>
            <w:noWrap/>
            <w:vAlign w:val="center"/>
            <w:hideMark/>
          </w:tcPr>
          <w:p w14:paraId="4A6D0D8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54ADC21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28FB2EC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8.016</w:t>
            </w:r>
          </w:p>
        </w:tc>
      </w:tr>
      <w:tr w:rsidR="00CC41BC" w:rsidRPr="006F5FDB" w14:paraId="716E3D05"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2C421F1A"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Virovitičko-podravska</w:t>
            </w:r>
          </w:p>
        </w:tc>
        <w:tc>
          <w:tcPr>
            <w:tcW w:w="973" w:type="dxa"/>
            <w:tcBorders>
              <w:top w:val="nil"/>
              <w:left w:val="nil"/>
              <w:bottom w:val="single" w:sz="4" w:space="0" w:color="auto"/>
              <w:right w:val="single" w:sz="4" w:space="0" w:color="auto"/>
            </w:tcBorders>
            <w:shd w:val="clear" w:color="auto" w:fill="auto"/>
            <w:noWrap/>
            <w:vAlign w:val="center"/>
            <w:hideMark/>
          </w:tcPr>
          <w:p w14:paraId="7FB000C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w:t>
            </w:r>
          </w:p>
        </w:tc>
        <w:tc>
          <w:tcPr>
            <w:tcW w:w="916" w:type="dxa"/>
            <w:vMerge/>
            <w:tcBorders>
              <w:top w:val="single" w:sz="8" w:space="0" w:color="auto"/>
              <w:left w:val="single" w:sz="4" w:space="0" w:color="auto"/>
              <w:bottom w:val="nil"/>
              <w:right w:val="single" w:sz="4" w:space="0" w:color="auto"/>
            </w:tcBorders>
            <w:vAlign w:val="center"/>
            <w:hideMark/>
          </w:tcPr>
          <w:p w14:paraId="1E1AFEC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0CACF78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4.114</w:t>
            </w:r>
          </w:p>
        </w:tc>
        <w:tc>
          <w:tcPr>
            <w:tcW w:w="935" w:type="dxa"/>
            <w:tcBorders>
              <w:top w:val="nil"/>
              <w:left w:val="nil"/>
              <w:bottom w:val="single" w:sz="4" w:space="0" w:color="auto"/>
              <w:right w:val="nil"/>
            </w:tcBorders>
            <w:shd w:val="clear" w:color="auto" w:fill="auto"/>
            <w:noWrap/>
            <w:vAlign w:val="center"/>
            <w:hideMark/>
          </w:tcPr>
          <w:p w14:paraId="62A0CAB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4D8D8BB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4A3514D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4.114</w:t>
            </w:r>
          </w:p>
        </w:tc>
      </w:tr>
      <w:tr w:rsidR="00CC41BC" w:rsidRPr="006F5FDB" w14:paraId="35FF892C"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2D27E7B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Vukovarsko-srijemska </w:t>
            </w:r>
          </w:p>
        </w:tc>
        <w:tc>
          <w:tcPr>
            <w:tcW w:w="973" w:type="dxa"/>
            <w:tcBorders>
              <w:top w:val="nil"/>
              <w:left w:val="nil"/>
              <w:bottom w:val="single" w:sz="4" w:space="0" w:color="auto"/>
              <w:right w:val="single" w:sz="4" w:space="0" w:color="auto"/>
            </w:tcBorders>
            <w:shd w:val="clear" w:color="auto" w:fill="auto"/>
            <w:noWrap/>
            <w:vAlign w:val="center"/>
            <w:hideMark/>
          </w:tcPr>
          <w:p w14:paraId="6EF258D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2,9%</w:t>
            </w:r>
          </w:p>
        </w:tc>
        <w:tc>
          <w:tcPr>
            <w:tcW w:w="916" w:type="dxa"/>
            <w:vMerge/>
            <w:tcBorders>
              <w:top w:val="single" w:sz="8" w:space="0" w:color="auto"/>
              <w:left w:val="single" w:sz="4" w:space="0" w:color="auto"/>
              <w:bottom w:val="nil"/>
              <w:right w:val="single" w:sz="4" w:space="0" w:color="auto"/>
            </w:tcBorders>
            <w:vAlign w:val="center"/>
            <w:hideMark/>
          </w:tcPr>
          <w:p w14:paraId="6246EA66"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559B312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9.070</w:t>
            </w:r>
          </w:p>
        </w:tc>
        <w:tc>
          <w:tcPr>
            <w:tcW w:w="935" w:type="dxa"/>
            <w:tcBorders>
              <w:top w:val="nil"/>
              <w:left w:val="nil"/>
              <w:bottom w:val="single" w:sz="4" w:space="0" w:color="auto"/>
              <w:right w:val="nil"/>
            </w:tcBorders>
            <w:shd w:val="clear" w:color="auto" w:fill="auto"/>
            <w:noWrap/>
            <w:vAlign w:val="center"/>
            <w:hideMark/>
          </w:tcPr>
          <w:p w14:paraId="3DBAA1A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3BD86BB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78AA3D5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9.070</w:t>
            </w:r>
          </w:p>
        </w:tc>
      </w:tr>
      <w:tr w:rsidR="00CC41BC" w:rsidRPr="006F5FDB" w14:paraId="1F7FC740"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273E25BE"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Zadarska </w:t>
            </w:r>
          </w:p>
        </w:tc>
        <w:tc>
          <w:tcPr>
            <w:tcW w:w="973" w:type="dxa"/>
            <w:tcBorders>
              <w:top w:val="nil"/>
              <w:left w:val="nil"/>
              <w:bottom w:val="single" w:sz="4" w:space="0" w:color="auto"/>
              <w:right w:val="single" w:sz="4" w:space="0" w:color="auto"/>
            </w:tcBorders>
            <w:shd w:val="clear" w:color="auto" w:fill="auto"/>
            <w:noWrap/>
            <w:vAlign w:val="center"/>
            <w:hideMark/>
          </w:tcPr>
          <w:p w14:paraId="163AABD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6,1%</w:t>
            </w:r>
          </w:p>
        </w:tc>
        <w:tc>
          <w:tcPr>
            <w:tcW w:w="916" w:type="dxa"/>
            <w:vMerge/>
            <w:tcBorders>
              <w:top w:val="single" w:sz="8" w:space="0" w:color="auto"/>
              <w:left w:val="single" w:sz="4" w:space="0" w:color="auto"/>
              <w:bottom w:val="nil"/>
              <w:right w:val="single" w:sz="4" w:space="0" w:color="auto"/>
            </w:tcBorders>
            <w:vAlign w:val="center"/>
            <w:hideMark/>
          </w:tcPr>
          <w:p w14:paraId="63DE107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592AB77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19.168</w:t>
            </w:r>
          </w:p>
        </w:tc>
        <w:tc>
          <w:tcPr>
            <w:tcW w:w="935" w:type="dxa"/>
            <w:tcBorders>
              <w:top w:val="nil"/>
              <w:left w:val="nil"/>
              <w:bottom w:val="single" w:sz="4" w:space="0" w:color="auto"/>
              <w:right w:val="nil"/>
            </w:tcBorders>
            <w:shd w:val="clear" w:color="auto" w:fill="auto"/>
            <w:noWrap/>
            <w:vAlign w:val="center"/>
            <w:hideMark/>
          </w:tcPr>
          <w:p w14:paraId="56CE25D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3D8E13A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0E95AFA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19.168</w:t>
            </w:r>
          </w:p>
        </w:tc>
      </w:tr>
      <w:tr w:rsidR="00CC41BC" w:rsidRPr="006F5FDB" w14:paraId="3B3767F9" w14:textId="77777777" w:rsidTr="000E10DF">
        <w:trPr>
          <w:trHeight w:val="170"/>
        </w:trPr>
        <w:tc>
          <w:tcPr>
            <w:tcW w:w="1948" w:type="dxa"/>
            <w:tcBorders>
              <w:top w:val="nil"/>
              <w:left w:val="single" w:sz="8" w:space="0" w:color="auto"/>
              <w:bottom w:val="nil"/>
              <w:right w:val="single" w:sz="4" w:space="0" w:color="auto"/>
            </w:tcBorders>
            <w:shd w:val="clear" w:color="auto" w:fill="auto"/>
            <w:noWrap/>
            <w:vAlign w:val="center"/>
            <w:hideMark/>
          </w:tcPr>
          <w:p w14:paraId="040B9D39"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Zagrebačka </w:t>
            </w:r>
          </w:p>
        </w:tc>
        <w:tc>
          <w:tcPr>
            <w:tcW w:w="973" w:type="dxa"/>
            <w:tcBorders>
              <w:top w:val="nil"/>
              <w:left w:val="nil"/>
              <w:bottom w:val="nil"/>
              <w:right w:val="single" w:sz="4" w:space="0" w:color="auto"/>
            </w:tcBorders>
            <w:shd w:val="clear" w:color="auto" w:fill="auto"/>
            <w:noWrap/>
            <w:vAlign w:val="center"/>
            <w:hideMark/>
          </w:tcPr>
          <w:p w14:paraId="4C9B454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6,4%</w:t>
            </w:r>
          </w:p>
        </w:tc>
        <w:tc>
          <w:tcPr>
            <w:tcW w:w="916" w:type="dxa"/>
            <w:vMerge/>
            <w:tcBorders>
              <w:top w:val="single" w:sz="8" w:space="0" w:color="auto"/>
              <w:left w:val="single" w:sz="4" w:space="0" w:color="auto"/>
              <w:bottom w:val="nil"/>
              <w:right w:val="single" w:sz="4" w:space="0" w:color="auto"/>
            </w:tcBorders>
            <w:vAlign w:val="center"/>
            <w:hideMark/>
          </w:tcPr>
          <w:p w14:paraId="7BBECAFA"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nil"/>
              <w:right w:val="single" w:sz="4" w:space="0" w:color="auto"/>
            </w:tcBorders>
            <w:shd w:val="clear" w:color="auto" w:fill="auto"/>
            <w:noWrap/>
            <w:vAlign w:val="center"/>
            <w:hideMark/>
          </w:tcPr>
          <w:p w14:paraId="617DCC8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20.110</w:t>
            </w:r>
          </w:p>
        </w:tc>
        <w:tc>
          <w:tcPr>
            <w:tcW w:w="935" w:type="dxa"/>
            <w:tcBorders>
              <w:top w:val="nil"/>
              <w:left w:val="nil"/>
              <w:bottom w:val="nil"/>
              <w:right w:val="nil"/>
            </w:tcBorders>
            <w:shd w:val="clear" w:color="auto" w:fill="auto"/>
            <w:noWrap/>
            <w:vAlign w:val="center"/>
            <w:hideMark/>
          </w:tcPr>
          <w:p w14:paraId="321B827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nil"/>
              <w:right w:val="single" w:sz="4" w:space="0" w:color="auto"/>
            </w:tcBorders>
            <w:shd w:val="clear" w:color="auto" w:fill="auto"/>
            <w:noWrap/>
            <w:vAlign w:val="center"/>
            <w:hideMark/>
          </w:tcPr>
          <w:p w14:paraId="64684CD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nil"/>
              <w:right w:val="single" w:sz="8" w:space="0" w:color="auto"/>
            </w:tcBorders>
            <w:shd w:val="clear" w:color="auto" w:fill="auto"/>
            <w:noWrap/>
            <w:vAlign w:val="center"/>
            <w:hideMark/>
          </w:tcPr>
          <w:p w14:paraId="1058D6D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20.110</w:t>
            </w:r>
          </w:p>
        </w:tc>
      </w:tr>
      <w:tr w:rsidR="00CC41BC" w:rsidRPr="006F5FDB" w14:paraId="6152F045" w14:textId="77777777" w:rsidTr="000E10DF">
        <w:trPr>
          <w:trHeight w:val="170"/>
        </w:trPr>
        <w:tc>
          <w:tcPr>
            <w:tcW w:w="3837"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79CA22F" w14:textId="77777777" w:rsidR="00CC41BC" w:rsidRPr="006F5FDB" w:rsidRDefault="00CC41BC" w:rsidP="00CC41BC">
            <w:pPr>
              <w:spacing w:after="0" w:line="240" w:lineRule="auto"/>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Ukupno</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14:paraId="2F06C00A"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314.071</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14:paraId="310206BE"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349.930</w:t>
            </w:r>
          </w:p>
        </w:tc>
        <w:tc>
          <w:tcPr>
            <w:tcW w:w="1018" w:type="dxa"/>
            <w:tcBorders>
              <w:top w:val="single" w:sz="8" w:space="0" w:color="auto"/>
              <w:left w:val="nil"/>
              <w:bottom w:val="single" w:sz="8" w:space="0" w:color="auto"/>
              <w:right w:val="single" w:sz="4" w:space="0" w:color="auto"/>
            </w:tcBorders>
            <w:shd w:val="clear" w:color="auto" w:fill="auto"/>
            <w:noWrap/>
            <w:vAlign w:val="center"/>
            <w:hideMark/>
          </w:tcPr>
          <w:p w14:paraId="35C968F6"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w:t>
            </w:r>
          </w:p>
        </w:tc>
        <w:tc>
          <w:tcPr>
            <w:tcW w:w="935" w:type="dxa"/>
            <w:tcBorders>
              <w:top w:val="single" w:sz="8" w:space="0" w:color="auto"/>
              <w:left w:val="nil"/>
              <w:bottom w:val="single" w:sz="8" w:space="0" w:color="auto"/>
              <w:right w:val="single" w:sz="8" w:space="0" w:color="auto"/>
            </w:tcBorders>
            <w:shd w:val="clear" w:color="auto" w:fill="auto"/>
            <w:noWrap/>
            <w:vAlign w:val="center"/>
            <w:hideMark/>
          </w:tcPr>
          <w:p w14:paraId="0ACC7937"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-35.859</w:t>
            </w:r>
          </w:p>
        </w:tc>
      </w:tr>
    </w:tbl>
    <w:p w14:paraId="2BBEBBE6" w14:textId="77777777" w:rsidR="00CC41BC" w:rsidRDefault="00CC41BC" w:rsidP="00A23664"/>
    <w:p w14:paraId="19088553" w14:textId="154022FC" w:rsidR="002F2E13" w:rsidRDefault="002F2E13" w:rsidP="001F0EBD">
      <w:pPr>
        <w:pStyle w:val="Tablica"/>
      </w:pPr>
      <w:bookmarkStart w:id="280" w:name="_Toc125364445"/>
      <w:r>
        <w:t xml:space="preserve">Tablica </w:t>
      </w:r>
      <w:fldSimple w:instr=" SEQ Tablica \* ARABIC ">
        <w:r w:rsidR="00F37B62">
          <w:rPr>
            <w:noProof/>
          </w:rPr>
          <w:t>56</w:t>
        </w:r>
      </w:fldSimple>
      <w:r>
        <w:t xml:space="preserve">. </w:t>
      </w:r>
      <w:r w:rsidRPr="00A23664">
        <w:rPr>
          <w:b w:val="0"/>
          <w:bCs/>
        </w:rPr>
        <w:t>Potre</w:t>
      </w:r>
      <w:r>
        <w:rPr>
          <w:b w:val="0"/>
          <w:bCs/>
        </w:rPr>
        <w:t xml:space="preserve">bni kapaciteti postrojenja za </w:t>
      </w:r>
      <w:r w:rsidR="003D214B">
        <w:rPr>
          <w:b w:val="0"/>
          <w:bCs/>
        </w:rPr>
        <w:t>recikliranje</w:t>
      </w:r>
      <w:r>
        <w:rPr>
          <w:b w:val="0"/>
          <w:bCs/>
        </w:rPr>
        <w:t xml:space="preserve"> papira </w:t>
      </w:r>
      <w:r w:rsidR="002B0726">
        <w:rPr>
          <w:b w:val="0"/>
          <w:bCs/>
        </w:rPr>
        <w:t xml:space="preserve">- </w:t>
      </w:r>
      <w:r>
        <w:rPr>
          <w:b w:val="0"/>
          <w:bCs/>
        </w:rPr>
        <w:t xml:space="preserve"> SCENARIJ 2</w:t>
      </w:r>
      <w:bookmarkEnd w:id="280"/>
    </w:p>
    <w:tbl>
      <w:tblPr>
        <w:tblW w:w="7660" w:type="dxa"/>
        <w:tblLook w:val="04A0" w:firstRow="1" w:lastRow="0" w:firstColumn="1" w:lastColumn="0" w:noHBand="0" w:noVBand="1"/>
      </w:tblPr>
      <w:tblGrid>
        <w:gridCol w:w="1948"/>
        <w:gridCol w:w="973"/>
        <w:gridCol w:w="916"/>
        <w:gridCol w:w="935"/>
        <w:gridCol w:w="935"/>
        <w:gridCol w:w="1018"/>
        <w:gridCol w:w="935"/>
      </w:tblGrid>
      <w:tr w:rsidR="00CC41BC" w:rsidRPr="006F5FDB" w14:paraId="4A946232" w14:textId="77777777" w:rsidTr="00A22739">
        <w:trPr>
          <w:trHeight w:val="170"/>
          <w:tblHeader/>
        </w:trPr>
        <w:tc>
          <w:tcPr>
            <w:tcW w:w="766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94BC368"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2028.-PAPIR-</w:t>
            </w:r>
          </w:p>
        </w:tc>
      </w:tr>
      <w:tr w:rsidR="00CC41BC" w:rsidRPr="006F5FDB" w14:paraId="44B2AC05" w14:textId="77777777" w:rsidTr="00A22739">
        <w:trPr>
          <w:trHeight w:val="170"/>
          <w:tblHeader/>
        </w:trPr>
        <w:tc>
          <w:tcPr>
            <w:tcW w:w="1948" w:type="dxa"/>
            <w:tcBorders>
              <w:top w:val="nil"/>
              <w:left w:val="single" w:sz="8" w:space="0" w:color="auto"/>
              <w:bottom w:val="single" w:sz="8" w:space="0" w:color="auto"/>
              <w:right w:val="single" w:sz="4" w:space="0" w:color="auto"/>
            </w:tcBorders>
            <w:shd w:val="clear" w:color="auto" w:fill="002060"/>
            <w:noWrap/>
            <w:vAlign w:val="center"/>
            <w:hideMark/>
          </w:tcPr>
          <w:p w14:paraId="3987E3D8"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Županija</w:t>
            </w:r>
          </w:p>
        </w:tc>
        <w:tc>
          <w:tcPr>
            <w:tcW w:w="973" w:type="dxa"/>
            <w:tcBorders>
              <w:top w:val="nil"/>
              <w:left w:val="nil"/>
              <w:bottom w:val="single" w:sz="8" w:space="0" w:color="auto"/>
              <w:right w:val="single" w:sz="4" w:space="0" w:color="auto"/>
            </w:tcBorders>
            <w:shd w:val="clear" w:color="auto" w:fill="002060"/>
            <w:vAlign w:val="center"/>
            <w:hideMark/>
          </w:tcPr>
          <w:p w14:paraId="2D3C9A7B"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Udio županije u ukupno skupljenoj količini KO</w:t>
            </w:r>
          </w:p>
        </w:tc>
        <w:tc>
          <w:tcPr>
            <w:tcW w:w="916" w:type="dxa"/>
            <w:tcBorders>
              <w:top w:val="nil"/>
              <w:left w:val="nil"/>
              <w:bottom w:val="single" w:sz="8" w:space="0" w:color="auto"/>
              <w:right w:val="single" w:sz="4" w:space="0" w:color="auto"/>
            </w:tcBorders>
            <w:shd w:val="clear" w:color="auto" w:fill="002060"/>
            <w:vAlign w:val="center"/>
            <w:hideMark/>
          </w:tcPr>
          <w:p w14:paraId="08FF1F54"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Ulaz u sustav reciklaže </w:t>
            </w:r>
            <w:r w:rsidRPr="006F5FDB">
              <w:rPr>
                <w:rFonts w:ascii="Calibri" w:eastAsia="Times New Roman" w:hAnsi="Calibri" w:cs="Calibri"/>
                <w:b/>
                <w:color w:val="FFFFFF" w:themeColor="background1"/>
                <w:sz w:val="16"/>
                <w:szCs w:val="16"/>
                <w:lang w:eastAsia="hr-HR"/>
              </w:rPr>
              <w:br/>
              <w:t>(t)</w:t>
            </w:r>
          </w:p>
        </w:tc>
        <w:tc>
          <w:tcPr>
            <w:tcW w:w="935" w:type="dxa"/>
            <w:tcBorders>
              <w:top w:val="nil"/>
              <w:left w:val="nil"/>
              <w:bottom w:val="single" w:sz="8" w:space="0" w:color="auto"/>
              <w:right w:val="single" w:sz="4" w:space="0" w:color="auto"/>
            </w:tcBorders>
            <w:shd w:val="clear" w:color="auto" w:fill="002060"/>
            <w:vAlign w:val="center"/>
            <w:hideMark/>
          </w:tcPr>
          <w:p w14:paraId="3E61874C"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Potrebni kapacitet</w:t>
            </w:r>
            <w:r w:rsidRPr="006F5FDB">
              <w:rPr>
                <w:rFonts w:ascii="Calibri" w:eastAsia="Times New Roman" w:hAnsi="Calibri" w:cs="Calibri"/>
                <w:b/>
                <w:color w:val="FFFFFF" w:themeColor="background1"/>
                <w:sz w:val="16"/>
                <w:szCs w:val="16"/>
                <w:lang w:eastAsia="hr-HR"/>
              </w:rPr>
              <w:br/>
              <w:t>(t)</w:t>
            </w:r>
          </w:p>
        </w:tc>
        <w:tc>
          <w:tcPr>
            <w:tcW w:w="935" w:type="dxa"/>
            <w:tcBorders>
              <w:top w:val="nil"/>
              <w:left w:val="nil"/>
              <w:bottom w:val="single" w:sz="8" w:space="0" w:color="auto"/>
              <w:right w:val="nil"/>
            </w:tcBorders>
            <w:shd w:val="clear" w:color="auto" w:fill="002060"/>
            <w:vAlign w:val="center"/>
            <w:hideMark/>
          </w:tcPr>
          <w:p w14:paraId="3E9047C6"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Ukupni kapacitet </w:t>
            </w:r>
            <w:r w:rsidRPr="006F5FDB">
              <w:rPr>
                <w:rFonts w:ascii="Calibri" w:eastAsia="Times New Roman" w:hAnsi="Calibri" w:cs="Calibri"/>
                <w:b/>
                <w:color w:val="FFFFFF" w:themeColor="background1"/>
                <w:sz w:val="16"/>
                <w:szCs w:val="16"/>
                <w:lang w:eastAsia="hr-HR"/>
              </w:rPr>
              <w:br/>
              <w:t>(t/god)</w:t>
            </w:r>
          </w:p>
        </w:tc>
        <w:tc>
          <w:tcPr>
            <w:tcW w:w="1018" w:type="dxa"/>
            <w:tcBorders>
              <w:top w:val="nil"/>
              <w:left w:val="single" w:sz="4" w:space="0" w:color="auto"/>
              <w:bottom w:val="single" w:sz="8" w:space="0" w:color="auto"/>
              <w:right w:val="nil"/>
            </w:tcBorders>
            <w:shd w:val="clear" w:color="auto" w:fill="002060"/>
            <w:vAlign w:val="center"/>
            <w:hideMark/>
          </w:tcPr>
          <w:p w14:paraId="401E569D"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Broj postrojenja</w:t>
            </w:r>
          </w:p>
        </w:tc>
        <w:tc>
          <w:tcPr>
            <w:tcW w:w="935" w:type="dxa"/>
            <w:tcBorders>
              <w:top w:val="nil"/>
              <w:left w:val="single" w:sz="4" w:space="0" w:color="auto"/>
              <w:bottom w:val="single" w:sz="8" w:space="0" w:color="auto"/>
              <w:right w:val="single" w:sz="8" w:space="0" w:color="auto"/>
            </w:tcBorders>
            <w:shd w:val="clear" w:color="auto" w:fill="002060"/>
            <w:vAlign w:val="center"/>
            <w:hideMark/>
          </w:tcPr>
          <w:p w14:paraId="66ED9D26"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Potrebni dodatni kapacitet </w:t>
            </w:r>
            <w:r w:rsidRPr="006F5FDB">
              <w:rPr>
                <w:rFonts w:ascii="Calibri" w:eastAsia="Times New Roman" w:hAnsi="Calibri" w:cs="Calibri"/>
                <w:b/>
                <w:color w:val="FFFFFF" w:themeColor="background1"/>
                <w:sz w:val="16"/>
                <w:szCs w:val="16"/>
                <w:lang w:eastAsia="hr-HR"/>
              </w:rPr>
              <w:br/>
              <w:t>(t/god)</w:t>
            </w:r>
          </w:p>
        </w:tc>
      </w:tr>
      <w:tr w:rsidR="00CC41BC" w:rsidRPr="006F5FDB" w14:paraId="3019519E"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157E2744"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Bjelovarsko-bilogorska</w:t>
            </w:r>
          </w:p>
        </w:tc>
        <w:tc>
          <w:tcPr>
            <w:tcW w:w="973" w:type="dxa"/>
            <w:tcBorders>
              <w:top w:val="nil"/>
              <w:left w:val="nil"/>
              <w:bottom w:val="single" w:sz="4" w:space="0" w:color="auto"/>
              <w:right w:val="single" w:sz="4" w:space="0" w:color="auto"/>
            </w:tcBorders>
            <w:shd w:val="clear" w:color="auto" w:fill="auto"/>
            <w:noWrap/>
            <w:vAlign w:val="center"/>
            <w:hideMark/>
          </w:tcPr>
          <w:p w14:paraId="23B5215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1,6%</w:t>
            </w:r>
          </w:p>
        </w:tc>
        <w:tc>
          <w:tcPr>
            <w:tcW w:w="916" w:type="dxa"/>
            <w:vMerge w:val="restart"/>
            <w:tcBorders>
              <w:top w:val="nil"/>
              <w:left w:val="single" w:sz="4" w:space="0" w:color="auto"/>
              <w:bottom w:val="single" w:sz="4" w:space="0" w:color="auto"/>
              <w:right w:val="single" w:sz="4" w:space="0" w:color="auto"/>
            </w:tcBorders>
            <w:shd w:val="clear" w:color="auto" w:fill="auto"/>
            <w:vAlign w:val="center"/>
            <w:hideMark/>
          </w:tcPr>
          <w:p w14:paraId="76CBCA1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282.018</w:t>
            </w:r>
          </w:p>
        </w:tc>
        <w:tc>
          <w:tcPr>
            <w:tcW w:w="935" w:type="dxa"/>
            <w:tcBorders>
              <w:top w:val="nil"/>
              <w:left w:val="nil"/>
              <w:bottom w:val="single" w:sz="4" w:space="0" w:color="auto"/>
              <w:right w:val="single" w:sz="4" w:space="0" w:color="auto"/>
            </w:tcBorders>
            <w:shd w:val="clear" w:color="auto" w:fill="auto"/>
            <w:noWrap/>
            <w:vAlign w:val="center"/>
            <w:hideMark/>
          </w:tcPr>
          <w:p w14:paraId="0314878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4.502</w:t>
            </w:r>
          </w:p>
        </w:tc>
        <w:tc>
          <w:tcPr>
            <w:tcW w:w="935" w:type="dxa"/>
            <w:tcBorders>
              <w:top w:val="nil"/>
              <w:left w:val="nil"/>
              <w:bottom w:val="single" w:sz="4" w:space="0" w:color="auto"/>
              <w:right w:val="single" w:sz="4" w:space="0" w:color="auto"/>
            </w:tcBorders>
            <w:shd w:val="clear" w:color="auto" w:fill="auto"/>
            <w:noWrap/>
            <w:vAlign w:val="center"/>
            <w:hideMark/>
          </w:tcPr>
          <w:p w14:paraId="45A048A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310FAC6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41568AD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4.502</w:t>
            </w:r>
          </w:p>
        </w:tc>
      </w:tr>
      <w:tr w:rsidR="00CC41BC" w:rsidRPr="006F5FDB" w14:paraId="5B1AEB57"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565CE95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Brodsko-posavska</w:t>
            </w:r>
          </w:p>
        </w:tc>
        <w:tc>
          <w:tcPr>
            <w:tcW w:w="973" w:type="dxa"/>
            <w:tcBorders>
              <w:top w:val="nil"/>
              <w:left w:val="nil"/>
              <w:bottom w:val="single" w:sz="4" w:space="0" w:color="auto"/>
              <w:right w:val="single" w:sz="4" w:space="0" w:color="auto"/>
            </w:tcBorders>
            <w:shd w:val="clear" w:color="auto" w:fill="auto"/>
            <w:noWrap/>
            <w:vAlign w:val="center"/>
            <w:hideMark/>
          </w:tcPr>
          <w:p w14:paraId="4571CC9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w:t>
            </w:r>
          </w:p>
        </w:tc>
        <w:tc>
          <w:tcPr>
            <w:tcW w:w="916" w:type="dxa"/>
            <w:vMerge/>
            <w:tcBorders>
              <w:top w:val="nil"/>
              <w:left w:val="single" w:sz="4" w:space="0" w:color="auto"/>
              <w:bottom w:val="single" w:sz="4" w:space="0" w:color="auto"/>
              <w:right w:val="single" w:sz="4" w:space="0" w:color="auto"/>
            </w:tcBorders>
            <w:vAlign w:val="center"/>
            <w:hideMark/>
          </w:tcPr>
          <w:p w14:paraId="39C25F9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70DB3B6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5.771</w:t>
            </w:r>
          </w:p>
        </w:tc>
        <w:tc>
          <w:tcPr>
            <w:tcW w:w="935" w:type="dxa"/>
            <w:tcBorders>
              <w:top w:val="nil"/>
              <w:left w:val="nil"/>
              <w:bottom w:val="single" w:sz="4" w:space="0" w:color="auto"/>
              <w:right w:val="single" w:sz="4" w:space="0" w:color="auto"/>
            </w:tcBorders>
            <w:shd w:val="clear" w:color="auto" w:fill="auto"/>
            <w:noWrap/>
            <w:vAlign w:val="center"/>
            <w:hideMark/>
          </w:tcPr>
          <w:p w14:paraId="258242F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1150F83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6A4E5B8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5.771</w:t>
            </w:r>
          </w:p>
        </w:tc>
      </w:tr>
      <w:tr w:rsidR="00CC41BC" w:rsidRPr="006F5FDB" w14:paraId="148A0D8F"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32C34E82"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973" w:type="dxa"/>
            <w:tcBorders>
              <w:top w:val="nil"/>
              <w:left w:val="nil"/>
              <w:bottom w:val="single" w:sz="4" w:space="0" w:color="auto"/>
              <w:right w:val="single" w:sz="4" w:space="0" w:color="auto"/>
            </w:tcBorders>
            <w:shd w:val="clear" w:color="auto" w:fill="auto"/>
            <w:noWrap/>
            <w:vAlign w:val="center"/>
            <w:hideMark/>
          </w:tcPr>
          <w:p w14:paraId="09A7AC4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3,9%</w:t>
            </w:r>
          </w:p>
        </w:tc>
        <w:tc>
          <w:tcPr>
            <w:tcW w:w="916" w:type="dxa"/>
            <w:vMerge/>
            <w:tcBorders>
              <w:top w:val="nil"/>
              <w:left w:val="single" w:sz="4" w:space="0" w:color="auto"/>
              <w:bottom w:val="single" w:sz="4" w:space="0" w:color="auto"/>
              <w:right w:val="single" w:sz="4" w:space="0" w:color="auto"/>
            </w:tcBorders>
            <w:vAlign w:val="center"/>
            <w:hideMark/>
          </w:tcPr>
          <w:p w14:paraId="00887AC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0EDB087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11.003</w:t>
            </w:r>
          </w:p>
        </w:tc>
        <w:tc>
          <w:tcPr>
            <w:tcW w:w="935" w:type="dxa"/>
            <w:tcBorders>
              <w:top w:val="nil"/>
              <w:left w:val="nil"/>
              <w:bottom w:val="single" w:sz="4" w:space="0" w:color="auto"/>
              <w:right w:val="single" w:sz="4" w:space="0" w:color="auto"/>
            </w:tcBorders>
            <w:shd w:val="clear" w:color="auto" w:fill="auto"/>
            <w:noWrap/>
            <w:vAlign w:val="center"/>
            <w:hideMark/>
          </w:tcPr>
          <w:p w14:paraId="03E0DE2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64B84FF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0DE13A6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11.003</w:t>
            </w:r>
          </w:p>
        </w:tc>
      </w:tr>
      <w:tr w:rsidR="00CC41BC" w:rsidRPr="006F5FDB" w14:paraId="0BFA4659"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0F36EAC3"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w:t>
            </w:r>
          </w:p>
        </w:tc>
        <w:tc>
          <w:tcPr>
            <w:tcW w:w="973" w:type="dxa"/>
            <w:tcBorders>
              <w:top w:val="nil"/>
              <w:left w:val="nil"/>
              <w:bottom w:val="single" w:sz="4" w:space="0" w:color="auto"/>
              <w:right w:val="single" w:sz="4" w:space="0" w:color="auto"/>
            </w:tcBorders>
            <w:shd w:val="clear" w:color="auto" w:fill="auto"/>
            <w:noWrap/>
            <w:vAlign w:val="center"/>
            <w:hideMark/>
          </w:tcPr>
          <w:p w14:paraId="48D8FD1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19,8%</w:t>
            </w:r>
          </w:p>
        </w:tc>
        <w:tc>
          <w:tcPr>
            <w:tcW w:w="916" w:type="dxa"/>
            <w:vMerge/>
            <w:tcBorders>
              <w:top w:val="nil"/>
              <w:left w:val="single" w:sz="4" w:space="0" w:color="auto"/>
              <w:bottom w:val="single" w:sz="4" w:space="0" w:color="auto"/>
              <w:right w:val="single" w:sz="4" w:space="0" w:color="auto"/>
            </w:tcBorders>
            <w:vAlign w:val="center"/>
            <w:hideMark/>
          </w:tcPr>
          <w:p w14:paraId="4771B19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6FB7F3E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55.699</w:t>
            </w:r>
          </w:p>
        </w:tc>
        <w:tc>
          <w:tcPr>
            <w:tcW w:w="935" w:type="dxa"/>
            <w:tcBorders>
              <w:top w:val="nil"/>
              <w:left w:val="nil"/>
              <w:bottom w:val="single" w:sz="4" w:space="0" w:color="auto"/>
              <w:right w:val="single" w:sz="4" w:space="0" w:color="auto"/>
            </w:tcBorders>
            <w:shd w:val="clear" w:color="auto" w:fill="auto"/>
            <w:noWrap/>
            <w:vAlign w:val="center"/>
            <w:hideMark/>
          </w:tcPr>
          <w:p w14:paraId="7F15E32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05B7319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5FF66E8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55.699</w:t>
            </w:r>
          </w:p>
        </w:tc>
      </w:tr>
      <w:tr w:rsidR="00CC41BC" w:rsidRPr="006F5FDB" w14:paraId="3D1D2EE5"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1B6984F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Istarska </w:t>
            </w:r>
          </w:p>
        </w:tc>
        <w:tc>
          <w:tcPr>
            <w:tcW w:w="973" w:type="dxa"/>
            <w:tcBorders>
              <w:top w:val="nil"/>
              <w:left w:val="nil"/>
              <w:bottom w:val="single" w:sz="4" w:space="0" w:color="auto"/>
              <w:right w:val="single" w:sz="4" w:space="0" w:color="auto"/>
            </w:tcBorders>
            <w:shd w:val="clear" w:color="auto" w:fill="auto"/>
            <w:noWrap/>
            <w:vAlign w:val="center"/>
            <w:hideMark/>
          </w:tcPr>
          <w:p w14:paraId="3A1FFB1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7,5%</w:t>
            </w:r>
          </w:p>
        </w:tc>
        <w:tc>
          <w:tcPr>
            <w:tcW w:w="916" w:type="dxa"/>
            <w:vMerge/>
            <w:tcBorders>
              <w:top w:val="nil"/>
              <w:left w:val="single" w:sz="4" w:space="0" w:color="auto"/>
              <w:bottom w:val="single" w:sz="4" w:space="0" w:color="auto"/>
              <w:right w:val="single" w:sz="4" w:space="0" w:color="auto"/>
            </w:tcBorders>
            <w:vAlign w:val="center"/>
            <w:hideMark/>
          </w:tcPr>
          <w:p w14:paraId="77F13E2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7CEA6E5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21.015</w:t>
            </w:r>
          </w:p>
        </w:tc>
        <w:tc>
          <w:tcPr>
            <w:tcW w:w="935" w:type="dxa"/>
            <w:tcBorders>
              <w:top w:val="nil"/>
              <w:left w:val="nil"/>
              <w:bottom w:val="single" w:sz="4" w:space="0" w:color="auto"/>
              <w:right w:val="single" w:sz="4" w:space="0" w:color="auto"/>
            </w:tcBorders>
            <w:shd w:val="clear" w:color="auto" w:fill="auto"/>
            <w:noWrap/>
            <w:vAlign w:val="center"/>
            <w:hideMark/>
          </w:tcPr>
          <w:p w14:paraId="489778A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75FBE33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5B49E68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21.015</w:t>
            </w:r>
          </w:p>
        </w:tc>
      </w:tr>
      <w:tr w:rsidR="00CC41BC" w:rsidRPr="006F5FDB" w14:paraId="0BF16C86"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239CD1F9"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Karlovačka </w:t>
            </w:r>
          </w:p>
        </w:tc>
        <w:tc>
          <w:tcPr>
            <w:tcW w:w="973" w:type="dxa"/>
            <w:tcBorders>
              <w:top w:val="nil"/>
              <w:left w:val="nil"/>
              <w:bottom w:val="single" w:sz="4" w:space="0" w:color="auto"/>
              <w:right w:val="single" w:sz="4" w:space="0" w:color="auto"/>
            </w:tcBorders>
            <w:shd w:val="clear" w:color="auto" w:fill="auto"/>
            <w:noWrap/>
            <w:vAlign w:val="center"/>
            <w:hideMark/>
          </w:tcPr>
          <w:p w14:paraId="522FFB9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2,5%</w:t>
            </w:r>
          </w:p>
        </w:tc>
        <w:tc>
          <w:tcPr>
            <w:tcW w:w="916" w:type="dxa"/>
            <w:vMerge/>
            <w:tcBorders>
              <w:top w:val="nil"/>
              <w:left w:val="single" w:sz="4" w:space="0" w:color="auto"/>
              <w:bottom w:val="single" w:sz="4" w:space="0" w:color="auto"/>
              <w:right w:val="single" w:sz="4" w:space="0" w:color="auto"/>
            </w:tcBorders>
            <w:vAlign w:val="center"/>
            <w:hideMark/>
          </w:tcPr>
          <w:p w14:paraId="15D30022"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5AB8E80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6.956</w:t>
            </w:r>
          </w:p>
        </w:tc>
        <w:tc>
          <w:tcPr>
            <w:tcW w:w="935" w:type="dxa"/>
            <w:tcBorders>
              <w:top w:val="nil"/>
              <w:left w:val="nil"/>
              <w:bottom w:val="single" w:sz="4" w:space="0" w:color="auto"/>
              <w:right w:val="single" w:sz="4" w:space="0" w:color="auto"/>
            </w:tcBorders>
            <w:shd w:val="clear" w:color="auto" w:fill="auto"/>
            <w:noWrap/>
            <w:vAlign w:val="center"/>
            <w:hideMark/>
          </w:tcPr>
          <w:p w14:paraId="02A9251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2DFFA13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42D8A2F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6.956</w:t>
            </w:r>
          </w:p>
        </w:tc>
      </w:tr>
      <w:tr w:rsidR="00CC41BC" w:rsidRPr="006F5FDB" w14:paraId="5F6F3900"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47DD1564"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Koprivničko-križevačka</w:t>
            </w:r>
          </w:p>
        </w:tc>
        <w:tc>
          <w:tcPr>
            <w:tcW w:w="973" w:type="dxa"/>
            <w:tcBorders>
              <w:top w:val="nil"/>
              <w:left w:val="nil"/>
              <w:bottom w:val="single" w:sz="4" w:space="0" w:color="auto"/>
              <w:right w:val="single" w:sz="4" w:space="0" w:color="auto"/>
            </w:tcBorders>
            <w:shd w:val="clear" w:color="auto" w:fill="auto"/>
            <w:noWrap/>
            <w:vAlign w:val="center"/>
            <w:hideMark/>
          </w:tcPr>
          <w:p w14:paraId="078A667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w:t>
            </w:r>
          </w:p>
        </w:tc>
        <w:tc>
          <w:tcPr>
            <w:tcW w:w="916" w:type="dxa"/>
            <w:vMerge/>
            <w:tcBorders>
              <w:top w:val="nil"/>
              <w:left w:val="single" w:sz="4" w:space="0" w:color="auto"/>
              <w:bottom w:val="single" w:sz="4" w:space="0" w:color="auto"/>
              <w:right w:val="single" w:sz="4" w:space="0" w:color="auto"/>
            </w:tcBorders>
            <w:vAlign w:val="center"/>
            <w:hideMark/>
          </w:tcPr>
          <w:p w14:paraId="63897B21"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2C459F0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4.839</w:t>
            </w:r>
          </w:p>
        </w:tc>
        <w:tc>
          <w:tcPr>
            <w:tcW w:w="935" w:type="dxa"/>
            <w:tcBorders>
              <w:top w:val="nil"/>
              <w:left w:val="nil"/>
              <w:bottom w:val="single" w:sz="4" w:space="0" w:color="auto"/>
              <w:right w:val="single" w:sz="4" w:space="0" w:color="auto"/>
            </w:tcBorders>
            <w:shd w:val="clear" w:color="auto" w:fill="auto"/>
            <w:noWrap/>
            <w:vAlign w:val="center"/>
            <w:hideMark/>
          </w:tcPr>
          <w:p w14:paraId="05F24A3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29.930</w:t>
            </w:r>
          </w:p>
        </w:tc>
        <w:tc>
          <w:tcPr>
            <w:tcW w:w="1018" w:type="dxa"/>
            <w:tcBorders>
              <w:top w:val="nil"/>
              <w:left w:val="nil"/>
              <w:bottom w:val="single" w:sz="4" w:space="0" w:color="auto"/>
              <w:right w:val="single" w:sz="4" w:space="0" w:color="auto"/>
            </w:tcBorders>
            <w:shd w:val="clear" w:color="auto" w:fill="auto"/>
            <w:noWrap/>
            <w:vAlign w:val="center"/>
            <w:hideMark/>
          </w:tcPr>
          <w:p w14:paraId="3B164A8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w:t>
            </w:r>
          </w:p>
        </w:tc>
        <w:tc>
          <w:tcPr>
            <w:tcW w:w="935" w:type="dxa"/>
            <w:tcBorders>
              <w:top w:val="nil"/>
              <w:left w:val="nil"/>
              <w:bottom w:val="single" w:sz="4" w:space="0" w:color="auto"/>
              <w:right w:val="single" w:sz="8" w:space="0" w:color="auto"/>
            </w:tcBorders>
            <w:shd w:val="clear" w:color="auto" w:fill="auto"/>
            <w:noWrap/>
            <w:vAlign w:val="center"/>
            <w:hideMark/>
          </w:tcPr>
          <w:p w14:paraId="613593A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-25.091</w:t>
            </w:r>
          </w:p>
        </w:tc>
      </w:tr>
      <w:tr w:rsidR="00CC41BC" w:rsidRPr="006F5FDB" w14:paraId="527E8B95"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48EA9715"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w:t>
            </w:r>
          </w:p>
        </w:tc>
        <w:tc>
          <w:tcPr>
            <w:tcW w:w="973" w:type="dxa"/>
            <w:tcBorders>
              <w:top w:val="nil"/>
              <w:left w:val="nil"/>
              <w:bottom w:val="single" w:sz="4" w:space="0" w:color="auto"/>
              <w:right w:val="single" w:sz="4" w:space="0" w:color="auto"/>
            </w:tcBorders>
            <w:shd w:val="clear" w:color="auto" w:fill="auto"/>
            <w:noWrap/>
            <w:vAlign w:val="center"/>
            <w:hideMark/>
          </w:tcPr>
          <w:p w14:paraId="6AB2D18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w:t>
            </w:r>
          </w:p>
        </w:tc>
        <w:tc>
          <w:tcPr>
            <w:tcW w:w="916" w:type="dxa"/>
            <w:vMerge/>
            <w:tcBorders>
              <w:top w:val="nil"/>
              <w:left w:val="single" w:sz="4" w:space="0" w:color="auto"/>
              <w:bottom w:val="single" w:sz="4" w:space="0" w:color="auto"/>
              <w:right w:val="single" w:sz="4" w:space="0" w:color="auto"/>
            </w:tcBorders>
            <w:vAlign w:val="center"/>
            <w:hideMark/>
          </w:tcPr>
          <w:p w14:paraId="691DEEA7"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3C59741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4.881</w:t>
            </w:r>
          </w:p>
        </w:tc>
        <w:tc>
          <w:tcPr>
            <w:tcW w:w="935" w:type="dxa"/>
            <w:tcBorders>
              <w:top w:val="nil"/>
              <w:left w:val="nil"/>
              <w:bottom w:val="single" w:sz="4" w:space="0" w:color="auto"/>
              <w:right w:val="single" w:sz="4" w:space="0" w:color="auto"/>
            </w:tcBorders>
            <w:shd w:val="clear" w:color="auto" w:fill="auto"/>
            <w:noWrap/>
            <w:vAlign w:val="center"/>
            <w:hideMark/>
          </w:tcPr>
          <w:p w14:paraId="4EC7F7D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687AD5C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4B673C3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4.881</w:t>
            </w:r>
          </w:p>
        </w:tc>
      </w:tr>
      <w:tr w:rsidR="00CC41BC" w:rsidRPr="006F5FDB" w14:paraId="3DF010D5"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5BBDBF66"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Ličko-senjska </w:t>
            </w:r>
          </w:p>
        </w:tc>
        <w:tc>
          <w:tcPr>
            <w:tcW w:w="973" w:type="dxa"/>
            <w:tcBorders>
              <w:top w:val="nil"/>
              <w:left w:val="nil"/>
              <w:bottom w:val="single" w:sz="4" w:space="0" w:color="auto"/>
              <w:right w:val="single" w:sz="4" w:space="0" w:color="auto"/>
            </w:tcBorders>
            <w:shd w:val="clear" w:color="auto" w:fill="auto"/>
            <w:noWrap/>
            <w:vAlign w:val="center"/>
            <w:hideMark/>
          </w:tcPr>
          <w:p w14:paraId="196497F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w:t>
            </w:r>
          </w:p>
        </w:tc>
        <w:tc>
          <w:tcPr>
            <w:tcW w:w="916" w:type="dxa"/>
            <w:vMerge/>
            <w:tcBorders>
              <w:top w:val="nil"/>
              <w:left w:val="single" w:sz="4" w:space="0" w:color="auto"/>
              <w:bottom w:val="single" w:sz="4" w:space="0" w:color="auto"/>
              <w:right w:val="single" w:sz="4" w:space="0" w:color="auto"/>
            </w:tcBorders>
            <w:vAlign w:val="center"/>
            <w:hideMark/>
          </w:tcPr>
          <w:p w14:paraId="432634B2"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2BC06E5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4.189</w:t>
            </w:r>
          </w:p>
        </w:tc>
        <w:tc>
          <w:tcPr>
            <w:tcW w:w="935" w:type="dxa"/>
            <w:tcBorders>
              <w:top w:val="nil"/>
              <w:left w:val="nil"/>
              <w:bottom w:val="single" w:sz="4" w:space="0" w:color="auto"/>
              <w:right w:val="single" w:sz="4" w:space="0" w:color="auto"/>
            </w:tcBorders>
            <w:shd w:val="clear" w:color="auto" w:fill="auto"/>
            <w:noWrap/>
            <w:vAlign w:val="center"/>
            <w:hideMark/>
          </w:tcPr>
          <w:p w14:paraId="105541F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31CF819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00AB127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4.189</w:t>
            </w:r>
          </w:p>
        </w:tc>
      </w:tr>
      <w:tr w:rsidR="00CC41BC" w:rsidRPr="006F5FDB" w14:paraId="0C10A6F2"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3DC29EA9"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lastRenderedPageBreak/>
              <w:t xml:space="preserve">Međimurska </w:t>
            </w:r>
          </w:p>
        </w:tc>
        <w:tc>
          <w:tcPr>
            <w:tcW w:w="973" w:type="dxa"/>
            <w:tcBorders>
              <w:top w:val="nil"/>
              <w:left w:val="nil"/>
              <w:bottom w:val="single" w:sz="4" w:space="0" w:color="auto"/>
              <w:right w:val="single" w:sz="4" w:space="0" w:color="auto"/>
            </w:tcBorders>
            <w:shd w:val="clear" w:color="auto" w:fill="auto"/>
            <w:noWrap/>
            <w:vAlign w:val="center"/>
            <w:hideMark/>
          </w:tcPr>
          <w:p w14:paraId="6E4D922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2,6%</w:t>
            </w:r>
          </w:p>
        </w:tc>
        <w:tc>
          <w:tcPr>
            <w:tcW w:w="916" w:type="dxa"/>
            <w:vMerge/>
            <w:tcBorders>
              <w:top w:val="nil"/>
              <w:left w:val="single" w:sz="4" w:space="0" w:color="auto"/>
              <w:bottom w:val="single" w:sz="4" w:space="0" w:color="auto"/>
              <w:right w:val="single" w:sz="4" w:space="0" w:color="auto"/>
            </w:tcBorders>
            <w:vAlign w:val="center"/>
            <w:hideMark/>
          </w:tcPr>
          <w:p w14:paraId="30EDF84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345AA88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7.388</w:t>
            </w:r>
          </w:p>
        </w:tc>
        <w:tc>
          <w:tcPr>
            <w:tcW w:w="935" w:type="dxa"/>
            <w:tcBorders>
              <w:top w:val="nil"/>
              <w:left w:val="nil"/>
              <w:bottom w:val="single" w:sz="4" w:space="0" w:color="auto"/>
              <w:right w:val="single" w:sz="4" w:space="0" w:color="auto"/>
            </w:tcBorders>
            <w:shd w:val="clear" w:color="auto" w:fill="auto"/>
            <w:noWrap/>
            <w:vAlign w:val="center"/>
            <w:hideMark/>
          </w:tcPr>
          <w:p w14:paraId="14FF98F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2C9ADF8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4C7DAAD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7.388</w:t>
            </w:r>
          </w:p>
        </w:tc>
      </w:tr>
      <w:tr w:rsidR="00CC41BC" w:rsidRPr="006F5FDB" w14:paraId="224108F4"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75E15067"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Osječko-baranjska </w:t>
            </w:r>
          </w:p>
        </w:tc>
        <w:tc>
          <w:tcPr>
            <w:tcW w:w="973" w:type="dxa"/>
            <w:tcBorders>
              <w:top w:val="nil"/>
              <w:left w:val="nil"/>
              <w:bottom w:val="single" w:sz="4" w:space="0" w:color="auto"/>
              <w:right w:val="single" w:sz="4" w:space="0" w:color="auto"/>
            </w:tcBorders>
            <w:shd w:val="clear" w:color="auto" w:fill="auto"/>
            <w:noWrap/>
            <w:vAlign w:val="center"/>
            <w:hideMark/>
          </w:tcPr>
          <w:p w14:paraId="5FD66BF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5,1%</w:t>
            </w:r>
          </w:p>
        </w:tc>
        <w:tc>
          <w:tcPr>
            <w:tcW w:w="916" w:type="dxa"/>
            <w:vMerge/>
            <w:tcBorders>
              <w:top w:val="nil"/>
              <w:left w:val="single" w:sz="4" w:space="0" w:color="auto"/>
              <w:bottom w:val="single" w:sz="4" w:space="0" w:color="auto"/>
              <w:right w:val="single" w:sz="4" w:space="0" w:color="auto"/>
            </w:tcBorders>
            <w:vAlign w:val="center"/>
            <w:hideMark/>
          </w:tcPr>
          <w:p w14:paraId="3FF9AA64"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680AA43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14.245</w:t>
            </w:r>
          </w:p>
        </w:tc>
        <w:tc>
          <w:tcPr>
            <w:tcW w:w="935" w:type="dxa"/>
            <w:tcBorders>
              <w:top w:val="nil"/>
              <w:left w:val="nil"/>
              <w:bottom w:val="single" w:sz="4" w:space="0" w:color="auto"/>
              <w:right w:val="single" w:sz="4" w:space="0" w:color="auto"/>
            </w:tcBorders>
            <w:shd w:val="clear" w:color="auto" w:fill="auto"/>
            <w:noWrap/>
            <w:vAlign w:val="center"/>
            <w:hideMark/>
          </w:tcPr>
          <w:p w14:paraId="7B4B467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320.000</w:t>
            </w:r>
          </w:p>
        </w:tc>
        <w:tc>
          <w:tcPr>
            <w:tcW w:w="1018" w:type="dxa"/>
            <w:tcBorders>
              <w:top w:val="nil"/>
              <w:left w:val="nil"/>
              <w:bottom w:val="single" w:sz="4" w:space="0" w:color="auto"/>
              <w:right w:val="single" w:sz="4" w:space="0" w:color="auto"/>
            </w:tcBorders>
            <w:shd w:val="clear" w:color="auto" w:fill="auto"/>
            <w:noWrap/>
            <w:vAlign w:val="center"/>
            <w:hideMark/>
          </w:tcPr>
          <w:p w14:paraId="11DB5E0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w:t>
            </w:r>
          </w:p>
        </w:tc>
        <w:tc>
          <w:tcPr>
            <w:tcW w:w="935" w:type="dxa"/>
            <w:tcBorders>
              <w:top w:val="nil"/>
              <w:left w:val="nil"/>
              <w:bottom w:val="single" w:sz="4" w:space="0" w:color="auto"/>
              <w:right w:val="single" w:sz="8" w:space="0" w:color="auto"/>
            </w:tcBorders>
            <w:shd w:val="clear" w:color="auto" w:fill="auto"/>
            <w:noWrap/>
            <w:vAlign w:val="center"/>
            <w:hideMark/>
          </w:tcPr>
          <w:p w14:paraId="27B33D3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-305.755</w:t>
            </w:r>
          </w:p>
        </w:tc>
      </w:tr>
      <w:tr w:rsidR="00CC41BC" w:rsidRPr="006F5FDB" w14:paraId="57685692"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3401508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w:t>
            </w:r>
          </w:p>
        </w:tc>
        <w:tc>
          <w:tcPr>
            <w:tcW w:w="973" w:type="dxa"/>
            <w:tcBorders>
              <w:top w:val="nil"/>
              <w:left w:val="nil"/>
              <w:bottom w:val="single" w:sz="4" w:space="0" w:color="auto"/>
              <w:right w:val="single" w:sz="4" w:space="0" w:color="auto"/>
            </w:tcBorders>
            <w:shd w:val="clear" w:color="auto" w:fill="auto"/>
            <w:noWrap/>
            <w:vAlign w:val="center"/>
            <w:hideMark/>
          </w:tcPr>
          <w:p w14:paraId="317B4DB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w:t>
            </w:r>
          </w:p>
        </w:tc>
        <w:tc>
          <w:tcPr>
            <w:tcW w:w="916" w:type="dxa"/>
            <w:vMerge/>
            <w:tcBorders>
              <w:top w:val="nil"/>
              <w:left w:val="single" w:sz="4" w:space="0" w:color="auto"/>
              <w:bottom w:val="single" w:sz="4" w:space="0" w:color="auto"/>
              <w:right w:val="single" w:sz="4" w:space="0" w:color="auto"/>
            </w:tcBorders>
            <w:vAlign w:val="center"/>
            <w:hideMark/>
          </w:tcPr>
          <w:p w14:paraId="62615D4A"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4C44CAB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2.706</w:t>
            </w:r>
          </w:p>
        </w:tc>
        <w:tc>
          <w:tcPr>
            <w:tcW w:w="935" w:type="dxa"/>
            <w:tcBorders>
              <w:top w:val="nil"/>
              <w:left w:val="nil"/>
              <w:bottom w:val="single" w:sz="4" w:space="0" w:color="auto"/>
              <w:right w:val="single" w:sz="4" w:space="0" w:color="auto"/>
            </w:tcBorders>
            <w:shd w:val="clear" w:color="auto" w:fill="auto"/>
            <w:noWrap/>
            <w:vAlign w:val="center"/>
            <w:hideMark/>
          </w:tcPr>
          <w:p w14:paraId="0622428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6B5ED94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30C3823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2.706</w:t>
            </w:r>
          </w:p>
        </w:tc>
      </w:tr>
      <w:tr w:rsidR="00CC41BC" w:rsidRPr="006F5FDB" w14:paraId="7E710DB7"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58CDF4E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Primorsko-goranska </w:t>
            </w:r>
          </w:p>
        </w:tc>
        <w:tc>
          <w:tcPr>
            <w:tcW w:w="973" w:type="dxa"/>
            <w:tcBorders>
              <w:top w:val="nil"/>
              <w:left w:val="nil"/>
              <w:bottom w:val="single" w:sz="4" w:space="0" w:color="auto"/>
              <w:right w:val="single" w:sz="4" w:space="0" w:color="auto"/>
            </w:tcBorders>
            <w:shd w:val="clear" w:color="auto" w:fill="auto"/>
            <w:noWrap/>
            <w:vAlign w:val="center"/>
            <w:hideMark/>
          </w:tcPr>
          <w:p w14:paraId="7039484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9,7%</w:t>
            </w:r>
          </w:p>
        </w:tc>
        <w:tc>
          <w:tcPr>
            <w:tcW w:w="916" w:type="dxa"/>
            <w:vMerge/>
            <w:tcBorders>
              <w:top w:val="nil"/>
              <w:left w:val="single" w:sz="4" w:space="0" w:color="auto"/>
              <w:bottom w:val="single" w:sz="4" w:space="0" w:color="auto"/>
              <w:right w:val="single" w:sz="4" w:space="0" w:color="auto"/>
            </w:tcBorders>
            <w:vAlign w:val="center"/>
            <w:hideMark/>
          </w:tcPr>
          <w:p w14:paraId="60962654"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7B49453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27.430</w:t>
            </w:r>
          </w:p>
        </w:tc>
        <w:tc>
          <w:tcPr>
            <w:tcW w:w="935" w:type="dxa"/>
            <w:tcBorders>
              <w:top w:val="nil"/>
              <w:left w:val="nil"/>
              <w:bottom w:val="single" w:sz="4" w:space="0" w:color="auto"/>
              <w:right w:val="single" w:sz="4" w:space="0" w:color="auto"/>
            </w:tcBorders>
            <w:shd w:val="clear" w:color="auto" w:fill="auto"/>
            <w:noWrap/>
            <w:vAlign w:val="center"/>
            <w:hideMark/>
          </w:tcPr>
          <w:p w14:paraId="44F26ED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2392BF6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4FC61DC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27.430</w:t>
            </w:r>
          </w:p>
        </w:tc>
      </w:tr>
      <w:tr w:rsidR="00CC41BC" w:rsidRPr="006F5FDB" w14:paraId="0003B527"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52282F0C"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Sisačko-moslavačka </w:t>
            </w:r>
          </w:p>
        </w:tc>
        <w:tc>
          <w:tcPr>
            <w:tcW w:w="973" w:type="dxa"/>
            <w:tcBorders>
              <w:top w:val="nil"/>
              <w:left w:val="nil"/>
              <w:bottom w:val="single" w:sz="4" w:space="0" w:color="auto"/>
              <w:right w:val="single" w:sz="4" w:space="0" w:color="auto"/>
            </w:tcBorders>
            <w:shd w:val="clear" w:color="auto" w:fill="auto"/>
            <w:noWrap/>
            <w:vAlign w:val="center"/>
            <w:hideMark/>
          </w:tcPr>
          <w:p w14:paraId="6AA1CC1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w:t>
            </w:r>
          </w:p>
        </w:tc>
        <w:tc>
          <w:tcPr>
            <w:tcW w:w="916" w:type="dxa"/>
            <w:vMerge/>
            <w:tcBorders>
              <w:top w:val="nil"/>
              <w:left w:val="single" w:sz="4" w:space="0" w:color="auto"/>
              <w:bottom w:val="single" w:sz="4" w:space="0" w:color="auto"/>
              <w:right w:val="single" w:sz="4" w:space="0" w:color="auto"/>
            </w:tcBorders>
            <w:vAlign w:val="center"/>
            <w:hideMark/>
          </w:tcPr>
          <w:p w14:paraId="5C1F0A9C"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2DE6D95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7.688</w:t>
            </w:r>
          </w:p>
        </w:tc>
        <w:tc>
          <w:tcPr>
            <w:tcW w:w="935" w:type="dxa"/>
            <w:tcBorders>
              <w:top w:val="nil"/>
              <w:left w:val="nil"/>
              <w:bottom w:val="single" w:sz="4" w:space="0" w:color="auto"/>
              <w:right w:val="single" w:sz="4" w:space="0" w:color="auto"/>
            </w:tcBorders>
            <w:shd w:val="clear" w:color="auto" w:fill="auto"/>
            <w:noWrap/>
            <w:vAlign w:val="center"/>
            <w:hideMark/>
          </w:tcPr>
          <w:p w14:paraId="0C2DA4B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4E14075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7169B9A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7.688</w:t>
            </w:r>
          </w:p>
        </w:tc>
      </w:tr>
      <w:tr w:rsidR="00CC41BC" w:rsidRPr="006F5FDB" w14:paraId="345CEC05"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2949544A"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Splitsko-dalmatinska </w:t>
            </w:r>
          </w:p>
        </w:tc>
        <w:tc>
          <w:tcPr>
            <w:tcW w:w="973" w:type="dxa"/>
            <w:tcBorders>
              <w:top w:val="nil"/>
              <w:left w:val="nil"/>
              <w:bottom w:val="single" w:sz="4" w:space="0" w:color="auto"/>
              <w:right w:val="single" w:sz="4" w:space="0" w:color="auto"/>
            </w:tcBorders>
            <w:shd w:val="clear" w:color="auto" w:fill="auto"/>
            <w:noWrap/>
            <w:vAlign w:val="center"/>
            <w:hideMark/>
          </w:tcPr>
          <w:p w14:paraId="7D335A6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14,3%</w:t>
            </w:r>
          </w:p>
        </w:tc>
        <w:tc>
          <w:tcPr>
            <w:tcW w:w="916" w:type="dxa"/>
            <w:vMerge/>
            <w:tcBorders>
              <w:top w:val="nil"/>
              <w:left w:val="single" w:sz="4" w:space="0" w:color="auto"/>
              <w:bottom w:val="single" w:sz="4" w:space="0" w:color="auto"/>
              <w:right w:val="single" w:sz="4" w:space="0" w:color="auto"/>
            </w:tcBorders>
            <w:vAlign w:val="center"/>
            <w:hideMark/>
          </w:tcPr>
          <w:p w14:paraId="3620CA19"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22F5EFA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40.253</w:t>
            </w:r>
          </w:p>
        </w:tc>
        <w:tc>
          <w:tcPr>
            <w:tcW w:w="935" w:type="dxa"/>
            <w:tcBorders>
              <w:top w:val="nil"/>
              <w:left w:val="nil"/>
              <w:bottom w:val="single" w:sz="4" w:space="0" w:color="auto"/>
              <w:right w:val="single" w:sz="4" w:space="0" w:color="auto"/>
            </w:tcBorders>
            <w:shd w:val="clear" w:color="auto" w:fill="auto"/>
            <w:noWrap/>
            <w:vAlign w:val="center"/>
            <w:hideMark/>
          </w:tcPr>
          <w:p w14:paraId="4FF8D4C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1808C09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22D083C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40.253</w:t>
            </w:r>
          </w:p>
        </w:tc>
      </w:tr>
      <w:tr w:rsidR="00CC41BC" w:rsidRPr="006F5FDB" w14:paraId="75E8648E"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6BD75D85"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Šibensko-kninska</w:t>
            </w:r>
          </w:p>
        </w:tc>
        <w:tc>
          <w:tcPr>
            <w:tcW w:w="973" w:type="dxa"/>
            <w:tcBorders>
              <w:top w:val="nil"/>
              <w:left w:val="nil"/>
              <w:bottom w:val="single" w:sz="4" w:space="0" w:color="auto"/>
              <w:right w:val="single" w:sz="4" w:space="0" w:color="auto"/>
            </w:tcBorders>
            <w:shd w:val="clear" w:color="auto" w:fill="auto"/>
            <w:noWrap/>
            <w:vAlign w:val="center"/>
            <w:hideMark/>
          </w:tcPr>
          <w:p w14:paraId="402BB22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3,2%</w:t>
            </w:r>
          </w:p>
        </w:tc>
        <w:tc>
          <w:tcPr>
            <w:tcW w:w="916" w:type="dxa"/>
            <w:vMerge/>
            <w:tcBorders>
              <w:top w:val="nil"/>
              <w:left w:val="single" w:sz="4" w:space="0" w:color="auto"/>
              <w:bottom w:val="single" w:sz="4" w:space="0" w:color="auto"/>
              <w:right w:val="single" w:sz="4" w:space="0" w:color="auto"/>
            </w:tcBorders>
            <w:vAlign w:val="center"/>
            <w:hideMark/>
          </w:tcPr>
          <w:p w14:paraId="675D445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0014ED0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9.146</w:t>
            </w:r>
          </w:p>
        </w:tc>
        <w:tc>
          <w:tcPr>
            <w:tcW w:w="935" w:type="dxa"/>
            <w:tcBorders>
              <w:top w:val="nil"/>
              <w:left w:val="nil"/>
              <w:bottom w:val="single" w:sz="4" w:space="0" w:color="auto"/>
              <w:right w:val="single" w:sz="4" w:space="0" w:color="auto"/>
            </w:tcBorders>
            <w:shd w:val="clear" w:color="auto" w:fill="auto"/>
            <w:noWrap/>
            <w:vAlign w:val="center"/>
            <w:hideMark/>
          </w:tcPr>
          <w:p w14:paraId="3DD6947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6C0B62E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0BDE9AE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9.146</w:t>
            </w:r>
          </w:p>
        </w:tc>
      </w:tr>
      <w:tr w:rsidR="00CC41BC" w:rsidRPr="006F5FDB" w14:paraId="50E9071B"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6F668BFA"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Varaždinska </w:t>
            </w:r>
          </w:p>
        </w:tc>
        <w:tc>
          <w:tcPr>
            <w:tcW w:w="973" w:type="dxa"/>
            <w:tcBorders>
              <w:top w:val="nil"/>
              <w:left w:val="nil"/>
              <w:bottom w:val="single" w:sz="4" w:space="0" w:color="auto"/>
              <w:right w:val="single" w:sz="4" w:space="0" w:color="auto"/>
            </w:tcBorders>
            <w:shd w:val="clear" w:color="auto" w:fill="auto"/>
            <w:noWrap/>
            <w:vAlign w:val="center"/>
            <w:hideMark/>
          </w:tcPr>
          <w:p w14:paraId="4C14E15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2,6%</w:t>
            </w:r>
          </w:p>
        </w:tc>
        <w:tc>
          <w:tcPr>
            <w:tcW w:w="916" w:type="dxa"/>
            <w:vMerge/>
            <w:tcBorders>
              <w:top w:val="nil"/>
              <w:left w:val="single" w:sz="4" w:space="0" w:color="auto"/>
              <w:bottom w:val="single" w:sz="4" w:space="0" w:color="auto"/>
              <w:right w:val="single" w:sz="4" w:space="0" w:color="auto"/>
            </w:tcBorders>
            <w:vAlign w:val="center"/>
            <w:hideMark/>
          </w:tcPr>
          <w:p w14:paraId="5815B99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547EDBA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7.198</w:t>
            </w:r>
          </w:p>
        </w:tc>
        <w:tc>
          <w:tcPr>
            <w:tcW w:w="935" w:type="dxa"/>
            <w:tcBorders>
              <w:top w:val="nil"/>
              <w:left w:val="nil"/>
              <w:bottom w:val="single" w:sz="4" w:space="0" w:color="auto"/>
              <w:right w:val="single" w:sz="4" w:space="0" w:color="auto"/>
            </w:tcBorders>
            <w:shd w:val="clear" w:color="auto" w:fill="auto"/>
            <w:noWrap/>
            <w:vAlign w:val="center"/>
            <w:hideMark/>
          </w:tcPr>
          <w:p w14:paraId="21BCABA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5E11B1F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67E4D5C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7.198</w:t>
            </w:r>
          </w:p>
        </w:tc>
      </w:tr>
      <w:tr w:rsidR="00CC41BC" w:rsidRPr="006F5FDB" w14:paraId="2E24A3CD"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16C28747"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Virovitičko-podravska</w:t>
            </w:r>
          </w:p>
        </w:tc>
        <w:tc>
          <w:tcPr>
            <w:tcW w:w="973" w:type="dxa"/>
            <w:tcBorders>
              <w:top w:val="nil"/>
              <w:left w:val="nil"/>
              <w:bottom w:val="single" w:sz="4" w:space="0" w:color="auto"/>
              <w:right w:val="single" w:sz="4" w:space="0" w:color="auto"/>
            </w:tcBorders>
            <w:shd w:val="clear" w:color="auto" w:fill="auto"/>
            <w:noWrap/>
            <w:vAlign w:val="center"/>
            <w:hideMark/>
          </w:tcPr>
          <w:p w14:paraId="3FCC7AE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w:t>
            </w:r>
          </w:p>
        </w:tc>
        <w:tc>
          <w:tcPr>
            <w:tcW w:w="916" w:type="dxa"/>
            <w:vMerge/>
            <w:tcBorders>
              <w:top w:val="nil"/>
              <w:left w:val="single" w:sz="4" w:space="0" w:color="auto"/>
              <w:bottom w:val="single" w:sz="4" w:space="0" w:color="auto"/>
              <w:right w:val="single" w:sz="4" w:space="0" w:color="auto"/>
            </w:tcBorders>
            <w:vAlign w:val="center"/>
            <w:hideMark/>
          </w:tcPr>
          <w:p w14:paraId="22947831"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34D3BC1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3.694</w:t>
            </w:r>
          </w:p>
        </w:tc>
        <w:tc>
          <w:tcPr>
            <w:tcW w:w="935" w:type="dxa"/>
            <w:tcBorders>
              <w:top w:val="nil"/>
              <w:left w:val="nil"/>
              <w:bottom w:val="single" w:sz="4" w:space="0" w:color="auto"/>
              <w:right w:val="single" w:sz="4" w:space="0" w:color="auto"/>
            </w:tcBorders>
            <w:shd w:val="clear" w:color="auto" w:fill="auto"/>
            <w:noWrap/>
            <w:vAlign w:val="center"/>
            <w:hideMark/>
          </w:tcPr>
          <w:p w14:paraId="39E321A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598F146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610F971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3.694</w:t>
            </w:r>
          </w:p>
        </w:tc>
      </w:tr>
      <w:tr w:rsidR="00CC41BC" w:rsidRPr="006F5FDB" w14:paraId="65B464A8"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4EACC3C4"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Vukovarsko-srijemska </w:t>
            </w:r>
          </w:p>
        </w:tc>
        <w:tc>
          <w:tcPr>
            <w:tcW w:w="973" w:type="dxa"/>
            <w:tcBorders>
              <w:top w:val="nil"/>
              <w:left w:val="nil"/>
              <w:bottom w:val="single" w:sz="4" w:space="0" w:color="auto"/>
              <w:right w:val="single" w:sz="4" w:space="0" w:color="auto"/>
            </w:tcBorders>
            <w:shd w:val="clear" w:color="auto" w:fill="auto"/>
            <w:noWrap/>
            <w:vAlign w:val="center"/>
            <w:hideMark/>
          </w:tcPr>
          <w:p w14:paraId="54DF1D4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2,9%</w:t>
            </w:r>
          </w:p>
        </w:tc>
        <w:tc>
          <w:tcPr>
            <w:tcW w:w="916" w:type="dxa"/>
            <w:vMerge/>
            <w:tcBorders>
              <w:top w:val="nil"/>
              <w:left w:val="single" w:sz="4" w:space="0" w:color="auto"/>
              <w:bottom w:val="single" w:sz="4" w:space="0" w:color="auto"/>
              <w:right w:val="single" w:sz="4" w:space="0" w:color="auto"/>
            </w:tcBorders>
            <w:vAlign w:val="center"/>
            <w:hideMark/>
          </w:tcPr>
          <w:p w14:paraId="0E7410C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15B47B2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8.144</w:t>
            </w:r>
          </w:p>
        </w:tc>
        <w:tc>
          <w:tcPr>
            <w:tcW w:w="935" w:type="dxa"/>
            <w:tcBorders>
              <w:top w:val="nil"/>
              <w:left w:val="nil"/>
              <w:bottom w:val="single" w:sz="4" w:space="0" w:color="auto"/>
              <w:right w:val="single" w:sz="4" w:space="0" w:color="auto"/>
            </w:tcBorders>
            <w:shd w:val="clear" w:color="auto" w:fill="auto"/>
            <w:noWrap/>
            <w:vAlign w:val="center"/>
            <w:hideMark/>
          </w:tcPr>
          <w:p w14:paraId="47E597B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4DF9BCF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00D425A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8.144</w:t>
            </w:r>
          </w:p>
        </w:tc>
      </w:tr>
      <w:tr w:rsidR="00CC41BC" w:rsidRPr="006F5FDB" w14:paraId="326017E1"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548672B3"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Zadarska </w:t>
            </w:r>
          </w:p>
        </w:tc>
        <w:tc>
          <w:tcPr>
            <w:tcW w:w="973" w:type="dxa"/>
            <w:tcBorders>
              <w:top w:val="nil"/>
              <w:left w:val="nil"/>
              <w:bottom w:val="single" w:sz="4" w:space="0" w:color="auto"/>
              <w:right w:val="single" w:sz="4" w:space="0" w:color="auto"/>
            </w:tcBorders>
            <w:shd w:val="clear" w:color="auto" w:fill="auto"/>
            <w:noWrap/>
            <w:vAlign w:val="center"/>
            <w:hideMark/>
          </w:tcPr>
          <w:p w14:paraId="44EB110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6,1%</w:t>
            </w:r>
          </w:p>
        </w:tc>
        <w:tc>
          <w:tcPr>
            <w:tcW w:w="916" w:type="dxa"/>
            <w:vMerge/>
            <w:tcBorders>
              <w:top w:val="nil"/>
              <w:left w:val="single" w:sz="4" w:space="0" w:color="auto"/>
              <w:bottom w:val="single" w:sz="4" w:space="0" w:color="auto"/>
              <w:right w:val="single" w:sz="4" w:space="0" w:color="auto"/>
            </w:tcBorders>
            <w:vAlign w:val="center"/>
            <w:hideMark/>
          </w:tcPr>
          <w:p w14:paraId="08F8DE69"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4E7923B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17.212</w:t>
            </w:r>
          </w:p>
        </w:tc>
        <w:tc>
          <w:tcPr>
            <w:tcW w:w="935" w:type="dxa"/>
            <w:tcBorders>
              <w:top w:val="nil"/>
              <w:left w:val="nil"/>
              <w:bottom w:val="single" w:sz="4" w:space="0" w:color="auto"/>
              <w:right w:val="single" w:sz="4" w:space="0" w:color="auto"/>
            </w:tcBorders>
            <w:shd w:val="clear" w:color="auto" w:fill="auto"/>
            <w:noWrap/>
            <w:vAlign w:val="center"/>
            <w:hideMark/>
          </w:tcPr>
          <w:p w14:paraId="185BAE1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1033AD2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2986C5D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17.212</w:t>
            </w:r>
          </w:p>
        </w:tc>
      </w:tr>
      <w:tr w:rsidR="00CC41BC" w:rsidRPr="006F5FDB" w14:paraId="78ED65D9" w14:textId="77777777" w:rsidTr="001F0EBD">
        <w:trPr>
          <w:trHeight w:val="170"/>
        </w:trPr>
        <w:tc>
          <w:tcPr>
            <w:tcW w:w="1948" w:type="dxa"/>
            <w:tcBorders>
              <w:top w:val="nil"/>
              <w:left w:val="single" w:sz="8" w:space="0" w:color="auto"/>
              <w:bottom w:val="nil"/>
              <w:right w:val="single" w:sz="4" w:space="0" w:color="auto"/>
            </w:tcBorders>
            <w:shd w:val="clear" w:color="auto" w:fill="auto"/>
            <w:noWrap/>
            <w:vAlign w:val="center"/>
            <w:hideMark/>
          </w:tcPr>
          <w:p w14:paraId="2B80DF9E"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Zagrebačka </w:t>
            </w:r>
          </w:p>
        </w:tc>
        <w:tc>
          <w:tcPr>
            <w:tcW w:w="973" w:type="dxa"/>
            <w:tcBorders>
              <w:top w:val="nil"/>
              <w:left w:val="nil"/>
              <w:bottom w:val="nil"/>
              <w:right w:val="single" w:sz="4" w:space="0" w:color="auto"/>
            </w:tcBorders>
            <w:shd w:val="clear" w:color="auto" w:fill="auto"/>
            <w:noWrap/>
            <w:vAlign w:val="center"/>
            <w:hideMark/>
          </w:tcPr>
          <w:p w14:paraId="0A0F71D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6,4%</w:t>
            </w:r>
          </w:p>
        </w:tc>
        <w:tc>
          <w:tcPr>
            <w:tcW w:w="916" w:type="dxa"/>
            <w:vMerge/>
            <w:tcBorders>
              <w:top w:val="nil"/>
              <w:left w:val="single" w:sz="4" w:space="0" w:color="auto"/>
              <w:bottom w:val="single" w:sz="4" w:space="0" w:color="auto"/>
              <w:right w:val="single" w:sz="4" w:space="0" w:color="auto"/>
            </w:tcBorders>
            <w:vAlign w:val="center"/>
            <w:hideMark/>
          </w:tcPr>
          <w:p w14:paraId="0D8E01F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nil"/>
              <w:right w:val="single" w:sz="4" w:space="0" w:color="auto"/>
            </w:tcBorders>
            <w:shd w:val="clear" w:color="auto" w:fill="auto"/>
            <w:noWrap/>
            <w:vAlign w:val="center"/>
            <w:hideMark/>
          </w:tcPr>
          <w:p w14:paraId="1BEF476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18.057</w:t>
            </w:r>
          </w:p>
        </w:tc>
        <w:tc>
          <w:tcPr>
            <w:tcW w:w="935" w:type="dxa"/>
            <w:tcBorders>
              <w:top w:val="nil"/>
              <w:left w:val="nil"/>
              <w:bottom w:val="nil"/>
              <w:right w:val="single" w:sz="4" w:space="0" w:color="auto"/>
            </w:tcBorders>
            <w:shd w:val="clear" w:color="auto" w:fill="auto"/>
            <w:noWrap/>
            <w:vAlign w:val="center"/>
            <w:hideMark/>
          </w:tcPr>
          <w:p w14:paraId="459374B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nil"/>
              <w:right w:val="single" w:sz="4" w:space="0" w:color="auto"/>
            </w:tcBorders>
            <w:shd w:val="clear" w:color="auto" w:fill="auto"/>
            <w:noWrap/>
            <w:vAlign w:val="center"/>
            <w:hideMark/>
          </w:tcPr>
          <w:p w14:paraId="44F0733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nil"/>
              <w:right w:val="single" w:sz="8" w:space="0" w:color="auto"/>
            </w:tcBorders>
            <w:shd w:val="clear" w:color="auto" w:fill="auto"/>
            <w:noWrap/>
            <w:vAlign w:val="center"/>
            <w:hideMark/>
          </w:tcPr>
          <w:p w14:paraId="578087F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18.057</w:t>
            </w:r>
          </w:p>
        </w:tc>
      </w:tr>
      <w:tr w:rsidR="00CC41BC" w:rsidRPr="006F5FDB" w14:paraId="108F0F7F" w14:textId="77777777" w:rsidTr="001F0EBD">
        <w:trPr>
          <w:trHeight w:val="170"/>
        </w:trPr>
        <w:tc>
          <w:tcPr>
            <w:tcW w:w="3837"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669227A" w14:textId="77777777" w:rsidR="00CC41BC" w:rsidRPr="006F5FDB" w:rsidRDefault="00CC41BC" w:rsidP="00CC41BC">
            <w:pPr>
              <w:spacing w:after="0" w:line="240" w:lineRule="auto"/>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Ukupno</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14:paraId="4A5C8AD8"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282.018</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14:paraId="5B476938"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349.930</w:t>
            </w:r>
          </w:p>
        </w:tc>
        <w:tc>
          <w:tcPr>
            <w:tcW w:w="1018" w:type="dxa"/>
            <w:tcBorders>
              <w:top w:val="single" w:sz="8" w:space="0" w:color="auto"/>
              <w:left w:val="nil"/>
              <w:bottom w:val="single" w:sz="8" w:space="0" w:color="auto"/>
              <w:right w:val="single" w:sz="4" w:space="0" w:color="auto"/>
            </w:tcBorders>
            <w:shd w:val="clear" w:color="auto" w:fill="auto"/>
            <w:noWrap/>
            <w:vAlign w:val="center"/>
            <w:hideMark/>
          </w:tcPr>
          <w:p w14:paraId="5D9C60A2"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w:t>
            </w:r>
          </w:p>
        </w:tc>
        <w:tc>
          <w:tcPr>
            <w:tcW w:w="935" w:type="dxa"/>
            <w:tcBorders>
              <w:top w:val="single" w:sz="8" w:space="0" w:color="auto"/>
              <w:left w:val="nil"/>
              <w:bottom w:val="single" w:sz="8" w:space="0" w:color="auto"/>
              <w:right w:val="single" w:sz="8" w:space="0" w:color="auto"/>
            </w:tcBorders>
            <w:shd w:val="clear" w:color="auto" w:fill="auto"/>
            <w:noWrap/>
            <w:vAlign w:val="center"/>
            <w:hideMark/>
          </w:tcPr>
          <w:p w14:paraId="53341824"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-67.630</w:t>
            </w:r>
          </w:p>
        </w:tc>
      </w:tr>
    </w:tbl>
    <w:p w14:paraId="0E360CAA" w14:textId="77777777" w:rsidR="002F2E13" w:rsidRPr="00A23664" w:rsidRDefault="002F2E13" w:rsidP="00A23664"/>
    <w:p w14:paraId="2CFA9FF9" w14:textId="53E42318" w:rsidR="00654BDC" w:rsidRDefault="00654BDC" w:rsidP="0018450E">
      <w:pPr>
        <w:pStyle w:val="IRNaslov1"/>
        <w:numPr>
          <w:ilvl w:val="0"/>
          <w:numId w:val="22"/>
        </w:numPr>
        <w:ind w:left="709" w:hanging="709"/>
      </w:pPr>
      <w:bookmarkStart w:id="281" w:name="_Toc123211671"/>
      <w:r>
        <w:lastRenderedPageBreak/>
        <w:t xml:space="preserve">Procjena </w:t>
      </w:r>
      <w:r w:rsidR="00640659" w:rsidRPr="00640659">
        <w:t>nužnih investicija i drugih financijskih sredstava za razvoj i unaprjeđenje sustava gospodarenja otpadom</w:t>
      </w:r>
      <w:bookmarkEnd w:id="281"/>
    </w:p>
    <w:p w14:paraId="1FAB151E" w14:textId="77777777" w:rsidR="00640659" w:rsidRDefault="00640659" w:rsidP="00640659">
      <w:r>
        <w:t>Temeljem provedenih analiza i projekcija kretanja količina otpada u pojedinim dijelovima sustava gospodarenja otpadom, a uzimajući u obzir trenutno stanje sustava, određeni su potrebni dodatni kapaciteti sljedećih elemenata sustava GO:</w:t>
      </w:r>
    </w:p>
    <w:p w14:paraId="54923BEF" w14:textId="6B993BA8" w:rsidR="00640659" w:rsidRDefault="00640659" w:rsidP="00640659">
      <w:pPr>
        <w:pStyle w:val="Odlomakpopisa"/>
        <w:numPr>
          <w:ilvl w:val="0"/>
          <w:numId w:val="26"/>
        </w:numPr>
      </w:pPr>
      <w:proofErr w:type="spellStart"/>
      <w:r>
        <w:t>Sortirnice</w:t>
      </w:r>
      <w:proofErr w:type="spellEnd"/>
      <w:r>
        <w:t xml:space="preserve"> za odvojeno prikupljene suhe </w:t>
      </w:r>
      <w:proofErr w:type="spellStart"/>
      <w:r>
        <w:t>reciklate</w:t>
      </w:r>
      <w:proofErr w:type="spellEnd"/>
    </w:p>
    <w:p w14:paraId="09122595" w14:textId="34BB037B" w:rsidR="00640659" w:rsidRDefault="00640659" w:rsidP="00640659">
      <w:pPr>
        <w:pStyle w:val="Odlomakpopisa"/>
        <w:numPr>
          <w:ilvl w:val="0"/>
          <w:numId w:val="26"/>
        </w:numPr>
      </w:pPr>
      <w:r>
        <w:t>Postrojenja za materijalu oporabu odvojeno prikupljenog biootpada</w:t>
      </w:r>
    </w:p>
    <w:p w14:paraId="18387755" w14:textId="505E4F8D" w:rsidR="00640659" w:rsidRDefault="00640659" w:rsidP="00640659">
      <w:pPr>
        <w:pStyle w:val="Odlomakpopisa"/>
        <w:numPr>
          <w:ilvl w:val="0"/>
          <w:numId w:val="26"/>
        </w:numPr>
      </w:pPr>
      <w:r>
        <w:t xml:space="preserve">Postrojenja za materijalnu oporabu odvojeno prikupljenih i/ili prethodno sortiranih suhih </w:t>
      </w:r>
      <w:proofErr w:type="spellStart"/>
      <w:r>
        <w:t>reciklata</w:t>
      </w:r>
      <w:proofErr w:type="spellEnd"/>
    </w:p>
    <w:p w14:paraId="4946C62E" w14:textId="7EED3C0D" w:rsidR="00640659" w:rsidRDefault="00640659" w:rsidP="00640659">
      <w:pPr>
        <w:pStyle w:val="Odlomakpopisa"/>
        <w:numPr>
          <w:ilvl w:val="0"/>
          <w:numId w:val="26"/>
        </w:numPr>
      </w:pPr>
      <w:r>
        <w:t>Centri za gospodarenje otpadom</w:t>
      </w:r>
    </w:p>
    <w:p w14:paraId="3B2DA56F" w14:textId="15DD4191" w:rsidR="00640659" w:rsidRDefault="00640659" w:rsidP="00640659">
      <w:pPr>
        <w:pStyle w:val="Odlomakpopisa"/>
        <w:numPr>
          <w:ilvl w:val="0"/>
          <w:numId w:val="26"/>
        </w:numPr>
      </w:pPr>
      <w:r>
        <w:t>Zatvaranje postojećih odlagališta neopasnog otpada na koja se trenutno odlaže komunalni otpad</w:t>
      </w:r>
    </w:p>
    <w:p w14:paraId="61305B2E" w14:textId="04A85AAD" w:rsidR="00640659" w:rsidRDefault="00640659" w:rsidP="00640659">
      <w:pPr>
        <w:pStyle w:val="Odlomakpopisa"/>
        <w:numPr>
          <w:ilvl w:val="0"/>
          <w:numId w:val="26"/>
        </w:numPr>
      </w:pPr>
      <w:r>
        <w:t xml:space="preserve">Postrojenja za energetsku oporabu otpada </w:t>
      </w:r>
    </w:p>
    <w:p w14:paraId="051827AA" w14:textId="47C4FF17" w:rsidR="00640659" w:rsidRDefault="00640659" w:rsidP="00640659">
      <w:pPr>
        <w:rPr>
          <w:highlight w:val="yellow"/>
        </w:rPr>
      </w:pPr>
      <w:r>
        <w:t>Kako bi se procijenile potrebni iznosi investicija u planskom razdoblju, s ciljem zatvaranja jaza između postojećih i potrebnih kapaciteta za obradu, oporabu i zbrinjavanje otpada u nastavku su navedene korištene pretpostavke za svaki element sustava.</w:t>
      </w:r>
    </w:p>
    <w:p w14:paraId="2B576F71" w14:textId="72232955" w:rsidR="00654BDC" w:rsidRPr="00640659" w:rsidRDefault="00E733DD" w:rsidP="0018450E">
      <w:pPr>
        <w:pStyle w:val="IRNaslov2"/>
        <w:numPr>
          <w:ilvl w:val="1"/>
          <w:numId w:val="22"/>
        </w:numPr>
        <w:ind w:left="709"/>
      </w:pPr>
      <w:bookmarkStart w:id="282" w:name="_Toc123211672"/>
      <w:r w:rsidRPr="00640659">
        <w:t xml:space="preserve">Procjena </w:t>
      </w:r>
      <w:r w:rsidR="00C259A4" w:rsidRPr="00640659">
        <w:t xml:space="preserve">potrebnih ulaganja u </w:t>
      </w:r>
      <w:r w:rsidRPr="00640659">
        <w:t>izgradnj</w:t>
      </w:r>
      <w:r w:rsidR="00C259A4" w:rsidRPr="00640659">
        <w:t>u</w:t>
      </w:r>
      <w:r w:rsidRPr="00640659">
        <w:t xml:space="preserve"> novih </w:t>
      </w:r>
      <w:proofErr w:type="spellStart"/>
      <w:r w:rsidRPr="00640659">
        <w:t>sortirnica</w:t>
      </w:r>
      <w:bookmarkEnd w:id="282"/>
      <w:proofErr w:type="spellEnd"/>
    </w:p>
    <w:p w14:paraId="774F2106" w14:textId="77777777" w:rsidR="00640659" w:rsidRDefault="00640659" w:rsidP="00640659">
      <w:r>
        <w:t xml:space="preserve">Pretpostavlja se da će se sortiranje odvojeno prikupljenog otpada uglavnom odvijati na području županije u kojoj je nastao otpad stoga je pregled potrebnih dodatnih kapaciteta postrojenja za sortiranje odvojeno prikupljenih suhih </w:t>
      </w:r>
      <w:proofErr w:type="spellStart"/>
      <w:r>
        <w:t>reciklata</w:t>
      </w:r>
      <w:proofErr w:type="spellEnd"/>
      <w:r>
        <w:t xml:space="preserve"> prikazan na razini svake županije za Scenarij 1 i 2. Za županije u kojima je evidentiran postojeći kapacitet postrojenja za sortiranje koji je veći od potrebnog, nije predviđen dodatni kapacitet a razlika (višak kapaciteta) će služiti kao rezerva.</w:t>
      </w:r>
    </w:p>
    <w:p w14:paraId="0545E99B" w14:textId="7B66E21E" w:rsidR="00E733DD" w:rsidRPr="00654BDC" w:rsidRDefault="00640659" w:rsidP="00640659">
      <w:r>
        <w:t xml:space="preserve">Procjena kapitalnih troškova određena je za slične projekte provedene/u provedbi u sklopu OPKK 2014.-2020. na bazi jediničnog troška izgradnje postrojenja po toni/god ulaznog kapaciteta a koji se kreće u rasponu od </w:t>
      </w:r>
      <w:r w:rsidR="00A82100">
        <w:t xml:space="preserve"> 398,17 – 530,89 EUR/t/god (</w:t>
      </w:r>
      <w:r>
        <w:t>3.000 – 4.000 kn/t/god</w:t>
      </w:r>
      <w:r w:rsidR="00A82100">
        <w:t>)</w:t>
      </w:r>
      <w:r>
        <w:t xml:space="preserve"> (prosječno</w:t>
      </w:r>
      <w:r w:rsidR="00A82100">
        <w:t xml:space="preserve"> 464,53 EUR/t/god (</w:t>
      </w:r>
      <w:r>
        <w:t xml:space="preserve"> 3.500 kn/t/god</w:t>
      </w:r>
      <w:r w:rsidR="00A82100">
        <w:t>)</w:t>
      </w:r>
      <w:r>
        <w:t xml:space="preserve">).     </w:t>
      </w:r>
    </w:p>
    <w:p w14:paraId="13A8268F" w14:textId="7179B3E7" w:rsidR="00654BDC" w:rsidRDefault="00654BDC" w:rsidP="001F0EBD">
      <w:pPr>
        <w:pStyle w:val="Tablica"/>
      </w:pPr>
      <w:bookmarkStart w:id="283" w:name="_Toc125364446"/>
      <w:r>
        <w:t xml:space="preserve">Tablica </w:t>
      </w:r>
      <w:fldSimple w:instr=" SEQ Tablica \* ARABIC ">
        <w:r w:rsidR="00F37B62">
          <w:rPr>
            <w:noProof/>
          </w:rPr>
          <w:t>57</w:t>
        </w:r>
      </w:fldSimple>
      <w:r>
        <w:t xml:space="preserve">. </w:t>
      </w:r>
      <w:r w:rsidR="008F091B">
        <w:rPr>
          <w:b w:val="0"/>
          <w:bCs/>
        </w:rPr>
        <w:t xml:space="preserve">Procjena potrebnih ulaganja u izgradnju </w:t>
      </w:r>
      <w:proofErr w:type="spellStart"/>
      <w:r>
        <w:rPr>
          <w:b w:val="0"/>
          <w:bCs/>
        </w:rPr>
        <w:t>sortirnica</w:t>
      </w:r>
      <w:proofErr w:type="spellEnd"/>
      <w:r w:rsidR="008F091B">
        <w:rPr>
          <w:b w:val="0"/>
          <w:bCs/>
        </w:rPr>
        <w:t xml:space="preserve"> </w:t>
      </w:r>
      <w:r>
        <w:rPr>
          <w:b w:val="0"/>
          <w:bCs/>
        </w:rPr>
        <w:t>– SCENARIJ 1</w:t>
      </w:r>
      <w:r w:rsidR="00682AC1">
        <w:rPr>
          <w:b w:val="0"/>
          <w:bCs/>
        </w:rPr>
        <w:t xml:space="preserve"> i 2</w:t>
      </w:r>
      <w:bookmarkEnd w:id="283"/>
    </w:p>
    <w:tbl>
      <w:tblPr>
        <w:tblW w:w="90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00"/>
        <w:gridCol w:w="1020"/>
        <w:gridCol w:w="1159"/>
        <w:gridCol w:w="1229"/>
        <w:gridCol w:w="861"/>
        <w:gridCol w:w="1176"/>
        <w:gridCol w:w="1383"/>
      </w:tblGrid>
      <w:tr w:rsidR="00C25B50" w:rsidRPr="006F5FDB" w14:paraId="52978D9A" w14:textId="6888F945" w:rsidTr="00BB2706">
        <w:trPr>
          <w:trHeight w:val="170"/>
          <w:tblHeader/>
        </w:trPr>
        <w:tc>
          <w:tcPr>
            <w:tcW w:w="2200" w:type="dxa"/>
            <w:vMerge w:val="restart"/>
            <w:shd w:val="clear" w:color="000000" w:fill="002060"/>
            <w:noWrap/>
            <w:vAlign w:val="center"/>
            <w:hideMark/>
          </w:tcPr>
          <w:p w14:paraId="4394C500" w14:textId="77777777" w:rsidR="00C25B50" w:rsidRPr="006F5FDB" w:rsidRDefault="00C25B50" w:rsidP="00CC41BC">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Županija</w:t>
            </w:r>
          </w:p>
        </w:tc>
        <w:tc>
          <w:tcPr>
            <w:tcW w:w="3408" w:type="dxa"/>
            <w:gridSpan w:val="3"/>
            <w:shd w:val="clear" w:color="000000" w:fill="002060"/>
            <w:vAlign w:val="center"/>
            <w:hideMark/>
          </w:tcPr>
          <w:p w14:paraId="609BB511" w14:textId="06E731CA" w:rsidR="00C25B50" w:rsidRPr="006F5FDB" w:rsidRDefault="00C25B50" w:rsidP="00CC41BC">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Scenarij 1</w:t>
            </w:r>
          </w:p>
        </w:tc>
        <w:tc>
          <w:tcPr>
            <w:tcW w:w="3420" w:type="dxa"/>
            <w:gridSpan w:val="3"/>
            <w:shd w:val="clear" w:color="000000" w:fill="002060"/>
            <w:vAlign w:val="center"/>
            <w:hideMark/>
          </w:tcPr>
          <w:p w14:paraId="69CFB15E" w14:textId="15CD8952" w:rsidR="00C25B50" w:rsidRPr="006F5FDB" w:rsidRDefault="00C25B50" w:rsidP="00CC41BC">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Scenarij 2</w:t>
            </w:r>
          </w:p>
        </w:tc>
      </w:tr>
      <w:tr w:rsidR="00C25B50" w:rsidRPr="006F5FDB" w14:paraId="50F3F8BC" w14:textId="5FD4532A" w:rsidTr="00BB2706">
        <w:trPr>
          <w:trHeight w:val="1172"/>
          <w:tblHeader/>
        </w:trPr>
        <w:tc>
          <w:tcPr>
            <w:tcW w:w="2200" w:type="dxa"/>
            <w:vMerge/>
            <w:vAlign w:val="center"/>
            <w:hideMark/>
          </w:tcPr>
          <w:p w14:paraId="1B2030AD" w14:textId="77777777" w:rsidR="00C25B50" w:rsidRPr="006F5FDB" w:rsidRDefault="00C25B50" w:rsidP="00CC41BC">
            <w:pPr>
              <w:spacing w:after="0" w:line="240" w:lineRule="auto"/>
              <w:rPr>
                <w:rFonts w:ascii="Calibri" w:eastAsia="Times New Roman" w:hAnsi="Calibri" w:cs="Calibri"/>
                <w:b/>
                <w:bCs/>
                <w:color w:val="FFFFFF"/>
                <w:sz w:val="16"/>
                <w:szCs w:val="16"/>
                <w:lang w:eastAsia="hr-HR"/>
              </w:rPr>
            </w:pPr>
          </w:p>
        </w:tc>
        <w:tc>
          <w:tcPr>
            <w:tcW w:w="1020" w:type="dxa"/>
            <w:shd w:val="clear" w:color="000000" w:fill="002060"/>
            <w:vAlign w:val="center"/>
            <w:hideMark/>
          </w:tcPr>
          <w:p w14:paraId="7C113376" w14:textId="77777777" w:rsidR="00C25B50" w:rsidRPr="006F5FDB" w:rsidRDefault="00C25B50" w:rsidP="00CC41BC">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Potrebni dodatni kapacitet</w:t>
            </w:r>
          </w:p>
          <w:p w14:paraId="3CF82D9F" w14:textId="3AF034F2" w:rsidR="00C25B50" w:rsidRPr="006F5FDB" w:rsidRDefault="00C25B50" w:rsidP="00CC41BC">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(t/god)</w:t>
            </w:r>
          </w:p>
        </w:tc>
        <w:tc>
          <w:tcPr>
            <w:tcW w:w="1159" w:type="dxa"/>
            <w:shd w:val="clear" w:color="000000" w:fill="002060"/>
            <w:vAlign w:val="center"/>
            <w:hideMark/>
          </w:tcPr>
          <w:p w14:paraId="17FAFF43" w14:textId="088CE5C9" w:rsidR="00C25B50" w:rsidRPr="006F5FDB" w:rsidRDefault="00C25B50" w:rsidP="00CC41BC">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 xml:space="preserve">Procjena troškova izgradnje novih </w:t>
            </w:r>
            <w:proofErr w:type="spellStart"/>
            <w:r w:rsidRPr="006F5FDB">
              <w:rPr>
                <w:rFonts w:ascii="Calibri" w:eastAsia="Times New Roman" w:hAnsi="Calibri" w:cs="Calibri"/>
                <w:b/>
                <w:bCs/>
                <w:color w:val="FFFFFF"/>
                <w:sz w:val="16"/>
                <w:szCs w:val="16"/>
                <w:lang w:eastAsia="hr-HR"/>
              </w:rPr>
              <w:t>sortirnica</w:t>
            </w:r>
            <w:proofErr w:type="spellEnd"/>
            <w:r>
              <w:rPr>
                <w:rFonts w:ascii="Calibri" w:eastAsia="Times New Roman" w:hAnsi="Calibri" w:cs="Calibri"/>
                <w:b/>
                <w:bCs/>
                <w:color w:val="FFFFFF"/>
                <w:sz w:val="16"/>
                <w:szCs w:val="16"/>
                <w:lang w:eastAsia="hr-HR"/>
              </w:rPr>
              <w:br/>
              <w:t>(kn)</w:t>
            </w:r>
          </w:p>
        </w:tc>
        <w:tc>
          <w:tcPr>
            <w:tcW w:w="1229" w:type="dxa"/>
            <w:shd w:val="clear" w:color="000000" w:fill="002060"/>
            <w:vAlign w:val="center"/>
          </w:tcPr>
          <w:p w14:paraId="125839E1" w14:textId="69E5976E" w:rsidR="00C25B50" w:rsidRPr="006F5FDB" w:rsidRDefault="00C25B50" w:rsidP="00C25B50">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 xml:space="preserve">Procjena troškova izgradnje novih </w:t>
            </w:r>
            <w:proofErr w:type="spellStart"/>
            <w:r w:rsidRPr="006F5FDB">
              <w:rPr>
                <w:rFonts w:ascii="Calibri" w:eastAsia="Times New Roman" w:hAnsi="Calibri" w:cs="Calibri"/>
                <w:b/>
                <w:bCs/>
                <w:color w:val="FFFFFF"/>
                <w:sz w:val="16"/>
                <w:szCs w:val="16"/>
                <w:lang w:eastAsia="hr-HR"/>
              </w:rPr>
              <w:t>sortirnica</w:t>
            </w:r>
            <w:proofErr w:type="spellEnd"/>
            <w:r>
              <w:rPr>
                <w:rFonts w:ascii="Calibri" w:eastAsia="Times New Roman" w:hAnsi="Calibri" w:cs="Calibri"/>
                <w:b/>
                <w:bCs/>
                <w:color w:val="FFFFFF"/>
                <w:sz w:val="16"/>
                <w:szCs w:val="16"/>
                <w:lang w:eastAsia="hr-HR"/>
              </w:rPr>
              <w:br/>
              <w:t>(EUR)</w:t>
            </w:r>
          </w:p>
        </w:tc>
        <w:tc>
          <w:tcPr>
            <w:tcW w:w="861" w:type="dxa"/>
            <w:shd w:val="clear" w:color="000000" w:fill="002060"/>
            <w:vAlign w:val="center"/>
            <w:hideMark/>
          </w:tcPr>
          <w:p w14:paraId="470CA446" w14:textId="77777777" w:rsidR="00C25B50" w:rsidRPr="006F5FDB" w:rsidRDefault="00C25B50" w:rsidP="00CC41BC">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Potrebni dodatni kapacitet</w:t>
            </w:r>
          </w:p>
          <w:p w14:paraId="131F604B" w14:textId="4B06DF48" w:rsidR="00C25B50" w:rsidRPr="006F5FDB" w:rsidRDefault="00C25B50" w:rsidP="00CC41BC">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(t/god)</w:t>
            </w:r>
          </w:p>
        </w:tc>
        <w:tc>
          <w:tcPr>
            <w:tcW w:w="1176" w:type="dxa"/>
            <w:shd w:val="clear" w:color="000000" w:fill="002060"/>
            <w:vAlign w:val="center"/>
            <w:hideMark/>
          </w:tcPr>
          <w:p w14:paraId="35BDE481" w14:textId="1099A13C" w:rsidR="00C25B50" w:rsidRPr="006F5FDB" w:rsidRDefault="00C25B50" w:rsidP="00CC41BC">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 xml:space="preserve">Procjena troškova izgradnje novih </w:t>
            </w:r>
            <w:proofErr w:type="spellStart"/>
            <w:r w:rsidRPr="006F5FDB">
              <w:rPr>
                <w:rFonts w:ascii="Calibri" w:eastAsia="Times New Roman" w:hAnsi="Calibri" w:cs="Calibri"/>
                <w:b/>
                <w:bCs/>
                <w:color w:val="FFFFFF"/>
                <w:sz w:val="16"/>
                <w:szCs w:val="16"/>
                <w:lang w:eastAsia="hr-HR"/>
              </w:rPr>
              <w:t>sortirnica</w:t>
            </w:r>
            <w:proofErr w:type="spellEnd"/>
            <w:r>
              <w:rPr>
                <w:rFonts w:ascii="Calibri" w:eastAsia="Times New Roman" w:hAnsi="Calibri" w:cs="Calibri"/>
                <w:b/>
                <w:bCs/>
                <w:color w:val="FFFFFF"/>
                <w:sz w:val="16"/>
                <w:szCs w:val="16"/>
                <w:lang w:eastAsia="hr-HR"/>
              </w:rPr>
              <w:br/>
              <w:t>(kn)</w:t>
            </w:r>
          </w:p>
        </w:tc>
        <w:tc>
          <w:tcPr>
            <w:tcW w:w="1383" w:type="dxa"/>
            <w:shd w:val="clear" w:color="000000" w:fill="002060"/>
          </w:tcPr>
          <w:p w14:paraId="6F87614D" w14:textId="5AA2F55F" w:rsidR="00C25B50" w:rsidRPr="006F5FDB" w:rsidRDefault="00C25B50" w:rsidP="00CC41BC">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 xml:space="preserve">Procjena troškova izgradnje novih </w:t>
            </w:r>
            <w:proofErr w:type="spellStart"/>
            <w:r w:rsidRPr="006F5FDB">
              <w:rPr>
                <w:rFonts w:ascii="Calibri" w:eastAsia="Times New Roman" w:hAnsi="Calibri" w:cs="Calibri"/>
                <w:b/>
                <w:bCs/>
                <w:color w:val="FFFFFF"/>
                <w:sz w:val="16"/>
                <w:szCs w:val="16"/>
                <w:lang w:eastAsia="hr-HR"/>
              </w:rPr>
              <w:t>sortirnica</w:t>
            </w:r>
            <w:proofErr w:type="spellEnd"/>
            <w:r>
              <w:rPr>
                <w:rFonts w:ascii="Calibri" w:eastAsia="Times New Roman" w:hAnsi="Calibri" w:cs="Calibri"/>
                <w:b/>
                <w:bCs/>
                <w:color w:val="FFFFFF"/>
                <w:sz w:val="16"/>
                <w:szCs w:val="16"/>
                <w:lang w:eastAsia="hr-HR"/>
              </w:rPr>
              <w:br/>
              <w:t>(EUR))</w:t>
            </w:r>
          </w:p>
        </w:tc>
      </w:tr>
      <w:tr w:rsidR="00C25B50" w:rsidRPr="006F5FDB" w14:paraId="4702402D" w14:textId="37ACA828" w:rsidTr="00BB2706">
        <w:trPr>
          <w:trHeight w:val="170"/>
        </w:trPr>
        <w:tc>
          <w:tcPr>
            <w:tcW w:w="2200" w:type="dxa"/>
            <w:shd w:val="clear" w:color="auto" w:fill="auto"/>
            <w:noWrap/>
            <w:vAlign w:val="center"/>
            <w:hideMark/>
          </w:tcPr>
          <w:p w14:paraId="7B5E2993"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Bjelovarsko-bilogorska</w:t>
            </w:r>
          </w:p>
        </w:tc>
        <w:tc>
          <w:tcPr>
            <w:tcW w:w="1020" w:type="dxa"/>
            <w:shd w:val="clear" w:color="auto" w:fill="auto"/>
            <w:noWrap/>
            <w:vAlign w:val="center"/>
            <w:hideMark/>
          </w:tcPr>
          <w:p w14:paraId="666DF213"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10.082</w:t>
            </w:r>
          </w:p>
        </w:tc>
        <w:tc>
          <w:tcPr>
            <w:tcW w:w="1159" w:type="dxa"/>
            <w:shd w:val="clear" w:color="auto" w:fill="auto"/>
            <w:vAlign w:val="center"/>
            <w:hideMark/>
          </w:tcPr>
          <w:p w14:paraId="22EC9E8B" w14:textId="6A6B7DBD"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35.285.332</w:t>
            </w:r>
          </w:p>
        </w:tc>
        <w:tc>
          <w:tcPr>
            <w:tcW w:w="1229" w:type="dxa"/>
            <w:shd w:val="clear" w:color="auto" w:fill="auto"/>
            <w:vAlign w:val="bottom"/>
          </w:tcPr>
          <w:p w14:paraId="5BEF6F92" w14:textId="20AF31AC"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4.683.168,36</w:t>
            </w:r>
          </w:p>
        </w:tc>
        <w:tc>
          <w:tcPr>
            <w:tcW w:w="861" w:type="dxa"/>
            <w:shd w:val="clear" w:color="auto" w:fill="auto"/>
            <w:vAlign w:val="center"/>
            <w:hideMark/>
          </w:tcPr>
          <w:p w14:paraId="6A8AF397" w14:textId="1B4C5F44"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8.936</w:t>
            </w:r>
          </w:p>
        </w:tc>
        <w:tc>
          <w:tcPr>
            <w:tcW w:w="1176" w:type="dxa"/>
            <w:shd w:val="clear" w:color="auto" w:fill="auto"/>
            <w:vAlign w:val="center"/>
            <w:hideMark/>
          </w:tcPr>
          <w:p w14:paraId="6FAFD16D" w14:textId="4058C6F8"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31.276.955</w:t>
            </w:r>
          </w:p>
        </w:tc>
        <w:tc>
          <w:tcPr>
            <w:tcW w:w="1383" w:type="dxa"/>
            <w:shd w:val="clear" w:color="auto" w:fill="auto"/>
            <w:vAlign w:val="bottom"/>
          </w:tcPr>
          <w:p w14:paraId="75BBD0A2" w14:textId="187DFB67"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4.151.165,31</w:t>
            </w:r>
          </w:p>
        </w:tc>
      </w:tr>
      <w:tr w:rsidR="00C25B50" w:rsidRPr="006F5FDB" w14:paraId="2DFCD8DC" w14:textId="413FC958" w:rsidTr="00BB2706">
        <w:trPr>
          <w:trHeight w:val="170"/>
        </w:trPr>
        <w:tc>
          <w:tcPr>
            <w:tcW w:w="2200" w:type="dxa"/>
            <w:shd w:val="clear" w:color="auto" w:fill="auto"/>
            <w:noWrap/>
            <w:vAlign w:val="center"/>
            <w:hideMark/>
          </w:tcPr>
          <w:p w14:paraId="3C64E8AC"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Brodsko-posavska</w:t>
            </w:r>
          </w:p>
        </w:tc>
        <w:tc>
          <w:tcPr>
            <w:tcW w:w="1020" w:type="dxa"/>
            <w:shd w:val="clear" w:color="auto" w:fill="auto"/>
            <w:noWrap/>
            <w:vAlign w:val="center"/>
            <w:hideMark/>
          </w:tcPr>
          <w:p w14:paraId="063EDEA9"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15.617</w:t>
            </w:r>
          </w:p>
        </w:tc>
        <w:tc>
          <w:tcPr>
            <w:tcW w:w="1159" w:type="dxa"/>
            <w:shd w:val="clear" w:color="auto" w:fill="auto"/>
            <w:vAlign w:val="center"/>
            <w:hideMark/>
          </w:tcPr>
          <w:p w14:paraId="34F0BA82" w14:textId="467E30CE"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54.661.020</w:t>
            </w:r>
          </w:p>
        </w:tc>
        <w:tc>
          <w:tcPr>
            <w:tcW w:w="1229" w:type="dxa"/>
            <w:shd w:val="clear" w:color="auto" w:fill="auto"/>
            <w:vAlign w:val="bottom"/>
          </w:tcPr>
          <w:p w14:paraId="6419D9BE" w14:textId="7C116381"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7.254.764,09</w:t>
            </w:r>
          </w:p>
        </w:tc>
        <w:tc>
          <w:tcPr>
            <w:tcW w:w="861" w:type="dxa"/>
            <w:shd w:val="clear" w:color="auto" w:fill="auto"/>
            <w:vAlign w:val="center"/>
            <w:hideMark/>
          </w:tcPr>
          <w:p w14:paraId="122FE126" w14:textId="0B9812E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14.149</w:t>
            </w:r>
          </w:p>
        </w:tc>
        <w:tc>
          <w:tcPr>
            <w:tcW w:w="1176" w:type="dxa"/>
            <w:shd w:val="clear" w:color="auto" w:fill="auto"/>
            <w:vAlign w:val="center"/>
            <w:hideMark/>
          </w:tcPr>
          <w:p w14:paraId="51DD3310" w14:textId="3275B215"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49.522.043</w:t>
            </w:r>
          </w:p>
        </w:tc>
        <w:tc>
          <w:tcPr>
            <w:tcW w:w="1383" w:type="dxa"/>
            <w:shd w:val="clear" w:color="auto" w:fill="auto"/>
            <w:vAlign w:val="bottom"/>
          </w:tcPr>
          <w:p w14:paraId="471BFD6D" w14:textId="34224A41"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6.572.704,63</w:t>
            </w:r>
          </w:p>
        </w:tc>
      </w:tr>
      <w:tr w:rsidR="00C25B50" w:rsidRPr="006F5FDB" w14:paraId="285F842A" w14:textId="17D60AE1" w:rsidTr="00BB2706">
        <w:trPr>
          <w:trHeight w:val="170"/>
        </w:trPr>
        <w:tc>
          <w:tcPr>
            <w:tcW w:w="2200" w:type="dxa"/>
            <w:shd w:val="clear" w:color="auto" w:fill="auto"/>
            <w:noWrap/>
            <w:vAlign w:val="center"/>
            <w:hideMark/>
          </w:tcPr>
          <w:p w14:paraId="581846EA"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1020" w:type="dxa"/>
            <w:shd w:val="clear" w:color="auto" w:fill="auto"/>
            <w:noWrap/>
            <w:vAlign w:val="center"/>
            <w:hideMark/>
          </w:tcPr>
          <w:p w14:paraId="3665546D"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26.875</w:t>
            </w:r>
          </w:p>
        </w:tc>
        <w:tc>
          <w:tcPr>
            <w:tcW w:w="1159" w:type="dxa"/>
            <w:shd w:val="clear" w:color="auto" w:fill="auto"/>
            <w:vAlign w:val="center"/>
            <w:hideMark/>
          </w:tcPr>
          <w:p w14:paraId="6864B622" w14:textId="48C852EF"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94.063.975</w:t>
            </w:r>
          </w:p>
        </w:tc>
        <w:tc>
          <w:tcPr>
            <w:tcW w:w="1229" w:type="dxa"/>
            <w:shd w:val="clear" w:color="auto" w:fill="auto"/>
            <w:vAlign w:val="bottom"/>
          </w:tcPr>
          <w:p w14:paraId="34694695" w14:textId="42234BC4"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12.484.434,93</w:t>
            </w:r>
          </w:p>
        </w:tc>
        <w:tc>
          <w:tcPr>
            <w:tcW w:w="861" w:type="dxa"/>
            <w:shd w:val="clear" w:color="auto" w:fill="auto"/>
            <w:vAlign w:val="center"/>
            <w:hideMark/>
          </w:tcPr>
          <w:p w14:paraId="7AAC1CB3" w14:textId="4EC34635"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24.076</w:t>
            </w:r>
          </w:p>
        </w:tc>
        <w:tc>
          <w:tcPr>
            <w:tcW w:w="1176" w:type="dxa"/>
            <w:shd w:val="clear" w:color="auto" w:fill="auto"/>
            <w:vAlign w:val="center"/>
            <w:hideMark/>
          </w:tcPr>
          <w:p w14:paraId="37D603E0" w14:textId="14053EBC"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84.266.258</w:t>
            </w:r>
          </w:p>
        </w:tc>
        <w:tc>
          <w:tcPr>
            <w:tcW w:w="1383" w:type="dxa"/>
            <w:shd w:val="clear" w:color="auto" w:fill="auto"/>
            <w:vAlign w:val="bottom"/>
          </w:tcPr>
          <w:p w14:paraId="096C09C5" w14:textId="22875D0E"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11.184.054,42</w:t>
            </w:r>
          </w:p>
        </w:tc>
      </w:tr>
      <w:tr w:rsidR="00C25B50" w:rsidRPr="006F5FDB" w14:paraId="23378D99" w14:textId="10BF8E9B" w:rsidTr="00BB2706">
        <w:trPr>
          <w:trHeight w:val="170"/>
        </w:trPr>
        <w:tc>
          <w:tcPr>
            <w:tcW w:w="2200" w:type="dxa"/>
            <w:shd w:val="clear" w:color="auto" w:fill="auto"/>
            <w:noWrap/>
            <w:vAlign w:val="center"/>
            <w:hideMark/>
          </w:tcPr>
          <w:p w14:paraId="735E0649"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w:t>
            </w:r>
          </w:p>
        </w:tc>
        <w:tc>
          <w:tcPr>
            <w:tcW w:w="1020" w:type="dxa"/>
            <w:shd w:val="clear" w:color="auto" w:fill="auto"/>
            <w:noWrap/>
            <w:vAlign w:val="center"/>
            <w:hideMark/>
          </w:tcPr>
          <w:p w14:paraId="79242636"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87.824</w:t>
            </w:r>
          </w:p>
        </w:tc>
        <w:tc>
          <w:tcPr>
            <w:tcW w:w="1159" w:type="dxa"/>
            <w:shd w:val="clear" w:color="auto" w:fill="auto"/>
            <w:vAlign w:val="center"/>
            <w:hideMark/>
          </w:tcPr>
          <w:p w14:paraId="7ADAE405" w14:textId="6EA2DB41"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307.382.444</w:t>
            </w:r>
          </w:p>
        </w:tc>
        <w:tc>
          <w:tcPr>
            <w:tcW w:w="1229" w:type="dxa"/>
            <w:shd w:val="clear" w:color="auto" w:fill="auto"/>
            <w:vAlign w:val="bottom"/>
          </w:tcPr>
          <w:p w14:paraId="46038D09" w14:textId="5F1E7A70"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40.796.661,23</w:t>
            </w:r>
          </w:p>
        </w:tc>
        <w:tc>
          <w:tcPr>
            <w:tcW w:w="861" w:type="dxa"/>
            <w:shd w:val="clear" w:color="auto" w:fill="auto"/>
            <w:vAlign w:val="center"/>
            <w:hideMark/>
          </w:tcPr>
          <w:p w14:paraId="3A6A7E24" w14:textId="45C5881D"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73.653</w:t>
            </w:r>
          </w:p>
        </w:tc>
        <w:tc>
          <w:tcPr>
            <w:tcW w:w="1176" w:type="dxa"/>
            <w:shd w:val="clear" w:color="auto" w:fill="auto"/>
            <w:vAlign w:val="center"/>
            <w:hideMark/>
          </w:tcPr>
          <w:p w14:paraId="2275FB54" w14:textId="28445E95"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257.786.280</w:t>
            </w:r>
          </w:p>
        </w:tc>
        <w:tc>
          <w:tcPr>
            <w:tcW w:w="1383" w:type="dxa"/>
            <w:shd w:val="clear" w:color="auto" w:fill="auto"/>
            <w:vAlign w:val="bottom"/>
          </w:tcPr>
          <w:p w14:paraId="1FCE8117" w14:textId="3E09B9D4"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34.214.119,05</w:t>
            </w:r>
          </w:p>
        </w:tc>
      </w:tr>
      <w:tr w:rsidR="00C25B50" w:rsidRPr="006F5FDB" w14:paraId="29CCA387" w14:textId="503B0C59" w:rsidTr="00BB2706">
        <w:trPr>
          <w:trHeight w:val="170"/>
        </w:trPr>
        <w:tc>
          <w:tcPr>
            <w:tcW w:w="2200" w:type="dxa"/>
            <w:shd w:val="clear" w:color="auto" w:fill="auto"/>
            <w:noWrap/>
            <w:vAlign w:val="center"/>
            <w:hideMark/>
          </w:tcPr>
          <w:p w14:paraId="253FF662"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Istarska </w:t>
            </w:r>
          </w:p>
        </w:tc>
        <w:tc>
          <w:tcPr>
            <w:tcW w:w="1020" w:type="dxa"/>
            <w:shd w:val="clear" w:color="auto" w:fill="auto"/>
            <w:noWrap/>
            <w:vAlign w:val="center"/>
            <w:hideMark/>
          </w:tcPr>
          <w:p w14:paraId="21DBD23D"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56.867</w:t>
            </w:r>
          </w:p>
        </w:tc>
        <w:tc>
          <w:tcPr>
            <w:tcW w:w="1159" w:type="dxa"/>
            <w:shd w:val="clear" w:color="auto" w:fill="auto"/>
            <w:vAlign w:val="center"/>
            <w:hideMark/>
          </w:tcPr>
          <w:p w14:paraId="091D3053" w14:textId="4C9D32A0"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199.034.559</w:t>
            </w:r>
          </w:p>
        </w:tc>
        <w:tc>
          <w:tcPr>
            <w:tcW w:w="1229" w:type="dxa"/>
            <w:shd w:val="clear" w:color="auto" w:fill="auto"/>
            <w:vAlign w:val="bottom"/>
          </w:tcPr>
          <w:p w14:paraId="584C01B6" w14:textId="2F4C0B88"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26.416.425,64</w:t>
            </w:r>
          </w:p>
        </w:tc>
        <w:tc>
          <w:tcPr>
            <w:tcW w:w="861" w:type="dxa"/>
            <w:shd w:val="clear" w:color="auto" w:fill="auto"/>
            <w:vAlign w:val="center"/>
            <w:hideMark/>
          </w:tcPr>
          <w:p w14:paraId="3FD3A28A" w14:textId="11467D92"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51.521</w:t>
            </w:r>
          </w:p>
        </w:tc>
        <w:tc>
          <w:tcPr>
            <w:tcW w:w="1176" w:type="dxa"/>
            <w:shd w:val="clear" w:color="auto" w:fill="auto"/>
            <w:vAlign w:val="center"/>
            <w:hideMark/>
          </w:tcPr>
          <w:p w14:paraId="350F5F6D" w14:textId="64FDEDD4"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180.322.249</w:t>
            </w:r>
          </w:p>
        </w:tc>
        <w:tc>
          <w:tcPr>
            <w:tcW w:w="1383" w:type="dxa"/>
            <w:shd w:val="clear" w:color="auto" w:fill="auto"/>
            <w:vAlign w:val="bottom"/>
          </w:tcPr>
          <w:p w14:paraId="045586A1" w14:textId="162AC865"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23.932.875,31</w:t>
            </w:r>
          </w:p>
        </w:tc>
      </w:tr>
      <w:tr w:rsidR="00C25B50" w:rsidRPr="006F5FDB" w14:paraId="58DA1685" w14:textId="601A8F3A" w:rsidTr="00BB2706">
        <w:trPr>
          <w:trHeight w:val="170"/>
        </w:trPr>
        <w:tc>
          <w:tcPr>
            <w:tcW w:w="2200" w:type="dxa"/>
            <w:shd w:val="clear" w:color="auto" w:fill="auto"/>
            <w:noWrap/>
            <w:vAlign w:val="center"/>
            <w:hideMark/>
          </w:tcPr>
          <w:p w14:paraId="2AAA3E19"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Karlovačka </w:t>
            </w:r>
          </w:p>
        </w:tc>
        <w:tc>
          <w:tcPr>
            <w:tcW w:w="1020" w:type="dxa"/>
            <w:shd w:val="clear" w:color="auto" w:fill="auto"/>
            <w:noWrap/>
            <w:vAlign w:val="center"/>
            <w:hideMark/>
          </w:tcPr>
          <w:p w14:paraId="601D0691"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9.723</w:t>
            </w:r>
          </w:p>
        </w:tc>
        <w:tc>
          <w:tcPr>
            <w:tcW w:w="1159" w:type="dxa"/>
            <w:shd w:val="clear" w:color="auto" w:fill="auto"/>
            <w:vAlign w:val="center"/>
            <w:hideMark/>
          </w:tcPr>
          <w:p w14:paraId="5491DF70" w14:textId="7514DD8D"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34.031.498</w:t>
            </w:r>
          </w:p>
        </w:tc>
        <w:tc>
          <w:tcPr>
            <w:tcW w:w="1229" w:type="dxa"/>
            <w:shd w:val="clear" w:color="auto" w:fill="auto"/>
            <w:vAlign w:val="bottom"/>
          </w:tcPr>
          <w:p w14:paraId="1C8C3765" w14:textId="13632904"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4.516.755,99</w:t>
            </w:r>
          </w:p>
        </w:tc>
        <w:tc>
          <w:tcPr>
            <w:tcW w:w="861" w:type="dxa"/>
            <w:shd w:val="clear" w:color="auto" w:fill="auto"/>
            <w:vAlign w:val="center"/>
            <w:hideMark/>
          </w:tcPr>
          <w:p w14:paraId="7B35A1B4" w14:textId="76EA7B61"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7.954</w:t>
            </w:r>
          </w:p>
        </w:tc>
        <w:tc>
          <w:tcPr>
            <w:tcW w:w="1176" w:type="dxa"/>
            <w:shd w:val="clear" w:color="auto" w:fill="auto"/>
            <w:vAlign w:val="center"/>
            <w:hideMark/>
          </w:tcPr>
          <w:p w14:paraId="5389644F" w14:textId="348D4BEC"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27.837.624</w:t>
            </w:r>
          </w:p>
        </w:tc>
        <w:tc>
          <w:tcPr>
            <w:tcW w:w="1383" w:type="dxa"/>
            <w:shd w:val="clear" w:color="auto" w:fill="auto"/>
            <w:vAlign w:val="bottom"/>
          </w:tcPr>
          <w:p w14:paraId="75F57B82" w14:textId="02567E05"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3.694.687,64</w:t>
            </w:r>
          </w:p>
        </w:tc>
      </w:tr>
      <w:tr w:rsidR="00C25B50" w:rsidRPr="006F5FDB" w14:paraId="33F3BECB" w14:textId="65902974" w:rsidTr="00BB2706">
        <w:trPr>
          <w:trHeight w:val="170"/>
        </w:trPr>
        <w:tc>
          <w:tcPr>
            <w:tcW w:w="2200" w:type="dxa"/>
            <w:shd w:val="clear" w:color="auto" w:fill="auto"/>
            <w:noWrap/>
            <w:vAlign w:val="center"/>
            <w:hideMark/>
          </w:tcPr>
          <w:p w14:paraId="419ED4C4"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Koprivničko-križevačka</w:t>
            </w:r>
          </w:p>
        </w:tc>
        <w:tc>
          <w:tcPr>
            <w:tcW w:w="1020" w:type="dxa"/>
            <w:shd w:val="clear" w:color="auto" w:fill="auto"/>
            <w:noWrap/>
            <w:vAlign w:val="center"/>
            <w:hideMark/>
          </w:tcPr>
          <w:p w14:paraId="055544FD"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9.974</w:t>
            </w:r>
          </w:p>
        </w:tc>
        <w:tc>
          <w:tcPr>
            <w:tcW w:w="1159" w:type="dxa"/>
            <w:shd w:val="clear" w:color="auto" w:fill="auto"/>
            <w:vAlign w:val="center"/>
            <w:hideMark/>
          </w:tcPr>
          <w:p w14:paraId="334452F6" w14:textId="3D3EBD01"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34.909.758</w:t>
            </w:r>
          </w:p>
        </w:tc>
        <w:tc>
          <w:tcPr>
            <w:tcW w:w="1229" w:type="dxa"/>
            <w:shd w:val="clear" w:color="auto" w:fill="auto"/>
            <w:vAlign w:val="bottom"/>
          </w:tcPr>
          <w:p w14:paraId="0F106000" w14:textId="5E29324D"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4.633.321,12</w:t>
            </w:r>
          </w:p>
        </w:tc>
        <w:tc>
          <w:tcPr>
            <w:tcW w:w="861" w:type="dxa"/>
            <w:shd w:val="clear" w:color="auto" w:fill="auto"/>
            <w:vAlign w:val="center"/>
            <w:hideMark/>
          </w:tcPr>
          <w:p w14:paraId="5F2F71EB" w14:textId="4A35DA9C"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8.743</w:t>
            </w:r>
          </w:p>
        </w:tc>
        <w:tc>
          <w:tcPr>
            <w:tcW w:w="1176" w:type="dxa"/>
            <w:shd w:val="clear" w:color="auto" w:fill="auto"/>
            <w:vAlign w:val="center"/>
            <w:hideMark/>
          </w:tcPr>
          <w:p w14:paraId="3A323A4F" w14:textId="2D4AA9A0"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30.601.056</w:t>
            </w:r>
          </w:p>
        </w:tc>
        <w:tc>
          <w:tcPr>
            <w:tcW w:w="1383" w:type="dxa"/>
            <w:shd w:val="clear" w:color="auto" w:fill="auto"/>
            <w:vAlign w:val="bottom"/>
          </w:tcPr>
          <w:p w14:paraId="66933176" w14:textId="4B2D498D"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4.061.458,09</w:t>
            </w:r>
          </w:p>
        </w:tc>
      </w:tr>
      <w:tr w:rsidR="00C25B50" w:rsidRPr="006F5FDB" w14:paraId="4C587FDF" w14:textId="37DD7268" w:rsidTr="00BB2706">
        <w:trPr>
          <w:trHeight w:val="170"/>
        </w:trPr>
        <w:tc>
          <w:tcPr>
            <w:tcW w:w="2200" w:type="dxa"/>
            <w:shd w:val="clear" w:color="auto" w:fill="auto"/>
            <w:noWrap/>
            <w:vAlign w:val="center"/>
            <w:hideMark/>
          </w:tcPr>
          <w:p w14:paraId="28EB4046"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w:t>
            </w:r>
          </w:p>
        </w:tc>
        <w:tc>
          <w:tcPr>
            <w:tcW w:w="1020" w:type="dxa"/>
            <w:shd w:val="clear" w:color="auto" w:fill="auto"/>
            <w:noWrap/>
            <w:vAlign w:val="center"/>
            <w:hideMark/>
          </w:tcPr>
          <w:p w14:paraId="640D7EB1"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shd w:val="clear" w:color="auto" w:fill="auto"/>
            <w:vAlign w:val="center"/>
            <w:hideMark/>
          </w:tcPr>
          <w:p w14:paraId="74C22E27" w14:textId="44B642CD"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29" w:type="dxa"/>
            <w:shd w:val="clear" w:color="auto" w:fill="auto"/>
            <w:vAlign w:val="bottom"/>
          </w:tcPr>
          <w:p w14:paraId="5EA462FD" w14:textId="0D4161F3"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861" w:type="dxa"/>
            <w:shd w:val="clear" w:color="auto" w:fill="auto"/>
            <w:vAlign w:val="center"/>
            <w:hideMark/>
          </w:tcPr>
          <w:p w14:paraId="587196E9" w14:textId="023FA4DD"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76" w:type="dxa"/>
            <w:shd w:val="clear" w:color="auto" w:fill="auto"/>
            <w:vAlign w:val="center"/>
            <w:hideMark/>
          </w:tcPr>
          <w:p w14:paraId="18B75585" w14:textId="3339F98F"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383" w:type="dxa"/>
            <w:shd w:val="clear" w:color="auto" w:fill="auto"/>
            <w:vAlign w:val="bottom"/>
          </w:tcPr>
          <w:p w14:paraId="457AC0E5" w14:textId="1B7867A5"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C25B50" w:rsidRPr="006F5FDB" w14:paraId="08A31875" w14:textId="1146E51D" w:rsidTr="00BB2706">
        <w:trPr>
          <w:trHeight w:val="170"/>
        </w:trPr>
        <w:tc>
          <w:tcPr>
            <w:tcW w:w="2200" w:type="dxa"/>
            <w:shd w:val="clear" w:color="auto" w:fill="auto"/>
            <w:noWrap/>
            <w:vAlign w:val="center"/>
            <w:hideMark/>
          </w:tcPr>
          <w:p w14:paraId="7A2E5C75"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Ličko-senjska </w:t>
            </w:r>
          </w:p>
        </w:tc>
        <w:tc>
          <w:tcPr>
            <w:tcW w:w="1020" w:type="dxa"/>
            <w:shd w:val="clear" w:color="auto" w:fill="auto"/>
            <w:noWrap/>
            <w:vAlign w:val="center"/>
            <w:hideMark/>
          </w:tcPr>
          <w:p w14:paraId="5F9DFB86"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10.956</w:t>
            </w:r>
          </w:p>
        </w:tc>
        <w:tc>
          <w:tcPr>
            <w:tcW w:w="1159" w:type="dxa"/>
            <w:shd w:val="clear" w:color="auto" w:fill="auto"/>
            <w:vAlign w:val="center"/>
            <w:hideMark/>
          </w:tcPr>
          <w:p w14:paraId="4AC729CE" w14:textId="2F19A582"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38.345.700</w:t>
            </w:r>
          </w:p>
        </w:tc>
        <w:tc>
          <w:tcPr>
            <w:tcW w:w="1229" w:type="dxa"/>
            <w:shd w:val="clear" w:color="auto" w:fill="auto"/>
            <w:vAlign w:val="bottom"/>
          </w:tcPr>
          <w:p w14:paraId="4F593307" w14:textId="3BFB8832"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5.089.348,99</w:t>
            </w:r>
          </w:p>
        </w:tc>
        <w:tc>
          <w:tcPr>
            <w:tcW w:w="861" w:type="dxa"/>
            <w:shd w:val="clear" w:color="auto" w:fill="auto"/>
            <w:vAlign w:val="center"/>
            <w:hideMark/>
          </w:tcPr>
          <w:p w14:paraId="559BB3C7" w14:textId="6376604C"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9.890</w:t>
            </w:r>
          </w:p>
        </w:tc>
        <w:tc>
          <w:tcPr>
            <w:tcW w:w="1176" w:type="dxa"/>
            <w:shd w:val="clear" w:color="auto" w:fill="auto"/>
            <w:vAlign w:val="center"/>
            <w:hideMark/>
          </w:tcPr>
          <w:p w14:paraId="514CC15E" w14:textId="5A00DD5D"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34.615.574</w:t>
            </w:r>
          </w:p>
        </w:tc>
        <w:tc>
          <w:tcPr>
            <w:tcW w:w="1383" w:type="dxa"/>
            <w:shd w:val="clear" w:color="auto" w:fill="auto"/>
            <w:vAlign w:val="bottom"/>
          </w:tcPr>
          <w:p w14:paraId="67D04DCB" w14:textId="6F47C109"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4.594.276,20</w:t>
            </w:r>
          </w:p>
        </w:tc>
      </w:tr>
      <w:tr w:rsidR="00C25B50" w:rsidRPr="006F5FDB" w14:paraId="6FC314BB" w14:textId="3D4550CB" w:rsidTr="00BB2706">
        <w:trPr>
          <w:trHeight w:val="170"/>
        </w:trPr>
        <w:tc>
          <w:tcPr>
            <w:tcW w:w="2200" w:type="dxa"/>
            <w:shd w:val="clear" w:color="auto" w:fill="auto"/>
            <w:noWrap/>
            <w:vAlign w:val="center"/>
            <w:hideMark/>
          </w:tcPr>
          <w:p w14:paraId="73EDE3CB"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Međimurska </w:t>
            </w:r>
          </w:p>
        </w:tc>
        <w:tc>
          <w:tcPr>
            <w:tcW w:w="1020" w:type="dxa"/>
            <w:shd w:val="clear" w:color="auto" w:fill="auto"/>
            <w:noWrap/>
            <w:vAlign w:val="center"/>
            <w:hideMark/>
          </w:tcPr>
          <w:p w14:paraId="0848D1CB"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9.493</w:t>
            </w:r>
          </w:p>
        </w:tc>
        <w:tc>
          <w:tcPr>
            <w:tcW w:w="1159" w:type="dxa"/>
            <w:shd w:val="clear" w:color="auto" w:fill="auto"/>
            <w:vAlign w:val="center"/>
            <w:hideMark/>
          </w:tcPr>
          <w:p w14:paraId="6CA513B6" w14:textId="42EA9F31"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33.225.250</w:t>
            </w:r>
          </w:p>
        </w:tc>
        <w:tc>
          <w:tcPr>
            <w:tcW w:w="1229" w:type="dxa"/>
            <w:shd w:val="clear" w:color="auto" w:fill="auto"/>
            <w:vAlign w:val="bottom"/>
          </w:tcPr>
          <w:p w14:paraId="348EB3AE" w14:textId="3BA4B66A"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4.409.748,49</w:t>
            </w:r>
          </w:p>
        </w:tc>
        <w:tc>
          <w:tcPr>
            <w:tcW w:w="861" w:type="dxa"/>
            <w:shd w:val="clear" w:color="auto" w:fill="auto"/>
            <w:vAlign w:val="center"/>
            <w:hideMark/>
          </w:tcPr>
          <w:p w14:paraId="13F22B73" w14:textId="2C077134"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7.613</w:t>
            </w:r>
          </w:p>
        </w:tc>
        <w:tc>
          <w:tcPr>
            <w:tcW w:w="1176" w:type="dxa"/>
            <w:shd w:val="clear" w:color="auto" w:fill="auto"/>
            <w:vAlign w:val="center"/>
            <w:hideMark/>
          </w:tcPr>
          <w:p w14:paraId="4C7997D8" w14:textId="200D8478"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26.646.500</w:t>
            </w:r>
          </w:p>
        </w:tc>
        <w:tc>
          <w:tcPr>
            <w:tcW w:w="1383" w:type="dxa"/>
            <w:shd w:val="clear" w:color="auto" w:fill="auto"/>
            <w:vAlign w:val="bottom"/>
          </w:tcPr>
          <w:p w14:paraId="273952BD" w14:textId="2EC5665D"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3.536.598,31</w:t>
            </w:r>
          </w:p>
        </w:tc>
      </w:tr>
      <w:tr w:rsidR="00C25B50" w:rsidRPr="006F5FDB" w14:paraId="3AC63544" w14:textId="5D27F214" w:rsidTr="00BB2706">
        <w:trPr>
          <w:trHeight w:val="170"/>
        </w:trPr>
        <w:tc>
          <w:tcPr>
            <w:tcW w:w="2200" w:type="dxa"/>
            <w:shd w:val="clear" w:color="auto" w:fill="auto"/>
            <w:noWrap/>
            <w:vAlign w:val="center"/>
            <w:hideMark/>
          </w:tcPr>
          <w:p w14:paraId="29FF2CEA"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Osječko-baranjska </w:t>
            </w:r>
          </w:p>
        </w:tc>
        <w:tc>
          <w:tcPr>
            <w:tcW w:w="1020" w:type="dxa"/>
            <w:shd w:val="clear" w:color="auto" w:fill="auto"/>
            <w:noWrap/>
            <w:vAlign w:val="center"/>
            <w:hideMark/>
          </w:tcPr>
          <w:p w14:paraId="3D6AE4E6"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38.547</w:t>
            </w:r>
          </w:p>
        </w:tc>
        <w:tc>
          <w:tcPr>
            <w:tcW w:w="1159" w:type="dxa"/>
            <w:shd w:val="clear" w:color="auto" w:fill="auto"/>
            <w:vAlign w:val="center"/>
            <w:hideMark/>
          </w:tcPr>
          <w:p w14:paraId="48DC27DE" w14:textId="5141816F"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134.915.138</w:t>
            </w:r>
          </w:p>
        </w:tc>
        <w:tc>
          <w:tcPr>
            <w:tcW w:w="1229" w:type="dxa"/>
            <w:shd w:val="clear" w:color="auto" w:fill="auto"/>
            <w:vAlign w:val="bottom"/>
          </w:tcPr>
          <w:p w14:paraId="67C0E8DA" w14:textId="38F6C89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17.906.316,01</w:t>
            </w:r>
          </w:p>
        </w:tc>
        <w:tc>
          <w:tcPr>
            <w:tcW w:w="861" w:type="dxa"/>
            <w:shd w:val="clear" w:color="auto" w:fill="auto"/>
            <w:vAlign w:val="center"/>
            <w:hideMark/>
          </w:tcPr>
          <w:p w14:paraId="40F24119" w14:textId="618FE13E"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34.923</w:t>
            </w:r>
          </w:p>
        </w:tc>
        <w:tc>
          <w:tcPr>
            <w:tcW w:w="1176" w:type="dxa"/>
            <w:shd w:val="clear" w:color="auto" w:fill="auto"/>
            <w:vAlign w:val="center"/>
            <w:hideMark/>
          </w:tcPr>
          <w:p w14:paraId="28B82091" w14:textId="27A993E6"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122.231.040</w:t>
            </w:r>
          </w:p>
        </w:tc>
        <w:tc>
          <w:tcPr>
            <w:tcW w:w="1383" w:type="dxa"/>
            <w:shd w:val="clear" w:color="auto" w:fill="auto"/>
            <w:vAlign w:val="bottom"/>
          </w:tcPr>
          <w:p w14:paraId="607EC5CD" w14:textId="65F4CD6F"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16.222.846,90</w:t>
            </w:r>
          </w:p>
        </w:tc>
      </w:tr>
      <w:tr w:rsidR="00C25B50" w:rsidRPr="006F5FDB" w14:paraId="3B3FCA8D" w14:textId="7A772FD2" w:rsidTr="00BB2706">
        <w:trPr>
          <w:trHeight w:val="170"/>
        </w:trPr>
        <w:tc>
          <w:tcPr>
            <w:tcW w:w="2200" w:type="dxa"/>
            <w:shd w:val="clear" w:color="auto" w:fill="auto"/>
            <w:noWrap/>
            <w:vAlign w:val="center"/>
            <w:hideMark/>
          </w:tcPr>
          <w:p w14:paraId="60F63C54"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w:t>
            </w:r>
          </w:p>
        </w:tc>
        <w:tc>
          <w:tcPr>
            <w:tcW w:w="1020" w:type="dxa"/>
            <w:shd w:val="clear" w:color="auto" w:fill="auto"/>
            <w:noWrap/>
            <w:vAlign w:val="center"/>
            <w:hideMark/>
          </w:tcPr>
          <w:p w14:paraId="61755F6B"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7.323</w:t>
            </w:r>
          </w:p>
        </w:tc>
        <w:tc>
          <w:tcPr>
            <w:tcW w:w="1159" w:type="dxa"/>
            <w:shd w:val="clear" w:color="auto" w:fill="auto"/>
            <w:vAlign w:val="center"/>
            <w:hideMark/>
          </w:tcPr>
          <w:p w14:paraId="6EDA8434" w14:textId="3D4C8CE3"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25.631.925</w:t>
            </w:r>
          </w:p>
        </w:tc>
        <w:tc>
          <w:tcPr>
            <w:tcW w:w="1229" w:type="dxa"/>
            <w:shd w:val="clear" w:color="auto" w:fill="auto"/>
            <w:vAlign w:val="bottom"/>
          </w:tcPr>
          <w:p w14:paraId="3B8B84F6" w14:textId="6E7A18A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3.401.941,07</w:t>
            </w:r>
          </w:p>
        </w:tc>
        <w:tc>
          <w:tcPr>
            <w:tcW w:w="861" w:type="dxa"/>
            <w:shd w:val="clear" w:color="auto" w:fill="auto"/>
            <w:vAlign w:val="center"/>
            <w:hideMark/>
          </w:tcPr>
          <w:p w14:paraId="500EB427" w14:textId="6EB1F186"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6.635</w:t>
            </w:r>
          </w:p>
        </w:tc>
        <w:tc>
          <w:tcPr>
            <w:tcW w:w="1176" w:type="dxa"/>
            <w:shd w:val="clear" w:color="auto" w:fill="auto"/>
            <w:vAlign w:val="center"/>
            <w:hideMark/>
          </w:tcPr>
          <w:p w14:paraId="5F222058" w14:textId="0026B899"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23.222.130</w:t>
            </w:r>
          </w:p>
        </w:tc>
        <w:tc>
          <w:tcPr>
            <w:tcW w:w="1383" w:type="dxa"/>
            <w:shd w:val="clear" w:color="auto" w:fill="auto"/>
            <w:vAlign w:val="bottom"/>
          </w:tcPr>
          <w:p w14:paraId="49729023" w14:textId="7B79F862"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3.082.106,31</w:t>
            </w:r>
          </w:p>
        </w:tc>
      </w:tr>
      <w:tr w:rsidR="00C25B50" w:rsidRPr="006F5FDB" w14:paraId="75F9D108" w14:textId="4B106A80" w:rsidTr="00BB2706">
        <w:trPr>
          <w:trHeight w:val="170"/>
        </w:trPr>
        <w:tc>
          <w:tcPr>
            <w:tcW w:w="2200" w:type="dxa"/>
            <w:shd w:val="clear" w:color="auto" w:fill="auto"/>
            <w:noWrap/>
            <w:vAlign w:val="center"/>
            <w:hideMark/>
          </w:tcPr>
          <w:p w14:paraId="194A635C"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lastRenderedPageBreak/>
              <w:t xml:space="preserve">Primorsko-goranska </w:t>
            </w:r>
          </w:p>
        </w:tc>
        <w:tc>
          <w:tcPr>
            <w:tcW w:w="1020" w:type="dxa"/>
            <w:shd w:val="clear" w:color="auto" w:fill="auto"/>
            <w:noWrap/>
            <w:vAlign w:val="center"/>
            <w:hideMark/>
          </w:tcPr>
          <w:p w14:paraId="55D2759F"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64.026</w:t>
            </w:r>
          </w:p>
        </w:tc>
        <w:tc>
          <w:tcPr>
            <w:tcW w:w="1159" w:type="dxa"/>
            <w:shd w:val="clear" w:color="auto" w:fill="auto"/>
            <w:vAlign w:val="center"/>
            <w:hideMark/>
          </w:tcPr>
          <w:p w14:paraId="05F72D42" w14:textId="07610155"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224.089.716</w:t>
            </w:r>
          </w:p>
        </w:tc>
        <w:tc>
          <w:tcPr>
            <w:tcW w:w="1229" w:type="dxa"/>
            <w:shd w:val="clear" w:color="auto" w:fill="auto"/>
            <w:vAlign w:val="bottom"/>
          </w:tcPr>
          <w:p w14:paraId="186FB766" w14:textId="5D10A9AA"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29.741.816,44</w:t>
            </w:r>
          </w:p>
        </w:tc>
        <w:tc>
          <w:tcPr>
            <w:tcW w:w="861" w:type="dxa"/>
            <w:shd w:val="clear" w:color="auto" w:fill="auto"/>
            <w:vAlign w:val="center"/>
            <w:hideMark/>
          </w:tcPr>
          <w:p w14:paraId="768FDDF1" w14:textId="72789EC4"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57.047</w:t>
            </w:r>
          </w:p>
        </w:tc>
        <w:tc>
          <w:tcPr>
            <w:tcW w:w="1176" w:type="dxa"/>
            <w:shd w:val="clear" w:color="auto" w:fill="auto"/>
            <w:vAlign w:val="center"/>
            <w:hideMark/>
          </w:tcPr>
          <w:p w14:paraId="084263C2" w14:textId="3B92983B"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199.665.487</w:t>
            </w:r>
          </w:p>
        </w:tc>
        <w:tc>
          <w:tcPr>
            <w:tcW w:w="1383" w:type="dxa"/>
            <w:shd w:val="clear" w:color="auto" w:fill="auto"/>
            <w:vAlign w:val="bottom"/>
          </w:tcPr>
          <w:p w14:paraId="4FD29DE5" w14:textId="113AB85F"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26.500.164,18</w:t>
            </w:r>
          </w:p>
        </w:tc>
      </w:tr>
      <w:tr w:rsidR="00C25B50" w:rsidRPr="006F5FDB" w14:paraId="1C7B9435" w14:textId="5E003B86" w:rsidTr="00BB2706">
        <w:trPr>
          <w:trHeight w:val="170"/>
        </w:trPr>
        <w:tc>
          <w:tcPr>
            <w:tcW w:w="2200" w:type="dxa"/>
            <w:shd w:val="clear" w:color="auto" w:fill="auto"/>
            <w:noWrap/>
            <w:vAlign w:val="center"/>
            <w:hideMark/>
          </w:tcPr>
          <w:p w14:paraId="0BD50BA8"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Sisačko-moslavačka </w:t>
            </w:r>
          </w:p>
        </w:tc>
        <w:tc>
          <w:tcPr>
            <w:tcW w:w="1020" w:type="dxa"/>
            <w:shd w:val="clear" w:color="auto" w:fill="auto"/>
            <w:noWrap/>
            <w:vAlign w:val="center"/>
            <w:hideMark/>
          </w:tcPr>
          <w:p w14:paraId="072CE74E"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15.005</w:t>
            </w:r>
          </w:p>
        </w:tc>
        <w:tc>
          <w:tcPr>
            <w:tcW w:w="1159" w:type="dxa"/>
            <w:shd w:val="clear" w:color="auto" w:fill="auto"/>
            <w:vAlign w:val="center"/>
            <w:hideMark/>
          </w:tcPr>
          <w:p w14:paraId="60B24272" w14:textId="622C8A3D"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52.518.362</w:t>
            </w:r>
          </w:p>
        </w:tc>
        <w:tc>
          <w:tcPr>
            <w:tcW w:w="1229" w:type="dxa"/>
            <w:shd w:val="clear" w:color="auto" w:fill="auto"/>
            <w:vAlign w:val="bottom"/>
          </w:tcPr>
          <w:p w14:paraId="4D7CF9FA" w14:textId="6349C748"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6.970.384,50</w:t>
            </w:r>
          </w:p>
        </w:tc>
        <w:tc>
          <w:tcPr>
            <w:tcW w:w="861" w:type="dxa"/>
            <w:shd w:val="clear" w:color="auto" w:fill="auto"/>
            <w:vAlign w:val="center"/>
            <w:hideMark/>
          </w:tcPr>
          <w:p w14:paraId="31AC0893" w14:textId="10DB70A4"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13.049</w:t>
            </w:r>
          </w:p>
        </w:tc>
        <w:tc>
          <w:tcPr>
            <w:tcW w:w="1176" w:type="dxa"/>
            <w:shd w:val="clear" w:color="auto" w:fill="auto"/>
            <w:vAlign w:val="center"/>
            <w:hideMark/>
          </w:tcPr>
          <w:p w14:paraId="2FD1BE3A" w14:textId="0F205BAE"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45.672.316</w:t>
            </w:r>
          </w:p>
        </w:tc>
        <w:tc>
          <w:tcPr>
            <w:tcW w:w="1383" w:type="dxa"/>
            <w:shd w:val="clear" w:color="auto" w:fill="auto"/>
            <w:vAlign w:val="bottom"/>
          </w:tcPr>
          <w:p w14:paraId="49F85BA5" w14:textId="14BFD63A"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6.061.758,05</w:t>
            </w:r>
          </w:p>
        </w:tc>
      </w:tr>
      <w:tr w:rsidR="00C25B50" w:rsidRPr="006F5FDB" w14:paraId="763F85CB" w14:textId="57E0AC38" w:rsidTr="00BB2706">
        <w:trPr>
          <w:trHeight w:val="170"/>
        </w:trPr>
        <w:tc>
          <w:tcPr>
            <w:tcW w:w="2200" w:type="dxa"/>
            <w:shd w:val="clear" w:color="auto" w:fill="auto"/>
            <w:noWrap/>
            <w:vAlign w:val="center"/>
            <w:hideMark/>
          </w:tcPr>
          <w:p w14:paraId="4BF186A0"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Splitsko-dalmatinska </w:t>
            </w:r>
          </w:p>
        </w:tc>
        <w:tc>
          <w:tcPr>
            <w:tcW w:w="1020" w:type="dxa"/>
            <w:shd w:val="clear" w:color="auto" w:fill="auto"/>
            <w:noWrap/>
            <w:vAlign w:val="center"/>
            <w:hideMark/>
          </w:tcPr>
          <w:p w14:paraId="0BC68C02"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108.726</w:t>
            </w:r>
          </w:p>
        </w:tc>
        <w:tc>
          <w:tcPr>
            <w:tcW w:w="1159" w:type="dxa"/>
            <w:shd w:val="clear" w:color="auto" w:fill="auto"/>
            <w:vAlign w:val="center"/>
            <w:hideMark/>
          </w:tcPr>
          <w:p w14:paraId="5AF5E112" w14:textId="2319CBDB"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380.539.911</w:t>
            </w:r>
          </w:p>
        </w:tc>
        <w:tc>
          <w:tcPr>
            <w:tcW w:w="1229" w:type="dxa"/>
            <w:shd w:val="clear" w:color="auto" w:fill="auto"/>
            <w:vAlign w:val="bottom"/>
          </w:tcPr>
          <w:p w14:paraId="5583FE9A" w14:textId="206EFDE9"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50.506.325,70</w:t>
            </w:r>
          </w:p>
        </w:tc>
        <w:tc>
          <w:tcPr>
            <w:tcW w:w="861" w:type="dxa"/>
            <w:shd w:val="clear" w:color="auto" w:fill="auto"/>
            <w:vAlign w:val="center"/>
            <w:hideMark/>
          </w:tcPr>
          <w:p w14:paraId="25C86029" w14:textId="4E8EC0B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98.485</w:t>
            </w:r>
          </w:p>
        </w:tc>
        <w:tc>
          <w:tcPr>
            <w:tcW w:w="1176" w:type="dxa"/>
            <w:shd w:val="clear" w:color="auto" w:fill="auto"/>
            <w:vAlign w:val="center"/>
            <w:hideMark/>
          </w:tcPr>
          <w:p w14:paraId="131DB899" w14:textId="6168B2EC"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344.697.496</w:t>
            </w:r>
          </w:p>
        </w:tc>
        <w:tc>
          <w:tcPr>
            <w:tcW w:w="1383" w:type="dxa"/>
            <w:shd w:val="clear" w:color="auto" w:fill="auto"/>
            <w:vAlign w:val="bottom"/>
          </w:tcPr>
          <w:p w14:paraId="613BD408" w14:textId="1E8A2E03"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45.749.219,72</w:t>
            </w:r>
          </w:p>
        </w:tc>
      </w:tr>
      <w:tr w:rsidR="00C25B50" w:rsidRPr="006F5FDB" w14:paraId="6240F52B" w14:textId="4F422221" w:rsidTr="00BB2706">
        <w:trPr>
          <w:trHeight w:val="170"/>
        </w:trPr>
        <w:tc>
          <w:tcPr>
            <w:tcW w:w="2200" w:type="dxa"/>
            <w:shd w:val="clear" w:color="auto" w:fill="auto"/>
            <w:noWrap/>
            <w:vAlign w:val="center"/>
            <w:hideMark/>
          </w:tcPr>
          <w:p w14:paraId="7DFCB022"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Šibensko-kninska</w:t>
            </w:r>
          </w:p>
        </w:tc>
        <w:tc>
          <w:tcPr>
            <w:tcW w:w="1020" w:type="dxa"/>
            <w:shd w:val="clear" w:color="auto" w:fill="auto"/>
            <w:noWrap/>
            <w:vAlign w:val="center"/>
            <w:hideMark/>
          </w:tcPr>
          <w:p w14:paraId="61FDFE10"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24.749</w:t>
            </w:r>
          </w:p>
        </w:tc>
        <w:tc>
          <w:tcPr>
            <w:tcW w:w="1159" w:type="dxa"/>
            <w:shd w:val="clear" w:color="auto" w:fill="auto"/>
            <w:vAlign w:val="center"/>
            <w:hideMark/>
          </w:tcPr>
          <w:p w14:paraId="68089370" w14:textId="4C57F4B9"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86.619.901</w:t>
            </w:r>
          </w:p>
        </w:tc>
        <w:tc>
          <w:tcPr>
            <w:tcW w:w="1229" w:type="dxa"/>
            <w:shd w:val="clear" w:color="auto" w:fill="auto"/>
            <w:vAlign w:val="bottom"/>
          </w:tcPr>
          <w:p w14:paraId="66017284" w14:textId="5D0F8492"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11.496.436,53</w:t>
            </w:r>
          </w:p>
        </w:tc>
        <w:tc>
          <w:tcPr>
            <w:tcW w:w="861" w:type="dxa"/>
            <w:shd w:val="clear" w:color="auto" w:fill="auto"/>
            <w:vAlign w:val="center"/>
            <w:hideMark/>
          </w:tcPr>
          <w:p w14:paraId="2C0D118C" w14:textId="43CB36C8"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22.422</w:t>
            </w:r>
          </w:p>
        </w:tc>
        <w:tc>
          <w:tcPr>
            <w:tcW w:w="1176" w:type="dxa"/>
            <w:shd w:val="clear" w:color="auto" w:fill="auto"/>
            <w:vAlign w:val="center"/>
            <w:hideMark/>
          </w:tcPr>
          <w:p w14:paraId="0C66E3E1" w14:textId="3B3A55DF"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78.476.298</w:t>
            </w:r>
          </w:p>
        </w:tc>
        <w:tc>
          <w:tcPr>
            <w:tcW w:w="1383" w:type="dxa"/>
            <w:shd w:val="clear" w:color="auto" w:fill="auto"/>
            <w:vAlign w:val="bottom"/>
          </w:tcPr>
          <w:p w14:paraId="3724230E" w14:textId="3613F2BF"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10.415.594,66</w:t>
            </w:r>
          </w:p>
        </w:tc>
      </w:tr>
      <w:tr w:rsidR="00C25B50" w:rsidRPr="006F5FDB" w14:paraId="00A3571B" w14:textId="0061AC7A" w:rsidTr="00BB2706">
        <w:trPr>
          <w:trHeight w:val="170"/>
        </w:trPr>
        <w:tc>
          <w:tcPr>
            <w:tcW w:w="2200" w:type="dxa"/>
            <w:shd w:val="clear" w:color="auto" w:fill="auto"/>
            <w:noWrap/>
            <w:vAlign w:val="center"/>
            <w:hideMark/>
          </w:tcPr>
          <w:p w14:paraId="710A68EE"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Varaždinska </w:t>
            </w:r>
          </w:p>
        </w:tc>
        <w:tc>
          <w:tcPr>
            <w:tcW w:w="1020" w:type="dxa"/>
            <w:shd w:val="clear" w:color="auto" w:fill="auto"/>
            <w:noWrap/>
            <w:vAlign w:val="center"/>
            <w:hideMark/>
          </w:tcPr>
          <w:p w14:paraId="37686B65"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12.478</w:t>
            </w:r>
          </w:p>
        </w:tc>
        <w:tc>
          <w:tcPr>
            <w:tcW w:w="1159" w:type="dxa"/>
            <w:shd w:val="clear" w:color="auto" w:fill="auto"/>
            <w:vAlign w:val="center"/>
            <w:hideMark/>
          </w:tcPr>
          <w:p w14:paraId="3BECE220" w14:textId="6DB357CB"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43.673.311</w:t>
            </w:r>
          </w:p>
        </w:tc>
        <w:tc>
          <w:tcPr>
            <w:tcW w:w="1229" w:type="dxa"/>
            <w:shd w:val="clear" w:color="auto" w:fill="auto"/>
            <w:vAlign w:val="bottom"/>
          </w:tcPr>
          <w:p w14:paraId="0831CEA4" w14:textId="375DC655"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5.796.444,49</w:t>
            </w:r>
          </w:p>
        </w:tc>
        <w:tc>
          <w:tcPr>
            <w:tcW w:w="861" w:type="dxa"/>
            <w:shd w:val="clear" w:color="auto" w:fill="auto"/>
            <w:vAlign w:val="center"/>
            <w:hideMark/>
          </w:tcPr>
          <w:p w14:paraId="09ABB6B3" w14:textId="60932651"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10.647</w:t>
            </w:r>
          </w:p>
        </w:tc>
        <w:tc>
          <w:tcPr>
            <w:tcW w:w="1176" w:type="dxa"/>
            <w:shd w:val="clear" w:color="auto" w:fill="auto"/>
            <w:vAlign w:val="center"/>
            <w:hideMark/>
          </w:tcPr>
          <w:p w14:paraId="1B8CB909" w14:textId="57037DF6"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37.263.972</w:t>
            </w:r>
          </w:p>
        </w:tc>
        <w:tc>
          <w:tcPr>
            <w:tcW w:w="1383" w:type="dxa"/>
            <w:shd w:val="clear" w:color="auto" w:fill="auto"/>
            <w:vAlign w:val="bottom"/>
          </w:tcPr>
          <w:p w14:paraId="3E22765F" w14:textId="36545211"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4.945.779,02</w:t>
            </w:r>
          </w:p>
        </w:tc>
      </w:tr>
      <w:tr w:rsidR="00C25B50" w:rsidRPr="006F5FDB" w14:paraId="34E9DBFD" w14:textId="4B24013D" w:rsidTr="00BB2706">
        <w:trPr>
          <w:trHeight w:val="170"/>
        </w:trPr>
        <w:tc>
          <w:tcPr>
            <w:tcW w:w="2200" w:type="dxa"/>
            <w:shd w:val="clear" w:color="auto" w:fill="auto"/>
            <w:noWrap/>
            <w:vAlign w:val="center"/>
            <w:hideMark/>
          </w:tcPr>
          <w:p w14:paraId="15514934"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Virovitičko-podravska</w:t>
            </w:r>
          </w:p>
        </w:tc>
        <w:tc>
          <w:tcPr>
            <w:tcW w:w="1020" w:type="dxa"/>
            <w:shd w:val="clear" w:color="auto" w:fill="auto"/>
            <w:noWrap/>
            <w:vAlign w:val="center"/>
            <w:hideMark/>
          </w:tcPr>
          <w:p w14:paraId="6A7211AD"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9.996</w:t>
            </w:r>
          </w:p>
        </w:tc>
        <w:tc>
          <w:tcPr>
            <w:tcW w:w="1159" w:type="dxa"/>
            <w:shd w:val="clear" w:color="auto" w:fill="auto"/>
            <w:vAlign w:val="center"/>
            <w:hideMark/>
          </w:tcPr>
          <w:p w14:paraId="351D119F" w14:textId="5A543318"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34.986.729</w:t>
            </w:r>
          </w:p>
        </w:tc>
        <w:tc>
          <w:tcPr>
            <w:tcW w:w="1229" w:type="dxa"/>
            <w:shd w:val="clear" w:color="auto" w:fill="auto"/>
            <w:vAlign w:val="bottom"/>
          </w:tcPr>
          <w:p w14:paraId="661AF658" w14:textId="238E76EF"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4.643.536,93</w:t>
            </w:r>
          </w:p>
        </w:tc>
        <w:tc>
          <w:tcPr>
            <w:tcW w:w="861" w:type="dxa"/>
            <w:shd w:val="clear" w:color="auto" w:fill="auto"/>
            <w:vAlign w:val="center"/>
            <w:hideMark/>
          </w:tcPr>
          <w:p w14:paraId="3739D4FB" w14:textId="79D11B8D"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9.056</w:t>
            </w:r>
          </w:p>
        </w:tc>
        <w:tc>
          <w:tcPr>
            <w:tcW w:w="1176" w:type="dxa"/>
            <w:shd w:val="clear" w:color="auto" w:fill="auto"/>
            <w:vAlign w:val="center"/>
            <w:hideMark/>
          </w:tcPr>
          <w:p w14:paraId="40AC8151" w14:textId="0409D1CD"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31.697.438</w:t>
            </w:r>
          </w:p>
        </w:tc>
        <w:tc>
          <w:tcPr>
            <w:tcW w:w="1383" w:type="dxa"/>
            <w:shd w:val="clear" w:color="auto" w:fill="auto"/>
            <w:vAlign w:val="bottom"/>
          </w:tcPr>
          <w:p w14:paraId="3F506A82" w14:textId="5BDD375B"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4.206.972,99</w:t>
            </w:r>
          </w:p>
        </w:tc>
      </w:tr>
      <w:tr w:rsidR="00C25B50" w:rsidRPr="006F5FDB" w14:paraId="7C379C2D" w14:textId="0B12E5E8" w:rsidTr="00BB2706">
        <w:trPr>
          <w:trHeight w:val="170"/>
        </w:trPr>
        <w:tc>
          <w:tcPr>
            <w:tcW w:w="2200" w:type="dxa"/>
            <w:shd w:val="clear" w:color="auto" w:fill="auto"/>
            <w:noWrap/>
            <w:vAlign w:val="center"/>
            <w:hideMark/>
          </w:tcPr>
          <w:p w14:paraId="0AA95167"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Vukovarsko-srijemska </w:t>
            </w:r>
          </w:p>
        </w:tc>
        <w:tc>
          <w:tcPr>
            <w:tcW w:w="1020" w:type="dxa"/>
            <w:shd w:val="clear" w:color="auto" w:fill="auto"/>
            <w:noWrap/>
            <w:vAlign w:val="center"/>
            <w:hideMark/>
          </w:tcPr>
          <w:p w14:paraId="1CA4A3C1"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22.039</w:t>
            </w:r>
          </w:p>
        </w:tc>
        <w:tc>
          <w:tcPr>
            <w:tcW w:w="1159" w:type="dxa"/>
            <w:shd w:val="clear" w:color="auto" w:fill="auto"/>
            <w:vAlign w:val="center"/>
            <w:hideMark/>
          </w:tcPr>
          <w:p w14:paraId="732AD397" w14:textId="061DB9DB"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77.136.555</w:t>
            </w:r>
          </w:p>
        </w:tc>
        <w:tc>
          <w:tcPr>
            <w:tcW w:w="1229" w:type="dxa"/>
            <w:shd w:val="clear" w:color="auto" w:fill="auto"/>
            <w:vAlign w:val="bottom"/>
          </w:tcPr>
          <w:p w14:paraId="6E8F388F" w14:textId="2B757050"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10.237.780,21</w:t>
            </w:r>
          </w:p>
        </w:tc>
        <w:tc>
          <w:tcPr>
            <w:tcW w:w="861" w:type="dxa"/>
            <w:shd w:val="clear" w:color="auto" w:fill="auto"/>
            <w:vAlign w:val="center"/>
            <w:hideMark/>
          </w:tcPr>
          <w:p w14:paraId="4D0435B3" w14:textId="33696D34"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19.967</w:t>
            </w:r>
          </w:p>
        </w:tc>
        <w:tc>
          <w:tcPr>
            <w:tcW w:w="1176" w:type="dxa"/>
            <w:shd w:val="clear" w:color="auto" w:fill="auto"/>
            <w:vAlign w:val="center"/>
            <w:hideMark/>
          </w:tcPr>
          <w:p w14:paraId="358CF8F5" w14:textId="47D23D51"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69.884.532</w:t>
            </w:r>
          </w:p>
        </w:tc>
        <w:tc>
          <w:tcPr>
            <w:tcW w:w="1383" w:type="dxa"/>
            <w:shd w:val="clear" w:color="auto" w:fill="auto"/>
            <w:vAlign w:val="bottom"/>
          </w:tcPr>
          <w:p w14:paraId="6F0A9F3D" w14:textId="50A18E73"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9.275.271,35</w:t>
            </w:r>
          </w:p>
        </w:tc>
      </w:tr>
      <w:tr w:rsidR="00C25B50" w:rsidRPr="006F5FDB" w14:paraId="27E452CF" w14:textId="058BDC94" w:rsidTr="00BB2706">
        <w:trPr>
          <w:trHeight w:val="170"/>
        </w:trPr>
        <w:tc>
          <w:tcPr>
            <w:tcW w:w="2200" w:type="dxa"/>
            <w:shd w:val="clear" w:color="auto" w:fill="auto"/>
            <w:noWrap/>
            <w:vAlign w:val="center"/>
            <w:hideMark/>
          </w:tcPr>
          <w:p w14:paraId="7C6F6DFE"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Zadarska </w:t>
            </w:r>
          </w:p>
        </w:tc>
        <w:tc>
          <w:tcPr>
            <w:tcW w:w="1020" w:type="dxa"/>
            <w:shd w:val="clear" w:color="auto" w:fill="auto"/>
            <w:noWrap/>
            <w:vAlign w:val="center"/>
            <w:hideMark/>
          </w:tcPr>
          <w:p w14:paraId="59DBAF05"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46.576</w:t>
            </w:r>
          </w:p>
        </w:tc>
        <w:tc>
          <w:tcPr>
            <w:tcW w:w="1159" w:type="dxa"/>
            <w:shd w:val="clear" w:color="auto" w:fill="auto"/>
            <w:vAlign w:val="center"/>
            <w:hideMark/>
          </w:tcPr>
          <w:p w14:paraId="5BD6357F" w14:textId="00D68D3E"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163.014.908</w:t>
            </w:r>
          </w:p>
        </w:tc>
        <w:tc>
          <w:tcPr>
            <w:tcW w:w="1229" w:type="dxa"/>
            <w:shd w:val="clear" w:color="auto" w:fill="auto"/>
            <w:vAlign w:val="bottom"/>
          </w:tcPr>
          <w:p w14:paraId="61698951" w14:textId="53627D76"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21.635.796,40</w:t>
            </w:r>
          </w:p>
        </w:tc>
        <w:tc>
          <w:tcPr>
            <w:tcW w:w="861" w:type="dxa"/>
            <w:shd w:val="clear" w:color="auto" w:fill="auto"/>
            <w:vAlign w:val="center"/>
            <w:hideMark/>
          </w:tcPr>
          <w:p w14:paraId="43CF2B71" w14:textId="0779A988"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42.197</w:t>
            </w:r>
          </w:p>
        </w:tc>
        <w:tc>
          <w:tcPr>
            <w:tcW w:w="1176" w:type="dxa"/>
            <w:shd w:val="clear" w:color="auto" w:fill="auto"/>
            <w:vAlign w:val="center"/>
            <w:hideMark/>
          </w:tcPr>
          <w:p w14:paraId="7DC273E0" w14:textId="47EAA3D5"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147.688.999</w:t>
            </w:r>
          </w:p>
        </w:tc>
        <w:tc>
          <w:tcPr>
            <w:tcW w:w="1383" w:type="dxa"/>
            <w:shd w:val="clear" w:color="auto" w:fill="auto"/>
            <w:vAlign w:val="bottom"/>
          </w:tcPr>
          <w:p w14:paraId="6199BF27" w14:textId="60E2BD4C"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19.601.698,72</w:t>
            </w:r>
          </w:p>
        </w:tc>
      </w:tr>
      <w:tr w:rsidR="00C25B50" w:rsidRPr="006F5FDB" w14:paraId="20234907" w14:textId="62472D82" w:rsidTr="00BB2706">
        <w:trPr>
          <w:trHeight w:val="170"/>
        </w:trPr>
        <w:tc>
          <w:tcPr>
            <w:tcW w:w="2200" w:type="dxa"/>
            <w:shd w:val="clear" w:color="auto" w:fill="auto"/>
            <w:noWrap/>
            <w:vAlign w:val="center"/>
            <w:hideMark/>
          </w:tcPr>
          <w:p w14:paraId="7D49A18B"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Zagrebačka </w:t>
            </w:r>
          </w:p>
        </w:tc>
        <w:tc>
          <w:tcPr>
            <w:tcW w:w="1020" w:type="dxa"/>
            <w:shd w:val="clear" w:color="auto" w:fill="auto"/>
            <w:noWrap/>
            <w:vAlign w:val="center"/>
            <w:hideMark/>
          </w:tcPr>
          <w:p w14:paraId="0CC7433E"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shd w:val="clear" w:color="auto" w:fill="auto"/>
            <w:vAlign w:val="center"/>
            <w:hideMark/>
          </w:tcPr>
          <w:p w14:paraId="536B4ACF" w14:textId="748E6C3A"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29" w:type="dxa"/>
            <w:shd w:val="clear" w:color="auto" w:fill="auto"/>
            <w:vAlign w:val="bottom"/>
          </w:tcPr>
          <w:p w14:paraId="46E84ECC" w14:textId="50672520"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861" w:type="dxa"/>
            <w:shd w:val="clear" w:color="auto" w:fill="auto"/>
            <w:vAlign w:val="center"/>
            <w:hideMark/>
          </w:tcPr>
          <w:p w14:paraId="5621C442" w14:textId="28C5CA22"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76" w:type="dxa"/>
            <w:shd w:val="clear" w:color="auto" w:fill="auto"/>
            <w:vAlign w:val="center"/>
            <w:hideMark/>
          </w:tcPr>
          <w:p w14:paraId="687308BE" w14:textId="6BAC7E98"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 xml:space="preserve">0 </w:t>
            </w:r>
          </w:p>
        </w:tc>
        <w:tc>
          <w:tcPr>
            <w:tcW w:w="1383" w:type="dxa"/>
            <w:shd w:val="clear" w:color="auto" w:fill="auto"/>
            <w:vAlign w:val="bottom"/>
          </w:tcPr>
          <w:p w14:paraId="5FA9B51B" w14:textId="58E99F54"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C25B50" w:rsidRPr="006F5FDB" w14:paraId="7E3A3517" w14:textId="0C95C7B2" w:rsidTr="00BB2706">
        <w:trPr>
          <w:trHeight w:val="170"/>
        </w:trPr>
        <w:tc>
          <w:tcPr>
            <w:tcW w:w="2200" w:type="dxa"/>
            <w:shd w:val="clear" w:color="auto" w:fill="auto"/>
            <w:noWrap/>
            <w:vAlign w:val="center"/>
            <w:hideMark/>
          </w:tcPr>
          <w:p w14:paraId="04B54985" w14:textId="77777777" w:rsidR="00C25B50" w:rsidRPr="006F5FDB" w:rsidRDefault="00C25B50" w:rsidP="00C25B50">
            <w:pPr>
              <w:spacing w:after="0" w:line="240" w:lineRule="auto"/>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Ukupno</w:t>
            </w:r>
          </w:p>
        </w:tc>
        <w:tc>
          <w:tcPr>
            <w:tcW w:w="1020" w:type="dxa"/>
            <w:shd w:val="clear" w:color="auto" w:fill="auto"/>
            <w:noWrap/>
            <w:vAlign w:val="center"/>
            <w:hideMark/>
          </w:tcPr>
          <w:p w14:paraId="39D21ABB" w14:textId="77777777" w:rsidR="00C25B50" w:rsidRPr="006F5FDB" w:rsidRDefault="00C25B50" w:rsidP="00C25B50">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587.897</w:t>
            </w:r>
          </w:p>
        </w:tc>
        <w:tc>
          <w:tcPr>
            <w:tcW w:w="1159" w:type="dxa"/>
            <w:shd w:val="clear" w:color="auto" w:fill="auto"/>
            <w:vAlign w:val="center"/>
            <w:hideMark/>
          </w:tcPr>
          <w:p w14:paraId="4C58403D" w14:textId="64EAA97C" w:rsidR="00C25B50" w:rsidRPr="006F5FDB" w:rsidRDefault="00C25B50" w:rsidP="00C25B50">
            <w:pPr>
              <w:spacing w:after="0" w:line="240" w:lineRule="auto"/>
              <w:jc w:val="right"/>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2.057.639.537</w:t>
            </w:r>
          </w:p>
        </w:tc>
        <w:tc>
          <w:tcPr>
            <w:tcW w:w="1229" w:type="dxa"/>
            <w:shd w:val="clear" w:color="auto" w:fill="auto"/>
            <w:vAlign w:val="bottom"/>
          </w:tcPr>
          <w:p w14:paraId="4A280C38" w14:textId="6E79E505" w:rsidR="00C25B50" w:rsidRPr="006F5FDB" w:rsidRDefault="00C25B50" w:rsidP="00C25B50">
            <w:pPr>
              <w:spacing w:after="0" w:line="240" w:lineRule="auto"/>
              <w:rPr>
                <w:rFonts w:ascii="Calibri" w:eastAsia="Times New Roman" w:hAnsi="Calibri" w:cs="Calibri"/>
                <w:b/>
                <w:bCs/>
                <w:color w:val="000000"/>
                <w:sz w:val="16"/>
                <w:szCs w:val="16"/>
                <w:lang w:eastAsia="hr-HR"/>
              </w:rPr>
            </w:pPr>
            <w:r>
              <w:rPr>
                <w:rFonts w:ascii="Calibri" w:hAnsi="Calibri" w:cs="Calibri"/>
                <w:color w:val="000000"/>
                <w:sz w:val="16"/>
                <w:szCs w:val="16"/>
              </w:rPr>
              <w:t>273.095.698,06</w:t>
            </w:r>
          </w:p>
        </w:tc>
        <w:tc>
          <w:tcPr>
            <w:tcW w:w="861" w:type="dxa"/>
            <w:shd w:val="clear" w:color="auto" w:fill="auto"/>
            <w:vAlign w:val="center"/>
            <w:hideMark/>
          </w:tcPr>
          <w:p w14:paraId="70A548DC" w14:textId="36E4EF70" w:rsidR="00C25B50" w:rsidRPr="006F5FDB" w:rsidRDefault="00C25B50" w:rsidP="00C25B50">
            <w:pPr>
              <w:spacing w:after="0" w:line="240" w:lineRule="auto"/>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 </w:t>
            </w:r>
            <w:r>
              <w:rPr>
                <w:rFonts w:ascii="Calibri" w:eastAsia="Times New Roman" w:hAnsi="Calibri" w:cs="Calibri"/>
                <w:b/>
                <w:bCs/>
                <w:color w:val="000000"/>
                <w:sz w:val="16"/>
                <w:szCs w:val="16"/>
                <w:lang w:eastAsia="hr-HR"/>
              </w:rPr>
              <w:t>520.963</w:t>
            </w:r>
          </w:p>
        </w:tc>
        <w:tc>
          <w:tcPr>
            <w:tcW w:w="1176" w:type="dxa"/>
            <w:shd w:val="clear" w:color="auto" w:fill="auto"/>
            <w:vAlign w:val="center"/>
            <w:hideMark/>
          </w:tcPr>
          <w:p w14:paraId="0FE924EC" w14:textId="2A8BABE2" w:rsidR="00C25B50" w:rsidRPr="006F5FDB" w:rsidRDefault="00C25B50" w:rsidP="00C25B50">
            <w:pPr>
              <w:spacing w:after="0" w:line="240" w:lineRule="auto"/>
              <w:jc w:val="right"/>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1.823.374.247</w:t>
            </w:r>
          </w:p>
        </w:tc>
        <w:tc>
          <w:tcPr>
            <w:tcW w:w="1383" w:type="dxa"/>
            <w:shd w:val="clear" w:color="auto" w:fill="auto"/>
            <w:vAlign w:val="bottom"/>
          </w:tcPr>
          <w:p w14:paraId="691AA6F1" w14:textId="0A4C9021" w:rsidR="00C25B50" w:rsidRPr="006F5FDB" w:rsidRDefault="00C25B50" w:rsidP="00C25B50">
            <w:pPr>
              <w:spacing w:after="0" w:line="240" w:lineRule="auto"/>
              <w:jc w:val="right"/>
              <w:rPr>
                <w:rFonts w:ascii="Calibri" w:eastAsia="Times New Roman" w:hAnsi="Calibri" w:cs="Calibri"/>
                <w:b/>
                <w:bCs/>
                <w:color w:val="000000"/>
                <w:sz w:val="16"/>
                <w:szCs w:val="16"/>
                <w:lang w:eastAsia="hr-HR"/>
              </w:rPr>
            </w:pPr>
            <w:r>
              <w:rPr>
                <w:rFonts w:ascii="Calibri" w:hAnsi="Calibri" w:cs="Calibri"/>
                <w:color w:val="000000"/>
                <w:sz w:val="16"/>
                <w:szCs w:val="16"/>
              </w:rPr>
              <w:t>242.003.350,85</w:t>
            </w:r>
          </w:p>
        </w:tc>
      </w:tr>
    </w:tbl>
    <w:p w14:paraId="10057C59" w14:textId="77777777" w:rsidR="00CC41BC" w:rsidRDefault="00CC41BC" w:rsidP="00654BDC"/>
    <w:p w14:paraId="15592012" w14:textId="1F567C54" w:rsidR="00654BDC" w:rsidRPr="00640659" w:rsidRDefault="00C259A4" w:rsidP="0018450E">
      <w:pPr>
        <w:pStyle w:val="IRNaslov2"/>
        <w:numPr>
          <w:ilvl w:val="1"/>
          <w:numId w:val="22"/>
        </w:numPr>
        <w:ind w:left="709"/>
      </w:pPr>
      <w:bookmarkStart w:id="284" w:name="_Toc123211673"/>
      <w:r w:rsidRPr="00640659">
        <w:t xml:space="preserve">Procjena potrebnih ulaganja u </w:t>
      </w:r>
      <w:r w:rsidR="00640659">
        <w:t>izgradnju/dogradnju p</w:t>
      </w:r>
      <w:r w:rsidR="00640659" w:rsidRPr="00640659">
        <w:t>ostrojenja za materijal</w:t>
      </w:r>
      <w:r w:rsidR="00640659">
        <w:t>n</w:t>
      </w:r>
      <w:r w:rsidR="00640659" w:rsidRPr="00640659">
        <w:t>u i energetsku oporabu odvojeno prikupljenog biootpada</w:t>
      </w:r>
      <w:bookmarkEnd w:id="284"/>
    </w:p>
    <w:p w14:paraId="2E2B9BE0" w14:textId="77777777" w:rsidR="00640659" w:rsidRDefault="00640659" w:rsidP="00640659">
      <w:r>
        <w:t xml:space="preserve">Pretpostavlja se da će se oporaba odvojeno prikupljenog biootpada uglavnom odvijati na području županije u kojoj je nastao otpad stoga je pregled potrebnih dodatnih kapaciteta postrojenja za oporabu odvojeno prikupljenog biootpada prikazan na razini svake županije za Scenarij 1 i 2. Za županije u kojima je evidentiran postojeći kapacitet postrojenja koji je veći od potrebnog, nije predviđen dodatni kapacitet a razlika (višak kapaciteta) će služiti kao rezerva. </w:t>
      </w:r>
    </w:p>
    <w:p w14:paraId="715251C2" w14:textId="61D17F4A" w:rsidR="00640659" w:rsidRDefault="00640659" w:rsidP="00640659">
      <w:r>
        <w:t xml:space="preserve">S obzirom na veliki broj postojećih kapaciteta (35 bioplinskih postrojenja) u istočnoj i središnjoj hrvatskoj a koji imaju potencijalnu mogućnost prihvata odvojeno prikupljenog biootpada kao sirovine za proizvodnju bioplina, predviđena su ulaganja u dodatno opremanje bioplinskih postrojenja s opremom za pripremu odvojeno prikupljenog biootpada (prethodna obrada prije pripreme organske juhe) u iznosu od </w:t>
      </w:r>
      <w:r w:rsidR="008D3B70">
        <w:t>464.529,83 EUR (</w:t>
      </w:r>
      <w:r>
        <w:t>3.500.000 kn</w:t>
      </w:r>
      <w:r w:rsidR="008D3B70">
        <w:t>)</w:t>
      </w:r>
      <w:r>
        <w:t xml:space="preserve"> po postrojenju.  </w:t>
      </w:r>
    </w:p>
    <w:p w14:paraId="1C16EC3E" w14:textId="0D22491B" w:rsidR="00640659" w:rsidRDefault="00640659" w:rsidP="00640659">
      <w:pPr>
        <w:rPr>
          <w:highlight w:val="yellow"/>
        </w:rPr>
      </w:pPr>
      <w:r>
        <w:t>Procjena kapitalnih troškova određena je za slične projekte provedene/u provedbi u sklopu OPKK 2014.-2020. na bazi jediničnog troška izgradnje postrojenja po toni/god ulaznog kapaciteta a koji se kreće u rasponu od</w:t>
      </w:r>
      <w:r w:rsidR="003B2D5C">
        <w:t xml:space="preserve"> 530,89 – 796,34 EUR/t/god </w:t>
      </w:r>
      <w:r>
        <w:t xml:space="preserve"> </w:t>
      </w:r>
      <w:r w:rsidR="003B2D5C">
        <w:t>(</w:t>
      </w:r>
      <w:r>
        <w:t>4.000 – 6.000 kn/t/god</w:t>
      </w:r>
      <w:r w:rsidR="003B2D5C">
        <w:t>)</w:t>
      </w:r>
      <w:r>
        <w:t xml:space="preserve"> (prosječno</w:t>
      </w:r>
      <w:r w:rsidR="00C30C99">
        <w:t xml:space="preserve"> 663,61 EUR/t/god </w:t>
      </w:r>
      <w:r>
        <w:t xml:space="preserve"> </w:t>
      </w:r>
      <w:r w:rsidR="00C30C99">
        <w:t>(</w:t>
      </w:r>
      <w:r>
        <w:t>5.000 kn/t/god</w:t>
      </w:r>
      <w:r w:rsidR="00C30C99">
        <w:t>)</w:t>
      </w:r>
      <w:r>
        <w:t xml:space="preserve">).     </w:t>
      </w:r>
    </w:p>
    <w:p w14:paraId="007E518F" w14:textId="4D471B64" w:rsidR="001B3E44" w:rsidRPr="00BB2706" w:rsidRDefault="00654BDC" w:rsidP="00BB2706">
      <w:pPr>
        <w:pStyle w:val="Tablica"/>
        <w:rPr>
          <w:b w:val="0"/>
          <w:sz w:val="18"/>
          <w:szCs w:val="20"/>
        </w:rPr>
      </w:pPr>
      <w:bookmarkStart w:id="285" w:name="_Toc125364447"/>
      <w:r w:rsidRPr="00BB2706">
        <w:t xml:space="preserve">Tablica </w:t>
      </w:r>
      <w:fldSimple w:instr=" SEQ Tablica \* ARABIC ">
        <w:r w:rsidR="00F37B62">
          <w:rPr>
            <w:noProof/>
          </w:rPr>
          <w:t>58</w:t>
        </w:r>
      </w:fldSimple>
      <w:r w:rsidRPr="00BB2706">
        <w:t>.</w:t>
      </w:r>
      <w:r w:rsidRPr="00995BF3">
        <w:t xml:space="preserve"> </w:t>
      </w:r>
      <w:r w:rsidR="00371D3D" w:rsidRPr="00BB2706">
        <w:rPr>
          <w:b w:val="0"/>
        </w:rPr>
        <w:t xml:space="preserve">Procjena potrebnih ulaganja u </w:t>
      </w:r>
      <w:r w:rsidR="00E33714" w:rsidRPr="00BB2706">
        <w:rPr>
          <w:b w:val="0"/>
        </w:rPr>
        <w:t xml:space="preserve">izgradnju i/ili nadogradnju </w:t>
      </w:r>
      <w:proofErr w:type="spellStart"/>
      <w:r w:rsidRPr="00BB2706">
        <w:rPr>
          <w:b w:val="0"/>
        </w:rPr>
        <w:t>kompostana</w:t>
      </w:r>
      <w:proofErr w:type="spellEnd"/>
      <w:r w:rsidRPr="00BB2706">
        <w:rPr>
          <w:b w:val="0"/>
        </w:rPr>
        <w:t xml:space="preserve"> i bioplinskih postrojenja</w:t>
      </w:r>
      <w:r w:rsidR="00371D3D" w:rsidRPr="00BB2706">
        <w:rPr>
          <w:b w:val="0"/>
        </w:rPr>
        <w:t xml:space="preserve"> </w:t>
      </w:r>
      <w:r w:rsidRPr="00BB2706">
        <w:rPr>
          <w:b w:val="0"/>
        </w:rPr>
        <w:t>– SCENARIJ 1</w:t>
      </w:r>
      <w:bookmarkEnd w:id="285"/>
    </w:p>
    <w:tbl>
      <w:tblPr>
        <w:tblW w:w="10235" w:type="dxa"/>
        <w:tblInd w:w="-270" w:type="dxa"/>
        <w:tblLook w:val="04A0" w:firstRow="1" w:lastRow="0" w:firstColumn="1" w:lastColumn="0" w:noHBand="0" w:noVBand="1"/>
      </w:tblPr>
      <w:tblGrid>
        <w:gridCol w:w="1921"/>
        <w:gridCol w:w="1044"/>
        <w:gridCol w:w="1044"/>
        <w:gridCol w:w="1044"/>
        <w:gridCol w:w="1359"/>
        <w:gridCol w:w="1424"/>
        <w:gridCol w:w="1251"/>
        <w:gridCol w:w="1148"/>
      </w:tblGrid>
      <w:tr w:rsidR="00C30C99" w:rsidRPr="006F5FDB" w14:paraId="08532929" w14:textId="60148BE2" w:rsidTr="00BB2706">
        <w:trPr>
          <w:trHeight w:val="170"/>
          <w:tblHeader/>
        </w:trPr>
        <w:tc>
          <w:tcPr>
            <w:tcW w:w="1921" w:type="dxa"/>
            <w:tcBorders>
              <w:top w:val="single" w:sz="8" w:space="0" w:color="auto"/>
              <w:left w:val="single" w:sz="8" w:space="0" w:color="auto"/>
              <w:bottom w:val="single" w:sz="4" w:space="0" w:color="auto"/>
              <w:right w:val="single" w:sz="4" w:space="0" w:color="auto"/>
            </w:tcBorders>
            <w:shd w:val="clear" w:color="auto" w:fill="002060"/>
            <w:noWrap/>
            <w:vAlign w:val="center"/>
            <w:hideMark/>
          </w:tcPr>
          <w:p w14:paraId="2C70FED8" w14:textId="77777777" w:rsidR="00C30C99" w:rsidRPr="006F5FDB" w:rsidRDefault="00C30C99" w:rsidP="002111B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Županija</w:t>
            </w:r>
          </w:p>
        </w:tc>
        <w:tc>
          <w:tcPr>
            <w:tcW w:w="1044" w:type="dxa"/>
            <w:tcBorders>
              <w:top w:val="single" w:sz="8" w:space="0" w:color="auto"/>
              <w:left w:val="nil"/>
              <w:bottom w:val="single" w:sz="4" w:space="0" w:color="auto"/>
              <w:right w:val="single" w:sz="4" w:space="0" w:color="auto"/>
            </w:tcBorders>
            <w:shd w:val="clear" w:color="auto" w:fill="002060"/>
            <w:vAlign w:val="center"/>
            <w:hideMark/>
          </w:tcPr>
          <w:p w14:paraId="05ED7E89" w14:textId="77777777" w:rsidR="00C30C99" w:rsidRPr="006F5FDB" w:rsidRDefault="00C30C99" w:rsidP="002111B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Ukupni potrebni kapacitet </w:t>
            </w:r>
            <w:proofErr w:type="spellStart"/>
            <w:r w:rsidRPr="006F5FDB">
              <w:rPr>
                <w:rFonts w:ascii="Calibri" w:eastAsia="Times New Roman" w:hAnsi="Calibri" w:cs="Calibri"/>
                <w:b/>
                <w:color w:val="FFFFFF" w:themeColor="background1"/>
                <w:sz w:val="16"/>
                <w:szCs w:val="16"/>
                <w:lang w:eastAsia="hr-HR"/>
              </w:rPr>
              <w:t>kompostana</w:t>
            </w:r>
            <w:proofErr w:type="spellEnd"/>
            <w:r w:rsidRPr="006F5FDB">
              <w:rPr>
                <w:rFonts w:ascii="Calibri" w:eastAsia="Times New Roman" w:hAnsi="Calibri" w:cs="Calibri"/>
                <w:b/>
                <w:color w:val="FFFFFF" w:themeColor="background1"/>
                <w:sz w:val="16"/>
                <w:szCs w:val="16"/>
                <w:lang w:eastAsia="hr-HR"/>
              </w:rPr>
              <w:t xml:space="preserve"> i bioplinskih postrojenja za biološku obradu</w:t>
            </w:r>
            <w:r w:rsidRPr="006F5FDB">
              <w:rPr>
                <w:rFonts w:ascii="Calibri" w:eastAsia="Times New Roman" w:hAnsi="Calibri" w:cs="Calibri"/>
                <w:b/>
                <w:color w:val="FFFFFF" w:themeColor="background1"/>
                <w:sz w:val="16"/>
                <w:szCs w:val="16"/>
                <w:lang w:eastAsia="hr-HR"/>
              </w:rPr>
              <w:br/>
              <w:t>(t/god)</w:t>
            </w:r>
          </w:p>
        </w:tc>
        <w:tc>
          <w:tcPr>
            <w:tcW w:w="1044" w:type="dxa"/>
            <w:tcBorders>
              <w:top w:val="single" w:sz="8" w:space="0" w:color="auto"/>
              <w:left w:val="nil"/>
              <w:bottom w:val="single" w:sz="4" w:space="0" w:color="auto"/>
              <w:right w:val="single" w:sz="4" w:space="0" w:color="auto"/>
            </w:tcBorders>
            <w:shd w:val="clear" w:color="auto" w:fill="002060"/>
            <w:vAlign w:val="center"/>
            <w:hideMark/>
          </w:tcPr>
          <w:p w14:paraId="031C0DFD" w14:textId="77777777" w:rsidR="00C30C99" w:rsidRPr="006F5FDB" w:rsidRDefault="00C30C99" w:rsidP="002111B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Ukupni postojeći kapacitet bioplinskih postrojenja i </w:t>
            </w:r>
            <w:proofErr w:type="spellStart"/>
            <w:r w:rsidRPr="006F5FDB">
              <w:rPr>
                <w:rFonts w:ascii="Calibri" w:eastAsia="Times New Roman" w:hAnsi="Calibri" w:cs="Calibri"/>
                <w:b/>
                <w:color w:val="FFFFFF" w:themeColor="background1"/>
                <w:sz w:val="16"/>
                <w:szCs w:val="16"/>
                <w:lang w:eastAsia="hr-HR"/>
              </w:rPr>
              <w:t>kompostana</w:t>
            </w:r>
            <w:proofErr w:type="spellEnd"/>
            <w:r w:rsidRPr="006F5FDB">
              <w:rPr>
                <w:rFonts w:ascii="Calibri" w:eastAsia="Times New Roman" w:hAnsi="Calibri" w:cs="Calibri"/>
                <w:b/>
                <w:color w:val="FFFFFF" w:themeColor="background1"/>
                <w:sz w:val="16"/>
                <w:szCs w:val="16"/>
                <w:lang w:eastAsia="hr-HR"/>
              </w:rPr>
              <w:t xml:space="preserve"> za biološku obradu</w:t>
            </w:r>
            <w:r w:rsidRPr="006F5FDB">
              <w:rPr>
                <w:rFonts w:ascii="Calibri" w:eastAsia="Times New Roman" w:hAnsi="Calibri" w:cs="Calibri"/>
                <w:b/>
                <w:color w:val="FFFFFF" w:themeColor="background1"/>
                <w:sz w:val="16"/>
                <w:szCs w:val="16"/>
                <w:lang w:eastAsia="hr-HR"/>
              </w:rPr>
              <w:br/>
              <w:t>(t/god)</w:t>
            </w:r>
          </w:p>
        </w:tc>
        <w:tc>
          <w:tcPr>
            <w:tcW w:w="1044" w:type="dxa"/>
            <w:tcBorders>
              <w:top w:val="single" w:sz="8" w:space="0" w:color="auto"/>
              <w:left w:val="nil"/>
              <w:bottom w:val="single" w:sz="4" w:space="0" w:color="auto"/>
              <w:right w:val="single" w:sz="4" w:space="0" w:color="auto"/>
            </w:tcBorders>
            <w:shd w:val="clear" w:color="auto" w:fill="002060"/>
            <w:vAlign w:val="center"/>
            <w:hideMark/>
          </w:tcPr>
          <w:p w14:paraId="66514992" w14:textId="77777777" w:rsidR="00C30C99" w:rsidRPr="006F5FDB" w:rsidRDefault="00C30C99" w:rsidP="002111B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Potrebni dodatni kapacitet  </w:t>
            </w:r>
            <w:proofErr w:type="spellStart"/>
            <w:r w:rsidRPr="006F5FDB">
              <w:rPr>
                <w:rFonts w:ascii="Calibri" w:eastAsia="Times New Roman" w:hAnsi="Calibri" w:cs="Calibri"/>
                <w:b/>
                <w:color w:val="FFFFFF" w:themeColor="background1"/>
                <w:sz w:val="16"/>
                <w:szCs w:val="16"/>
                <w:lang w:eastAsia="hr-HR"/>
              </w:rPr>
              <w:t>kompostana</w:t>
            </w:r>
            <w:proofErr w:type="spellEnd"/>
            <w:r w:rsidRPr="006F5FDB">
              <w:rPr>
                <w:rFonts w:ascii="Calibri" w:eastAsia="Times New Roman" w:hAnsi="Calibri" w:cs="Calibri"/>
                <w:b/>
                <w:color w:val="FFFFFF" w:themeColor="background1"/>
                <w:sz w:val="16"/>
                <w:szCs w:val="16"/>
                <w:lang w:eastAsia="hr-HR"/>
              </w:rPr>
              <w:t xml:space="preserve"> i bioplinskih </w:t>
            </w:r>
            <w:proofErr w:type="spellStart"/>
            <w:r w:rsidRPr="006F5FDB">
              <w:rPr>
                <w:rFonts w:ascii="Calibri" w:eastAsia="Times New Roman" w:hAnsi="Calibri" w:cs="Calibri"/>
                <w:b/>
                <w:color w:val="FFFFFF" w:themeColor="background1"/>
                <w:sz w:val="16"/>
                <w:szCs w:val="16"/>
                <w:lang w:eastAsia="hr-HR"/>
              </w:rPr>
              <w:t>postojenja</w:t>
            </w:r>
            <w:proofErr w:type="spellEnd"/>
            <w:r w:rsidRPr="006F5FDB">
              <w:rPr>
                <w:rFonts w:ascii="Calibri" w:eastAsia="Times New Roman" w:hAnsi="Calibri" w:cs="Calibri"/>
                <w:b/>
                <w:color w:val="FFFFFF" w:themeColor="background1"/>
                <w:sz w:val="16"/>
                <w:szCs w:val="16"/>
                <w:lang w:eastAsia="hr-HR"/>
              </w:rPr>
              <w:t xml:space="preserve"> za biološku obradu</w:t>
            </w:r>
            <w:r w:rsidRPr="006F5FDB">
              <w:rPr>
                <w:rFonts w:ascii="Calibri" w:eastAsia="Times New Roman" w:hAnsi="Calibri" w:cs="Calibri"/>
                <w:b/>
                <w:color w:val="FFFFFF" w:themeColor="background1"/>
                <w:sz w:val="16"/>
                <w:szCs w:val="16"/>
                <w:lang w:eastAsia="hr-HR"/>
              </w:rPr>
              <w:br/>
              <w:t>(t/god)</w:t>
            </w:r>
          </w:p>
        </w:tc>
        <w:tc>
          <w:tcPr>
            <w:tcW w:w="1359" w:type="dxa"/>
            <w:tcBorders>
              <w:top w:val="single" w:sz="8" w:space="0" w:color="auto"/>
              <w:left w:val="nil"/>
              <w:bottom w:val="single" w:sz="4" w:space="0" w:color="auto"/>
              <w:right w:val="single" w:sz="4" w:space="0" w:color="auto"/>
            </w:tcBorders>
            <w:shd w:val="clear" w:color="auto" w:fill="002060"/>
            <w:vAlign w:val="center"/>
            <w:hideMark/>
          </w:tcPr>
          <w:p w14:paraId="57805BC1" w14:textId="3BF76F09" w:rsidR="00C30C99" w:rsidRPr="006F5FDB" w:rsidRDefault="00C30C99" w:rsidP="002111B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Procjena troškova izgradnje novih </w:t>
            </w:r>
            <w:proofErr w:type="spellStart"/>
            <w:r w:rsidRPr="006F5FDB">
              <w:rPr>
                <w:rFonts w:ascii="Calibri" w:eastAsia="Times New Roman" w:hAnsi="Calibri" w:cs="Calibri"/>
                <w:b/>
                <w:color w:val="FFFFFF" w:themeColor="background1"/>
                <w:sz w:val="16"/>
                <w:szCs w:val="16"/>
                <w:lang w:eastAsia="hr-HR"/>
              </w:rPr>
              <w:t>kompostana</w:t>
            </w:r>
            <w:proofErr w:type="spellEnd"/>
            <w:r w:rsidRPr="006F5FDB">
              <w:rPr>
                <w:rFonts w:ascii="Calibri" w:eastAsia="Times New Roman" w:hAnsi="Calibri" w:cs="Calibri"/>
                <w:b/>
                <w:color w:val="FFFFFF" w:themeColor="background1"/>
                <w:sz w:val="16"/>
                <w:szCs w:val="16"/>
                <w:lang w:eastAsia="hr-HR"/>
              </w:rPr>
              <w:t xml:space="preserve"> i bioplinskih postrojenja</w:t>
            </w:r>
            <w:r>
              <w:rPr>
                <w:rFonts w:ascii="Calibri" w:eastAsia="Times New Roman" w:hAnsi="Calibri" w:cs="Calibri"/>
                <w:b/>
                <w:color w:val="FFFFFF" w:themeColor="background1"/>
                <w:sz w:val="16"/>
                <w:szCs w:val="16"/>
                <w:lang w:eastAsia="hr-HR"/>
              </w:rPr>
              <w:br/>
              <w:t>(kn)</w:t>
            </w:r>
          </w:p>
        </w:tc>
        <w:tc>
          <w:tcPr>
            <w:tcW w:w="1424" w:type="dxa"/>
            <w:tcBorders>
              <w:top w:val="single" w:sz="4" w:space="0" w:color="auto"/>
              <w:left w:val="nil"/>
              <w:bottom w:val="single" w:sz="4" w:space="0" w:color="auto"/>
              <w:right w:val="single" w:sz="4" w:space="0" w:color="auto"/>
            </w:tcBorders>
            <w:shd w:val="clear" w:color="auto" w:fill="002060"/>
            <w:vAlign w:val="center"/>
          </w:tcPr>
          <w:p w14:paraId="7F51D90B" w14:textId="695D1440" w:rsidR="00C30C99" w:rsidRPr="006F5FDB" w:rsidRDefault="00C30C99" w:rsidP="00C30C9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Procjena troškova izgradnje novih </w:t>
            </w:r>
            <w:proofErr w:type="spellStart"/>
            <w:r w:rsidRPr="006F5FDB">
              <w:rPr>
                <w:rFonts w:ascii="Calibri" w:eastAsia="Times New Roman" w:hAnsi="Calibri" w:cs="Calibri"/>
                <w:b/>
                <w:color w:val="FFFFFF" w:themeColor="background1"/>
                <w:sz w:val="16"/>
                <w:szCs w:val="16"/>
                <w:lang w:eastAsia="hr-HR"/>
              </w:rPr>
              <w:t>kompostana</w:t>
            </w:r>
            <w:proofErr w:type="spellEnd"/>
            <w:r w:rsidRPr="006F5FDB">
              <w:rPr>
                <w:rFonts w:ascii="Calibri" w:eastAsia="Times New Roman" w:hAnsi="Calibri" w:cs="Calibri"/>
                <w:b/>
                <w:color w:val="FFFFFF" w:themeColor="background1"/>
                <w:sz w:val="16"/>
                <w:szCs w:val="16"/>
                <w:lang w:eastAsia="hr-HR"/>
              </w:rPr>
              <w:t xml:space="preserve"> i bioplinskih postrojenja</w:t>
            </w:r>
            <w:r>
              <w:rPr>
                <w:rFonts w:ascii="Calibri" w:eastAsia="Times New Roman" w:hAnsi="Calibri" w:cs="Calibri"/>
                <w:b/>
                <w:color w:val="FFFFFF" w:themeColor="background1"/>
                <w:sz w:val="16"/>
                <w:szCs w:val="16"/>
                <w:lang w:eastAsia="hr-HR"/>
              </w:rPr>
              <w:br/>
              <w:t>(EUR)</w:t>
            </w:r>
          </w:p>
        </w:tc>
        <w:tc>
          <w:tcPr>
            <w:tcW w:w="1251" w:type="dxa"/>
            <w:tcBorders>
              <w:top w:val="single" w:sz="8" w:space="0" w:color="auto"/>
              <w:left w:val="single" w:sz="4" w:space="0" w:color="auto"/>
              <w:bottom w:val="single" w:sz="4" w:space="0" w:color="auto"/>
              <w:right w:val="single" w:sz="8" w:space="0" w:color="auto"/>
            </w:tcBorders>
            <w:shd w:val="clear" w:color="auto" w:fill="002060"/>
            <w:vAlign w:val="center"/>
            <w:hideMark/>
          </w:tcPr>
          <w:p w14:paraId="724CD34D" w14:textId="5164C867" w:rsidR="00C30C99" w:rsidRPr="006F5FDB" w:rsidRDefault="00C30C99" w:rsidP="002111B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Procjena troškova nadogradnje postojećih bioplinskih postrojenja</w:t>
            </w:r>
            <w:r>
              <w:rPr>
                <w:rFonts w:ascii="Calibri" w:eastAsia="Times New Roman" w:hAnsi="Calibri" w:cs="Calibri"/>
                <w:b/>
                <w:color w:val="FFFFFF" w:themeColor="background1"/>
                <w:sz w:val="16"/>
                <w:szCs w:val="16"/>
                <w:lang w:eastAsia="hr-HR"/>
              </w:rPr>
              <w:br/>
              <w:t>(kn)</w:t>
            </w:r>
          </w:p>
        </w:tc>
        <w:tc>
          <w:tcPr>
            <w:tcW w:w="1148" w:type="dxa"/>
            <w:tcBorders>
              <w:top w:val="single" w:sz="8" w:space="0" w:color="auto"/>
              <w:left w:val="single" w:sz="4" w:space="0" w:color="auto"/>
              <w:bottom w:val="single" w:sz="4" w:space="0" w:color="auto"/>
              <w:right w:val="single" w:sz="8" w:space="0" w:color="auto"/>
            </w:tcBorders>
            <w:shd w:val="clear" w:color="auto" w:fill="002060"/>
            <w:vAlign w:val="center"/>
          </w:tcPr>
          <w:p w14:paraId="0F474661" w14:textId="512487B1" w:rsidR="00C30C99" w:rsidRPr="006F5FDB" w:rsidRDefault="00C30C99" w:rsidP="00C30C9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Procjena troškova nadogradnje postojećih bioplinskih postrojenja</w:t>
            </w:r>
            <w:r>
              <w:rPr>
                <w:rFonts w:ascii="Calibri" w:eastAsia="Times New Roman" w:hAnsi="Calibri" w:cs="Calibri"/>
                <w:b/>
                <w:color w:val="FFFFFF" w:themeColor="background1"/>
                <w:sz w:val="16"/>
                <w:szCs w:val="16"/>
                <w:lang w:eastAsia="hr-HR"/>
              </w:rPr>
              <w:br/>
              <w:t>(EUR)</w:t>
            </w:r>
          </w:p>
        </w:tc>
      </w:tr>
      <w:tr w:rsidR="00C30C99" w:rsidRPr="006F5FDB" w14:paraId="2E248111" w14:textId="3C63B295"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795ECADB"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Bjelovarsko-bilogorska</w:t>
            </w:r>
          </w:p>
        </w:tc>
        <w:tc>
          <w:tcPr>
            <w:tcW w:w="1044" w:type="dxa"/>
            <w:tcBorders>
              <w:top w:val="nil"/>
              <w:left w:val="nil"/>
              <w:bottom w:val="single" w:sz="4" w:space="0" w:color="auto"/>
              <w:right w:val="single" w:sz="4" w:space="0" w:color="auto"/>
            </w:tcBorders>
            <w:shd w:val="clear" w:color="auto" w:fill="auto"/>
            <w:noWrap/>
            <w:vAlign w:val="center"/>
            <w:hideMark/>
          </w:tcPr>
          <w:p w14:paraId="44991FE8"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7.151</w:t>
            </w:r>
          </w:p>
        </w:tc>
        <w:tc>
          <w:tcPr>
            <w:tcW w:w="1044" w:type="dxa"/>
            <w:tcBorders>
              <w:top w:val="nil"/>
              <w:left w:val="nil"/>
              <w:bottom w:val="single" w:sz="4" w:space="0" w:color="auto"/>
              <w:right w:val="single" w:sz="4" w:space="0" w:color="auto"/>
            </w:tcBorders>
            <w:shd w:val="clear" w:color="auto" w:fill="auto"/>
            <w:noWrap/>
            <w:vAlign w:val="center"/>
            <w:hideMark/>
          </w:tcPr>
          <w:p w14:paraId="4169D3EF"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89.200</w:t>
            </w:r>
          </w:p>
        </w:tc>
        <w:tc>
          <w:tcPr>
            <w:tcW w:w="1044" w:type="dxa"/>
            <w:tcBorders>
              <w:top w:val="nil"/>
              <w:left w:val="nil"/>
              <w:bottom w:val="single" w:sz="4" w:space="0" w:color="auto"/>
              <w:right w:val="single" w:sz="4" w:space="0" w:color="auto"/>
            </w:tcBorders>
            <w:shd w:val="clear" w:color="auto" w:fill="auto"/>
            <w:noWrap/>
            <w:vAlign w:val="center"/>
            <w:hideMark/>
          </w:tcPr>
          <w:p w14:paraId="13F44AB3"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bottom"/>
            <w:hideMark/>
          </w:tcPr>
          <w:p w14:paraId="1DE26476" w14:textId="6AF968B6"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tcPr>
          <w:p w14:paraId="68F314B8" w14:textId="5AF92D47"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1134B586" w14:textId="020084CB"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18.750.000,00</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bottom"/>
          </w:tcPr>
          <w:p w14:paraId="57C6D292" w14:textId="30600EF1" w:rsidR="00C30C99" w:rsidRDefault="00C30C99" w:rsidP="00BB2706">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2.488.552,66</w:t>
            </w:r>
          </w:p>
        </w:tc>
      </w:tr>
      <w:tr w:rsidR="00C30C99" w:rsidRPr="006F5FDB" w14:paraId="3AA5D1FE" w14:textId="01892015"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4978232C"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Brodsko-posavska</w:t>
            </w:r>
          </w:p>
        </w:tc>
        <w:tc>
          <w:tcPr>
            <w:tcW w:w="1044" w:type="dxa"/>
            <w:tcBorders>
              <w:top w:val="nil"/>
              <w:left w:val="nil"/>
              <w:bottom w:val="single" w:sz="4" w:space="0" w:color="auto"/>
              <w:right w:val="single" w:sz="4" w:space="0" w:color="auto"/>
            </w:tcBorders>
            <w:shd w:val="clear" w:color="auto" w:fill="auto"/>
            <w:noWrap/>
            <w:vAlign w:val="center"/>
            <w:hideMark/>
          </w:tcPr>
          <w:p w14:paraId="20EA1917"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9.168</w:t>
            </w:r>
          </w:p>
        </w:tc>
        <w:tc>
          <w:tcPr>
            <w:tcW w:w="1044" w:type="dxa"/>
            <w:tcBorders>
              <w:top w:val="nil"/>
              <w:left w:val="nil"/>
              <w:bottom w:val="single" w:sz="4" w:space="0" w:color="auto"/>
              <w:right w:val="single" w:sz="4" w:space="0" w:color="auto"/>
            </w:tcBorders>
            <w:shd w:val="clear" w:color="auto" w:fill="auto"/>
            <w:noWrap/>
            <w:vAlign w:val="center"/>
            <w:hideMark/>
          </w:tcPr>
          <w:p w14:paraId="4FD1537B"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2C7C8481"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9.168</w:t>
            </w:r>
          </w:p>
        </w:tc>
        <w:tc>
          <w:tcPr>
            <w:tcW w:w="1359" w:type="dxa"/>
            <w:tcBorders>
              <w:top w:val="nil"/>
              <w:left w:val="nil"/>
              <w:bottom w:val="single" w:sz="4" w:space="0" w:color="auto"/>
              <w:right w:val="single" w:sz="4" w:space="0" w:color="auto"/>
            </w:tcBorders>
            <w:shd w:val="clear" w:color="auto" w:fill="auto"/>
            <w:noWrap/>
            <w:vAlign w:val="bottom"/>
            <w:hideMark/>
          </w:tcPr>
          <w:p w14:paraId="3FF41524" w14:textId="2ADBAFFC"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45.838.744,50</w:t>
            </w:r>
          </w:p>
        </w:tc>
        <w:tc>
          <w:tcPr>
            <w:tcW w:w="1424" w:type="dxa"/>
            <w:tcBorders>
              <w:top w:val="nil"/>
              <w:left w:val="single" w:sz="4" w:space="0" w:color="auto"/>
              <w:bottom w:val="single" w:sz="4" w:space="0" w:color="auto"/>
              <w:right w:val="single" w:sz="4" w:space="0" w:color="auto"/>
            </w:tcBorders>
            <w:shd w:val="clear" w:color="auto" w:fill="auto"/>
            <w:vAlign w:val="bottom"/>
          </w:tcPr>
          <w:p w14:paraId="43E71672" w14:textId="244AE5EB"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6.083.846,90</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11DBDC79" w14:textId="506EC0CB"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04A06E78" w14:textId="702A0D89"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C30C99" w:rsidRPr="006F5FDB" w14:paraId="0CD54E9D" w14:textId="19BAA4D9"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0675D46B"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1044" w:type="dxa"/>
            <w:tcBorders>
              <w:top w:val="nil"/>
              <w:left w:val="nil"/>
              <w:bottom w:val="single" w:sz="4" w:space="0" w:color="auto"/>
              <w:right w:val="single" w:sz="4" w:space="0" w:color="auto"/>
            </w:tcBorders>
            <w:shd w:val="clear" w:color="auto" w:fill="auto"/>
            <w:noWrap/>
            <w:vAlign w:val="center"/>
            <w:hideMark/>
          </w:tcPr>
          <w:p w14:paraId="7162C9DC"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17.479</w:t>
            </w:r>
          </w:p>
        </w:tc>
        <w:tc>
          <w:tcPr>
            <w:tcW w:w="1044" w:type="dxa"/>
            <w:tcBorders>
              <w:top w:val="nil"/>
              <w:left w:val="nil"/>
              <w:bottom w:val="single" w:sz="4" w:space="0" w:color="auto"/>
              <w:right w:val="single" w:sz="4" w:space="0" w:color="auto"/>
            </w:tcBorders>
            <w:shd w:val="clear" w:color="auto" w:fill="auto"/>
            <w:noWrap/>
            <w:vAlign w:val="center"/>
            <w:hideMark/>
          </w:tcPr>
          <w:p w14:paraId="75E6F794"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5.720</w:t>
            </w:r>
          </w:p>
        </w:tc>
        <w:tc>
          <w:tcPr>
            <w:tcW w:w="1044" w:type="dxa"/>
            <w:tcBorders>
              <w:top w:val="nil"/>
              <w:left w:val="nil"/>
              <w:bottom w:val="single" w:sz="4" w:space="0" w:color="auto"/>
              <w:right w:val="single" w:sz="4" w:space="0" w:color="auto"/>
            </w:tcBorders>
            <w:shd w:val="clear" w:color="auto" w:fill="auto"/>
            <w:noWrap/>
            <w:vAlign w:val="center"/>
            <w:hideMark/>
          </w:tcPr>
          <w:p w14:paraId="38B4CFF1"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11.759</w:t>
            </w:r>
          </w:p>
        </w:tc>
        <w:tc>
          <w:tcPr>
            <w:tcW w:w="1359" w:type="dxa"/>
            <w:tcBorders>
              <w:top w:val="nil"/>
              <w:left w:val="nil"/>
              <w:bottom w:val="single" w:sz="4" w:space="0" w:color="auto"/>
              <w:right w:val="single" w:sz="4" w:space="0" w:color="auto"/>
            </w:tcBorders>
            <w:shd w:val="clear" w:color="auto" w:fill="auto"/>
            <w:noWrap/>
            <w:vAlign w:val="bottom"/>
            <w:hideMark/>
          </w:tcPr>
          <w:p w14:paraId="0B9A2F0A" w14:textId="4622D02A"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58.793.864,78</w:t>
            </w:r>
          </w:p>
        </w:tc>
        <w:tc>
          <w:tcPr>
            <w:tcW w:w="1424" w:type="dxa"/>
            <w:tcBorders>
              <w:top w:val="nil"/>
              <w:left w:val="single" w:sz="4" w:space="0" w:color="auto"/>
              <w:bottom w:val="single" w:sz="4" w:space="0" w:color="auto"/>
              <w:right w:val="single" w:sz="4" w:space="0" w:color="auto"/>
            </w:tcBorders>
            <w:shd w:val="clear" w:color="auto" w:fill="auto"/>
            <w:vAlign w:val="bottom"/>
          </w:tcPr>
          <w:p w14:paraId="3A24BF0C" w14:textId="68633C24"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7.803.286,85</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350B47FC" w14:textId="1354E012"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2852E119" w14:textId="185646BE"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C30C99" w:rsidRPr="006F5FDB" w14:paraId="78B8C458" w14:textId="0E924280"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6E359C1F"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w:t>
            </w:r>
          </w:p>
        </w:tc>
        <w:tc>
          <w:tcPr>
            <w:tcW w:w="1044" w:type="dxa"/>
            <w:tcBorders>
              <w:top w:val="nil"/>
              <w:left w:val="nil"/>
              <w:bottom w:val="single" w:sz="4" w:space="0" w:color="auto"/>
              <w:right w:val="single" w:sz="4" w:space="0" w:color="auto"/>
            </w:tcBorders>
            <w:shd w:val="clear" w:color="auto" w:fill="auto"/>
            <w:noWrap/>
            <w:vAlign w:val="center"/>
            <w:hideMark/>
          </w:tcPr>
          <w:p w14:paraId="19B34F38"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88.478</w:t>
            </w:r>
          </w:p>
        </w:tc>
        <w:tc>
          <w:tcPr>
            <w:tcW w:w="1044" w:type="dxa"/>
            <w:tcBorders>
              <w:top w:val="nil"/>
              <w:left w:val="nil"/>
              <w:bottom w:val="single" w:sz="4" w:space="0" w:color="auto"/>
              <w:right w:val="single" w:sz="4" w:space="0" w:color="auto"/>
            </w:tcBorders>
            <w:shd w:val="clear" w:color="auto" w:fill="auto"/>
            <w:noWrap/>
            <w:vAlign w:val="center"/>
            <w:hideMark/>
          </w:tcPr>
          <w:p w14:paraId="0EF2D7DC"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69.071</w:t>
            </w:r>
          </w:p>
        </w:tc>
        <w:tc>
          <w:tcPr>
            <w:tcW w:w="1044" w:type="dxa"/>
            <w:tcBorders>
              <w:top w:val="nil"/>
              <w:left w:val="nil"/>
              <w:bottom w:val="single" w:sz="4" w:space="0" w:color="auto"/>
              <w:right w:val="single" w:sz="4" w:space="0" w:color="auto"/>
            </w:tcBorders>
            <w:shd w:val="clear" w:color="auto" w:fill="auto"/>
            <w:noWrap/>
            <w:vAlign w:val="center"/>
            <w:hideMark/>
          </w:tcPr>
          <w:p w14:paraId="154FD576"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19.407</w:t>
            </w:r>
          </w:p>
        </w:tc>
        <w:tc>
          <w:tcPr>
            <w:tcW w:w="1359" w:type="dxa"/>
            <w:tcBorders>
              <w:top w:val="nil"/>
              <w:left w:val="nil"/>
              <w:bottom w:val="single" w:sz="4" w:space="0" w:color="auto"/>
              <w:right w:val="single" w:sz="4" w:space="0" w:color="auto"/>
            </w:tcBorders>
            <w:shd w:val="clear" w:color="auto" w:fill="auto"/>
            <w:noWrap/>
            <w:vAlign w:val="bottom"/>
            <w:hideMark/>
          </w:tcPr>
          <w:p w14:paraId="32BCCEBC" w14:textId="3E0C2A62"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97.033.836,14</w:t>
            </w:r>
          </w:p>
        </w:tc>
        <w:tc>
          <w:tcPr>
            <w:tcW w:w="1424" w:type="dxa"/>
            <w:tcBorders>
              <w:top w:val="nil"/>
              <w:left w:val="single" w:sz="4" w:space="0" w:color="auto"/>
              <w:bottom w:val="single" w:sz="4" w:space="0" w:color="auto"/>
              <w:right w:val="single" w:sz="4" w:space="0" w:color="auto"/>
            </w:tcBorders>
            <w:shd w:val="clear" w:color="auto" w:fill="auto"/>
            <w:vAlign w:val="bottom"/>
          </w:tcPr>
          <w:p w14:paraId="644C822E" w14:textId="42070DC4"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12.878.603,24</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1053C4FC" w14:textId="2EC20527"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1C0DD9F5" w14:textId="40E4B82C"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995.421,06</w:t>
            </w:r>
          </w:p>
        </w:tc>
      </w:tr>
      <w:tr w:rsidR="00C30C99" w:rsidRPr="006F5FDB" w14:paraId="518F5EE8" w14:textId="5A6F3AFC"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63516B23"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Istarska </w:t>
            </w:r>
          </w:p>
        </w:tc>
        <w:tc>
          <w:tcPr>
            <w:tcW w:w="1044" w:type="dxa"/>
            <w:tcBorders>
              <w:top w:val="nil"/>
              <w:left w:val="nil"/>
              <w:bottom w:val="single" w:sz="4" w:space="0" w:color="auto"/>
              <w:right w:val="single" w:sz="4" w:space="0" w:color="auto"/>
            </w:tcBorders>
            <w:shd w:val="clear" w:color="auto" w:fill="auto"/>
            <w:noWrap/>
            <w:vAlign w:val="center"/>
            <w:hideMark/>
          </w:tcPr>
          <w:p w14:paraId="458811A1"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33.382</w:t>
            </w:r>
          </w:p>
        </w:tc>
        <w:tc>
          <w:tcPr>
            <w:tcW w:w="1044" w:type="dxa"/>
            <w:tcBorders>
              <w:top w:val="nil"/>
              <w:left w:val="nil"/>
              <w:bottom w:val="single" w:sz="4" w:space="0" w:color="auto"/>
              <w:right w:val="single" w:sz="4" w:space="0" w:color="auto"/>
            </w:tcBorders>
            <w:shd w:val="clear" w:color="auto" w:fill="auto"/>
            <w:noWrap/>
            <w:vAlign w:val="center"/>
            <w:hideMark/>
          </w:tcPr>
          <w:p w14:paraId="10192741"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3003B351"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33.382</w:t>
            </w:r>
          </w:p>
        </w:tc>
        <w:tc>
          <w:tcPr>
            <w:tcW w:w="1359" w:type="dxa"/>
            <w:tcBorders>
              <w:top w:val="nil"/>
              <w:left w:val="nil"/>
              <w:bottom w:val="single" w:sz="4" w:space="0" w:color="auto"/>
              <w:right w:val="single" w:sz="4" w:space="0" w:color="auto"/>
            </w:tcBorders>
            <w:shd w:val="clear" w:color="auto" w:fill="auto"/>
            <w:noWrap/>
            <w:vAlign w:val="bottom"/>
            <w:hideMark/>
          </w:tcPr>
          <w:p w14:paraId="190307F0" w14:textId="123D28A6"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166.910.429,68</w:t>
            </w:r>
          </w:p>
        </w:tc>
        <w:tc>
          <w:tcPr>
            <w:tcW w:w="1424" w:type="dxa"/>
            <w:tcBorders>
              <w:top w:val="nil"/>
              <w:left w:val="single" w:sz="4" w:space="0" w:color="auto"/>
              <w:bottom w:val="single" w:sz="4" w:space="0" w:color="auto"/>
              <w:right w:val="single" w:sz="4" w:space="0" w:color="auto"/>
            </w:tcBorders>
            <w:shd w:val="clear" w:color="auto" w:fill="auto"/>
            <w:vAlign w:val="bottom"/>
          </w:tcPr>
          <w:p w14:paraId="1E1756A6" w14:textId="23A7E621"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22.152.820,98</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2454500A" w14:textId="662B16D2"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7836AB1D" w14:textId="217A3EF6"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C30C99" w:rsidRPr="006F5FDB" w14:paraId="121DED2D" w14:textId="644F6202"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0438CADE"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Karlovačka </w:t>
            </w:r>
          </w:p>
        </w:tc>
        <w:tc>
          <w:tcPr>
            <w:tcW w:w="1044" w:type="dxa"/>
            <w:tcBorders>
              <w:top w:val="nil"/>
              <w:left w:val="nil"/>
              <w:bottom w:val="single" w:sz="4" w:space="0" w:color="auto"/>
              <w:right w:val="single" w:sz="4" w:space="0" w:color="auto"/>
            </w:tcBorders>
            <w:shd w:val="clear" w:color="auto" w:fill="auto"/>
            <w:noWrap/>
            <w:vAlign w:val="center"/>
            <w:hideMark/>
          </w:tcPr>
          <w:p w14:paraId="11CB5F4C"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11.050</w:t>
            </w:r>
          </w:p>
        </w:tc>
        <w:tc>
          <w:tcPr>
            <w:tcW w:w="1044" w:type="dxa"/>
            <w:tcBorders>
              <w:top w:val="nil"/>
              <w:left w:val="nil"/>
              <w:bottom w:val="single" w:sz="4" w:space="0" w:color="auto"/>
              <w:right w:val="single" w:sz="4" w:space="0" w:color="auto"/>
            </w:tcBorders>
            <w:shd w:val="clear" w:color="auto" w:fill="auto"/>
            <w:noWrap/>
            <w:vAlign w:val="center"/>
            <w:hideMark/>
          </w:tcPr>
          <w:p w14:paraId="4213A660"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06E27A75"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11.050</w:t>
            </w:r>
          </w:p>
        </w:tc>
        <w:tc>
          <w:tcPr>
            <w:tcW w:w="1359" w:type="dxa"/>
            <w:tcBorders>
              <w:top w:val="nil"/>
              <w:left w:val="nil"/>
              <w:bottom w:val="single" w:sz="4" w:space="0" w:color="auto"/>
              <w:right w:val="single" w:sz="4" w:space="0" w:color="auto"/>
            </w:tcBorders>
            <w:shd w:val="clear" w:color="auto" w:fill="auto"/>
            <w:noWrap/>
            <w:vAlign w:val="bottom"/>
            <w:hideMark/>
          </w:tcPr>
          <w:p w14:paraId="39809C37" w14:textId="5E7FBEAF"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55.248.240,67</w:t>
            </w:r>
          </w:p>
        </w:tc>
        <w:tc>
          <w:tcPr>
            <w:tcW w:w="1424" w:type="dxa"/>
            <w:tcBorders>
              <w:top w:val="nil"/>
              <w:left w:val="single" w:sz="4" w:space="0" w:color="auto"/>
              <w:bottom w:val="single" w:sz="4" w:space="0" w:color="auto"/>
              <w:right w:val="single" w:sz="4" w:space="0" w:color="auto"/>
            </w:tcBorders>
            <w:shd w:val="clear" w:color="auto" w:fill="auto"/>
            <w:vAlign w:val="bottom"/>
          </w:tcPr>
          <w:p w14:paraId="13D7D046" w14:textId="7B34563A"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7.332.701,66</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15F5CF49" w14:textId="0063E86A"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546FC4E9" w14:textId="69CE2813"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C30C99" w:rsidRPr="006F5FDB" w14:paraId="1AA1DC75" w14:textId="5EE204D8"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2120A008"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Koprivničko-križevačka</w:t>
            </w:r>
          </w:p>
        </w:tc>
        <w:tc>
          <w:tcPr>
            <w:tcW w:w="1044" w:type="dxa"/>
            <w:tcBorders>
              <w:top w:val="nil"/>
              <w:left w:val="nil"/>
              <w:bottom w:val="single" w:sz="4" w:space="0" w:color="auto"/>
              <w:right w:val="single" w:sz="4" w:space="0" w:color="auto"/>
            </w:tcBorders>
            <w:shd w:val="clear" w:color="auto" w:fill="auto"/>
            <w:noWrap/>
            <w:vAlign w:val="center"/>
            <w:hideMark/>
          </w:tcPr>
          <w:p w14:paraId="7BA80DB9"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7.687</w:t>
            </w:r>
          </w:p>
        </w:tc>
        <w:tc>
          <w:tcPr>
            <w:tcW w:w="1044" w:type="dxa"/>
            <w:tcBorders>
              <w:top w:val="nil"/>
              <w:left w:val="nil"/>
              <w:bottom w:val="single" w:sz="4" w:space="0" w:color="auto"/>
              <w:right w:val="single" w:sz="4" w:space="0" w:color="auto"/>
            </w:tcBorders>
            <w:shd w:val="clear" w:color="auto" w:fill="auto"/>
            <w:noWrap/>
            <w:vAlign w:val="center"/>
            <w:hideMark/>
          </w:tcPr>
          <w:p w14:paraId="79236299"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136.763</w:t>
            </w:r>
          </w:p>
        </w:tc>
        <w:tc>
          <w:tcPr>
            <w:tcW w:w="1044" w:type="dxa"/>
            <w:tcBorders>
              <w:top w:val="nil"/>
              <w:left w:val="nil"/>
              <w:bottom w:val="single" w:sz="4" w:space="0" w:color="auto"/>
              <w:right w:val="single" w:sz="4" w:space="0" w:color="auto"/>
            </w:tcBorders>
            <w:shd w:val="clear" w:color="auto" w:fill="auto"/>
            <w:noWrap/>
            <w:vAlign w:val="center"/>
            <w:hideMark/>
          </w:tcPr>
          <w:p w14:paraId="5D8A731A"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bottom"/>
            <w:hideMark/>
          </w:tcPr>
          <w:p w14:paraId="236E9F76" w14:textId="0DA39048"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424" w:type="dxa"/>
            <w:tcBorders>
              <w:top w:val="nil"/>
              <w:left w:val="single" w:sz="4" w:space="0" w:color="auto"/>
              <w:bottom w:val="single" w:sz="4" w:space="0" w:color="auto"/>
              <w:right w:val="single" w:sz="4" w:space="0" w:color="auto"/>
            </w:tcBorders>
            <w:shd w:val="clear" w:color="auto" w:fill="auto"/>
            <w:vAlign w:val="bottom"/>
          </w:tcPr>
          <w:p w14:paraId="7FE3401B" w14:textId="21DCF1E6"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65E844BC" w14:textId="595DD5E3"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11.250.000,00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1FE0C962" w14:textId="24E45066"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1.493.131,59</w:t>
            </w:r>
          </w:p>
        </w:tc>
      </w:tr>
      <w:tr w:rsidR="00C30C99" w:rsidRPr="006F5FDB" w14:paraId="6EC93E76" w14:textId="0D9A7232"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4E932728"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lastRenderedPageBreak/>
              <w:t xml:space="preserve">Krapinsko-zagorska </w:t>
            </w:r>
          </w:p>
        </w:tc>
        <w:tc>
          <w:tcPr>
            <w:tcW w:w="1044" w:type="dxa"/>
            <w:tcBorders>
              <w:top w:val="nil"/>
              <w:left w:val="nil"/>
              <w:bottom w:val="single" w:sz="4" w:space="0" w:color="auto"/>
              <w:right w:val="single" w:sz="4" w:space="0" w:color="auto"/>
            </w:tcBorders>
            <w:shd w:val="clear" w:color="auto" w:fill="auto"/>
            <w:noWrap/>
            <w:vAlign w:val="center"/>
            <w:hideMark/>
          </w:tcPr>
          <w:p w14:paraId="7E51FB46"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7.754</w:t>
            </w:r>
          </w:p>
        </w:tc>
        <w:tc>
          <w:tcPr>
            <w:tcW w:w="1044" w:type="dxa"/>
            <w:tcBorders>
              <w:top w:val="nil"/>
              <w:left w:val="nil"/>
              <w:bottom w:val="single" w:sz="4" w:space="0" w:color="auto"/>
              <w:right w:val="single" w:sz="4" w:space="0" w:color="auto"/>
            </w:tcBorders>
            <w:shd w:val="clear" w:color="auto" w:fill="auto"/>
            <w:noWrap/>
            <w:vAlign w:val="center"/>
            <w:hideMark/>
          </w:tcPr>
          <w:p w14:paraId="2A21B327"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69E2A96B"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7.754</w:t>
            </w:r>
          </w:p>
        </w:tc>
        <w:tc>
          <w:tcPr>
            <w:tcW w:w="1359" w:type="dxa"/>
            <w:tcBorders>
              <w:top w:val="nil"/>
              <w:left w:val="nil"/>
              <w:bottom w:val="single" w:sz="4" w:space="0" w:color="auto"/>
              <w:right w:val="single" w:sz="4" w:space="0" w:color="auto"/>
            </w:tcBorders>
            <w:shd w:val="clear" w:color="auto" w:fill="auto"/>
            <w:noWrap/>
            <w:vAlign w:val="bottom"/>
            <w:hideMark/>
          </w:tcPr>
          <w:p w14:paraId="378A6E4D" w14:textId="545F63E3"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38.770.598,82</w:t>
            </w:r>
          </w:p>
        </w:tc>
        <w:tc>
          <w:tcPr>
            <w:tcW w:w="1424" w:type="dxa"/>
            <w:tcBorders>
              <w:top w:val="nil"/>
              <w:left w:val="single" w:sz="4" w:space="0" w:color="auto"/>
              <w:bottom w:val="single" w:sz="4" w:space="0" w:color="auto"/>
              <w:right w:val="single" w:sz="4" w:space="0" w:color="auto"/>
            </w:tcBorders>
            <w:shd w:val="clear" w:color="auto" w:fill="auto"/>
            <w:vAlign w:val="bottom"/>
          </w:tcPr>
          <w:p w14:paraId="67A5818E" w14:textId="3438BDBA"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5.145.742,76</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54B6402F" w14:textId="4C1F4BA3"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791BA77A" w14:textId="65ED1751"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C30C99" w:rsidRPr="006F5FDB" w14:paraId="24626E2E" w14:textId="34F4DFD1"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396E2A95"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Ličko-senjska </w:t>
            </w:r>
          </w:p>
        </w:tc>
        <w:tc>
          <w:tcPr>
            <w:tcW w:w="1044" w:type="dxa"/>
            <w:tcBorders>
              <w:top w:val="nil"/>
              <w:left w:val="nil"/>
              <w:bottom w:val="single" w:sz="4" w:space="0" w:color="auto"/>
              <w:right w:val="single" w:sz="4" w:space="0" w:color="auto"/>
            </w:tcBorders>
            <w:shd w:val="clear" w:color="auto" w:fill="auto"/>
            <w:noWrap/>
            <w:vAlign w:val="center"/>
            <w:hideMark/>
          </w:tcPr>
          <w:p w14:paraId="52645764"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6.654</w:t>
            </w:r>
          </w:p>
        </w:tc>
        <w:tc>
          <w:tcPr>
            <w:tcW w:w="1044" w:type="dxa"/>
            <w:tcBorders>
              <w:top w:val="nil"/>
              <w:left w:val="nil"/>
              <w:bottom w:val="single" w:sz="4" w:space="0" w:color="auto"/>
              <w:right w:val="single" w:sz="4" w:space="0" w:color="auto"/>
            </w:tcBorders>
            <w:shd w:val="clear" w:color="auto" w:fill="auto"/>
            <w:noWrap/>
            <w:vAlign w:val="center"/>
            <w:hideMark/>
          </w:tcPr>
          <w:p w14:paraId="6E79792F"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452AE275"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6.654</w:t>
            </w:r>
          </w:p>
        </w:tc>
        <w:tc>
          <w:tcPr>
            <w:tcW w:w="1359" w:type="dxa"/>
            <w:tcBorders>
              <w:top w:val="nil"/>
              <w:left w:val="nil"/>
              <w:bottom w:val="single" w:sz="4" w:space="0" w:color="auto"/>
              <w:right w:val="single" w:sz="4" w:space="0" w:color="auto"/>
            </w:tcBorders>
            <w:shd w:val="clear" w:color="auto" w:fill="auto"/>
            <w:noWrap/>
            <w:vAlign w:val="bottom"/>
            <w:hideMark/>
          </w:tcPr>
          <w:p w14:paraId="193E6904" w14:textId="797352F8"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33.272.051,44</w:t>
            </w:r>
          </w:p>
        </w:tc>
        <w:tc>
          <w:tcPr>
            <w:tcW w:w="1424" w:type="dxa"/>
            <w:tcBorders>
              <w:top w:val="nil"/>
              <w:left w:val="single" w:sz="4" w:space="0" w:color="auto"/>
              <w:bottom w:val="single" w:sz="4" w:space="0" w:color="auto"/>
              <w:right w:val="single" w:sz="4" w:space="0" w:color="auto"/>
            </w:tcBorders>
            <w:shd w:val="clear" w:color="auto" w:fill="auto"/>
            <w:vAlign w:val="bottom"/>
          </w:tcPr>
          <w:p w14:paraId="5CB4526D" w14:textId="7FD352BF"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4.415.960,11</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0A4F6F03" w14:textId="53682084"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313B2F5E" w14:textId="53A47C74"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C30C99" w:rsidRPr="006F5FDB" w14:paraId="305A105C" w14:textId="4694E5D7"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6F299501"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Međimurska </w:t>
            </w:r>
          </w:p>
        </w:tc>
        <w:tc>
          <w:tcPr>
            <w:tcW w:w="1044" w:type="dxa"/>
            <w:tcBorders>
              <w:top w:val="nil"/>
              <w:left w:val="nil"/>
              <w:bottom w:val="single" w:sz="4" w:space="0" w:color="auto"/>
              <w:right w:val="single" w:sz="4" w:space="0" w:color="auto"/>
            </w:tcBorders>
            <w:shd w:val="clear" w:color="auto" w:fill="auto"/>
            <w:noWrap/>
            <w:vAlign w:val="center"/>
            <w:hideMark/>
          </w:tcPr>
          <w:p w14:paraId="29462D58"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12.951</w:t>
            </w:r>
          </w:p>
        </w:tc>
        <w:tc>
          <w:tcPr>
            <w:tcW w:w="1044" w:type="dxa"/>
            <w:tcBorders>
              <w:top w:val="nil"/>
              <w:left w:val="nil"/>
              <w:bottom w:val="single" w:sz="4" w:space="0" w:color="auto"/>
              <w:right w:val="single" w:sz="4" w:space="0" w:color="auto"/>
            </w:tcBorders>
            <w:shd w:val="clear" w:color="auto" w:fill="auto"/>
            <w:noWrap/>
            <w:vAlign w:val="center"/>
            <w:hideMark/>
          </w:tcPr>
          <w:p w14:paraId="044644B1"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16.780</w:t>
            </w:r>
          </w:p>
        </w:tc>
        <w:tc>
          <w:tcPr>
            <w:tcW w:w="1044" w:type="dxa"/>
            <w:tcBorders>
              <w:top w:val="nil"/>
              <w:left w:val="nil"/>
              <w:bottom w:val="single" w:sz="4" w:space="0" w:color="auto"/>
              <w:right w:val="single" w:sz="4" w:space="0" w:color="auto"/>
            </w:tcBorders>
            <w:shd w:val="clear" w:color="auto" w:fill="auto"/>
            <w:noWrap/>
            <w:vAlign w:val="center"/>
            <w:hideMark/>
          </w:tcPr>
          <w:p w14:paraId="16C5E4DD"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bottom"/>
            <w:hideMark/>
          </w:tcPr>
          <w:p w14:paraId="40E9AC5B" w14:textId="19BA2F58"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424" w:type="dxa"/>
            <w:tcBorders>
              <w:top w:val="nil"/>
              <w:left w:val="single" w:sz="4" w:space="0" w:color="auto"/>
              <w:bottom w:val="single" w:sz="4" w:space="0" w:color="auto"/>
              <w:right w:val="single" w:sz="4" w:space="0" w:color="auto"/>
            </w:tcBorders>
            <w:shd w:val="clear" w:color="auto" w:fill="auto"/>
            <w:vAlign w:val="bottom"/>
          </w:tcPr>
          <w:p w14:paraId="6273E7FC" w14:textId="691A62D8"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5F85F021" w14:textId="0CCAFDB6"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594247E3" w14:textId="68475BE9"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C30C99" w:rsidRPr="006F5FDB" w14:paraId="4ACF56BA" w14:textId="5ECCC70D"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0A326241"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Osječko-baranjska </w:t>
            </w:r>
          </w:p>
        </w:tc>
        <w:tc>
          <w:tcPr>
            <w:tcW w:w="1044" w:type="dxa"/>
            <w:tcBorders>
              <w:top w:val="nil"/>
              <w:left w:val="nil"/>
              <w:bottom w:val="single" w:sz="4" w:space="0" w:color="auto"/>
              <w:right w:val="single" w:sz="4" w:space="0" w:color="auto"/>
            </w:tcBorders>
            <w:shd w:val="clear" w:color="auto" w:fill="auto"/>
            <w:noWrap/>
            <w:vAlign w:val="center"/>
            <w:hideMark/>
          </w:tcPr>
          <w:p w14:paraId="49F0205E"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22.628</w:t>
            </w:r>
          </w:p>
        </w:tc>
        <w:tc>
          <w:tcPr>
            <w:tcW w:w="1044" w:type="dxa"/>
            <w:tcBorders>
              <w:top w:val="nil"/>
              <w:left w:val="nil"/>
              <w:bottom w:val="single" w:sz="4" w:space="0" w:color="auto"/>
              <w:right w:val="single" w:sz="4" w:space="0" w:color="auto"/>
            </w:tcBorders>
            <w:shd w:val="clear" w:color="auto" w:fill="auto"/>
            <w:noWrap/>
            <w:vAlign w:val="center"/>
            <w:hideMark/>
          </w:tcPr>
          <w:p w14:paraId="1C169E4D"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442.774</w:t>
            </w:r>
          </w:p>
        </w:tc>
        <w:tc>
          <w:tcPr>
            <w:tcW w:w="1044" w:type="dxa"/>
            <w:tcBorders>
              <w:top w:val="nil"/>
              <w:left w:val="nil"/>
              <w:bottom w:val="single" w:sz="4" w:space="0" w:color="auto"/>
              <w:right w:val="single" w:sz="4" w:space="0" w:color="auto"/>
            </w:tcBorders>
            <w:shd w:val="clear" w:color="auto" w:fill="auto"/>
            <w:noWrap/>
            <w:vAlign w:val="center"/>
            <w:hideMark/>
          </w:tcPr>
          <w:p w14:paraId="2AC3B5E2"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bottom"/>
            <w:hideMark/>
          </w:tcPr>
          <w:p w14:paraId="312564A3" w14:textId="06948882"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424" w:type="dxa"/>
            <w:tcBorders>
              <w:top w:val="nil"/>
              <w:left w:val="single" w:sz="4" w:space="0" w:color="auto"/>
              <w:bottom w:val="single" w:sz="4" w:space="0" w:color="auto"/>
              <w:right w:val="single" w:sz="4" w:space="0" w:color="auto"/>
            </w:tcBorders>
            <w:shd w:val="clear" w:color="auto" w:fill="auto"/>
            <w:vAlign w:val="bottom"/>
          </w:tcPr>
          <w:p w14:paraId="3C517659" w14:textId="344EE33E"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02928A46" w14:textId="1397A995"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48.750.000,00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70FD13AA" w14:textId="149DD775"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6.470.236,91</w:t>
            </w:r>
          </w:p>
        </w:tc>
      </w:tr>
      <w:tr w:rsidR="00C30C99" w:rsidRPr="006F5FDB" w14:paraId="60E1E233" w14:textId="37E847B6"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0F3EF95D"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w:t>
            </w:r>
          </w:p>
        </w:tc>
        <w:tc>
          <w:tcPr>
            <w:tcW w:w="1044" w:type="dxa"/>
            <w:tcBorders>
              <w:top w:val="nil"/>
              <w:left w:val="nil"/>
              <w:bottom w:val="single" w:sz="4" w:space="0" w:color="auto"/>
              <w:right w:val="single" w:sz="4" w:space="0" w:color="auto"/>
            </w:tcBorders>
            <w:shd w:val="clear" w:color="auto" w:fill="auto"/>
            <w:noWrap/>
            <w:vAlign w:val="center"/>
            <w:hideMark/>
          </w:tcPr>
          <w:p w14:paraId="7DF11C74"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4.299</w:t>
            </w:r>
          </w:p>
        </w:tc>
        <w:tc>
          <w:tcPr>
            <w:tcW w:w="1044" w:type="dxa"/>
            <w:tcBorders>
              <w:top w:val="nil"/>
              <w:left w:val="nil"/>
              <w:bottom w:val="single" w:sz="4" w:space="0" w:color="auto"/>
              <w:right w:val="single" w:sz="4" w:space="0" w:color="auto"/>
            </w:tcBorders>
            <w:shd w:val="clear" w:color="auto" w:fill="auto"/>
            <w:noWrap/>
            <w:vAlign w:val="center"/>
            <w:hideMark/>
          </w:tcPr>
          <w:p w14:paraId="25DD8CC5"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1.000</w:t>
            </w:r>
          </w:p>
        </w:tc>
        <w:tc>
          <w:tcPr>
            <w:tcW w:w="1044" w:type="dxa"/>
            <w:tcBorders>
              <w:top w:val="nil"/>
              <w:left w:val="nil"/>
              <w:bottom w:val="single" w:sz="4" w:space="0" w:color="auto"/>
              <w:right w:val="single" w:sz="4" w:space="0" w:color="auto"/>
            </w:tcBorders>
            <w:shd w:val="clear" w:color="auto" w:fill="auto"/>
            <w:noWrap/>
            <w:vAlign w:val="center"/>
            <w:hideMark/>
          </w:tcPr>
          <w:p w14:paraId="3F6E3A82"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3.299</w:t>
            </w:r>
          </w:p>
        </w:tc>
        <w:tc>
          <w:tcPr>
            <w:tcW w:w="1359" w:type="dxa"/>
            <w:tcBorders>
              <w:top w:val="nil"/>
              <w:left w:val="nil"/>
              <w:bottom w:val="single" w:sz="4" w:space="0" w:color="auto"/>
              <w:right w:val="single" w:sz="4" w:space="0" w:color="auto"/>
            </w:tcBorders>
            <w:shd w:val="clear" w:color="auto" w:fill="auto"/>
            <w:noWrap/>
            <w:vAlign w:val="bottom"/>
            <w:hideMark/>
          </w:tcPr>
          <w:p w14:paraId="02C75802" w14:textId="092058A4"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16</w:t>
            </w:r>
            <w:r>
              <w:rPr>
                <w:rFonts w:ascii="Calibri" w:eastAsia="Times New Roman" w:hAnsi="Calibri" w:cs="Calibri"/>
                <w:color w:val="000000"/>
                <w:sz w:val="16"/>
                <w:szCs w:val="16"/>
                <w:lang w:eastAsia="hr-HR"/>
              </w:rPr>
              <w:t>.494.938,36</w:t>
            </w:r>
          </w:p>
        </w:tc>
        <w:tc>
          <w:tcPr>
            <w:tcW w:w="1424" w:type="dxa"/>
            <w:tcBorders>
              <w:top w:val="nil"/>
              <w:left w:val="single" w:sz="4" w:space="0" w:color="auto"/>
              <w:bottom w:val="single" w:sz="4" w:space="0" w:color="auto"/>
              <w:right w:val="single" w:sz="4" w:space="0" w:color="auto"/>
            </w:tcBorders>
            <w:shd w:val="clear" w:color="auto" w:fill="auto"/>
            <w:vAlign w:val="bottom"/>
          </w:tcPr>
          <w:p w14:paraId="5D58075C" w14:textId="51709525"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2.189.254,54</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348802D8" w14:textId="1C35F72C"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6513DAC5" w14:textId="065F66DE"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C30C99" w:rsidRPr="006F5FDB" w14:paraId="6477A3D6" w14:textId="45BCA69C"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54AFA52E"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Primorsko-goranska </w:t>
            </w:r>
          </w:p>
        </w:tc>
        <w:tc>
          <w:tcPr>
            <w:tcW w:w="1044" w:type="dxa"/>
            <w:tcBorders>
              <w:top w:val="nil"/>
              <w:left w:val="nil"/>
              <w:bottom w:val="single" w:sz="4" w:space="0" w:color="auto"/>
              <w:right w:val="single" w:sz="4" w:space="0" w:color="auto"/>
            </w:tcBorders>
            <w:shd w:val="clear" w:color="auto" w:fill="auto"/>
            <w:noWrap/>
            <w:vAlign w:val="center"/>
            <w:hideMark/>
          </w:tcPr>
          <w:p w14:paraId="7160A9B4"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43.572</w:t>
            </w:r>
          </w:p>
        </w:tc>
        <w:tc>
          <w:tcPr>
            <w:tcW w:w="1044" w:type="dxa"/>
            <w:tcBorders>
              <w:top w:val="nil"/>
              <w:left w:val="nil"/>
              <w:bottom w:val="single" w:sz="4" w:space="0" w:color="auto"/>
              <w:right w:val="single" w:sz="4" w:space="0" w:color="auto"/>
            </w:tcBorders>
            <w:shd w:val="clear" w:color="auto" w:fill="auto"/>
            <w:noWrap/>
            <w:vAlign w:val="center"/>
            <w:hideMark/>
          </w:tcPr>
          <w:p w14:paraId="245B4FFC"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2.000</w:t>
            </w:r>
          </w:p>
        </w:tc>
        <w:tc>
          <w:tcPr>
            <w:tcW w:w="1044" w:type="dxa"/>
            <w:tcBorders>
              <w:top w:val="nil"/>
              <w:left w:val="nil"/>
              <w:bottom w:val="single" w:sz="4" w:space="0" w:color="auto"/>
              <w:right w:val="single" w:sz="4" w:space="0" w:color="auto"/>
            </w:tcBorders>
            <w:shd w:val="clear" w:color="auto" w:fill="auto"/>
            <w:noWrap/>
            <w:vAlign w:val="center"/>
            <w:hideMark/>
          </w:tcPr>
          <w:p w14:paraId="5E18381C"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41.572</w:t>
            </w:r>
          </w:p>
        </w:tc>
        <w:tc>
          <w:tcPr>
            <w:tcW w:w="1359" w:type="dxa"/>
            <w:tcBorders>
              <w:top w:val="nil"/>
              <w:left w:val="nil"/>
              <w:bottom w:val="single" w:sz="4" w:space="0" w:color="auto"/>
              <w:right w:val="single" w:sz="4" w:space="0" w:color="auto"/>
            </w:tcBorders>
            <w:shd w:val="clear" w:color="auto" w:fill="auto"/>
            <w:noWrap/>
            <w:vAlign w:val="bottom"/>
            <w:hideMark/>
          </w:tcPr>
          <w:p w14:paraId="622D6189" w14:textId="357D96DE"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207.859.719,49</w:t>
            </w:r>
          </w:p>
        </w:tc>
        <w:tc>
          <w:tcPr>
            <w:tcW w:w="1424" w:type="dxa"/>
            <w:tcBorders>
              <w:top w:val="nil"/>
              <w:left w:val="single" w:sz="4" w:space="0" w:color="auto"/>
              <w:bottom w:val="single" w:sz="4" w:space="0" w:color="auto"/>
              <w:right w:val="single" w:sz="4" w:space="0" w:color="auto"/>
            </w:tcBorders>
            <w:shd w:val="clear" w:color="auto" w:fill="auto"/>
            <w:vAlign w:val="bottom"/>
          </w:tcPr>
          <w:p w14:paraId="680DB435" w14:textId="67167B30"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27.587.725,73</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0203BD09" w14:textId="151F2CFD"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71508FDA" w14:textId="14FA1171"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C30C99" w:rsidRPr="006F5FDB" w14:paraId="41CA4B07" w14:textId="3AAB8E97"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5CD530F8"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Sisačko-moslavačka </w:t>
            </w:r>
          </w:p>
        </w:tc>
        <w:tc>
          <w:tcPr>
            <w:tcW w:w="1044" w:type="dxa"/>
            <w:tcBorders>
              <w:top w:val="nil"/>
              <w:left w:val="nil"/>
              <w:bottom w:val="single" w:sz="4" w:space="0" w:color="auto"/>
              <w:right w:val="single" w:sz="4" w:space="0" w:color="auto"/>
            </w:tcBorders>
            <w:shd w:val="clear" w:color="auto" w:fill="auto"/>
            <w:noWrap/>
            <w:vAlign w:val="center"/>
            <w:hideMark/>
          </w:tcPr>
          <w:p w14:paraId="79C47DF8"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12.213</w:t>
            </w:r>
          </w:p>
        </w:tc>
        <w:tc>
          <w:tcPr>
            <w:tcW w:w="1044" w:type="dxa"/>
            <w:tcBorders>
              <w:top w:val="nil"/>
              <w:left w:val="nil"/>
              <w:bottom w:val="single" w:sz="4" w:space="0" w:color="auto"/>
              <w:right w:val="single" w:sz="4" w:space="0" w:color="auto"/>
            </w:tcBorders>
            <w:shd w:val="clear" w:color="auto" w:fill="auto"/>
            <w:noWrap/>
            <w:vAlign w:val="center"/>
            <w:hideMark/>
          </w:tcPr>
          <w:p w14:paraId="0221982C"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29.700</w:t>
            </w:r>
          </w:p>
        </w:tc>
        <w:tc>
          <w:tcPr>
            <w:tcW w:w="1044" w:type="dxa"/>
            <w:tcBorders>
              <w:top w:val="nil"/>
              <w:left w:val="nil"/>
              <w:bottom w:val="single" w:sz="4" w:space="0" w:color="auto"/>
              <w:right w:val="single" w:sz="4" w:space="0" w:color="auto"/>
            </w:tcBorders>
            <w:shd w:val="clear" w:color="auto" w:fill="auto"/>
            <w:noWrap/>
            <w:vAlign w:val="center"/>
            <w:hideMark/>
          </w:tcPr>
          <w:p w14:paraId="5DD773E0"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bottom"/>
            <w:hideMark/>
          </w:tcPr>
          <w:p w14:paraId="2D853271" w14:textId="7487DAC3"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424" w:type="dxa"/>
            <w:tcBorders>
              <w:top w:val="nil"/>
              <w:left w:val="single" w:sz="4" w:space="0" w:color="auto"/>
              <w:bottom w:val="single" w:sz="4" w:space="0" w:color="auto"/>
              <w:right w:val="single" w:sz="4" w:space="0" w:color="auto"/>
            </w:tcBorders>
            <w:shd w:val="clear" w:color="auto" w:fill="auto"/>
            <w:vAlign w:val="bottom"/>
          </w:tcPr>
          <w:p w14:paraId="29152777" w14:textId="6480DCF7"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69ECF044" w14:textId="70C74E56"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6289FC03" w14:textId="587BD7C4"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C30C99" w:rsidRPr="006F5FDB" w14:paraId="31907AE4" w14:textId="6295F207"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08AD1BB8"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Splitsko-dalmatinska </w:t>
            </w:r>
          </w:p>
        </w:tc>
        <w:tc>
          <w:tcPr>
            <w:tcW w:w="1044" w:type="dxa"/>
            <w:tcBorders>
              <w:top w:val="nil"/>
              <w:left w:val="nil"/>
              <w:bottom w:val="single" w:sz="4" w:space="0" w:color="auto"/>
              <w:right w:val="single" w:sz="4" w:space="0" w:color="auto"/>
            </w:tcBorders>
            <w:shd w:val="clear" w:color="auto" w:fill="auto"/>
            <w:noWrap/>
            <w:vAlign w:val="center"/>
            <w:hideMark/>
          </w:tcPr>
          <w:p w14:paraId="740D22F4"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63.942</w:t>
            </w:r>
          </w:p>
        </w:tc>
        <w:tc>
          <w:tcPr>
            <w:tcW w:w="1044" w:type="dxa"/>
            <w:tcBorders>
              <w:top w:val="nil"/>
              <w:left w:val="nil"/>
              <w:bottom w:val="single" w:sz="4" w:space="0" w:color="auto"/>
              <w:right w:val="single" w:sz="4" w:space="0" w:color="auto"/>
            </w:tcBorders>
            <w:shd w:val="clear" w:color="auto" w:fill="auto"/>
            <w:noWrap/>
            <w:vAlign w:val="center"/>
            <w:hideMark/>
          </w:tcPr>
          <w:p w14:paraId="3702E4ED"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05151C5C"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63.942</w:t>
            </w:r>
          </w:p>
        </w:tc>
        <w:tc>
          <w:tcPr>
            <w:tcW w:w="1359" w:type="dxa"/>
            <w:tcBorders>
              <w:top w:val="nil"/>
              <w:left w:val="nil"/>
              <w:bottom w:val="single" w:sz="4" w:space="0" w:color="auto"/>
              <w:right w:val="single" w:sz="4" w:space="0" w:color="auto"/>
            </w:tcBorders>
            <w:shd w:val="clear" w:color="auto" w:fill="auto"/>
            <w:noWrap/>
            <w:vAlign w:val="bottom"/>
            <w:hideMark/>
          </w:tcPr>
          <w:p w14:paraId="15EDBB1C" w14:textId="2AEDDF68"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319.707.882,66</w:t>
            </w:r>
          </w:p>
        </w:tc>
        <w:tc>
          <w:tcPr>
            <w:tcW w:w="1424" w:type="dxa"/>
            <w:tcBorders>
              <w:top w:val="nil"/>
              <w:left w:val="single" w:sz="4" w:space="0" w:color="auto"/>
              <w:bottom w:val="single" w:sz="4" w:space="0" w:color="auto"/>
              <w:right w:val="single" w:sz="4" w:space="0" w:color="auto"/>
            </w:tcBorders>
            <w:shd w:val="clear" w:color="auto" w:fill="auto"/>
            <w:vAlign w:val="bottom"/>
          </w:tcPr>
          <w:p w14:paraId="76F56B7D" w14:textId="3EA9EB96"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42.432.528,06</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5C2FD1CD" w14:textId="2B97BB33"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2D72E8CF" w14:textId="2211717E"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C30C99" w:rsidRPr="006F5FDB" w14:paraId="2D777482" w14:textId="2C5A271D"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0EC7595E"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Šibensko-kninska</w:t>
            </w:r>
          </w:p>
        </w:tc>
        <w:tc>
          <w:tcPr>
            <w:tcW w:w="1044" w:type="dxa"/>
            <w:tcBorders>
              <w:top w:val="nil"/>
              <w:left w:val="nil"/>
              <w:bottom w:val="single" w:sz="4" w:space="0" w:color="auto"/>
              <w:right w:val="single" w:sz="4" w:space="0" w:color="auto"/>
            </w:tcBorders>
            <w:shd w:val="clear" w:color="auto" w:fill="auto"/>
            <w:noWrap/>
            <w:vAlign w:val="center"/>
            <w:hideMark/>
          </w:tcPr>
          <w:p w14:paraId="10BC2B24"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14.528</w:t>
            </w:r>
          </w:p>
        </w:tc>
        <w:tc>
          <w:tcPr>
            <w:tcW w:w="1044" w:type="dxa"/>
            <w:tcBorders>
              <w:top w:val="nil"/>
              <w:left w:val="nil"/>
              <w:bottom w:val="single" w:sz="4" w:space="0" w:color="auto"/>
              <w:right w:val="single" w:sz="4" w:space="0" w:color="auto"/>
            </w:tcBorders>
            <w:shd w:val="clear" w:color="auto" w:fill="auto"/>
            <w:noWrap/>
            <w:vAlign w:val="center"/>
            <w:hideMark/>
          </w:tcPr>
          <w:p w14:paraId="1DCFBC34"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4573CC3D"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14.528</w:t>
            </w:r>
          </w:p>
        </w:tc>
        <w:tc>
          <w:tcPr>
            <w:tcW w:w="1359" w:type="dxa"/>
            <w:tcBorders>
              <w:top w:val="nil"/>
              <w:left w:val="nil"/>
              <w:bottom w:val="single" w:sz="4" w:space="0" w:color="auto"/>
              <w:right w:val="single" w:sz="4" w:space="0" w:color="auto"/>
            </w:tcBorders>
            <w:shd w:val="clear" w:color="auto" w:fill="auto"/>
            <w:noWrap/>
            <w:vAlign w:val="bottom"/>
            <w:hideMark/>
          </w:tcPr>
          <w:p w14:paraId="066F2697" w14:textId="23941E73"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72.639.470,11</w:t>
            </w:r>
          </w:p>
        </w:tc>
        <w:tc>
          <w:tcPr>
            <w:tcW w:w="1424" w:type="dxa"/>
            <w:tcBorders>
              <w:top w:val="nil"/>
              <w:left w:val="single" w:sz="4" w:space="0" w:color="auto"/>
              <w:bottom w:val="single" w:sz="4" w:space="0" w:color="auto"/>
              <w:right w:val="single" w:sz="4" w:space="0" w:color="auto"/>
            </w:tcBorders>
            <w:shd w:val="clear" w:color="auto" w:fill="auto"/>
            <w:vAlign w:val="bottom"/>
          </w:tcPr>
          <w:p w14:paraId="18877A7D" w14:textId="17BFBD00"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9.640.914,47</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71282DF1" w14:textId="4029A40E"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199B5C2E" w14:textId="123BA8D9"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C30C99" w:rsidRPr="006F5FDB" w14:paraId="6B20F6B2" w14:textId="782BFF9D"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5ABD5FBD"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Varaždinska </w:t>
            </w:r>
          </w:p>
        </w:tc>
        <w:tc>
          <w:tcPr>
            <w:tcW w:w="1044" w:type="dxa"/>
            <w:tcBorders>
              <w:top w:val="nil"/>
              <w:left w:val="nil"/>
              <w:bottom w:val="single" w:sz="4" w:space="0" w:color="auto"/>
              <w:right w:val="single" w:sz="4" w:space="0" w:color="auto"/>
            </w:tcBorders>
            <w:shd w:val="clear" w:color="auto" w:fill="auto"/>
            <w:noWrap/>
            <w:vAlign w:val="center"/>
            <w:hideMark/>
          </w:tcPr>
          <w:p w14:paraId="2E0EBE90"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11.434</w:t>
            </w:r>
          </w:p>
        </w:tc>
        <w:tc>
          <w:tcPr>
            <w:tcW w:w="1044" w:type="dxa"/>
            <w:tcBorders>
              <w:top w:val="nil"/>
              <w:left w:val="nil"/>
              <w:bottom w:val="single" w:sz="4" w:space="0" w:color="auto"/>
              <w:right w:val="single" w:sz="4" w:space="0" w:color="auto"/>
            </w:tcBorders>
            <w:shd w:val="clear" w:color="auto" w:fill="auto"/>
            <w:noWrap/>
            <w:vAlign w:val="center"/>
            <w:hideMark/>
          </w:tcPr>
          <w:p w14:paraId="06B1592E"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40.000</w:t>
            </w:r>
          </w:p>
        </w:tc>
        <w:tc>
          <w:tcPr>
            <w:tcW w:w="1044" w:type="dxa"/>
            <w:tcBorders>
              <w:top w:val="nil"/>
              <w:left w:val="nil"/>
              <w:bottom w:val="single" w:sz="4" w:space="0" w:color="auto"/>
              <w:right w:val="single" w:sz="4" w:space="0" w:color="auto"/>
            </w:tcBorders>
            <w:shd w:val="clear" w:color="auto" w:fill="auto"/>
            <w:noWrap/>
            <w:vAlign w:val="center"/>
            <w:hideMark/>
          </w:tcPr>
          <w:p w14:paraId="5CB6FC65"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bottom"/>
            <w:hideMark/>
          </w:tcPr>
          <w:p w14:paraId="72FDA1DA" w14:textId="145773F7"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424" w:type="dxa"/>
            <w:tcBorders>
              <w:top w:val="nil"/>
              <w:left w:val="single" w:sz="4" w:space="0" w:color="auto"/>
              <w:bottom w:val="single" w:sz="4" w:space="0" w:color="auto"/>
              <w:right w:val="single" w:sz="4" w:space="0" w:color="auto"/>
            </w:tcBorders>
            <w:shd w:val="clear" w:color="auto" w:fill="auto"/>
            <w:vAlign w:val="bottom"/>
          </w:tcPr>
          <w:p w14:paraId="7104CC1A" w14:textId="31C264DE"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07372F5F" w14:textId="2072D93D"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4AFA1EFF" w14:textId="15C9378B"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995.421,06</w:t>
            </w:r>
          </w:p>
        </w:tc>
      </w:tr>
      <w:tr w:rsidR="00C30C99" w:rsidRPr="006F5FDB" w14:paraId="4019A77A" w14:textId="78840B4D"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6AA50ACA"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Virovitičko-podravska</w:t>
            </w:r>
          </w:p>
        </w:tc>
        <w:tc>
          <w:tcPr>
            <w:tcW w:w="1044" w:type="dxa"/>
            <w:tcBorders>
              <w:top w:val="nil"/>
              <w:left w:val="nil"/>
              <w:bottom w:val="single" w:sz="4" w:space="0" w:color="auto"/>
              <w:right w:val="single" w:sz="4" w:space="0" w:color="auto"/>
            </w:tcBorders>
            <w:shd w:val="clear" w:color="auto" w:fill="auto"/>
            <w:noWrap/>
            <w:vAlign w:val="center"/>
            <w:hideMark/>
          </w:tcPr>
          <w:p w14:paraId="589BD899"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5.868</w:t>
            </w:r>
          </w:p>
        </w:tc>
        <w:tc>
          <w:tcPr>
            <w:tcW w:w="1044" w:type="dxa"/>
            <w:tcBorders>
              <w:top w:val="nil"/>
              <w:left w:val="nil"/>
              <w:bottom w:val="single" w:sz="4" w:space="0" w:color="auto"/>
              <w:right w:val="single" w:sz="4" w:space="0" w:color="auto"/>
            </w:tcBorders>
            <w:shd w:val="clear" w:color="auto" w:fill="auto"/>
            <w:noWrap/>
            <w:vAlign w:val="center"/>
            <w:hideMark/>
          </w:tcPr>
          <w:p w14:paraId="6DD15107"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36.500</w:t>
            </w:r>
          </w:p>
        </w:tc>
        <w:tc>
          <w:tcPr>
            <w:tcW w:w="1044" w:type="dxa"/>
            <w:tcBorders>
              <w:top w:val="nil"/>
              <w:left w:val="nil"/>
              <w:bottom w:val="single" w:sz="4" w:space="0" w:color="auto"/>
              <w:right w:val="single" w:sz="4" w:space="0" w:color="auto"/>
            </w:tcBorders>
            <w:shd w:val="clear" w:color="auto" w:fill="auto"/>
            <w:noWrap/>
            <w:vAlign w:val="center"/>
            <w:hideMark/>
          </w:tcPr>
          <w:p w14:paraId="121E6585"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bottom"/>
            <w:hideMark/>
          </w:tcPr>
          <w:p w14:paraId="3329490D" w14:textId="3587CA47"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424" w:type="dxa"/>
            <w:tcBorders>
              <w:top w:val="nil"/>
              <w:left w:val="single" w:sz="4" w:space="0" w:color="auto"/>
              <w:bottom w:val="single" w:sz="4" w:space="0" w:color="auto"/>
              <w:right w:val="single" w:sz="4" w:space="0" w:color="auto"/>
            </w:tcBorders>
            <w:shd w:val="clear" w:color="auto" w:fill="auto"/>
            <w:vAlign w:val="bottom"/>
          </w:tcPr>
          <w:p w14:paraId="6E172A15" w14:textId="09A47783"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51E4583B" w14:textId="60170491"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7CB29409" w14:textId="63649780"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995.421,06</w:t>
            </w:r>
          </w:p>
        </w:tc>
      </w:tr>
      <w:tr w:rsidR="00C30C99" w:rsidRPr="006F5FDB" w14:paraId="56CF73FE" w14:textId="69E62244"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333AB735"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Vukovarsko-srijemska </w:t>
            </w:r>
          </w:p>
        </w:tc>
        <w:tc>
          <w:tcPr>
            <w:tcW w:w="1044" w:type="dxa"/>
            <w:tcBorders>
              <w:top w:val="nil"/>
              <w:left w:val="nil"/>
              <w:bottom w:val="single" w:sz="4" w:space="0" w:color="auto"/>
              <w:right w:val="single" w:sz="4" w:space="0" w:color="auto"/>
            </w:tcBorders>
            <w:shd w:val="clear" w:color="auto" w:fill="auto"/>
            <w:noWrap/>
            <w:vAlign w:val="center"/>
            <w:hideMark/>
          </w:tcPr>
          <w:p w14:paraId="6E933575"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12.937</w:t>
            </w:r>
          </w:p>
        </w:tc>
        <w:tc>
          <w:tcPr>
            <w:tcW w:w="1044" w:type="dxa"/>
            <w:tcBorders>
              <w:top w:val="nil"/>
              <w:left w:val="nil"/>
              <w:bottom w:val="single" w:sz="4" w:space="0" w:color="auto"/>
              <w:right w:val="single" w:sz="4" w:space="0" w:color="auto"/>
            </w:tcBorders>
            <w:shd w:val="clear" w:color="auto" w:fill="auto"/>
            <w:noWrap/>
            <w:vAlign w:val="center"/>
            <w:hideMark/>
          </w:tcPr>
          <w:p w14:paraId="2076B51A"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36.300</w:t>
            </w:r>
          </w:p>
        </w:tc>
        <w:tc>
          <w:tcPr>
            <w:tcW w:w="1044" w:type="dxa"/>
            <w:tcBorders>
              <w:top w:val="nil"/>
              <w:left w:val="nil"/>
              <w:bottom w:val="single" w:sz="4" w:space="0" w:color="auto"/>
              <w:right w:val="single" w:sz="4" w:space="0" w:color="auto"/>
            </w:tcBorders>
            <w:shd w:val="clear" w:color="auto" w:fill="auto"/>
            <w:noWrap/>
            <w:vAlign w:val="center"/>
            <w:hideMark/>
          </w:tcPr>
          <w:p w14:paraId="050E79FF"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bottom"/>
            <w:hideMark/>
          </w:tcPr>
          <w:p w14:paraId="176ACD0F" w14:textId="6A493A8F"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424" w:type="dxa"/>
            <w:tcBorders>
              <w:top w:val="nil"/>
              <w:left w:val="single" w:sz="4" w:space="0" w:color="auto"/>
              <w:bottom w:val="single" w:sz="4" w:space="0" w:color="auto"/>
              <w:right w:val="single" w:sz="4" w:space="0" w:color="auto"/>
            </w:tcBorders>
            <w:shd w:val="clear" w:color="auto" w:fill="auto"/>
            <w:vAlign w:val="bottom"/>
          </w:tcPr>
          <w:p w14:paraId="30E8FFAF" w14:textId="05898E6C"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77496C5F" w14:textId="09B647B1"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22.500.000,00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3CBD746D" w14:textId="2514F8B2"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2.986.263,19</w:t>
            </w:r>
          </w:p>
        </w:tc>
      </w:tr>
      <w:tr w:rsidR="00C30C99" w:rsidRPr="006F5FDB" w14:paraId="3E1E8DDF" w14:textId="4B285EC0"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6FA1BE4C"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Zadarska </w:t>
            </w:r>
          </w:p>
        </w:tc>
        <w:tc>
          <w:tcPr>
            <w:tcW w:w="1044" w:type="dxa"/>
            <w:tcBorders>
              <w:top w:val="nil"/>
              <w:left w:val="nil"/>
              <w:bottom w:val="single" w:sz="4" w:space="0" w:color="auto"/>
              <w:right w:val="single" w:sz="4" w:space="0" w:color="auto"/>
            </w:tcBorders>
            <w:shd w:val="clear" w:color="auto" w:fill="auto"/>
            <w:noWrap/>
            <w:vAlign w:val="center"/>
            <w:hideMark/>
          </w:tcPr>
          <w:p w14:paraId="2B0E6072"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27.341</w:t>
            </w:r>
          </w:p>
        </w:tc>
        <w:tc>
          <w:tcPr>
            <w:tcW w:w="1044" w:type="dxa"/>
            <w:tcBorders>
              <w:top w:val="nil"/>
              <w:left w:val="nil"/>
              <w:bottom w:val="single" w:sz="4" w:space="0" w:color="auto"/>
              <w:right w:val="single" w:sz="4" w:space="0" w:color="auto"/>
            </w:tcBorders>
            <w:shd w:val="clear" w:color="auto" w:fill="auto"/>
            <w:noWrap/>
            <w:vAlign w:val="center"/>
            <w:hideMark/>
          </w:tcPr>
          <w:p w14:paraId="6196D28C"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72183C98"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27.341</w:t>
            </w:r>
          </w:p>
        </w:tc>
        <w:tc>
          <w:tcPr>
            <w:tcW w:w="1359" w:type="dxa"/>
            <w:tcBorders>
              <w:top w:val="nil"/>
              <w:left w:val="nil"/>
              <w:bottom w:val="single" w:sz="4" w:space="0" w:color="auto"/>
              <w:right w:val="single" w:sz="4" w:space="0" w:color="auto"/>
            </w:tcBorders>
            <w:shd w:val="clear" w:color="auto" w:fill="auto"/>
            <w:noWrap/>
            <w:vAlign w:val="bottom"/>
            <w:hideMark/>
          </w:tcPr>
          <w:p w14:paraId="26D9771A" w14:textId="5AE5F919"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136.704.341,49</w:t>
            </w:r>
          </w:p>
        </w:tc>
        <w:tc>
          <w:tcPr>
            <w:tcW w:w="1424" w:type="dxa"/>
            <w:tcBorders>
              <w:top w:val="nil"/>
              <w:left w:val="single" w:sz="4" w:space="0" w:color="auto"/>
              <w:bottom w:val="single" w:sz="4" w:space="0" w:color="auto"/>
              <w:right w:val="single" w:sz="4" w:space="0" w:color="auto"/>
            </w:tcBorders>
            <w:shd w:val="clear" w:color="auto" w:fill="auto"/>
            <w:vAlign w:val="bottom"/>
          </w:tcPr>
          <w:p w14:paraId="6E15178D" w14:textId="092970B2"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18.143.784,13</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7FBAD8DD" w14:textId="75A5A0C2"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66C7CDD4" w14:textId="30958D6C"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C30C99" w:rsidRPr="006F5FDB" w14:paraId="6E5B4A5F" w14:textId="1A30354E"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353579F5"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Zagrebačka </w:t>
            </w:r>
          </w:p>
        </w:tc>
        <w:tc>
          <w:tcPr>
            <w:tcW w:w="1044" w:type="dxa"/>
            <w:tcBorders>
              <w:top w:val="nil"/>
              <w:left w:val="nil"/>
              <w:bottom w:val="single" w:sz="4" w:space="0" w:color="auto"/>
              <w:right w:val="single" w:sz="4" w:space="0" w:color="auto"/>
            </w:tcBorders>
            <w:shd w:val="clear" w:color="auto" w:fill="auto"/>
            <w:noWrap/>
            <w:vAlign w:val="center"/>
            <w:hideMark/>
          </w:tcPr>
          <w:p w14:paraId="5F946C97"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28.684</w:t>
            </w:r>
          </w:p>
        </w:tc>
        <w:tc>
          <w:tcPr>
            <w:tcW w:w="1044" w:type="dxa"/>
            <w:tcBorders>
              <w:top w:val="nil"/>
              <w:left w:val="nil"/>
              <w:bottom w:val="single" w:sz="4" w:space="0" w:color="auto"/>
              <w:right w:val="single" w:sz="4" w:space="0" w:color="auto"/>
            </w:tcBorders>
            <w:shd w:val="clear" w:color="auto" w:fill="auto"/>
            <w:noWrap/>
            <w:vAlign w:val="center"/>
            <w:hideMark/>
          </w:tcPr>
          <w:p w14:paraId="5C16CCB9"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102.500</w:t>
            </w:r>
          </w:p>
        </w:tc>
        <w:tc>
          <w:tcPr>
            <w:tcW w:w="1044" w:type="dxa"/>
            <w:tcBorders>
              <w:top w:val="nil"/>
              <w:left w:val="nil"/>
              <w:bottom w:val="single" w:sz="4" w:space="0" w:color="auto"/>
              <w:right w:val="single" w:sz="4" w:space="0" w:color="auto"/>
            </w:tcBorders>
            <w:shd w:val="clear" w:color="auto" w:fill="auto"/>
            <w:noWrap/>
            <w:vAlign w:val="center"/>
            <w:hideMark/>
          </w:tcPr>
          <w:p w14:paraId="71B8B650"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bottom"/>
            <w:hideMark/>
          </w:tcPr>
          <w:p w14:paraId="5637047C" w14:textId="58FE3C6F"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424" w:type="dxa"/>
            <w:tcBorders>
              <w:top w:val="nil"/>
              <w:left w:val="single" w:sz="4" w:space="0" w:color="auto"/>
              <w:bottom w:val="single" w:sz="4" w:space="0" w:color="auto"/>
              <w:right w:val="single" w:sz="4" w:space="0" w:color="auto"/>
            </w:tcBorders>
            <w:shd w:val="clear" w:color="auto" w:fill="auto"/>
            <w:vAlign w:val="bottom"/>
          </w:tcPr>
          <w:p w14:paraId="3126F105" w14:textId="15D51DA1"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17B3F8C5" w14:textId="3A357DC6"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4679AB68" w14:textId="745F2A05"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995.421,06</w:t>
            </w:r>
          </w:p>
        </w:tc>
      </w:tr>
      <w:tr w:rsidR="00C30C99" w:rsidRPr="006F5FDB" w14:paraId="7C29C6F2" w14:textId="44B185DB" w:rsidTr="00BB2706">
        <w:trPr>
          <w:trHeight w:val="170"/>
        </w:trPr>
        <w:tc>
          <w:tcPr>
            <w:tcW w:w="1921" w:type="dxa"/>
            <w:tcBorders>
              <w:top w:val="nil"/>
              <w:left w:val="single" w:sz="8" w:space="0" w:color="auto"/>
              <w:bottom w:val="single" w:sz="8" w:space="0" w:color="auto"/>
              <w:right w:val="single" w:sz="4" w:space="0" w:color="auto"/>
            </w:tcBorders>
            <w:shd w:val="clear" w:color="auto" w:fill="auto"/>
            <w:noWrap/>
            <w:vAlign w:val="center"/>
            <w:hideMark/>
          </w:tcPr>
          <w:p w14:paraId="3F41102E" w14:textId="77777777" w:rsidR="00C30C99" w:rsidRPr="006F5FDB" w:rsidRDefault="00C30C99" w:rsidP="00C30C99">
            <w:pPr>
              <w:spacing w:after="0" w:line="240" w:lineRule="auto"/>
              <w:jc w:val="left"/>
              <w:rPr>
                <w:rFonts w:ascii="Calibri" w:eastAsia="Times New Roman" w:hAnsi="Calibri" w:cs="Calibri"/>
                <w:b/>
                <w:color w:val="000000"/>
                <w:sz w:val="16"/>
                <w:szCs w:val="16"/>
                <w:lang w:eastAsia="hr-HR"/>
              </w:rPr>
            </w:pPr>
            <w:r w:rsidRPr="006F5FDB">
              <w:rPr>
                <w:rFonts w:ascii="Calibri" w:eastAsia="Times New Roman" w:hAnsi="Calibri" w:cs="Calibri"/>
                <w:b/>
                <w:color w:val="000000"/>
                <w:sz w:val="16"/>
                <w:szCs w:val="16"/>
                <w:lang w:eastAsia="hr-HR"/>
              </w:rPr>
              <w:t>Ukupno</w:t>
            </w:r>
          </w:p>
        </w:tc>
        <w:tc>
          <w:tcPr>
            <w:tcW w:w="1044" w:type="dxa"/>
            <w:tcBorders>
              <w:top w:val="nil"/>
              <w:left w:val="nil"/>
              <w:bottom w:val="single" w:sz="8" w:space="0" w:color="auto"/>
              <w:right w:val="single" w:sz="4" w:space="0" w:color="auto"/>
            </w:tcBorders>
            <w:shd w:val="clear" w:color="auto" w:fill="auto"/>
            <w:noWrap/>
            <w:vAlign w:val="center"/>
            <w:hideMark/>
          </w:tcPr>
          <w:p w14:paraId="3E167D51" w14:textId="77777777" w:rsidR="00C30C99" w:rsidRPr="006F5FDB" w:rsidRDefault="00C30C99" w:rsidP="00C30C99">
            <w:pPr>
              <w:spacing w:after="0" w:line="240" w:lineRule="auto"/>
              <w:jc w:val="center"/>
              <w:rPr>
                <w:rFonts w:ascii="Calibri" w:eastAsia="Times New Roman" w:hAnsi="Calibri" w:cs="Calibri"/>
                <w:b/>
                <w:color w:val="000000"/>
                <w:sz w:val="16"/>
                <w:szCs w:val="16"/>
                <w:lang w:eastAsia="hr-HR"/>
              </w:rPr>
            </w:pPr>
            <w:r w:rsidRPr="006F5FDB">
              <w:rPr>
                <w:rFonts w:ascii="Calibri" w:eastAsia="Times New Roman" w:hAnsi="Calibri" w:cs="Calibri"/>
                <w:b/>
                <w:color w:val="000000"/>
                <w:sz w:val="16"/>
                <w:szCs w:val="16"/>
                <w:lang w:eastAsia="hr-HR"/>
              </w:rPr>
              <w:t>449.199</w:t>
            </w:r>
          </w:p>
        </w:tc>
        <w:tc>
          <w:tcPr>
            <w:tcW w:w="1044" w:type="dxa"/>
            <w:tcBorders>
              <w:top w:val="nil"/>
              <w:left w:val="nil"/>
              <w:bottom w:val="single" w:sz="8" w:space="0" w:color="auto"/>
              <w:right w:val="single" w:sz="4" w:space="0" w:color="auto"/>
            </w:tcBorders>
            <w:shd w:val="clear" w:color="auto" w:fill="auto"/>
            <w:noWrap/>
            <w:vAlign w:val="center"/>
            <w:hideMark/>
          </w:tcPr>
          <w:p w14:paraId="7FD266A3" w14:textId="77777777" w:rsidR="00C30C99" w:rsidRPr="006F5FDB" w:rsidRDefault="00C30C99" w:rsidP="00C30C99">
            <w:pPr>
              <w:spacing w:after="0" w:line="240" w:lineRule="auto"/>
              <w:jc w:val="center"/>
              <w:rPr>
                <w:rFonts w:ascii="Calibri" w:eastAsia="Times New Roman" w:hAnsi="Calibri" w:cs="Calibri"/>
                <w:b/>
                <w:color w:val="000000"/>
                <w:sz w:val="16"/>
                <w:szCs w:val="16"/>
                <w:lang w:eastAsia="hr-HR"/>
              </w:rPr>
            </w:pPr>
            <w:r w:rsidRPr="006F5FDB">
              <w:rPr>
                <w:rFonts w:ascii="Calibri" w:eastAsia="Times New Roman" w:hAnsi="Calibri" w:cs="Calibri"/>
                <w:b/>
                <w:color w:val="000000"/>
                <w:sz w:val="16"/>
                <w:szCs w:val="16"/>
                <w:lang w:eastAsia="hr-HR"/>
              </w:rPr>
              <w:t>1.008.308</w:t>
            </w:r>
          </w:p>
        </w:tc>
        <w:tc>
          <w:tcPr>
            <w:tcW w:w="1044" w:type="dxa"/>
            <w:tcBorders>
              <w:top w:val="nil"/>
              <w:left w:val="nil"/>
              <w:bottom w:val="single" w:sz="8" w:space="0" w:color="auto"/>
              <w:right w:val="single" w:sz="4" w:space="0" w:color="auto"/>
            </w:tcBorders>
            <w:shd w:val="clear" w:color="auto" w:fill="auto"/>
            <w:noWrap/>
            <w:vAlign w:val="center"/>
            <w:hideMark/>
          </w:tcPr>
          <w:p w14:paraId="45B86FBA" w14:textId="77777777" w:rsidR="00C30C99" w:rsidRPr="006F5FDB" w:rsidRDefault="00C30C99" w:rsidP="00C30C99">
            <w:pPr>
              <w:spacing w:after="0" w:line="240" w:lineRule="auto"/>
              <w:jc w:val="center"/>
              <w:rPr>
                <w:rFonts w:ascii="Calibri" w:eastAsia="Times New Roman" w:hAnsi="Calibri" w:cs="Calibri"/>
                <w:b/>
                <w:color w:val="000000"/>
                <w:sz w:val="16"/>
                <w:szCs w:val="16"/>
                <w:lang w:eastAsia="hr-HR"/>
              </w:rPr>
            </w:pPr>
            <w:r w:rsidRPr="006F5FDB">
              <w:rPr>
                <w:rFonts w:ascii="Calibri" w:eastAsia="Times New Roman" w:hAnsi="Calibri" w:cs="Calibri"/>
                <w:b/>
                <w:color w:val="000000"/>
                <w:sz w:val="16"/>
                <w:szCs w:val="16"/>
                <w:lang w:eastAsia="hr-HR"/>
              </w:rPr>
              <w:t>249.855</w:t>
            </w:r>
          </w:p>
        </w:tc>
        <w:tc>
          <w:tcPr>
            <w:tcW w:w="1359" w:type="dxa"/>
            <w:tcBorders>
              <w:top w:val="nil"/>
              <w:left w:val="nil"/>
              <w:bottom w:val="single" w:sz="8" w:space="0" w:color="auto"/>
              <w:right w:val="single" w:sz="4" w:space="0" w:color="auto"/>
            </w:tcBorders>
            <w:shd w:val="clear" w:color="auto" w:fill="auto"/>
            <w:noWrap/>
            <w:vAlign w:val="center"/>
            <w:hideMark/>
          </w:tcPr>
          <w:p w14:paraId="4FA31DCB" w14:textId="1AC2D28D" w:rsidR="00C30C99" w:rsidRPr="006F5FDB" w:rsidRDefault="00C30C99" w:rsidP="00C30C99">
            <w:pPr>
              <w:spacing w:after="0" w:line="240" w:lineRule="auto"/>
              <w:jc w:val="right"/>
              <w:rPr>
                <w:rFonts w:ascii="Calibri" w:eastAsia="Times New Roman" w:hAnsi="Calibri" w:cs="Calibri"/>
                <w:b/>
                <w:color w:val="000000"/>
                <w:sz w:val="16"/>
                <w:szCs w:val="16"/>
                <w:lang w:eastAsia="hr-HR"/>
              </w:rPr>
            </w:pPr>
            <w:r w:rsidRPr="006F5FDB">
              <w:rPr>
                <w:rFonts w:ascii="Calibri" w:eastAsia="Times New Roman" w:hAnsi="Calibri" w:cs="Calibri"/>
                <w:b/>
                <w:color w:val="000000"/>
                <w:sz w:val="16"/>
                <w:szCs w:val="16"/>
                <w:lang w:eastAsia="hr-HR"/>
              </w:rPr>
              <w:t>1.249.274.118,14</w:t>
            </w:r>
          </w:p>
        </w:tc>
        <w:tc>
          <w:tcPr>
            <w:tcW w:w="1424" w:type="dxa"/>
            <w:tcBorders>
              <w:top w:val="nil"/>
              <w:left w:val="single" w:sz="4" w:space="0" w:color="auto"/>
              <w:bottom w:val="single" w:sz="4" w:space="0" w:color="auto"/>
              <w:right w:val="single" w:sz="4" w:space="0" w:color="auto"/>
            </w:tcBorders>
            <w:shd w:val="clear" w:color="auto" w:fill="auto"/>
            <w:vAlign w:val="bottom"/>
          </w:tcPr>
          <w:p w14:paraId="15E8DF46" w14:textId="2BDE6F79" w:rsidR="00C30C99" w:rsidRDefault="00C30C99" w:rsidP="00C30C99">
            <w:pPr>
              <w:spacing w:after="0" w:line="240" w:lineRule="auto"/>
              <w:jc w:val="right"/>
              <w:rPr>
                <w:rFonts w:ascii="Calibri" w:eastAsia="Times New Roman" w:hAnsi="Calibri" w:cs="Calibri"/>
                <w:b/>
                <w:color w:val="000000"/>
                <w:sz w:val="16"/>
                <w:szCs w:val="16"/>
                <w:lang w:eastAsia="hr-HR"/>
              </w:rPr>
            </w:pPr>
            <w:r>
              <w:rPr>
                <w:rFonts w:ascii="Calibri" w:hAnsi="Calibri" w:cs="Calibri"/>
                <w:color w:val="000000"/>
                <w:sz w:val="16"/>
                <w:szCs w:val="16"/>
              </w:rPr>
              <w:t>165.807.169,44</w:t>
            </w:r>
          </w:p>
        </w:tc>
        <w:tc>
          <w:tcPr>
            <w:tcW w:w="1251" w:type="dxa"/>
            <w:tcBorders>
              <w:top w:val="nil"/>
              <w:left w:val="single" w:sz="4" w:space="0" w:color="auto"/>
              <w:bottom w:val="single" w:sz="8" w:space="0" w:color="auto"/>
              <w:right w:val="single" w:sz="8" w:space="0" w:color="auto"/>
            </w:tcBorders>
            <w:shd w:val="clear" w:color="auto" w:fill="auto"/>
            <w:noWrap/>
            <w:vAlign w:val="center"/>
            <w:hideMark/>
          </w:tcPr>
          <w:p w14:paraId="3FBACBD0" w14:textId="3DF9095C" w:rsidR="00C30C99" w:rsidRPr="006F5FDB" w:rsidRDefault="00C30C99" w:rsidP="00C30C99">
            <w:pPr>
              <w:spacing w:after="0" w:line="240" w:lineRule="auto"/>
              <w:jc w:val="right"/>
              <w:rPr>
                <w:rFonts w:ascii="Calibri" w:eastAsia="Times New Roman" w:hAnsi="Calibri" w:cs="Calibri"/>
                <w:b/>
                <w:color w:val="000000"/>
                <w:sz w:val="16"/>
                <w:szCs w:val="16"/>
                <w:lang w:eastAsia="hr-HR"/>
              </w:rPr>
            </w:pPr>
            <w:r>
              <w:rPr>
                <w:rFonts w:ascii="Calibri" w:eastAsia="Times New Roman" w:hAnsi="Calibri" w:cs="Calibri"/>
                <w:b/>
                <w:color w:val="000000"/>
                <w:sz w:val="16"/>
                <w:szCs w:val="16"/>
                <w:lang w:eastAsia="hr-HR"/>
              </w:rPr>
              <w:t>131.250.000,00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6968EA90" w14:textId="01DBEE18" w:rsidR="00C30C99" w:rsidRDefault="00C30C99" w:rsidP="00C30C99">
            <w:pPr>
              <w:spacing w:after="0" w:line="240" w:lineRule="auto"/>
              <w:jc w:val="right"/>
              <w:rPr>
                <w:rFonts w:ascii="Calibri" w:eastAsia="Times New Roman" w:hAnsi="Calibri" w:cs="Calibri"/>
                <w:b/>
                <w:color w:val="000000"/>
                <w:sz w:val="16"/>
                <w:szCs w:val="16"/>
                <w:lang w:eastAsia="hr-HR"/>
              </w:rPr>
            </w:pPr>
            <w:r>
              <w:rPr>
                <w:rFonts w:ascii="Calibri" w:hAnsi="Calibri" w:cs="Calibri"/>
                <w:color w:val="000000"/>
                <w:sz w:val="16"/>
                <w:szCs w:val="16"/>
              </w:rPr>
              <w:t>17.419.868,60</w:t>
            </w:r>
          </w:p>
        </w:tc>
      </w:tr>
      <w:tr w:rsidR="00C30C99" w:rsidRPr="006F5FDB" w14:paraId="31BF6B8F" w14:textId="78FB8581" w:rsidTr="00C30C99">
        <w:trPr>
          <w:trHeight w:val="170"/>
        </w:trPr>
        <w:tc>
          <w:tcPr>
            <w:tcW w:w="1921" w:type="dxa"/>
            <w:tcBorders>
              <w:top w:val="nil"/>
              <w:left w:val="nil"/>
              <w:bottom w:val="nil"/>
              <w:right w:val="nil"/>
            </w:tcBorders>
            <w:shd w:val="clear" w:color="auto" w:fill="auto"/>
            <w:noWrap/>
            <w:vAlign w:val="bottom"/>
            <w:hideMark/>
          </w:tcPr>
          <w:p w14:paraId="69C230B1" w14:textId="77777777" w:rsidR="00C30C99" w:rsidRPr="006F5FDB" w:rsidRDefault="00C30C99" w:rsidP="00C30C99">
            <w:pPr>
              <w:spacing w:after="0" w:line="240" w:lineRule="auto"/>
              <w:jc w:val="right"/>
              <w:rPr>
                <w:rFonts w:ascii="Calibri" w:eastAsia="Times New Roman" w:hAnsi="Calibri" w:cs="Calibri"/>
                <w:b/>
                <w:color w:val="000000"/>
                <w:sz w:val="16"/>
                <w:szCs w:val="16"/>
                <w:lang w:eastAsia="hr-HR"/>
              </w:rPr>
            </w:pPr>
          </w:p>
        </w:tc>
        <w:tc>
          <w:tcPr>
            <w:tcW w:w="1044" w:type="dxa"/>
            <w:tcBorders>
              <w:top w:val="nil"/>
              <w:left w:val="nil"/>
              <w:bottom w:val="nil"/>
              <w:right w:val="nil"/>
            </w:tcBorders>
            <w:shd w:val="clear" w:color="auto" w:fill="auto"/>
            <w:noWrap/>
            <w:vAlign w:val="bottom"/>
            <w:hideMark/>
          </w:tcPr>
          <w:p w14:paraId="59D2DD07" w14:textId="77777777" w:rsidR="00C30C99" w:rsidRPr="006F5FDB" w:rsidRDefault="00C30C99" w:rsidP="00C30C99">
            <w:pPr>
              <w:spacing w:after="0" w:line="240" w:lineRule="auto"/>
              <w:jc w:val="left"/>
              <w:rPr>
                <w:rFonts w:ascii="Times New Roman" w:eastAsia="Times New Roman" w:hAnsi="Times New Roman" w:cs="Times New Roman"/>
                <w:b/>
                <w:sz w:val="16"/>
                <w:szCs w:val="16"/>
                <w:lang w:eastAsia="hr-HR"/>
              </w:rPr>
            </w:pPr>
          </w:p>
        </w:tc>
        <w:tc>
          <w:tcPr>
            <w:tcW w:w="1044" w:type="dxa"/>
            <w:tcBorders>
              <w:top w:val="nil"/>
              <w:left w:val="nil"/>
              <w:bottom w:val="nil"/>
              <w:right w:val="nil"/>
            </w:tcBorders>
            <w:shd w:val="clear" w:color="auto" w:fill="auto"/>
            <w:noWrap/>
            <w:vAlign w:val="bottom"/>
            <w:hideMark/>
          </w:tcPr>
          <w:p w14:paraId="09763082" w14:textId="77777777" w:rsidR="00C30C99" w:rsidRPr="006F5FDB" w:rsidRDefault="00C30C99" w:rsidP="00C30C99">
            <w:pPr>
              <w:spacing w:after="0" w:line="240" w:lineRule="auto"/>
              <w:jc w:val="left"/>
              <w:rPr>
                <w:rFonts w:ascii="Times New Roman" w:eastAsia="Times New Roman" w:hAnsi="Times New Roman" w:cs="Times New Roman"/>
                <w:b/>
                <w:sz w:val="16"/>
                <w:szCs w:val="16"/>
                <w:lang w:eastAsia="hr-HR"/>
              </w:rPr>
            </w:pPr>
          </w:p>
        </w:tc>
        <w:tc>
          <w:tcPr>
            <w:tcW w:w="1044" w:type="dxa"/>
            <w:tcBorders>
              <w:top w:val="nil"/>
              <w:left w:val="nil"/>
              <w:bottom w:val="nil"/>
              <w:right w:val="nil"/>
            </w:tcBorders>
            <w:shd w:val="clear" w:color="auto" w:fill="auto"/>
            <w:noWrap/>
            <w:vAlign w:val="bottom"/>
            <w:hideMark/>
          </w:tcPr>
          <w:p w14:paraId="162FB256" w14:textId="77777777" w:rsidR="00C30C99" w:rsidRPr="006F5FDB" w:rsidRDefault="00C30C99" w:rsidP="00C30C99">
            <w:pPr>
              <w:spacing w:after="0" w:line="240" w:lineRule="auto"/>
              <w:jc w:val="left"/>
              <w:rPr>
                <w:rFonts w:ascii="Times New Roman" w:eastAsia="Times New Roman" w:hAnsi="Times New Roman" w:cs="Times New Roman"/>
                <w:b/>
                <w:sz w:val="16"/>
                <w:szCs w:val="16"/>
                <w:lang w:eastAsia="hr-HR"/>
              </w:rPr>
            </w:pPr>
          </w:p>
        </w:tc>
        <w:tc>
          <w:tcPr>
            <w:tcW w:w="5182" w:type="dxa"/>
            <w:gridSpan w:val="4"/>
            <w:tcBorders>
              <w:top w:val="single" w:sz="8" w:space="0" w:color="auto"/>
              <w:left w:val="single" w:sz="8" w:space="0" w:color="auto"/>
              <w:bottom w:val="single" w:sz="8" w:space="0" w:color="auto"/>
              <w:right w:val="single" w:sz="8" w:space="0" w:color="000000"/>
            </w:tcBorders>
          </w:tcPr>
          <w:p w14:paraId="643D94FB" w14:textId="455CBE1A" w:rsidR="00C30C99" w:rsidRPr="006F5FDB" w:rsidRDefault="00C30C99" w:rsidP="00C30C99">
            <w:pPr>
              <w:spacing w:after="0" w:line="240" w:lineRule="auto"/>
              <w:jc w:val="center"/>
              <w:rPr>
                <w:rFonts w:ascii="Calibri" w:eastAsia="Times New Roman" w:hAnsi="Calibri" w:cs="Calibri"/>
                <w:b/>
                <w:color w:val="000000"/>
                <w:sz w:val="16"/>
                <w:szCs w:val="16"/>
                <w:lang w:eastAsia="hr-HR"/>
              </w:rPr>
            </w:pPr>
            <w:r w:rsidRPr="006F5FDB">
              <w:rPr>
                <w:rFonts w:ascii="Calibri" w:eastAsia="Times New Roman" w:hAnsi="Calibri" w:cs="Calibri"/>
                <w:b/>
                <w:color w:val="000000"/>
                <w:sz w:val="16"/>
                <w:szCs w:val="16"/>
                <w:lang w:eastAsia="hr-HR"/>
              </w:rPr>
              <w:t>1.380.524.118,14 kn</w:t>
            </w:r>
          </w:p>
        </w:tc>
      </w:tr>
      <w:tr w:rsidR="00C30C99" w:rsidRPr="006F5FDB" w14:paraId="4454E7B0" w14:textId="77777777" w:rsidTr="00C30C99">
        <w:trPr>
          <w:trHeight w:val="170"/>
        </w:trPr>
        <w:tc>
          <w:tcPr>
            <w:tcW w:w="1921" w:type="dxa"/>
            <w:tcBorders>
              <w:top w:val="nil"/>
              <w:left w:val="nil"/>
              <w:bottom w:val="nil"/>
              <w:right w:val="nil"/>
            </w:tcBorders>
            <w:shd w:val="clear" w:color="auto" w:fill="auto"/>
            <w:noWrap/>
            <w:vAlign w:val="bottom"/>
          </w:tcPr>
          <w:p w14:paraId="7F4BD7C1" w14:textId="77777777" w:rsidR="00C30C99" w:rsidRPr="006F5FDB" w:rsidRDefault="00C30C99" w:rsidP="00C30C99">
            <w:pPr>
              <w:spacing w:after="0" w:line="240" w:lineRule="auto"/>
              <w:jc w:val="right"/>
              <w:rPr>
                <w:rFonts w:ascii="Calibri" w:eastAsia="Times New Roman" w:hAnsi="Calibri" w:cs="Calibri"/>
                <w:b/>
                <w:color w:val="000000"/>
                <w:sz w:val="16"/>
                <w:szCs w:val="16"/>
                <w:lang w:eastAsia="hr-HR"/>
              </w:rPr>
            </w:pPr>
          </w:p>
        </w:tc>
        <w:tc>
          <w:tcPr>
            <w:tcW w:w="1044" w:type="dxa"/>
            <w:tcBorders>
              <w:top w:val="nil"/>
              <w:left w:val="nil"/>
              <w:bottom w:val="nil"/>
              <w:right w:val="nil"/>
            </w:tcBorders>
            <w:shd w:val="clear" w:color="auto" w:fill="auto"/>
            <w:noWrap/>
            <w:vAlign w:val="bottom"/>
          </w:tcPr>
          <w:p w14:paraId="1BA0F077" w14:textId="77777777" w:rsidR="00C30C99" w:rsidRPr="006F5FDB" w:rsidRDefault="00C30C99" w:rsidP="00C30C99">
            <w:pPr>
              <w:spacing w:after="0" w:line="240" w:lineRule="auto"/>
              <w:jc w:val="left"/>
              <w:rPr>
                <w:rFonts w:ascii="Times New Roman" w:eastAsia="Times New Roman" w:hAnsi="Times New Roman" w:cs="Times New Roman"/>
                <w:b/>
                <w:sz w:val="16"/>
                <w:szCs w:val="16"/>
                <w:lang w:eastAsia="hr-HR"/>
              </w:rPr>
            </w:pPr>
          </w:p>
        </w:tc>
        <w:tc>
          <w:tcPr>
            <w:tcW w:w="1044" w:type="dxa"/>
            <w:tcBorders>
              <w:top w:val="nil"/>
              <w:left w:val="nil"/>
              <w:bottom w:val="nil"/>
              <w:right w:val="nil"/>
            </w:tcBorders>
            <w:shd w:val="clear" w:color="auto" w:fill="auto"/>
            <w:noWrap/>
            <w:vAlign w:val="bottom"/>
          </w:tcPr>
          <w:p w14:paraId="0835C7B2" w14:textId="77777777" w:rsidR="00C30C99" w:rsidRPr="006F5FDB" w:rsidRDefault="00C30C99" w:rsidP="00C30C99">
            <w:pPr>
              <w:spacing w:after="0" w:line="240" w:lineRule="auto"/>
              <w:jc w:val="left"/>
              <w:rPr>
                <w:rFonts w:ascii="Times New Roman" w:eastAsia="Times New Roman" w:hAnsi="Times New Roman" w:cs="Times New Roman"/>
                <w:b/>
                <w:sz w:val="16"/>
                <w:szCs w:val="16"/>
                <w:lang w:eastAsia="hr-HR"/>
              </w:rPr>
            </w:pPr>
          </w:p>
        </w:tc>
        <w:tc>
          <w:tcPr>
            <w:tcW w:w="1044" w:type="dxa"/>
            <w:tcBorders>
              <w:top w:val="nil"/>
              <w:left w:val="nil"/>
              <w:bottom w:val="nil"/>
              <w:right w:val="nil"/>
            </w:tcBorders>
            <w:shd w:val="clear" w:color="auto" w:fill="auto"/>
            <w:noWrap/>
            <w:vAlign w:val="bottom"/>
          </w:tcPr>
          <w:p w14:paraId="123AAF90" w14:textId="77777777" w:rsidR="00C30C99" w:rsidRPr="006F5FDB" w:rsidRDefault="00C30C99" w:rsidP="00C30C99">
            <w:pPr>
              <w:spacing w:after="0" w:line="240" w:lineRule="auto"/>
              <w:jc w:val="left"/>
              <w:rPr>
                <w:rFonts w:ascii="Times New Roman" w:eastAsia="Times New Roman" w:hAnsi="Times New Roman" w:cs="Times New Roman"/>
                <w:b/>
                <w:sz w:val="16"/>
                <w:szCs w:val="16"/>
                <w:lang w:eastAsia="hr-HR"/>
              </w:rPr>
            </w:pPr>
          </w:p>
        </w:tc>
        <w:tc>
          <w:tcPr>
            <w:tcW w:w="5182" w:type="dxa"/>
            <w:gridSpan w:val="4"/>
            <w:tcBorders>
              <w:top w:val="single" w:sz="8" w:space="0" w:color="auto"/>
              <w:left w:val="single" w:sz="8" w:space="0" w:color="auto"/>
              <w:bottom w:val="single" w:sz="8" w:space="0" w:color="auto"/>
              <w:right w:val="single" w:sz="8" w:space="0" w:color="000000"/>
            </w:tcBorders>
          </w:tcPr>
          <w:p w14:paraId="706DEE1E" w14:textId="3891DA51" w:rsidR="00C30C99" w:rsidRPr="006F5FDB" w:rsidRDefault="00A67963" w:rsidP="00C30C99">
            <w:pPr>
              <w:spacing w:after="0" w:line="240" w:lineRule="auto"/>
              <w:jc w:val="center"/>
              <w:rPr>
                <w:rFonts w:ascii="Calibri" w:eastAsia="Times New Roman" w:hAnsi="Calibri" w:cs="Calibri"/>
                <w:b/>
                <w:color w:val="000000"/>
                <w:sz w:val="16"/>
                <w:szCs w:val="16"/>
                <w:lang w:eastAsia="hr-HR"/>
              </w:rPr>
            </w:pPr>
            <w:r w:rsidRPr="00A67963">
              <w:rPr>
                <w:rFonts w:ascii="Calibri" w:eastAsia="Times New Roman" w:hAnsi="Calibri" w:cs="Calibri"/>
                <w:b/>
                <w:color w:val="000000"/>
                <w:sz w:val="16"/>
                <w:szCs w:val="16"/>
                <w:lang w:eastAsia="hr-HR"/>
              </w:rPr>
              <w:t>183.227.038,04</w:t>
            </w:r>
            <w:r>
              <w:rPr>
                <w:rFonts w:ascii="Calibri" w:eastAsia="Times New Roman" w:hAnsi="Calibri" w:cs="Calibri"/>
                <w:b/>
                <w:color w:val="000000"/>
                <w:sz w:val="16"/>
                <w:szCs w:val="16"/>
                <w:lang w:eastAsia="hr-HR"/>
              </w:rPr>
              <w:t xml:space="preserve"> EUR</w:t>
            </w:r>
          </w:p>
        </w:tc>
      </w:tr>
    </w:tbl>
    <w:p w14:paraId="45CB2873" w14:textId="77777777" w:rsidR="002111B9" w:rsidRDefault="002111B9" w:rsidP="00654BDC">
      <w:pPr>
        <w:rPr>
          <w:sz w:val="20"/>
          <w:szCs w:val="20"/>
        </w:rPr>
      </w:pPr>
    </w:p>
    <w:p w14:paraId="6320B21B" w14:textId="23FDC347" w:rsidR="0031655B" w:rsidRDefault="00654BDC" w:rsidP="00654BDC">
      <w:pPr>
        <w:pStyle w:val="Tablica"/>
        <w:rPr>
          <w:bCs/>
        </w:rPr>
      </w:pPr>
      <w:bookmarkStart w:id="286" w:name="_Toc125364448"/>
      <w:r w:rsidRPr="00ED4EE3">
        <w:t xml:space="preserve">Tablica </w:t>
      </w:r>
      <w:fldSimple w:instr=" SEQ Tablica \* ARABIC ">
        <w:r w:rsidR="00F37B62">
          <w:rPr>
            <w:noProof/>
          </w:rPr>
          <w:t>59</w:t>
        </w:r>
      </w:fldSimple>
      <w:r w:rsidRPr="00ED4EE3">
        <w:t xml:space="preserve">. </w:t>
      </w:r>
      <w:r w:rsidR="00371D3D">
        <w:rPr>
          <w:b w:val="0"/>
          <w:bCs/>
        </w:rPr>
        <w:t xml:space="preserve">Procjena potrebnih ulaganja u izgradnju </w:t>
      </w:r>
      <w:r w:rsidR="00E33714">
        <w:rPr>
          <w:b w:val="0"/>
          <w:bCs/>
        </w:rPr>
        <w:t xml:space="preserve">i/ili nadogradnju </w:t>
      </w:r>
      <w:proofErr w:type="spellStart"/>
      <w:r w:rsidR="00371D3D">
        <w:rPr>
          <w:b w:val="0"/>
          <w:bCs/>
        </w:rPr>
        <w:t>sortirnica</w:t>
      </w:r>
      <w:proofErr w:type="spellEnd"/>
      <w:r w:rsidR="00371D3D">
        <w:rPr>
          <w:b w:val="0"/>
          <w:bCs/>
        </w:rPr>
        <w:t xml:space="preserve"> </w:t>
      </w:r>
      <w:proofErr w:type="spellStart"/>
      <w:r w:rsidR="00371D3D">
        <w:rPr>
          <w:b w:val="0"/>
          <w:bCs/>
        </w:rPr>
        <w:t>kompostana</w:t>
      </w:r>
      <w:proofErr w:type="spellEnd"/>
      <w:r w:rsidR="00371D3D">
        <w:rPr>
          <w:b w:val="0"/>
          <w:bCs/>
        </w:rPr>
        <w:t xml:space="preserve"> i bioplinskih postrojenja </w:t>
      </w:r>
      <w:r w:rsidRPr="00ED4EE3">
        <w:rPr>
          <w:b w:val="0"/>
          <w:bCs/>
        </w:rPr>
        <w:t>– SCENARIJ 2</w:t>
      </w:r>
      <w:bookmarkEnd w:id="286"/>
    </w:p>
    <w:tbl>
      <w:tblPr>
        <w:tblW w:w="10140" w:type="dxa"/>
        <w:tblInd w:w="-360" w:type="dxa"/>
        <w:tblLayout w:type="fixed"/>
        <w:tblLook w:val="04A0" w:firstRow="1" w:lastRow="0" w:firstColumn="1" w:lastColumn="0" w:noHBand="0" w:noVBand="1"/>
      </w:tblPr>
      <w:tblGrid>
        <w:gridCol w:w="1758"/>
        <w:gridCol w:w="1002"/>
        <w:gridCol w:w="1134"/>
        <w:gridCol w:w="992"/>
        <w:gridCol w:w="1417"/>
        <w:gridCol w:w="1286"/>
        <w:gridCol w:w="1276"/>
        <w:gridCol w:w="1275"/>
      </w:tblGrid>
      <w:tr w:rsidR="00756255" w:rsidRPr="006F5FDB" w14:paraId="5BE093BA" w14:textId="77306308" w:rsidTr="00BB2706">
        <w:trPr>
          <w:trHeight w:val="170"/>
          <w:tblHeader/>
        </w:trPr>
        <w:tc>
          <w:tcPr>
            <w:tcW w:w="1758" w:type="dxa"/>
            <w:tcBorders>
              <w:top w:val="single" w:sz="8" w:space="0" w:color="auto"/>
              <w:left w:val="single" w:sz="8" w:space="0" w:color="auto"/>
              <w:bottom w:val="single" w:sz="4" w:space="0" w:color="auto"/>
              <w:right w:val="single" w:sz="4" w:space="0" w:color="auto"/>
            </w:tcBorders>
            <w:shd w:val="clear" w:color="auto" w:fill="002060"/>
            <w:vAlign w:val="center"/>
            <w:hideMark/>
          </w:tcPr>
          <w:p w14:paraId="5CEC891E" w14:textId="77777777" w:rsidR="00A67963" w:rsidRPr="006F5FDB" w:rsidRDefault="00A67963" w:rsidP="002111B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Županija</w:t>
            </w:r>
          </w:p>
        </w:tc>
        <w:tc>
          <w:tcPr>
            <w:tcW w:w="1002" w:type="dxa"/>
            <w:tcBorders>
              <w:top w:val="single" w:sz="8" w:space="0" w:color="auto"/>
              <w:left w:val="nil"/>
              <w:bottom w:val="single" w:sz="4" w:space="0" w:color="auto"/>
              <w:right w:val="single" w:sz="4" w:space="0" w:color="auto"/>
            </w:tcBorders>
            <w:shd w:val="clear" w:color="auto" w:fill="002060"/>
            <w:vAlign w:val="center"/>
            <w:hideMark/>
          </w:tcPr>
          <w:p w14:paraId="795536C3" w14:textId="77777777" w:rsidR="00A67963" w:rsidRPr="006F5FDB" w:rsidRDefault="00A67963" w:rsidP="002111B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Ukupni potrebni kapacitet </w:t>
            </w:r>
            <w:proofErr w:type="spellStart"/>
            <w:r w:rsidRPr="006F5FDB">
              <w:rPr>
                <w:rFonts w:ascii="Calibri" w:eastAsia="Times New Roman" w:hAnsi="Calibri" w:cs="Calibri"/>
                <w:b/>
                <w:color w:val="FFFFFF" w:themeColor="background1"/>
                <w:sz w:val="16"/>
                <w:szCs w:val="16"/>
                <w:lang w:eastAsia="hr-HR"/>
              </w:rPr>
              <w:t>kompostana</w:t>
            </w:r>
            <w:proofErr w:type="spellEnd"/>
            <w:r w:rsidRPr="006F5FDB">
              <w:rPr>
                <w:rFonts w:ascii="Calibri" w:eastAsia="Times New Roman" w:hAnsi="Calibri" w:cs="Calibri"/>
                <w:b/>
                <w:color w:val="FFFFFF" w:themeColor="background1"/>
                <w:sz w:val="16"/>
                <w:szCs w:val="16"/>
                <w:lang w:eastAsia="hr-HR"/>
              </w:rPr>
              <w:t xml:space="preserve"> i bioplinskih postrojenja za biološku obradu (t/god)</w:t>
            </w:r>
          </w:p>
        </w:tc>
        <w:tc>
          <w:tcPr>
            <w:tcW w:w="1134" w:type="dxa"/>
            <w:tcBorders>
              <w:top w:val="single" w:sz="8" w:space="0" w:color="auto"/>
              <w:left w:val="nil"/>
              <w:bottom w:val="single" w:sz="4" w:space="0" w:color="auto"/>
              <w:right w:val="single" w:sz="4" w:space="0" w:color="auto"/>
            </w:tcBorders>
            <w:shd w:val="clear" w:color="auto" w:fill="002060"/>
            <w:vAlign w:val="center"/>
            <w:hideMark/>
          </w:tcPr>
          <w:p w14:paraId="5522C223" w14:textId="77777777" w:rsidR="00A67963" w:rsidRPr="006F5FDB" w:rsidRDefault="00A67963" w:rsidP="002111B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Ukupni postojeći kapacitet bioplinskih postrojenja i </w:t>
            </w:r>
            <w:proofErr w:type="spellStart"/>
            <w:r w:rsidRPr="006F5FDB">
              <w:rPr>
                <w:rFonts w:ascii="Calibri" w:eastAsia="Times New Roman" w:hAnsi="Calibri" w:cs="Calibri"/>
                <w:b/>
                <w:color w:val="FFFFFF" w:themeColor="background1"/>
                <w:sz w:val="16"/>
                <w:szCs w:val="16"/>
                <w:lang w:eastAsia="hr-HR"/>
              </w:rPr>
              <w:t>kompostana</w:t>
            </w:r>
            <w:proofErr w:type="spellEnd"/>
            <w:r w:rsidRPr="006F5FDB">
              <w:rPr>
                <w:rFonts w:ascii="Calibri" w:eastAsia="Times New Roman" w:hAnsi="Calibri" w:cs="Calibri"/>
                <w:b/>
                <w:color w:val="FFFFFF" w:themeColor="background1"/>
                <w:sz w:val="16"/>
                <w:szCs w:val="16"/>
                <w:lang w:eastAsia="hr-HR"/>
              </w:rPr>
              <w:t xml:space="preserve"> za biološku obradu</w:t>
            </w:r>
            <w:r w:rsidRPr="006F5FDB">
              <w:rPr>
                <w:rFonts w:ascii="Calibri" w:eastAsia="Times New Roman" w:hAnsi="Calibri" w:cs="Calibri"/>
                <w:b/>
                <w:color w:val="FFFFFF" w:themeColor="background1"/>
                <w:sz w:val="16"/>
                <w:szCs w:val="16"/>
                <w:lang w:eastAsia="hr-HR"/>
              </w:rPr>
              <w:br/>
              <w:t>(t/god)</w:t>
            </w:r>
          </w:p>
        </w:tc>
        <w:tc>
          <w:tcPr>
            <w:tcW w:w="992" w:type="dxa"/>
            <w:tcBorders>
              <w:top w:val="single" w:sz="8" w:space="0" w:color="auto"/>
              <w:left w:val="nil"/>
              <w:bottom w:val="single" w:sz="4" w:space="0" w:color="auto"/>
              <w:right w:val="single" w:sz="4" w:space="0" w:color="auto"/>
            </w:tcBorders>
            <w:shd w:val="clear" w:color="auto" w:fill="002060"/>
            <w:vAlign w:val="center"/>
            <w:hideMark/>
          </w:tcPr>
          <w:p w14:paraId="317E96C0" w14:textId="77777777" w:rsidR="00A67963" w:rsidRPr="006F5FDB" w:rsidRDefault="00A67963" w:rsidP="002111B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Potrebni dodatni kapacitet  </w:t>
            </w:r>
            <w:proofErr w:type="spellStart"/>
            <w:r w:rsidRPr="006F5FDB">
              <w:rPr>
                <w:rFonts w:ascii="Calibri" w:eastAsia="Times New Roman" w:hAnsi="Calibri" w:cs="Calibri"/>
                <w:b/>
                <w:color w:val="FFFFFF" w:themeColor="background1"/>
                <w:sz w:val="16"/>
                <w:szCs w:val="16"/>
                <w:lang w:eastAsia="hr-HR"/>
              </w:rPr>
              <w:t>kompostana</w:t>
            </w:r>
            <w:proofErr w:type="spellEnd"/>
            <w:r w:rsidRPr="006F5FDB">
              <w:rPr>
                <w:rFonts w:ascii="Calibri" w:eastAsia="Times New Roman" w:hAnsi="Calibri" w:cs="Calibri"/>
                <w:b/>
                <w:color w:val="FFFFFF" w:themeColor="background1"/>
                <w:sz w:val="16"/>
                <w:szCs w:val="16"/>
                <w:lang w:eastAsia="hr-HR"/>
              </w:rPr>
              <w:t xml:space="preserve"> i bioplinskih </w:t>
            </w:r>
            <w:proofErr w:type="spellStart"/>
            <w:r w:rsidRPr="006F5FDB">
              <w:rPr>
                <w:rFonts w:ascii="Calibri" w:eastAsia="Times New Roman" w:hAnsi="Calibri" w:cs="Calibri"/>
                <w:b/>
                <w:color w:val="FFFFFF" w:themeColor="background1"/>
                <w:sz w:val="16"/>
                <w:szCs w:val="16"/>
                <w:lang w:eastAsia="hr-HR"/>
              </w:rPr>
              <w:t>postojenja</w:t>
            </w:r>
            <w:proofErr w:type="spellEnd"/>
            <w:r w:rsidRPr="006F5FDB">
              <w:rPr>
                <w:rFonts w:ascii="Calibri" w:eastAsia="Times New Roman" w:hAnsi="Calibri" w:cs="Calibri"/>
                <w:b/>
                <w:color w:val="FFFFFF" w:themeColor="background1"/>
                <w:sz w:val="16"/>
                <w:szCs w:val="16"/>
                <w:lang w:eastAsia="hr-HR"/>
              </w:rPr>
              <w:t xml:space="preserve"> za biološku obradu</w:t>
            </w:r>
            <w:r w:rsidRPr="006F5FDB">
              <w:rPr>
                <w:rFonts w:ascii="Calibri" w:eastAsia="Times New Roman" w:hAnsi="Calibri" w:cs="Calibri"/>
                <w:b/>
                <w:color w:val="FFFFFF" w:themeColor="background1"/>
                <w:sz w:val="16"/>
                <w:szCs w:val="16"/>
                <w:lang w:eastAsia="hr-HR"/>
              </w:rPr>
              <w:br/>
              <w:t>(t/god)</w:t>
            </w:r>
          </w:p>
        </w:tc>
        <w:tc>
          <w:tcPr>
            <w:tcW w:w="1417" w:type="dxa"/>
            <w:tcBorders>
              <w:top w:val="single" w:sz="8" w:space="0" w:color="auto"/>
              <w:left w:val="nil"/>
              <w:bottom w:val="single" w:sz="4" w:space="0" w:color="auto"/>
              <w:right w:val="single" w:sz="4" w:space="0" w:color="auto"/>
            </w:tcBorders>
            <w:shd w:val="clear" w:color="auto" w:fill="002060"/>
            <w:vAlign w:val="center"/>
            <w:hideMark/>
          </w:tcPr>
          <w:p w14:paraId="606A1C04" w14:textId="23BC2093" w:rsidR="00A67963" w:rsidRPr="006F5FDB" w:rsidRDefault="00A67963" w:rsidP="002111B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Procjena troškova izgradnje novih </w:t>
            </w:r>
            <w:proofErr w:type="spellStart"/>
            <w:r w:rsidRPr="006F5FDB">
              <w:rPr>
                <w:rFonts w:ascii="Calibri" w:eastAsia="Times New Roman" w:hAnsi="Calibri" w:cs="Calibri"/>
                <w:b/>
                <w:color w:val="FFFFFF" w:themeColor="background1"/>
                <w:sz w:val="16"/>
                <w:szCs w:val="16"/>
                <w:lang w:eastAsia="hr-HR"/>
              </w:rPr>
              <w:t>kompostana</w:t>
            </w:r>
            <w:proofErr w:type="spellEnd"/>
            <w:r w:rsidRPr="006F5FDB">
              <w:rPr>
                <w:rFonts w:ascii="Calibri" w:eastAsia="Times New Roman" w:hAnsi="Calibri" w:cs="Calibri"/>
                <w:b/>
                <w:color w:val="FFFFFF" w:themeColor="background1"/>
                <w:sz w:val="16"/>
                <w:szCs w:val="16"/>
                <w:lang w:eastAsia="hr-HR"/>
              </w:rPr>
              <w:t xml:space="preserve"> i bioplinskih postrojenja</w:t>
            </w:r>
            <w:r>
              <w:rPr>
                <w:rFonts w:ascii="Calibri" w:eastAsia="Times New Roman" w:hAnsi="Calibri" w:cs="Calibri"/>
                <w:b/>
                <w:color w:val="FFFFFF" w:themeColor="background1"/>
                <w:sz w:val="16"/>
                <w:szCs w:val="16"/>
                <w:lang w:eastAsia="hr-HR"/>
              </w:rPr>
              <w:br/>
              <w:t>(kn)</w:t>
            </w:r>
          </w:p>
        </w:tc>
        <w:tc>
          <w:tcPr>
            <w:tcW w:w="1286" w:type="dxa"/>
            <w:tcBorders>
              <w:top w:val="single" w:sz="4" w:space="0" w:color="auto"/>
              <w:left w:val="nil"/>
              <w:bottom w:val="single" w:sz="4" w:space="0" w:color="auto"/>
              <w:right w:val="single" w:sz="4" w:space="0" w:color="auto"/>
            </w:tcBorders>
            <w:shd w:val="clear" w:color="auto" w:fill="002060"/>
            <w:vAlign w:val="center"/>
          </w:tcPr>
          <w:p w14:paraId="3A18EBDF" w14:textId="0020AF3C" w:rsidR="00A67963" w:rsidRPr="006F5FDB" w:rsidRDefault="00A67963" w:rsidP="00A67963">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Procjena troškova izgradnje novih </w:t>
            </w:r>
            <w:proofErr w:type="spellStart"/>
            <w:r w:rsidRPr="006F5FDB">
              <w:rPr>
                <w:rFonts w:ascii="Calibri" w:eastAsia="Times New Roman" w:hAnsi="Calibri" w:cs="Calibri"/>
                <w:b/>
                <w:color w:val="FFFFFF" w:themeColor="background1"/>
                <w:sz w:val="16"/>
                <w:szCs w:val="16"/>
                <w:lang w:eastAsia="hr-HR"/>
              </w:rPr>
              <w:t>kompostana</w:t>
            </w:r>
            <w:proofErr w:type="spellEnd"/>
            <w:r w:rsidRPr="006F5FDB">
              <w:rPr>
                <w:rFonts w:ascii="Calibri" w:eastAsia="Times New Roman" w:hAnsi="Calibri" w:cs="Calibri"/>
                <w:b/>
                <w:color w:val="FFFFFF" w:themeColor="background1"/>
                <w:sz w:val="16"/>
                <w:szCs w:val="16"/>
                <w:lang w:eastAsia="hr-HR"/>
              </w:rPr>
              <w:t xml:space="preserve"> i bioplinskih postrojenja</w:t>
            </w:r>
            <w:r>
              <w:rPr>
                <w:rFonts w:ascii="Calibri" w:eastAsia="Times New Roman" w:hAnsi="Calibri" w:cs="Calibri"/>
                <w:b/>
                <w:color w:val="FFFFFF" w:themeColor="background1"/>
                <w:sz w:val="16"/>
                <w:szCs w:val="16"/>
                <w:lang w:eastAsia="hr-HR"/>
              </w:rPr>
              <w:br/>
              <w:t>(EUR)</w:t>
            </w:r>
          </w:p>
        </w:tc>
        <w:tc>
          <w:tcPr>
            <w:tcW w:w="1276" w:type="dxa"/>
            <w:tcBorders>
              <w:top w:val="single" w:sz="8" w:space="0" w:color="auto"/>
              <w:left w:val="single" w:sz="4" w:space="0" w:color="auto"/>
              <w:bottom w:val="single" w:sz="4" w:space="0" w:color="auto"/>
              <w:right w:val="single" w:sz="8" w:space="0" w:color="auto"/>
            </w:tcBorders>
            <w:shd w:val="clear" w:color="auto" w:fill="002060"/>
            <w:vAlign w:val="center"/>
            <w:hideMark/>
          </w:tcPr>
          <w:p w14:paraId="61C19E3E" w14:textId="66B53C22" w:rsidR="00A67963" w:rsidRPr="006F5FDB" w:rsidRDefault="00A67963" w:rsidP="002111B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Procjena troškova nadogradnje postojećih bioplinskih postrojenja</w:t>
            </w:r>
            <w:r>
              <w:rPr>
                <w:rFonts w:ascii="Calibri" w:eastAsia="Times New Roman" w:hAnsi="Calibri" w:cs="Calibri"/>
                <w:b/>
                <w:color w:val="FFFFFF" w:themeColor="background1"/>
                <w:sz w:val="16"/>
                <w:szCs w:val="16"/>
                <w:lang w:eastAsia="hr-HR"/>
              </w:rPr>
              <w:br/>
              <w:t>(kn)</w:t>
            </w:r>
          </w:p>
        </w:tc>
        <w:tc>
          <w:tcPr>
            <w:tcW w:w="1275" w:type="dxa"/>
            <w:tcBorders>
              <w:top w:val="single" w:sz="8" w:space="0" w:color="auto"/>
              <w:left w:val="single" w:sz="4" w:space="0" w:color="auto"/>
              <w:bottom w:val="single" w:sz="4" w:space="0" w:color="auto"/>
              <w:right w:val="single" w:sz="8" w:space="0" w:color="auto"/>
            </w:tcBorders>
            <w:shd w:val="clear" w:color="auto" w:fill="002060"/>
            <w:vAlign w:val="center"/>
          </w:tcPr>
          <w:p w14:paraId="16542FF5" w14:textId="1DA96191" w:rsidR="00A67963" w:rsidRPr="006F5FDB" w:rsidRDefault="00A67963" w:rsidP="00A67963">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Procjena troškova nadogradnje postojećih bioplinskih postrojenja</w:t>
            </w:r>
            <w:r>
              <w:rPr>
                <w:rFonts w:ascii="Calibri" w:eastAsia="Times New Roman" w:hAnsi="Calibri" w:cs="Calibri"/>
                <w:b/>
                <w:color w:val="FFFFFF" w:themeColor="background1"/>
                <w:sz w:val="16"/>
                <w:szCs w:val="16"/>
                <w:lang w:eastAsia="hr-HR"/>
              </w:rPr>
              <w:br/>
              <w:t>(EUR)</w:t>
            </w:r>
          </w:p>
        </w:tc>
      </w:tr>
      <w:tr w:rsidR="00756255" w:rsidRPr="006F5FDB" w14:paraId="6835A96C" w14:textId="36C07BD5"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5190334A"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Bjelovarsko-bilogorska</w:t>
            </w:r>
          </w:p>
        </w:tc>
        <w:tc>
          <w:tcPr>
            <w:tcW w:w="1002" w:type="dxa"/>
            <w:tcBorders>
              <w:top w:val="nil"/>
              <w:left w:val="nil"/>
              <w:bottom w:val="single" w:sz="4" w:space="0" w:color="auto"/>
              <w:right w:val="single" w:sz="4" w:space="0" w:color="auto"/>
            </w:tcBorders>
            <w:shd w:val="clear" w:color="auto" w:fill="auto"/>
            <w:noWrap/>
            <w:vAlign w:val="center"/>
            <w:hideMark/>
          </w:tcPr>
          <w:p w14:paraId="240C8D3A"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6.421</w:t>
            </w:r>
          </w:p>
        </w:tc>
        <w:tc>
          <w:tcPr>
            <w:tcW w:w="1134" w:type="dxa"/>
            <w:tcBorders>
              <w:top w:val="nil"/>
              <w:left w:val="nil"/>
              <w:bottom w:val="single" w:sz="4" w:space="0" w:color="auto"/>
              <w:right w:val="single" w:sz="4" w:space="0" w:color="auto"/>
            </w:tcBorders>
            <w:shd w:val="clear" w:color="auto" w:fill="auto"/>
            <w:noWrap/>
            <w:vAlign w:val="center"/>
            <w:hideMark/>
          </w:tcPr>
          <w:p w14:paraId="1092C0C4"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89.200</w:t>
            </w:r>
          </w:p>
        </w:tc>
        <w:tc>
          <w:tcPr>
            <w:tcW w:w="992" w:type="dxa"/>
            <w:tcBorders>
              <w:top w:val="nil"/>
              <w:left w:val="nil"/>
              <w:bottom w:val="single" w:sz="4" w:space="0" w:color="auto"/>
              <w:right w:val="single" w:sz="4" w:space="0" w:color="auto"/>
            </w:tcBorders>
            <w:shd w:val="clear" w:color="auto" w:fill="auto"/>
            <w:noWrap/>
            <w:vAlign w:val="center"/>
            <w:hideMark/>
          </w:tcPr>
          <w:p w14:paraId="68F9D8BF"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417" w:type="dxa"/>
            <w:tcBorders>
              <w:top w:val="nil"/>
              <w:left w:val="nil"/>
              <w:bottom w:val="single" w:sz="4" w:space="0" w:color="auto"/>
              <w:right w:val="single" w:sz="4" w:space="0" w:color="auto"/>
            </w:tcBorders>
            <w:shd w:val="clear" w:color="auto" w:fill="auto"/>
            <w:noWrap/>
            <w:vAlign w:val="bottom"/>
            <w:hideMark/>
          </w:tcPr>
          <w:p w14:paraId="53FD0468" w14:textId="40DA522D"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14:paraId="3051DD4F" w14:textId="596EB2AE" w:rsidR="00A67963" w:rsidRDefault="00A67963" w:rsidP="00F533EC">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2C9EEEA3" w14:textId="691D9E61"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18.750.000,00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115B6C34" w14:textId="27CEBAB4"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2.488.552,66</w:t>
            </w:r>
          </w:p>
        </w:tc>
      </w:tr>
      <w:tr w:rsidR="00756255" w:rsidRPr="006F5FDB" w14:paraId="51D2B2DA" w14:textId="7B52C7DA"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6DB175A4"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Brodsko-posavska</w:t>
            </w:r>
          </w:p>
        </w:tc>
        <w:tc>
          <w:tcPr>
            <w:tcW w:w="1002" w:type="dxa"/>
            <w:tcBorders>
              <w:top w:val="nil"/>
              <w:left w:val="nil"/>
              <w:bottom w:val="single" w:sz="4" w:space="0" w:color="auto"/>
              <w:right w:val="single" w:sz="4" w:space="0" w:color="auto"/>
            </w:tcBorders>
            <w:shd w:val="clear" w:color="auto" w:fill="auto"/>
            <w:noWrap/>
            <w:vAlign w:val="center"/>
            <w:hideMark/>
          </w:tcPr>
          <w:p w14:paraId="4BFAF383"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8.232</w:t>
            </w:r>
          </w:p>
        </w:tc>
        <w:tc>
          <w:tcPr>
            <w:tcW w:w="1134" w:type="dxa"/>
            <w:tcBorders>
              <w:top w:val="nil"/>
              <w:left w:val="nil"/>
              <w:bottom w:val="single" w:sz="4" w:space="0" w:color="auto"/>
              <w:right w:val="single" w:sz="4" w:space="0" w:color="auto"/>
            </w:tcBorders>
            <w:shd w:val="clear" w:color="auto" w:fill="auto"/>
            <w:noWrap/>
            <w:vAlign w:val="center"/>
            <w:hideMark/>
          </w:tcPr>
          <w:p w14:paraId="755CC7D2"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036ABE53"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8.232</w:t>
            </w:r>
          </w:p>
        </w:tc>
        <w:tc>
          <w:tcPr>
            <w:tcW w:w="1417" w:type="dxa"/>
            <w:tcBorders>
              <w:top w:val="nil"/>
              <w:left w:val="nil"/>
              <w:bottom w:val="single" w:sz="4" w:space="0" w:color="auto"/>
              <w:right w:val="single" w:sz="4" w:space="0" w:color="auto"/>
            </w:tcBorders>
            <w:shd w:val="clear" w:color="auto" w:fill="auto"/>
            <w:noWrap/>
            <w:vAlign w:val="bottom"/>
            <w:hideMark/>
          </w:tcPr>
          <w:p w14:paraId="31143385" w14:textId="23AAC69C"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41.160.679,44</w:t>
            </w:r>
          </w:p>
        </w:tc>
        <w:tc>
          <w:tcPr>
            <w:tcW w:w="1286" w:type="dxa"/>
            <w:tcBorders>
              <w:top w:val="nil"/>
              <w:left w:val="single" w:sz="4" w:space="0" w:color="auto"/>
              <w:bottom w:val="single" w:sz="4" w:space="0" w:color="auto"/>
              <w:right w:val="single" w:sz="4" w:space="0" w:color="auto"/>
            </w:tcBorders>
            <w:shd w:val="clear" w:color="auto" w:fill="auto"/>
            <w:vAlign w:val="bottom"/>
          </w:tcPr>
          <w:p w14:paraId="5FAEE00E" w14:textId="06C99A47"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5.462.960,97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6F094616" w14:textId="4FA3F305"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31C9E28B" w14:textId="40DD5BDD"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756255" w:rsidRPr="006F5FDB" w14:paraId="71C36F32" w14:textId="2904BB26"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1B242E96"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1002" w:type="dxa"/>
            <w:tcBorders>
              <w:top w:val="nil"/>
              <w:left w:val="nil"/>
              <w:bottom w:val="single" w:sz="4" w:space="0" w:color="auto"/>
              <w:right w:val="single" w:sz="4" w:space="0" w:color="auto"/>
            </w:tcBorders>
            <w:shd w:val="clear" w:color="auto" w:fill="auto"/>
            <w:noWrap/>
            <w:vAlign w:val="center"/>
            <w:hideMark/>
          </w:tcPr>
          <w:p w14:paraId="561BFEB7"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15.695</w:t>
            </w:r>
          </w:p>
        </w:tc>
        <w:tc>
          <w:tcPr>
            <w:tcW w:w="1134" w:type="dxa"/>
            <w:tcBorders>
              <w:top w:val="nil"/>
              <w:left w:val="nil"/>
              <w:bottom w:val="single" w:sz="4" w:space="0" w:color="auto"/>
              <w:right w:val="single" w:sz="4" w:space="0" w:color="auto"/>
            </w:tcBorders>
            <w:shd w:val="clear" w:color="auto" w:fill="auto"/>
            <w:noWrap/>
            <w:vAlign w:val="center"/>
            <w:hideMark/>
          </w:tcPr>
          <w:p w14:paraId="0B07A49A"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5.720</w:t>
            </w:r>
          </w:p>
        </w:tc>
        <w:tc>
          <w:tcPr>
            <w:tcW w:w="992" w:type="dxa"/>
            <w:tcBorders>
              <w:top w:val="nil"/>
              <w:left w:val="nil"/>
              <w:bottom w:val="single" w:sz="4" w:space="0" w:color="auto"/>
              <w:right w:val="single" w:sz="4" w:space="0" w:color="auto"/>
            </w:tcBorders>
            <w:shd w:val="clear" w:color="auto" w:fill="auto"/>
            <w:noWrap/>
            <w:vAlign w:val="center"/>
            <w:hideMark/>
          </w:tcPr>
          <w:p w14:paraId="3F424D8F"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9.975</w:t>
            </w:r>
          </w:p>
        </w:tc>
        <w:tc>
          <w:tcPr>
            <w:tcW w:w="1417" w:type="dxa"/>
            <w:tcBorders>
              <w:top w:val="nil"/>
              <w:left w:val="nil"/>
              <w:bottom w:val="single" w:sz="4" w:space="0" w:color="auto"/>
              <w:right w:val="single" w:sz="4" w:space="0" w:color="auto"/>
            </w:tcBorders>
            <w:shd w:val="clear" w:color="auto" w:fill="auto"/>
            <w:noWrap/>
            <w:vAlign w:val="bottom"/>
            <w:hideMark/>
          </w:tcPr>
          <w:p w14:paraId="6DA647D4" w14:textId="231E29D2"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49.874.899,17</w:t>
            </w:r>
          </w:p>
        </w:tc>
        <w:tc>
          <w:tcPr>
            <w:tcW w:w="1286" w:type="dxa"/>
            <w:tcBorders>
              <w:top w:val="nil"/>
              <w:left w:val="single" w:sz="4" w:space="0" w:color="auto"/>
              <w:bottom w:val="single" w:sz="4" w:space="0" w:color="auto"/>
              <w:right w:val="single" w:sz="4" w:space="0" w:color="auto"/>
            </w:tcBorders>
            <w:shd w:val="clear" w:color="auto" w:fill="auto"/>
            <w:vAlign w:val="bottom"/>
          </w:tcPr>
          <w:p w14:paraId="0523A9A9" w14:textId="7F3039D4"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6.619.536,69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1F1E8AE6" w14:textId="52D65FBD"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358C73AD" w14:textId="071A0A46"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756255" w:rsidRPr="006F5FDB" w14:paraId="0B14592F" w14:textId="683E89A3"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718DC29A"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w:t>
            </w:r>
          </w:p>
        </w:tc>
        <w:tc>
          <w:tcPr>
            <w:tcW w:w="1002" w:type="dxa"/>
            <w:tcBorders>
              <w:top w:val="nil"/>
              <w:left w:val="nil"/>
              <w:bottom w:val="single" w:sz="4" w:space="0" w:color="auto"/>
              <w:right w:val="single" w:sz="4" w:space="0" w:color="auto"/>
            </w:tcBorders>
            <w:shd w:val="clear" w:color="auto" w:fill="auto"/>
            <w:noWrap/>
            <w:vAlign w:val="center"/>
            <w:hideMark/>
          </w:tcPr>
          <w:p w14:paraId="666F8E72"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79.448</w:t>
            </w:r>
          </w:p>
        </w:tc>
        <w:tc>
          <w:tcPr>
            <w:tcW w:w="1134" w:type="dxa"/>
            <w:tcBorders>
              <w:top w:val="nil"/>
              <w:left w:val="nil"/>
              <w:bottom w:val="single" w:sz="4" w:space="0" w:color="auto"/>
              <w:right w:val="single" w:sz="4" w:space="0" w:color="auto"/>
            </w:tcBorders>
            <w:shd w:val="clear" w:color="auto" w:fill="auto"/>
            <w:noWrap/>
            <w:vAlign w:val="center"/>
            <w:hideMark/>
          </w:tcPr>
          <w:p w14:paraId="60B89908"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69.071</w:t>
            </w:r>
          </w:p>
        </w:tc>
        <w:tc>
          <w:tcPr>
            <w:tcW w:w="992" w:type="dxa"/>
            <w:tcBorders>
              <w:top w:val="nil"/>
              <w:left w:val="nil"/>
              <w:bottom w:val="single" w:sz="4" w:space="0" w:color="auto"/>
              <w:right w:val="single" w:sz="4" w:space="0" w:color="auto"/>
            </w:tcBorders>
            <w:shd w:val="clear" w:color="auto" w:fill="auto"/>
            <w:noWrap/>
            <w:vAlign w:val="center"/>
            <w:hideMark/>
          </w:tcPr>
          <w:p w14:paraId="24D3BE25"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10.377</w:t>
            </w:r>
          </w:p>
        </w:tc>
        <w:tc>
          <w:tcPr>
            <w:tcW w:w="1417" w:type="dxa"/>
            <w:tcBorders>
              <w:top w:val="nil"/>
              <w:left w:val="nil"/>
              <w:bottom w:val="single" w:sz="4" w:space="0" w:color="auto"/>
              <w:right w:val="single" w:sz="4" w:space="0" w:color="auto"/>
            </w:tcBorders>
            <w:shd w:val="clear" w:color="auto" w:fill="auto"/>
            <w:noWrap/>
            <w:vAlign w:val="bottom"/>
            <w:hideMark/>
          </w:tcPr>
          <w:p w14:paraId="6A325D0B" w14:textId="7A569529"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51.885.920,73</w:t>
            </w:r>
          </w:p>
        </w:tc>
        <w:tc>
          <w:tcPr>
            <w:tcW w:w="1286" w:type="dxa"/>
            <w:tcBorders>
              <w:top w:val="nil"/>
              <w:left w:val="single" w:sz="4" w:space="0" w:color="auto"/>
              <w:bottom w:val="single" w:sz="4" w:space="0" w:color="auto"/>
              <w:right w:val="single" w:sz="4" w:space="0" w:color="auto"/>
            </w:tcBorders>
            <w:shd w:val="clear" w:color="auto" w:fill="auto"/>
            <w:vAlign w:val="bottom"/>
          </w:tcPr>
          <w:p w14:paraId="0E7694E8" w14:textId="78278860"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6.886.445,12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29285367" w14:textId="44305D42"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42333198" w14:textId="0D08E2DE"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995.421,06</w:t>
            </w:r>
          </w:p>
        </w:tc>
      </w:tr>
      <w:tr w:rsidR="00756255" w:rsidRPr="006F5FDB" w14:paraId="7565B480" w14:textId="410265F7"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26AE0D7C"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Istarska </w:t>
            </w:r>
          </w:p>
        </w:tc>
        <w:tc>
          <w:tcPr>
            <w:tcW w:w="1002" w:type="dxa"/>
            <w:tcBorders>
              <w:top w:val="nil"/>
              <w:left w:val="nil"/>
              <w:bottom w:val="single" w:sz="4" w:space="0" w:color="auto"/>
              <w:right w:val="single" w:sz="4" w:space="0" w:color="auto"/>
            </w:tcBorders>
            <w:shd w:val="clear" w:color="auto" w:fill="auto"/>
            <w:noWrap/>
            <w:vAlign w:val="center"/>
            <w:hideMark/>
          </w:tcPr>
          <w:p w14:paraId="7E48045E"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29.975</w:t>
            </w:r>
          </w:p>
        </w:tc>
        <w:tc>
          <w:tcPr>
            <w:tcW w:w="1134" w:type="dxa"/>
            <w:tcBorders>
              <w:top w:val="nil"/>
              <w:left w:val="nil"/>
              <w:bottom w:val="single" w:sz="4" w:space="0" w:color="auto"/>
              <w:right w:val="single" w:sz="4" w:space="0" w:color="auto"/>
            </w:tcBorders>
            <w:shd w:val="clear" w:color="auto" w:fill="auto"/>
            <w:noWrap/>
            <w:vAlign w:val="center"/>
            <w:hideMark/>
          </w:tcPr>
          <w:p w14:paraId="2BDC7E70"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44EB64EE"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29.975</w:t>
            </w:r>
          </w:p>
        </w:tc>
        <w:tc>
          <w:tcPr>
            <w:tcW w:w="1417" w:type="dxa"/>
            <w:tcBorders>
              <w:top w:val="nil"/>
              <w:left w:val="nil"/>
              <w:bottom w:val="single" w:sz="4" w:space="0" w:color="auto"/>
              <w:right w:val="single" w:sz="4" w:space="0" w:color="auto"/>
            </w:tcBorders>
            <w:shd w:val="clear" w:color="auto" w:fill="auto"/>
            <w:noWrap/>
            <w:vAlign w:val="bottom"/>
            <w:hideMark/>
          </w:tcPr>
          <w:p w14:paraId="158BDAED" w14:textId="6BA79409"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149.876.414,93</w:t>
            </w:r>
          </w:p>
        </w:tc>
        <w:tc>
          <w:tcPr>
            <w:tcW w:w="1286" w:type="dxa"/>
            <w:tcBorders>
              <w:top w:val="nil"/>
              <w:left w:val="single" w:sz="4" w:space="0" w:color="auto"/>
              <w:bottom w:val="single" w:sz="4" w:space="0" w:color="auto"/>
              <w:right w:val="single" w:sz="4" w:space="0" w:color="auto"/>
            </w:tcBorders>
            <w:shd w:val="clear" w:color="auto" w:fill="auto"/>
            <w:vAlign w:val="bottom"/>
          </w:tcPr>
          <w:p w14:paraId="5911776A" w14:textId="1FA7CF93"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19.892.018,70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315A6F1F" w14:textId="763B3948"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140E9517" w14:textId="28F42469"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756255" w:rsidRPr="006F5FDB" w14:paraId="039D4BB7" w14:textId="0E7A5D77"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59CA9433"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Karlovačka </w:t>
            </w:r>
          </w:p>
        </w:tc>
        <w:tc>
          <w:tcPr>
            <w:tcW w:w="1002" w:type="dxa"/>
            <w:tcBorders>
              <w:top w:val="nil"/>
              <w:left w:val="nil"/>
              <w:bottom w:val="single" w:sz="4" w:space="0" w:color="auto"/>
              <w:right w:val="single" w:sz="4" w:space="0" w:color="auto"/>
            </w:tcBorders>
            <w:shd w:val="clear" w:color="auto" w:fill="auto"/>
            <w:noWrap/>
            <w:vAlign w:val="center"/>
            <w:hideMark/>
          </w:tcPr>
          <w:p w14:paraId="4BA4528D"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9.922</w:t>
            </w:r>
          </w:p>
        </w:tc>
        <w:tc>
          <w:tcPr>
            <w:tcW w:w="1134" w:type="dxa"/>
            <w:tcBorders>
              <w:top w:val="nil"/>
              <w:left w:val="nil"/>
              <w:bottom w:val="single" w:sz="4" w:space="0" w:color="auto"/>
              <w:right w:val="single" w:sz="4" w:space="0" w:color="auto"/>
            </w:tcBorders>
            <w:shd w:val="clear" w:color="auto" w:fill="auto"/>
            <w:noWrap/>
            <w:vAlign w:val="center"/>
            <w:hideMark/>
          </w:tcPr>
          <w:p w14:paraId="79FFC5E2"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6457670F"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9.922</w:t>
            </w:r>
          </w:p>
        </w:tc>
        <w:tc>
          <w:tcPr>
            <w:tcW w:w="1417" w:type="dxa"/>
            <w:tcBorders>
              <w:top w:val="nil"/>
              <w:left w:val="nil"/>
              <w:bottom w:val="single" w:sz="4" w:space="0" w:color="auto"/>
              <w:right w:val="single" w:sz="4" w:space="0" w:color="auto"/>
            </w:tcBorders>
            <w:shd w:val="clear" w:color="auto" w:fill="auto"/>
            <w:noWrap/>
            <w:vAlign w:val="bottom"/>
            <w:hideMark/>
          </w:tcPr>
          <w:p w14:paraId="0819A350" w14:textId="3A292AE0"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49.609.891,12</w:t>
            </w:r>
          </w:p>
        </w:tc>
        <w:tc>
          <w:tcPr>
            <w:tcW w:w="1286" w:type="dxa"/>
            <w:tcBorders>
              <w:top w:val="nil"/>
              <w:left w:val="single" w:sz="4" w:space="0" w:color="auto"/>
              <w:bottom w:val="single" w:sz="4" w:space="0" w:color="auto"/>
              <w:right w:val="single" w:sz="4" w:space="0" w:color="auto"/>
            </w:tcBorders>
            <w:shd w:val="clear" w:color="auto" w:fill="auto"/>
            <w:vAlign w:val="bottom"/>
          </w:tcPr>
          <w:p w14:paraId="58177F91" w14:textId="03D30842"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6.584.364,07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5A9AE703" w14:textId="0E1F0BE1"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07604400" w14:textId="392587BE"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756255" w:rsidRPr="006F5FDB" w14:paraId="2748495F" w14:textId="131D5618"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446E54FE"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Koprivničko-križevačka</w:t>
            </w:r>
          </w:p>
        </w:tc>
        <w:tc>
          <w:tcPr>
            <w:tcW w:w="1002" w:type="dxa"/>
            <w:tcBorders>
              <w:top w:val="nil"/>
              <w:left w:val="nil"/>
              <w:bottom w:val="single" w:sz="4" w:space="0" w:color="auto"/>
              <w:right w:val="single" w:sz="4" w:space="0" w:color="auto"/>
            </w:tcBorders>
            <w:shd w:val="clear" w:color="auto" w:fill="auto"/>
            <w:noWrap/>
            <w:vAlign w:val="center"/>
            <w:hideMark/>
          </w:tcPr>
          <w:p w14:paraId="57BF5FE0"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6.902</w:t>
            </w:r>
          </w:p>
        </w:tc>
        <w:tc>
          <w:tcPr>
            <w:tcW w:w="1134" w:type="dxa"/>
            <w:tcBorders>
              <w:top w:val="nil"/>
              <w:left w:val="nil"/>
              <w:bottom w:val="single" w:sz="4" w:space="0" w:color="auto"/>
              <w:right w:val="single" w:sz="4" w:space="0" w:color="auto"/>
            </w:tcBorders>
            <w:shd w:val="clear" w:color="auto" w:fill="auto"/>
            <w:noWrap/>
            <w:vAlign w:val="center"/>
            <w:hideMark/>
          </w:tcPr>
          <w:p w14:paraId="63CDF8C7"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136.763</w:t>
            </w:r>
          </w:p>
        </w:tc>
        <w:tc>
          <w:tcPr>
            <w:tcW w:w="992" w:type="dxa"/>
            <w:tcBorders>
              <w:top w:val="nil"/>
              <w:left w:val="nil"/>
              <w:bottom w:val="single" w:sz="4" w:space="0" w:color="auto"/>
              <w:right w:val="single" w:sz="4" w:space="0" w:color="auto"/>
            </w:tcBorders>
            <w:shd w:val="clear" w:color="auto" w:fill="auto"/>
            <w:noWrap/>
            <w:vAlign w:val="center"/>
            <w:hideMark/>
          </w:tcPr>
          <w:p w14:paraId="6FCDD36A"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417" w:type="dxa"/>
            <w:tcBorders>
              <w:top w:val="nil"/>
              <w:left w:val="nil"/>
              <w:bottom w:val="single" w:sz="4" w:space="0" w:color="auto"/>
              <w:right w:val="single" w:sz="4" w:space="0" w:color="auto"/>
            </w:tcBorders>
            <w:shd w:val="clear" w:color="auto" w:fill="auto"/>
            <w:noWrap/>
            <w:vAlign w:val="bottom"/>
            <w:hideMark/>
          </w:tcPr>
          <w:p w14:paraId="463483A4" w14:textId="438104A5"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86" w:type="dxa"/>
            <w:tcBorders>
              <w:top w:val="nil"/>
              <w:left w:val="single" w:sz="4" w:space="0" w:color="auto"/>
              <w:bottom w:val="single" w:sz="4" w:space="0" w:color="auto"/>
              <w:right w:val="single" w:sz="4" w:space="0" w:color="auto"/>
            </w:tcBorders>
            <w:shd w:val="clear" w:color="auto" w:fill="auto"/>
            <w:vAlign w:val="bottom"/>
          </w:tcPr>
          <w:p w14:paraId="600E6FE5" w14:textId="51F074E3"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67AB076A" w14:textId="1885CCCC"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11.250.000,00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677CA2FE" w14:textId="6FD55551"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1.493.131,59</w:t>
            </w:r>
          </w:p>
        </w:tc>
      </w:tr>
      <w:tr w:rsidR="00756255" w:rsidRPr="006F5FDB" w14:paraId="3909BBA2" w14:textId="3385E708"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1B338F84"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w:t>
            </w:r>
          </w:p>
        </w:tc>
        <w:tc>
          <w:tcPr>
            <w:tcW w:w="1002" w:type="dxa"/>
            <w:tcBorders>
              <w:top w:val="nil"/>
              <w:left w:val="nil"/>
              <w:bottom w:val="single" w:sz="4" w:space="0" w:color="auto"/>
              <w:right w:val="single" w:sz="4" w:space="0" w:color="auto"/>
            </w:tcBorders>
            <w:shd w:val="clear" w:color="auto" w:fill="auto"/>
            <w:noWrap/>
            <w:vAlign w:val="center"/>
            <w:hideMark/>
          </w:tcPr>
          <w:p w14:paraId="241571CD"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6.963</w:t>
            </w:r>
          </w:p>
        </w:tc>
        <w:tc>
          <w:tcPr>
            <w:tcW w:w="1134" w:type="dxa"/>
            <w:tcBorders>
              <w:top w:val="nil"/>
              <w:left w:val="nil"/>
              <w:bottom w:val="single" w:sz="4" w:space="0" w:color="auto"/>
              <w:right w:val="single" w:sz="4" w:space="0" w:color="auto"/>
            </w:tcBorders>
            <w:shd w:val="clear" w:color="auto" w:fill="auto"/>
            <w:noWrap/>
            <w:vAlign w:val="center"/>
            <w:hideMark/>
          </w:tcPr>
          <w:p w14:paraId="65BB9DD0"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69A21452"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6.963</w:t>
            </w:r>
          </w:p>
        </w:tc>
        <w:tc>
          <w:tcPr>
            <w:tcW w:w="1417" w:type="dxa"/>
            <w:tcBorders>
              <w:top w:val="nil"/>
              <w:left w:val="nil"/>
              <w:bottom w:val="single" w:sz="4" w:space="0" w:color="auto"/>
              <w:right w:val="single" w:sz="4" w:space="0" w:color="auto"/>
            </w:tcBorders>
            <w:shd w:val="clear" w:color="auto" w:fill="auto"/>
            <w:noWrap/>
            <w:vAlign w:val="bottom"/>
            <w:hideMark/>
          </w:tcPr>
          <w:p w14:paraId="09F26CE0" w14:textId="45EC4BF6"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34.813.872,13</w:t>
            </w:r>
          </w:p>
        </w:tc>
        <w:tc>
          <w:tcPr>
            <w:tcW w:w="1286" w:type="dxa"/>
            <w:tcBorders>
              <w:top w:val="nil"/>
              <w:left w:val="single" w:sz="4" w:space="0" w:color="auto"/>
              <w:bottom w:val="single" w:sz="4" w:space="0" w:color="auto"/>
              <w:right w:val="single" w:sz="4" w:space="0" w:color="auto"/>
            </w:tcBorders>
            <w:shd w:val="clear" w:color="auto" w:fill="auto"/>
            <w:vAlign w:val="bottom"/>
          </w:tcPr>
          <w:p w14:paraId="629DEAC3" w14:textId="10C1090D"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4.620.594,88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3447941C" w14:textId="24E79077"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32FCE1F1" w14:textId="663707B3"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756255" w:rsidRPr="006F5FDB" w14:paraId="4AC76F91" w14:textId="2A74B1B2"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456FF7F0"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Ličko-senjska </w:t>
            </w:r>
          </w:p>
        </w:tc>
        <w:tc>
          <w:tcPr>
            <w:tcW w:w="1002" w:type="dxa"/>
            <w:tcBorders>
              <w:top w:val="nil"/>
              <w:left w:val="nil"/>
              <w:bottom w:val="single" w:sz="4" w:space="0" w:color="auto"/>
              <w:right w:val="single" w:sz="4" w:space="0" w:color="auto"/>
            </w:tcBorders>
            <w:shd w:val="clear" w:color="auto" w:fill="auto"/>
            <w:noWrap/>
            <w:vAlign w:val="center"/>
            <w:hideMark/>
          </w:tcPr>
          <w:p w14:paraId="738793F7"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5.975</w:t>
            </w:r>
          </w:p>
        </w:tc>
        <w:tc>
          <w:tcPr>
            <w:tcW w:w="1134" w:type="dxa"/>
            <w:tcBorders>
              <w:top w:val="nil"/>
              <w:left w:val="nil"/>
              <w:bottom w:val="single" w:sz="4" w:space="0" w:color="auto"/>
              <w:right w:val="single" w:sz="4" w:space="0" w:color="auto"/>
            </w:tcBorders>
            <w:shd w:val="clear" w:color="auto" w:fill="auto"/>
            <w:noWrap/>
            <w:vAlign w:val="center"/>
            <w:hideMark/>
          </w:tcPr>
          <w:p w14:paraId="33446C82"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630381C7"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5.975</w:t>
            </w:r>
          </w:p>
        </w:tc>
        <w:tc>
          <w:tcPr>
            <w:tcW w:w="1417" w:type="dxa"/>
            <w:tcBorders>
              <w:top w:val="nil"/>
              <w:left w:val="nil"/>
              <w:bottom w:val="single" w:sz="4" w:space="0" w:color="auto"/>
              <w:right w:val="single" w:sz="4" w:space="0" w:color="auto"/>
            </w:tcBorders>
            <w:shd w:val="clear" w:color="auto" w:fill="auto"/>
            <w:noWrap/>
            <w:vAlign w:val="bottom"/>
            <w:hideMark/>
          </w:tcPr>
          <w:p w14:paraId="1896A53C" w14:textId="2AFACF06"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29.876.478,04</w:t>
            </w:r>
          </w:p>
        </w:tc>
        <w:tc>
          <w:tcPr>
            <w:tcW w:w="1286" w:type="dxa"/>
            <w:tcBorders>
              <w:top w:val="nil"/>
              <w:left w:val="single" w:sz="4" w:space="0" w:color="auto"/>
              <w:bottom w:val="single" w:sz="4" w:space="0" w:color="auto"/>
              <w:right w:val="single" w:sz="4" w:space="0" w:color="auto"/>
            </w:tcBorders>
            <w:shd w:val="clear" w:color="auto" w:fill="auto"/>
            <w:vAlign w:val="bottom"/>
          </w:tcPr>
          <w:p w14:paraId="551603A3" w14:textId="5884F05E"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3.965.290,07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664D9E86" w14:textId="5F442A42"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59D1B6A8" w14:textId="682F40DB"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756255" w:rsidRPr="006F5FDB" w14:paraId="67FA008E" w14:textId="5D591F53"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600FF54D"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Međimurska </w:t>
            </w:r>
          </w:p>
        </w:tc>
        <w:tc>
          <w:tcPr>
            <w:tcW w:w="1002" w:type="dxa"/>
            <w:tcBorders>
              <w:top w:val="nil"/>
              <w:left w:val="nil"/>
              <w:bottom w:val="single" w:sz="4" w:space="0" w:color="auto"/>
              <w:right w:val="single" w:sz="4" w:space="0" w:color="auto"/>
            </w:tcBorders>
            <w:shd w:val="clear" w:color="auto" w:fill="auto"/>
            <w:noWrap/>
            <w:vAlign w:val="center"/>
            <w:hideMark/>
          </w:tcPr>
          <w:p w14:paraId="5F426CD4"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12.951</w:t>
            </w:r>
          </w:p>
        </w:tc>
        <w:tc>
          <w:tcPr>
            <w:tcW w:w="1134" w:type="dxa"/>
            <w:tcBorders>
              <w:top w:val="nil"/>
              <w:left w:val="nil"/>
              <w:bottom w:val="single" w:sz="4" w:space="0" w:color="auto"/>
              <w:right w:val="single" w:sz="4" w:space="0" w:color="auto"/>
            </w:tcBorders>
            <w:shd w:val="clear" w:color="auto" w:fill="auto"/>
            <w:noWrap/>
            <w:vAlign w:val="center"/>
            <w:hideMark/>
          </w:tcPr>
          <w:p w14:paraId="1255E366"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16.780</w:t>
            </w:r>
          </w:p>
        </w:tc>
        <w:tc>
          <w:tcPr>
            <w:tcW w:w="992" w:type="dxa"/>
            <w:tcBorders>
              <w:top w:val="nil"/>
              <w:left w:val="nil"/>
              <w:bottom w:val="single" w:sz="4" w:space="0" w:color="auto"/>
              <w:right w:val="single" w:sz="4" w:space="0" w:color="auto"/>
            </w:tcBorders>
            <w:shd w:val="clear" w:color="auto" w:fill="auto"/>
            <w:noWrap/>
            <w:vAlign w:val="center"/>
            <w:hideMark/>
          </w:tcPr>
          <w:p w14:paraId="0401867E"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417" w:type="dxa"/>
            <w:tcBorders>
              <w:top w:val="nil"/>
              <w:left w:val="nil"/>
              <w:bottom w:val="single" w:sz="4" w:space="0" w:color="auto"/>
              <w:right w:val="single" w:sz="4" w:space="0" w:color="auto"/>
            </w:tcBorders>
            <w:shd w:val="clear" w:color="auto" w:fill="auto"/>
            <w:noWrap/>
            <w:vAlign w:val="bottom"/>
            <w:hideMark/>
          </w:tcPr>
          <w:p w14:paraId="4991395C" w14:textId="528E4C88"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86" w:type="dxa"/>
            <w:tcBorders>
              <w:top w:val="nil"/>
              <w:left w:val="single" w:sz="4" w:space="0" w:color="auto"/>
              <w:bottom w:val="single" w:sz="4" w:space="0" w:color="auto"/>
              <w:right w:val="single" w:sz="4" w:space="0" w:color="auto"/>
            </w:tcBorders>
            <w:shd w:val="clear" w:color="auto" w:fill="auto"/>
            <w:vAlign w:val="bottom"/>
          </w:tcPr>
          <w:p w14:paraId="4BEDCD65" w14:textId="7F062C46"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635250FE" w14:textId="48966000"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3F139A41" w14:textId="77D801CC"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756255" w:rsidRPr="006F5FDB" w14:paraId="7705938A" w14:textId="6E11870D"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7CF43115"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Osječko-baranjska </w:t>
            </w:r>
          </w:p>
        </w:tc>
        <w:tc>
          <w:tcPr>
            <w:tcW w:w="1002" w:type="dxa"/>
            <w:tcBorders>
              <w:top w:val="nil"/>
              <w:left w:val="nil"/>
              <w:bottom w:val="single" w:sz="4" w:space="0" w:color="auto"/>
              <w:right w:val="single" w:sz="4" w:space="0" w:color="auto"/>
            </w:tcBorders>
            <w:shd w:val="clear" w:color="auto" w:fill="auto"/>
            <w:noWrap/>
            <w:vAlign w:val="center"/>
            <w:hideMark/>
          </w:tcPr>
          <w:p w14:paraId="3F0BE93E"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20.319</w:t>
            </w:r>
          </w:p>
        </w:tc>
        <w:tc>
          <w:tcPr>
            <w:tcW w:w="1134" w:type="dxa"/>
            <w:tcBorders>
              <w:top w:val="nil"/>
              <w:left w:val="nil"/>
              <w:bottom w:val="single" w:sz="4" w:space="0" w:color="auto"/>
              <w:right w:val="single" w:sz="4" w:space="0" w:color="auto"/>
            </w:tcBorders>
            <w:shd w:val="clear" w:color="auto" w:fill="auto"/>
            <w:noWrap/>
            <w:vAlign w:val="center"/>
            <w:hideMark/>
          </w:tcPr>
          <w:p w14:paraId="46FFB7AE"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442.774</w:t>
            </w:r>
          </w:p>
        </w:tc>
        <w:tc>
          <w:tcPr>
            <w:tcW w:w="992" w:type="dxa"/>
            <w:tcBorders>
              <w:top w:val="nil"/>
              <w:left w:val="nil"/>
              <w:bottom w:val="single" w:sz="4" w:space="0" w:color="auto"/>
              <w:right w:val="single" w:sz="4" w:space="0" w:color="auto"/>
            </w:tcBorders>
            <w:shd w:val="clear" w:color="auto" w:fill="auto"/>
            <w:noWrap/>
            <w:vAlign w:val="center"/>
            <w:hideMark/>
          </w:tcPr>
          <w:p w14:paraId="5B3664FA"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417" w:type="dxa"/>
            <w:tcBorders>
              <w:top w:val="nil"/>
              <w:left w:val="nil"/>
              <w:bottom w:val="single" w:sz="4" w:space="0" w:color="auto"/>
              <w:right w:val="single" w:sz="4" w:space="0" w:color="auto"/>
            </w:tcBorders>
            <w:shd w:val="clear" w:color="auto" w:fill="auto"/>
            <w:noWrap/>
            <w:vAlign w:val="bottom"/>
            <w:hideMark/>
          </w:tcPr>
          <w:p w14:paraId="50CCB1B2" w14:textId="7C6F3323"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86" w:type="dxa"/>
            <w:tcBorders>
              <w:top w:val="nil"/>
              <w:left w:val="single" w:sz="4" w:space="0" w:color="auto"/>
              <w:bottom w:val="single" w:sz="4" w:space="0" w:color="auto"/>
              <w:right w:val="single" w:sz="4" w:space="0" w:color="auto"/>
            </w:tcBorders>
            <w:shd w:val="clear" w:color="auto" w:fill="auto"/>
            <w:vAlign w:val="bottom"/>
          </w:tcPr>
          <w:p w14:paraId="3DE22725" w14:textId="2ADD6960"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57C9E290" w14:textId="7CED7D05"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48.750.000,00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3176FCF4" w14:textId="34C9F30F"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6.470.236,91</w:t>
            </w:r>
          </w:p>
        </w:tc>
      </w:tr>
      <w:tr w:rsidR="00756255" w:rsidRPr="006F5FDB" w14:paraId="3549FD9F" w14:textId="3CD2E09A"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2BF9FE2F"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w:t>
            </w:r>
          </w:p>
        </w:tc>
        <w:tc>
          <w:tcPr>
            <w:tcW w:w="1002" w:type="dxa"/>
            <w:tcBorders>
              <w:top w:val="nil"/>
              <w:left w:val="nil"/>
              <w:bottom w:val="single" w:sz="4" w:space="0" w:color="auto"/>
              <w:right w:val="single" w:sz="4" w:space="0" w:color="auto"/>
            </w:tcBorders>
            <w:shd w:val="clear" w:color="auto" w:fill="auto"/>
            <w:noWrap/>
            <w:vAlign w:val="center"/>
            <w:hideMark/>
          </w:tcPr>
          <w:p w14:paraId="30991E07"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3.860</w:t>
            </w:r>
          </w:p>
        </w:tc>
        <w:tc>
          <w:tcPr>
            <w:tcW w:w="1134" w:type="dxa"/>
            <w:tcBorders>
              <w:top w:val="nil"/>
              <w:left w:val="nil"/>
              <w:bottom w:val="single" w:sz="4" w:space="0" w:color="auto"/>
              <w:right w:val="single" w:sz="4" w:space="0" w:color="auto"/>
            </w:tcBorders>
            <w:shd w:val="clear" w:color="auto" w:fill="auto"/>
            <w:noWrap/>
            <w:vAlign w:val="center"/>
            <w:hideMark/>
          </w:tcPr>
          <w:p w14:paraId="7D21BAEC"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1.000</w:t>
            </w:r>
          </w:p>
        </w:tc>
        <w:tc>
          <w:tcPr>
            <w:tcW w:w="992" w:type="dxa"/>
            <w:tcBorders>
              <w:top w:val="nil"/>
              <w:left w:val="nil"/>
              <w:bottom w:val="single" w:sz="4" w:space="0" w:color="auto"/>
              <w:right w:val="single" w:sz="4" w:space="0" w:color="auto"/>
            </w:tcBorders>
            <w:shd w:val="clear" w:color="auto" w:fill="auto"/>
            <w:noWrap/>
            <w:vAlign w:val="center"/>
            <w:hideMark/>
          </w:tcPr>
          <w:p w14:paraId="120CDB69"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2.860</w:t>
            </w:r>
          </w:p>
        </w:tc>
        <w:tc>
          <w:tcPr>
            <w:tcW w:w="1417" w:type="dxa"/>
            <w:tcBorders>
              <w:top w:val="nil"/>
              <w:left w:val="nil"/>
              <w:bottom w:val="single" w:sz="4" w:space="0" w:color="auto"/>
              <w:right w:val="single" w:sz="4" w:space="0" w:color="auto"/>
            </w:tcBorders>
            <w:shd w:val="clear" w:color="auto" w:fill="auto"/>
            <w:noWrap/>
            <w:vAlign w:val="bottom"/>
            <w:hideMark/>
          </w:tcPr>
          <w:p w14:paraId="1249FF5F" w14:textId="7D906A69"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14.301.276,18</w:t>
            </w:r>
          </w:p>
        </w:tc>
        <w:tc>
          <w:tcPr>
            <w:tcW w:w="1286" w:type="dxa"/>
            <w:tcBorders>
              <w:top w:val="nil"/>
              <w:left w:val="single" w:sz="4" w:space="0" w:color="auto"/>
              <w:bottom w:val="single" w:sz="4" w:space="0" w:color="auto"/>
              <w:right w:val="single" w:sz="4" w:space="0" w:color="auto"/>
            </w:tcBorders>
            <w:shd w:val="clear" w:color="auto" w:fill="auto"/>
            <w:vAlign w:val="bottom"/>
          </w:tcPr>
          <w:p w14:paraId="538FDB46" w14:textId="0B2049BE"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1.898.105,54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3BD6AA24" w14:textId="280499DF"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00FF441F" w14:textId="427E5B58"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756255" w:rsidRPr="006F5FDB" w14:paraId="47B9E46F" w14:textId="5BE51A5F"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72938EBB"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Primorsko-goranska </w:t>
            </w:r>
          </w:p>
        </w:tc>
        <w:tc>
          <w:tcPr>
            <w:tcW w:w="1002" w:type="dxa"/>
            <w:tcBorders>
              <w:top w:val="nil"/>
              <w:left w:val="nil"/>
              <w:bottom w:val="single" w:sz="4" w:space="0" w:color="auto"/>
              <w:right w:val="single" w:sz="4" w:space="0" w:color="auto"/>
            </w:tcBorders>
            <w:shd w:val="clear" w:color="auto" w:fill="auto"/>
            <w:noWrap/>
            <w:vAlign w:val="center"/>
            <w:hideMark/>
          </w:tcPr>
          <w:p w14:paraId="21D79133"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39.125</w:t>
            </w:r>
          </w:p>
        </w:tc>
        <w:tc>
          <w:tcPr>
            <w:tcW w:w="1134" w:type="dxa"/>
            <w:tcBorders>
              <w:top w:val="nil"/>
              <w:left w:val="nil"/>
              <w:bottom w:val="single" w:sz="4" w:space="0" w:color="auto"/>
              <w:right w:val="single" w:sz="4" w:space="0" w:color="auto"/>
            </w:tcBorders>
            <w:shd w:val="clear" w:color="auto" w:fill="auto"/>
            <w:noWrap/>
            <w:vAlign w:val="center"/>
            <w:hideMark/>
          </w:tcPr>
          <w:p w14:paraId="65EA0F57"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2.000</w:t>
            </w:r>
          </w:p>
        </w:tc>
        <w:tc>
          <w:tcPr>
            <w:tcW w:w="992" w:type="dxa"/>
            <w:tcBorders>
              <w:top w:val="nil"/>
              <w:left w:val="nil"/>
              <w:bottom w:val="single" w:sz="4" w:space="0" w:color="auto"/>
              <w:right w:val="single" w:sz="4" w:space="0" w:color="auto"/>
            </w:tcBorders>
            <w:shd w:val="clear" w:color="auto" w:fill="auto"/>
            <w:noWrap/>
            <w:vAlign w:val="center"/>
            <w:hideMark/>
          </w:tcPr>
          <w:p w14:paraId="5F5B7730"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37.125</w:t>
            </w:r>
          </w:p>
        </w:tc>
        <w:tc>
          <w:tcPr>
            <w:tcW w:w="1417" w:type="dxa"/>
            <w:tcBorders>
              <w:top w:val="nil"/>
              <w:left w:val="nil"/>
              <w:bottom w:val="single" w:sz="4" w:space="0" w:color="auto"/>
              <w:right w:val="single" w:sz="4" w:space="0" w:color="auto"/>
            </w:tcBorders>
            <w:shd w:val="clear" w:color="auto" w:fill="auto"/>
            <w:noWrap/>
            <w:vAlign w:val="bottom"/>
            <w:hideMark/>
          </w:tcPr>
          <w:p w14:paraId="52F84C92" w14:textId="0165A189"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185.626.083,87</w:t>
            </w:r>
          </w:p>
        </w:tc>
        <w:tc>
          <w:tcPr>
            <w:tcW w:w="1286" w:type="dxa"/>
            <w:tcBorders>
              <w:top w:val="nil"/>
              <w:left w:val="single" w:sz="4" w:space="0" w:color="auto"/>
              <w:bottom w:val="single" w:sz="4" w:space="0" w:color="auto"/>
              <w:right w:val="single" w:sz="4" w:space="0" w:color="auto"/>
            </w:tcBorders>
            <w:shd w:val="clear" w:color="auto" w:fill="auto"/>
            <w:vAlign w:val="bottom"/>
          </w:tcPr>
          <w:p w14:paraId="207C66F6" w14:textId="70B9A489"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24.636.815,17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1A9E589B" w14:textId="50DBEF69"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7F31A8CB" w14:textId="04831118"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756255" w:rsidRPr="006F5FDB" w14:paraId="26F2C196" w14:textId="2F2569D6"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417D6405"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Sisačko-moslavačka </w:t>
            </w:r>
          </w:p>
        </w:tc>
        <w:tc>
          <w:tcPr>
            <w:tcW w:w="1002" w:type="dxa"/>
            <w:tcBorders>
              <w:top w:val="nil"/>
              <w:left w:val="nil"/>
              <w:bottom w:val="single" w:sz="4" w:space="0" w:color="auto"/>
              <w:right w:val="single" w:sz="4" w:space="0" w:color="auto"/>
            </w:tcBorders>
            <w:shd w:val="clear" w:color="auto" w:fill="auto"/>
            <w:noWrap/>
            <w:vAlign w:val="center"/>
            <w:hideMark/>
          </w:tcPr>
          <w:p w14:paraId="0272EAAA"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10.967</w:t>
            </w:r>
          </w:p>
        </w:tc>
        <w:tc>
          <w:tcPr>
            <w:tcW w:w="1134" w:type="dxa"/>
            <w:tcBorders>
              <w:top w:val="nil"/>
              <w:left w:val="nil"/>
              <w:bottom w:val="single" w:sz="4" w:space="0" w:color="auto"/>
              <w:right w:val="single" w:sz="4" w:space="0" w:color="auto"/>
            </w:tcBorders>
            <w:shd w:val="clear" w:color="auto" w:fill="auto"/>
            <w:noWrap/>
            <w:vAlign w:val="center"/>
            <w:hideMark/>
          </w:tcPr>
          <w:p w14:paraId="0DA11CE1"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29.700</w:t>
            </w:r>
          </w:p>
        </w:tc>
        <w:tc>
          <w:tcPr>
            <w:tcW w:w="992" w:type="dxa"/>
            <w:tcBorders>
              <w:top w:val="nil"/>
              <w:left w:val="nil"/>
              <w:bottom w:val="single" w:sz="4" w:space="0" w:color="auto"/>
              <w:right w:val="single" w:sz="4" w:space="0" w:color="auto"/>
            </w:tcBorders>
            <w:shd w:val="clear" w:color="auto" w:fill="auto"/>
            <w:noWrap/>
            <w:vAlign w:val="center"/>
            <w:hideMark/>
          </w:tcPr>
          <w:p w14:paraId="78DDA227"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417" w:type="dxa"/>
            <w:tcBorders>
              <w:top w:val="nil"/>
              <w:left w:val="nil"/>
              <w:bottom w:val="single" w:sz="4" w:space="0" w:color="auto"/>
              <w:right w:val="single" w:sz="4" w:space="0" w:color="auto"/>
            </w:tcBorders>
            <w:shd w:val="clear" w:color="auto" w:fill="auto"/>
            <w:noWrap/>
            <w:vAlign w:val="bottom"/>
            <w:hideMark/>
          </w:tcPr>
          <w:p w14:paraId="69A2AEC6" w14:textId="25C6ACB9"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86" w:type="dxa"/>
            <w:tcBorders>
              <w:top w:val="nil"/>
              <w:left w:val="single" w:sz="4" w:space="0" w:color="auto"/>
              <w:bottom w:val="single" w:sz="4" w:space="0" w:color="auto"/>
              <w:right w:val="single" w:sz="4" w:space="0" w:color="auto"/>
            </w:tcBorders>
            <w:shd w:val="clear" w:color="auto" w:fill="auto"/>
            <w:vAlign w:val="bottom"/>
          </w:tcPr>
          <w:p w14:paraId="4F9BDBAF" w14:textId="1CEA038C"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2117BE78" w14:textId="5F86C0B5"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4959F468" w14:textId="33337C31"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756255" w:rsidRPr="006F5FDB" w14:paraId="45861E22" w14:textId="1B02266E"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49F94F9D"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Splitsko-dalmatinska </w:t>
            </w:r>
          </w:p>
        </w:tc>
        <w:tc>
          <w:tcPr>
            <w:tcW w:w="1002" w:type="dxa"/>
            <w:tcBorders>
              <w:top w:val="nil"/>
              <w:left w:val="nil"/>
              <w:bottom w:val="single" w:sz="4" w:space="0" w:color="auto"/>
              <w:right w:val="single" w:sz="4" w:space="0" w:color="auto"/>
            </w:tcBorders>
            <w:shd w:val="clear" w:color="auto" w:fill="auto"/>
            <w:noWrap/>
            <w:vAlign w:val="center"/>
            <w:hideMark/>
          </w:tcPr>
          <w:p w14:paraId="7C7015BE"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57.416</w:t>
            </w:r>
          </w:p>
        </w:tc>
        <w:tc>
          <w:tcPr>
            <w:tcW w:w="1134" w:type="dxa"/>
            <w:tcBorders>
              <w:top w:val="nil"/>
              <w:left w:val="nil"/>
              <w:bottom w:val="single" w:sz="4" w:space="0" w:color="auto"/>
              <w:right w:val="single" w:sz="4" w:space="0" w:color="auto"/>
            </w:tcBorders>
            <w:shd w:val="clear" w:color="auto" w:fill="auto"/>
            <w:noWrap/>
            <w:vAlign w:val="center"/>
            <w:hideMark/>
          </w:tcPr>
          <w:p w14:paraId="72FF26D0"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4180DF17"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57.416</w:t>
            </w:r>
          </w:p>
        </w:tc>
        <w:tc>
          <w:tcPr>
            <w:tcW w:w="1417" w:type="dxa"/>
            <w:tcBorders>
              <w:top w:val="nil"/>
              <w:left w:val="nil"/>
              <w:bottom w:val="single" w:sz="4" w:space="0" w:color="auto"/>
              <w:right w:val="single" w:sz="4" w:space="0" w:color="auto"/>
            </w:tcBorders>
            <w:shd w:val="clear" w:color="auto" w:fill="auto"/>
            <w:noWrap/>
            <w:vAlign w:val="bottom"/>
            <w:hideMark/>
          </w:tcPr>
          <w:p w14:paraId="07FB53FE" w14:textId="2767CEAD"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287.080.150,53</w:t>
            </w:r>
          </w:p>
        </w:tc>
        <w:tc>
          <w:tcPr>
            <w:tcW w:w="1286" w:type="dxa"/>
            <w:tcBorders>
              <w:top w:val="nil"/>
              <w:left w:val="single" w:sz="4" w:space="0" w:color="auto"/>
              <w:bottom w:val="single" w:sz="4" w:space="0" w:color="auto"/>
              <w:right w:val="single" w:sz="4" w:space="0" w:color="auto"/>
            </w:tcBorders>
            <w:shd w:val="clear" w:color="auto" w:fill="auto"/>
            <w:vAlign w:val="bottom"/>
          </w:tcPr>
          <w:p w14:paraId="3EACB178" w14:textId="5896DB5D"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38.102.083,82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4FD1FA8F" w14:textId="2947B30D"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3C890BF9" w14:textId="59303FA9"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756255" w:rsidRPr="006F5FDB" w14:paraId="1EB93869" w14:textId="709D2A44"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453EE48E"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Šibensko-kninska</w:t>
            </w:r>
          </w:p>
        </w:tc>
        <w:tc>
          <w:tcPr>
            <w:tcW w:w="1002" w:type="dxa"/>
            <w:tcBorders>
              <w:top w:val="nil"/>
              <w:left w:val="nil"/>
              <w:bottom w:val="single" w:sz="4" w:space="0" w:color="auto"/>
              <w:right w:val="single" w:sz="4" w:space="0" w:color="auto"/>
            </w:tcBorders>
            <w:shd w:val="clear" w:color="auto" w:fill="auto"/>
            <w:noWrap/>
            <w:vAlign w:val="center"/>
            <w:hideMark/>
          </w:tcPr>
          <w:p w14:paraId="18D2EC23"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13.045</w:t>
            </w:r>
          </w:p>
        </w:tc>
        <w:tc>
          <w:tcPr>
            <w:tcW w:w="1134" w:type="dxa"/>
            <w:tcBorders>
              <w:top w:val="nil"/>
              <w:left w:val="nil"/>
              <w:bottom w:val="single" w:sz="4" w:space="0" w:color="auto"/>
              <w:right w:val="single" w:sz="4" w:space="0" w:color="auto"/>
            </w:tcBorders>
            <w:shd w:val="clear" w:color="auto" w:fill="auto"/>
            <w:noWrap/>
            <w:vAlign w:val="center"/>
            <w:hideMark/>
          </w:tcPr>
          <w:p w14:paraId="6EB9B84E"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65E06E03"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13.045</w:t>
            </w:r>
          </w:p>
        </w:tc>
        <w:tc>
          <w:tcPr>
            <w:tcW w:w="1417" w:type="dxa"/>
            <w:tcBorders>
              <w:top w:val="nil"/>
              <w:left w:val="nil"/>
              <w:bottom w:val="single" w:sz="4" w:space="0" w:color="auto"/>
              <w:right w:val="single" w:sz="4" w:space="0" w:color="auto"/>
            </w:tcBorders>
            <w:shd w:val="clear" w:color="auto" w:fill="auto"/>
            <w:noWrap/>
            <w:vAlign w:val="bottom"/>
            <w:hideMark/>
          </w:tcPr>
          <w:p w14:paraId="6DE955A9" w14:textId="7E324960"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65.226.261,67</w:t>
            </w:r>
          </w:p>
        </w:tc>
        <w:tc>
          <w:tcPr>
            <w:tcW w:w="1286" w:type="dxa"/>
            <w:tcBorders>
              <w:top w:val="nil"/>
              <w:left w:val="single" w:sz="4" w:space="0" w:color="auto"/>
              <w:bottom w:val="single" w:sz="4" w:space="0" w:color="auto"/>
              <w:right w:val="single" w:sz="4" w:space="0" w:color="auto"/>
            </w:tcBorders>
            <w:shd w:val="clear" w:color="auto" w:fill="auto"/>
            <w:vAlign w:val="bottom"/>
          </w:tcPr>
          <w:p w14:paraId="4D01C4AF" w14:textId="2E6A5FE5"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8.657.012,63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2B8815CE" w14:textId="022127D5"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586B7899" w14:textId="2B072AC3"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756255" w:rsidRPr="006F5FDB" w14:paraId="6E2101BD" w14:textId="2DFE7633"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42B5CCF1"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Varaždinska </w:t>
            </w:r>
          </w:p>
        </w:tc>
        <w:tc>
          <w:tcPr>
            <w:tcW w:w="1002" w:type="dxa"/>
            <w:tcBorders>
              <w:top w:val="nil"/>
              <w:left w:val="nil"/>
              <w:bottom w:val="single" w:sz="4" w:space="0" w:color="auto"/>
              <w:right w:val="single" w:sz="4" w:space="0" w:color="auto"/>
            </w:tcBorders>
            <w:shd w:val="clear" w:color="auto" w:fill="auto"/>
            <w:noWrap/>
            <w:vAlign w:val="center"/>
            <w:hideMark/>
          </w:tcPr>
          <w:p w14:paraId="53840740"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10.267</w:t>
            </w:r>
          </w:p>
        </w:tc>
        <w:tc>
          <w:tcPr>
            <w:tcW w:w="1134" w:type="dxa"/>
            <w:tcBorders>
              <w:top w:val="nil"/>
              <w:left w:val="nil"/>
              <w:bottom w:val="single" w:sz="4" w:space="0" w:color="auto"/>
              <w:right w:val="single" w:sz="4" w:space="0" w:color="auto"/>
            </w:tcBorders>
            <w:shd w:val="clear" w:color="auto" w:fill="auto"/>
            <w:noWrap/>
            <w:vAlign w:val="center"/>
            <w:hideMark/>
          </w:tcPr>
          <w:p w14:paraId="0B1709F4"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40.000</w:t>
            </w:r>
          </w:p>
        </w:tc>
        <w:tc>
          <w:tcPr>
            <w:tcW w:w="992" w:type="dxa"/>
            <w:tcBorders>
              <w:top w:val="nil"/>
              <w:left w:val="nil"/>
              <w:bottom w:val="single" w:sz="4" w:space="0" w:color="auto"/>
              <w:right w:val="single" w:sz="4" w:space="0" w:color="auto"/>
            </w:tcBorders>
            <w:shd w:val="clear" w:color="auto" w:fill="auto"/>
            <w:noWrap/>
            <w:vAlign w:val="center"/>
            <w:hideMark/>
          </w:tcPr>
          <w:p w14:paraId="0DE5981B"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417" w:type="dxa"/>
            <w:tcBorders>
              <w:top w:val="nil"/>
              <w:left w:val="nil"/>
              <w:bottom w:val="single" w:sz="4" w:space="0" w:color="auto"/>
              <w:right w:val="single" w:sz="4" w:space="0" w:color="auto"/>
            </w:tcBorders>
            <w:shd w:val="clear" w:color="auto" w:fill="auto"/>
            <w:noWrap/>
            <w:vAlign w:val="bottom"/>
            <w:hideMark/>
          </w:tcPr>
          <w:p w14:paraId="3C08FBB5" w14:textId="2FB948BD"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86" w:type="dxa"/>
            <w:tcBorders>
              <w:top w:val="nil"/>
              <w:left w:val="single" w:sz="4" w:space="0" w:color="auto"/>
              <w:bottom w:val="single" w:sz="4" w:space="0" w:color="auto"/>
              <w:right w:val="single" w:sz="4" w:space="0" w:color="auto"/>
            </w:tcBorders>
            <w:shd w:val="clear" w:color="auto" w:fill="auto"/>
            <w:vAlign w:val="bottom"/>
          </w:tcPr>
          <w:p w14:paraId="46AD455F" w14:textId="41ED9741"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3FAD1590" w14:textId="57E35128"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16095C98" w14:textId="4D0031B0"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995.421,06</w:t>
            </w:r>
          </w:p>
        </w:tc>
      </w:tr>
      <w:tr w:rsidR="00756255" w:rsidRPr="006F5FDB" w14:paraId="29C7FC87" w14:textId="0031F370"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034C93FE"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Virovitičko-podravska</w:t>
            </w:r>
          </w:p>
        </w:tc>
        <w:tc>
          <w:tcPr>
            <w:tcW w:w="1002" w:type="dxa"/>
            <w:tcBorders>
              <w:top w:val="nil"/>
              <w:left w:val="nil"/>
              <w:bottom w:val="single" w:sz="4" w:space="0" w:color="auto"/>
              <w:right w:val="single" w:sz="4" w:space="0" w:color="auto"/>
            </w:tcBorders>
            <w:shd w:val="clear" w:color="auto" w:fill="auto"/>
            <w:noWrap/>
            <w:vAlign w:val="center"/>
            <w:hideMark/>
          </w:tcPr>
          <w:p w14:paraId="2BD63325"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5.269</w:t>
            </w:r>
          </w:p>
        </w:tc>
        <w:tc>
          <w:tcPr>
            <w:tcW w:w="1134" w:type="dxa"/>
            <w:tcBorders>
              <w:top w:val="nil"/>
              <w:left w:val="nil"/>
              <w:bottom w:val="single" w:sz="4" w:space="0" w:color="auto"/>
              <w:right w:val="single" w:sz="4" w:space="0" w:color="auto"/>
            </w:tcBorders>
            <w:shd w:val="clear" w:color="auto" w:fill="auto"/>
            <w:noWrap/>
            <w:vAlign w:val="center"/>
            <w:hideMark/>
          </w:tcPr>
          <w:p w14:paraId="5374CAF0"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36.500</w:t>
            </w:r>
          </w:p>
        </w:tc>
        <w:tc>
          <w:tcPr>
            <w:tcW w:w="992" w:type="dxa"/>
            <w:tcBorders>
              <w:top w:val="nil"/>
              <w:left w:val="nil"/>
              <w:bottom w:val="single" w:sz="4" w:space="0" w:color="auto"/>
              <w:right w:val="single" w:sz="4" w:space="0" w:color="auto"/>
            </w:tcBorders>
            <w:shd w:val="clear" w:color="auto" w:fill="auto"/>
            <w:noWrap/>
            <w:vAlign w:val="center"/>
            <w:hideMark/>
          </w:tcPr>
          <w:p w14:paraId="429A4862"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417" w:type="dxa"/>
            <w:tcBorders>
              <w:top w:val="nil"/>
              <w:left w:val="nil"/>
              <w:bottom w:val="single" w:sz="4" w:space="0" w:color="auto"/>
              <w:right w:val="single" w:sz="4" w:space="0" w:color="auto"/>
            </w:tcBorders>
            <w:shd w:val="clear" w:color="auto" w:fill="auto"/>
            <w:noWrap/>
            <w:vAlign w:val="bottom"/>
            <w:hideMark/>
          </w:tcPr>
          <w:p w14:paraId="33D7A05C" w14:textId="0C814F3E"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86" w:type="dxa"/>
            <w:tcBorders>
              <w:top w:val="nil"/>
              <w:left w:val="single" w:sz="4" w:space="0" w:color="auto"/>
              <w:bottom w:val="single" w:sz="4" w:space="0" w:color="auto"/>
              <w:right w:val="single" w:sz="4" w:space="0" w:color="auto"/>
            </w:tcBorders>
            <w:shd w:val="clear" w:color="auto" w:fill="auto"/>
            <w:vAlign w:val="bottom"/>
          </w:tcPr>
          <w:p w14:paraId="5CF82776" w14:textId="52D061E4"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722FAB35" w14:textId="004B1F30"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1754B65A" w14:textId="1B7F0548"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995.421,06</w:t>
            </w:r>
          </w:p>
        </w:tc>
      </w:tr>
      <w:tr w:rsidR="00756255" w:rsidRPr="006F5FDB" w14:paraId="7A71F0C2" w14:textId="27E46A0C"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782F8CA6"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Vukovarsko-srijemska </w:t>
            </w:r>
          </w:p>
        </w:tc>
        <w:tc>
          <w:tcPr>
            <w:tcW w:w="1002" w:type="dxa"/>
            <w:tcBorders>
              <w:top w:val="nil"/>
              <w:left w:val="nil"/>
              <w:bottom w:val="single" w:sz="4" w:space="0" w:color="auto"/>
              <w:right w:val="single" w:sz="4" w:space="0" w:color="auto"/>
            </w:tcBorders>
            <w:shd w:val="clear" w:color="auto" w:fill="auto"/>
            <w:noWrap/>
            <w:vAlign w:val="center"/>
            <w:hideMark/>
          </w:tcPr>
          <w:p w14:paraId="5333B2B1"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11.617</w:t>
            </w:r>
          </w:p>
        </w:tc>
        <w:tc>
          <w:tcPr>
            <w:tcW w:w="1134" w:type="dxa"/>
            <w:tcBorders>
              <w:top w:val="nil"/>
              <w:left w:val="nil"/>
              <w:bottom w:val="single" w:sz="4" w:space="0" w:color="auto"/>
              <w:right w:val="single" w:sz="4" w:space="0" w:color="auto"/>
            </w:tcBorders>
            <w:shd w:val="clear" w:color="auto" w:fill="auto"/>
            <w:noWrap/>
            <w:vAlign w:val="center"/>
            <w:hideMark/>
          </w:tcPr>
          <w:p w14:paraId="015B09D8"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36.300</w:t>
            </w:r>
          </w:p>
        </w:tc>
        <w:tc>
          <w:tcPr>
            <w:tcW w:w="992" w:type="dxa"/>
            <w:tcBorders>
              <w:top w:val="nil"/>
              <w:left w:val="nil"/>
              <w:bottom w:val="single" w:sz="4" w:space="0" w:color="auto"/>
              <w:right w:val="single" w:sz="4" w:space="0" w:color="auto"/>
            </w:tcBorders>
            <w:shd w:val="clear" w:color="auto" w:fill="auto"/>
            <w:noWrap/>
            <w:vAlign w:val="center"/>
            <w:hideMark/>
          </w:tcPr>
          <w:p w14:paraId="1C955945"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417" w:type="dxa"/>
            <w:tcBorders>
              <w:top w:val="nil"/>
              <w:left w:val="nil"/>
              <w:bottom w:val="single" w:sz="4" w:space="0" w:color="auto"/>
              <w:right w:val="single" w:sz="4" w:space="0" w:color="auto"/>
            </w:tcBorders>
            <w:shd w:val="clear" w:color="auto" w:fill="auto"/>
            <w:noWrap/>
            <w:vAlign w:val="bottom"/>
            <w:hideMark/>
          </w:tcPr>
          <w:p w14:paraId="288E6F94" w14:textId="6E396E72"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86" w:type="dxa"/>
            <w:tcBorders>
              <w:top w:val="nil"/>
              <w:left w:val="single" w:sz="4" w:space="0" w:color="auto"/>
              <w:bottom w:val="single" w:sz="4" w:space="0" w:color="auto"/>
              <w:right w:val="single" w:sz="4" w:space="0" w:color="auto"/>
            </w:tcBorders>
            <w:shd w:val="clear" w:color="auto" w:fill="auto"/>
            <w:vAlign w:val="bottom"/>
          </w:tcPr>
          <w:p w14:paraId="4E1338A4" w14:textId="1F485A65"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7B5B58FE" w14:textId="370ECE75"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22.500.000,00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00C51DEB" w14:textId="72FA548C"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2.986.263,19</w:t>
            </w:r>
          </w:p>
        </w:tc>
      </w:tr>
      <w:tr w:rsidR="00756255" w:rsidRPr="006F5FDB" w14:paraId="5084D396" w14:textId="251977F8"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002E3B0A"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Zadarska </w:t>
            </w:r>
          </w:p>
        </w:tc>
        <w:tc>
          <w:tcPr>
            <w:tcW w:w="1002" w:type="dxa"/>
            <w:tcBorders>
              <w:top w:val="nil"/>
              <w:left w:val="nil"/>
              <w:bottom w:val="single" w:sz="4" w:space="0" w:color="auto"/>
              <w:right w:val="single" w:sz="4" w:space="0" w:color="auto"/>
            </w:tcBorders>
            <w:shd w:val="clear" w:color="auto" w:fill="auto"/>
            <w:noWrap/>
            <w:vAlign w:val="center"/>
            <w:hideMark/>
          </w:tcPr>
          <w:p w14:paraId="089BAC27"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24.551</w:t>
            </w:r>
          </w:p>
        </w:tc>
        <w:tc>
          <w:tcPr>
            <w:tcW w:w="1134" w:type="dxa"/>
            <w:tcBorders>
              <w:top w:val="nil"/>
              <w:left w:val="nil"/>
              <w:bottom w:val="single" w:sz="4" w:space="0" w:color="auto"/>
              <w:right w:val="single" w:sz="4" w:space="0" w:color="auto"/>
            </w:tcBorders>
            <w:shd w:val="clear" w:color="auto" w:fill="auto"/>
            <w:noWrap/>
            <w:vAlign w:val="center"/>
            <w:hideMark/>
          </w:tcPr>
          <w:p w14:paraId="57280C84"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3674FC96"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24.551</w:t>
            </w:r>
          </w:p>
        </w:tc>
        <w:tc>
          <w:tcPr>
            <w:tcW w:w="1417" w:type="dxa"/>
            <w:tcBorders>
              <w:top w:val="nil"/>
              <w:left w:val="nil"/>
              <w:bottom w:val="single" w:sz="4" w:space="0" w:color="auto"/>
              <w:right w:val="single" w:sz="4" w:space="0" w:color="auto"/>
            </w:tcBorders>
            <w:shd w:val="clear" w:color="auto" w:fill="auto"/>
            <w:noWrap/>
            <w:vAlign w:val="bottom"/>
            <w:hideMark/>
          </w:tcPr>
          <w:p w14:paraId="410ACC7A" w14:textId="700777EF"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122.753.003,79</w:t>
            </w:r>
          </w:p>
        </w:tc>
        <w:tc>
          <w:tcPr>
            <w:tcW w:w="1286" w:type="dxa"/>
            <w:tcBorders>
              <w:top w:val="nil"/>
              <w:left w:val="single" w:sz="4" w:space="0" w:color="auto"/>
              <w:bottom w:val="single" w:sz="4" w:space="0" w:color="auto"/>
              <w:right w:val="single" w:sz="4" w:space="0" w:color="auto"/>
            </w:tcBorders>
            <w:shd w:val="clear" w:color="auto" w:fill="auto"/>
            <w:vAlign w:val="bottom"/>
          </w:tcPr>
          <w:p w14:paraId="4E466988" w14:textId="35C0A41E"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16.292.123,40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565330D2" w14:textId="5270D91F"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5D1C3664" w14:textId="088A844F"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756255" w:rsidRPr="006F5FDB" w14:paraId="1ACCFC67" w14:textId="1E5F82BE"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12B5FF88"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Zagrebačka </w:t>
            </w:r>
          </w:p>
        </w:tc>
        <w:tc>
          <w:tcPr>
            <w:tcW w:w="1002" w:type="dxa"/>
            <w:tcBorders>
              <w:top w:val="nil"/>
              <w:left w:val="nil"/>
              <w:bottom w:val="single" w:sz="4" w:space="0" w:color="auto"/>
              <w:right w:val="single" w:sz="4" w:space="0" w:color="auto"/>
            </w:tcBorders>
            <w:shd w:val="clear" w:color="auto" w:fill="auto"/>
            <w:noWrap/>
            <w:vAlign w:val="center"/>
            <w:hideMark/>
          </w:tcPr>
          <w:p w14:paraId="6B18B64E"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25.757</w:t>
            </w:r>
          </w:p>
        </w:tc>
        <w:tc>
          <w:tcPr>
            <w:tcW w:w="1134" w:type="dxa"/>
            <w:tcBorders>
              <w:top w:val="nil"/>
              <w:left w:val="nil"/>
              <w:bottom w:val="single" w:sz="4" w:space="0" w:color="auto"/>
              <w:right w:val="single" w:sz="4" w:space="0" w:color="auto"/>
            </w:tcBorders>
            <w:shd w:val="clear" w:color="auto" w:fill="auto"/>
            <w:noWrap/>
            <w:vAlign w:val="center"/>
            <w:hideMark/>
          </w:tcPr>
          <w:p w14:paraId="2E16CD7E"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102.500</w:t>
            </w:r>
          </w:p>
        </w:tc>
        <w:tc>
          <w:tcPr>
            <w:tcW w:w="992" w:type="dxa"/>
            <w:tcBorders>
              <w:top w:val="nil"/>
              <w:left w:val="nil"/>
              <w:bottom w:val="single" w:sz="4" w:space="0" w:color="auto"/>
              <w:right w:val="single" w:sz="4" w:space="0" w:color="auto"/>
            </w:tcBorders>
            <w:shd w:val="clear" w:color="auto" w:fill="auto"/>
            <w:noWrap/>
            <w:vAlign w:val="center"/>
            <w:hideMark/>
          </w:tcPr>
          <w:p w14:paraId="3BD617B1"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417" w:type="dxa"/>
            <w:tcBorders>
              <w:top w:val="nil"/>
              <w:left w:val="nil"/>
              <w:bottom w:val="single" w:sz="4" w:space="0" w:color="auto"/>
              <w:right w:val="single" w:sz="4" w:space="0" w:color="auto"/>
            </w:tcBorders>
            <w:shd w:val="clear" w:color="auto" w:fill="auto"/>
            <w:noWrap/>
            <w:vAlign w:val="bottom"/>
            <w:hideMark/>
          </w:tcPr>
          <w:p w14:paraId="1F57AEA1" w14:textId="7C9B5975"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86" w:type="dxa"/>
            <w:tcBorders>
              <w:top w:val="nil"/>
              <w:left w:val="single" w:sz="4" w:space="0" w:color="auto"/>
              <w:bottom w:val="single" w:sz="4" w:space="0" w:color="auto"/>
              <w:right w:val="single" w:sz="4" w:space="0" w:color="auto"/>
            </w:tcBorders>
            <w:shd w:val="clear" w:color="auto" w:fill="auto"/>
            <w:vAlign w:val="bottom"/>
          </w:tcPr>
          <w:p w14:paraId="2B341405" w14:textId="3A64DB0E"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01D31B5A" w14:textId="7E4B5620"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51277E1A" w14:textId="45029182"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995.421,06</w:t>
            </w:r>
          </w:p>
        </w:tc>
      </w:tr>
      <w:tr w:rsidR="00756255" w:rsidRPr="006F5FDB" w14:paraId="59245807" w14:textId="731D856E" w:rsidTr="00BB2706">
        <w:trPr>
          <w:trHeight w:val="170"/>
        </w:trPr>
        <w:tc>
          <w:tcPr>
            <w:tcW w:w="1758" w:type="dxa"/>
            <w:tcBorders>
              <w:top w:val="nil"/>
              <w:left w:val="single" w:sz="8" w:space="0" w:color="auto"/>
              <w:bottom w:val="single" w:sz="8" w:space="0" w:color="auto"/>
              <w:right w:val="single" w:sz="4" w:space="0" w:color="auto"/>
            </w:tcBorders>
            <w:shd w:val="clear" w:color="auto" w:fill="auto"/>
            <w:noWrap/>
            <w:vAlign w:val="center"/>
            <w:hideMark/>
          </w:tcPr>
          <w:p w14:paraId="44FBB172" w14:textId="77777777" w:rsidR="00A67963" w:rsidRPr="006F5FDB" w:rsidRDefault="00A67963" w:rsidP="00A67963">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Ukupno</w:t>
            </w:r>
          </w:p>
        </w:tc>
        <w:tc>
          <w:tcPr>
            <w:tcW w:w="1002" w:type="dxa"/>
            <w:tcBorders>
              <w:top w:val="nil"/>
              <w:left w:val="nil"/>
              <w:bottom w:val="single" w:sz="8" w:space="0" w:color="auto"/>
              <w:right w:val="single" w:sz="4" w:space="0" w:color="auto"/>
            </w:tcBorders>
            <w:shd w:val="clear" w:color="auto" w:fill="auto"/>
            <w:noWrap/>
            <w:vAlign w:val="center"/>
            <w:hideMark/>
          </w:tcPr>
          <w:p w14:paraId="06D32B79" w14:textId="77777777" w:rsidR="00A67963" w:rsidRPr="006F5FDB" w:rsidRDefault="00A67963" w:rsidP="00A6796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404.677</w:t>
            </w:r>
          </w:p>
        </w:tc>
        <w:tc>
          <w:tcPr>
            <w:tcW w:w="1134" w:type="dxa"/>
            <w:tcBorders>
              <w:top w:val="nil"/>
              <w:left w:val="nil"/>
              <w:bottom w:val="single" w:sz="8" w:space="0" w:color="auto"/>
              <w:right w:val="single" w:sz="4" w:space="0" w:color="auto"/>
            </w:tcBorders>
            <w:shd w:val="clear" w:color="auto" w:fill="auto"/>
            <w:noWrap/>
            <w:vAlign w:val="center"/>
            <w:hideMark/>
          </w:tcPr>
          <w:p w14:paraId="6E377840" w14:textId="77777777" w:rsidR="00A67963" w:rsidRPr="006F5FDB" w:rsidRDefault="00A67963" w:rsidP="00A6796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1.008.308</w:t>
            </w:r>
          </w:p>
        </w:tc>
        <w:tc>
          <w:tcPr>
            <w:tcW w:w="992" w:type="dxa"/>
            <w:tcBorders>
              <w:top w:val="nil"/>
              <w:left w:val="nil"/>
              <w:bottom w:val="single" w:sz="8" w:space="0" w:color="auto"/>
              <w:right w:val="single" w:sz="4" w:space="0" w:color="auto"/>
            </w:tcBorders>
            <w:shd w:val="clear" w:color="auto" w:fill="auto"/>
            <w:noWrap/>
            <w:vAlign w:val="center"/>
            <w:hideMark/>
          </w:tcPr>
          <w:p w14:paraId="610D3166" w14:textId="77777777" w:rsidR="00A67963" w:rsidRPr="006F5FDB" w:rsidRDefault="00A67963" w:rsidP="00A6796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216.417</w:t>
            </w:r>
          </w:p>
        </w:tc>
        <w:tc>
          <w:tcPr>
            <w:tcW w:w="1417" w:type="dxa"/>
            <w:tcBorders>
              <w:top w:val="nil"/>
              <w:left w:val="nil"/>
              <w:bottom w:val="single" w:sz="8" w:space="0" w:color="auto"/>
              <w:right w:val="single" w:sz="4" w:space="0" w:color="auto"/>
            </w:tcBorders>
            <w:shd w:val="clear" w:color="auto" w:fill="auto"/>
            <w:noWrap/>
            <w:vAlign w:val="center"/>
            <w:hideMark/>
          </w:tcPr>
          <w:p w14:paraId="522D0386" w14:textId="68CFF516" w:rsidR="00A67963" w:rsidRPr="006F5FDB" w:rsidRDefault="00A67963" w:rsidP="00A67963">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1.082.084.931,61</w:t>
            </w:r>
          </w:p>
        </w:tc>
        <w:tc>
          <w:tcPr>
            <w:tcW w:w="1286" w:type="dxa"/>
            <w:tcBorders>
              <w:top w:val="nil"/>
              <w:left w:val="single" w:sz="4" w:space="0" w:color="auto"/>
              <w:bottom w:val="single" w:sz="4" w:space="0" w:color="auto"/>
              <w:right w:val="single" w:sz="4" w:space="0" w:color="auto"/>
            </w:tcBorders>
            <w:shd w:val="clear" w:color="auto" w:fill="auto"/>
            <w:vAlign w:val="center"/>
          </w:tcPr>
          <w:p w14:paraId="3B88E954" w14:textId="4A347EDA" w:rsidR="00A67963" w:rsidRDefault="00A67963" w:rsidP="00BB2706">
            <w:pPr>
              <w:spacing w:after="0" w:line="240" w:lineRule="auto"/>
              <w:jc w:val="right"/>
              <w:rPr>
                <w:rFonts w:ascii="Calibri" w:eastAsia="Times New Roman" w:hAnsi="Calibri" w:cs="Calibri"/>
                <w:b/>
                <w:bCs/>
                <w:color w:val="000000"/>
                <w:sz w:val="16"/>
                <w:szCs w:val="16"/>
                <w:lang w:eastAsia="hr-HR"/>
              </w:rPr>
            </w:pPr>
            <w:r>
              <w:rPr>
                <w:rFonts w:ascii="Calibri" w:hAnsi="Calibri" w:cs="Calibri"/>
                <w:color w:val="000000"/>
                <w:sz w:val="16"/>
                <w:szCs w:val="16"/>
              </w:rPr>
              <w:t>143.617.351,07</w:t>
            </w:r>
          </w:p>
        </w:tc>
        <w:tc>
          <w:tcPr>
            <w:tcW w:w="1276" w:type="dxa"/>
            <w:tcBorders>
              <w:top w:val="nil"/>
              <w:left w:val="single" w:sz="4" w:space="0" w:color="auto"/>
              <w:bottom w:val="single" w:sz="8" w:space="0" w:color="auto"/>
              <w:right w:val="single" w:sz="8" w:space="0" w:color="auto"/>
            </w:tcBorders>
            <w:shd w:val="clear" w:color="auto" w:fill="auto"/>
            <w:noWrap/>
            <w:vAlign w:val="center"/>
            <w:hideMark/>
          </w:tcPr>
          <w:p w14:paraId="23ED13FB" w14:textId="07F0CA2E" w:rsidR="00A67963" w:rsidRPr="006F5FDB" w:rsidRDefault="00A67963" w:rsidP="00A67963">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131.250.000,00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4E94D2EF" w14:textId="0E94F4A8" w:rsidR="00A67963" w:rsidRDefault="00A67963" w:rsidP="00A67963">
            <w:pPr>
              <w:spacing w:after="0" w:line="240" w:lineRule="auto"/>
              <w:jc w:val="center"/>
              <w:rPr>
                <w:rFonts w:ascii="Calibri" w:eastAsia="Times New Roman" w:hAnsi="Calibri" w:cs="Calibri"/>
                <w:b/>
                <w:bCs/>
                <w:color w:val="000000"/>
                <w:sz w:val="16"/>
                <w:szCs w:val="16"/>
                <w:lang w:eastAsia="hr-HR"/>
              </w:rPr>
            </w:pPr>
            <w:r>
              <w:rPr>
                <w:rFonts w:ascii="Calibri" w:hAnsi="Calibri" w:cs="Calibri"/>
                <w:color w:val="000000"/>
                <w:sz w:val="16"/>
                <w:szCs w:val="16"/>
              </w:rPr>
              <w:t>17.419.868,60</w:t>
            </w:r>
          </w:p>
        </w:tc>
      </w:tr>
      <w:tr w:rsidR="00756255" w:rsidRPr="006F5FDB" w14:paraId="17670A7A" w14:textId="3E6CEBF9" w:rsidTr="00BB2706">
        <w:trPr>
          <w:trHeight w:val="170"/>
        </w:trPr>
        <w:tc>
          <w:tcPr>
            <w:tcW w:w="1758" w:type="dxa"/>
            <w:tcBorders>
              <w:top w:val="nil"/>
              <w:left w:val="nil"/>
              <w:bottom w:val="nil"/>
              <w:right w:val="nil"/>
            </w:tcBorders>
            <w:shd w:val="clear" w:color="auto" w:fill="auto"/>
            <w:noWrap/>
            <w:vAlign w:val="bottom"/>
            <w:hideMark/>
          </w:tcPr>
          <w:p w14:paraId="6251E832" w14:textId="77777777" w:rsidR="00A67963" w:rsidRPr="006F5FDB" w:rsidRDefault="00A67963" w:rsidP="00A67963">
            <w:pPr>
              <w:spacing w:after="0" w:line="240" w:lineRule="auto"/>
              <w:jc w:val="center"/>
              <w:rPr>
                <w:rFonts w:ascii="Calibri" w:eastAsia="Times New Roman" w:hAnsi="Calibri" w:cs="Calibri"/>
                <w:b/>
                <w:bCs/>
                <w:color w:val="000000"/>
                <w:sz w:val="16"/>
                <w:szCs w:val="16"/>
                <w:lang w:eastAsia="hr-HR"/>
              </w:rPr>
            </w:pPr>
          </w:p>
        </w:tc>
        <w:tc>
          <w:tcPr>
            <w:tcW w:w="1002" w:type="dxa"/>
            <w:tcBorders>
              <w:top w:val="nil"/>
              <w:left w:val="nil"/>
              <w:bottom w:val="nil"/>
              <w:right w:val="nil"/>
            </w:tcBorders>
            <w:shd w:val="clear" w:color="auto" w:fill="auto"/>
            <w:noWrap/>
            <w:vAlign w:val="bottom"/>
            <w:hideMark/>
          </w:tcPr>
          <w:p w14:paraId="7B45B654" w14:textId="77777777" w:rsidR="00A67963" w:rsidRPr="006F5FDB" w:rsidRDefault="00A67963" w:rsidP="00A67963">
            <w:pPr>
              <w:spacing w:after="0" w:line="240" w:lineRule="auto"/>
              <w:jc w:val="left"/>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vAlign w:val="bottom"/>
            <w:hideMark/>
          </w:tcPr>
          <w:p w14:paraId="3C70B17F" w14:textId="77777777" w:rsidR="00A67963" w:rsidRPr="006F5FDB" w:rsidRDefault="00A67963" w:rsidP="00A67963">
            <w:pPr>
              <w:spacing w:after="0" w:line="240" w:lineRule="auto"/>
              <w:jc w:val="left"/>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vAlign w:val="bottom"/>
            <w:hideMark/>
          </w:tcPr>
          <w:p w14:paraId="4A562E14" w14:textId="77777777" w:rsidR="00A67963" w:rsidRPr="006F5FDB" w:rsidRDefault="00A67963" w:rsidP="00A67963">
            <w:pPr>
              <w:spacing w:after="0" w:line="240" w:lineRule="auto"/>
              <w:jc w:val="left"/>
              <w:rPr>
                <w:rFonts w:ascii="Times New Roman" w:eastAsia="Times New Roman" w:hAnsi="Times New Roman" w:cs="Times New Roman"/>
                <w:sz w:val="16"/>
                <w:szCs w:val="16"/>
                <w:lang w:eastAsia="hr-HR"/>
              </w:rPr>
            </w:pPr>
          </w:p>
        </w:tc>
        <w:tc>
          <w:tcPr>
            <w:tcW w:w="5254" w:type="dxa"/>
            <w:gridSpan w:val="4"/>
            <w:tcBorders>
              <w:top w:val="single" w:sz="8" w:space="0" w:color="auto"/>
              <w:left w:val="single" w:sz="8" w:space="0" w:color="auto"/>
              <w:bottom w:val="single" w:sz="8" w:space="0" w:color="auto"/>
              <w:right w:val="single" w:sz="8" w:space="0" w:color="000000"/>
            </w:tcBorders>
          </w:tcPr>
          <w:p w14:paraId="73A57E6E" w14:textId="63E0927D" w:rsidR="00A67963" w:rsidRPr="006F5FDB" w:rsidRDefault="00A67963" w:rsidP="00A6796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1.213.334.931,61 kn</w:t>
            </w:r>
          </w:p>
        </w:tc>
      </w:tr>
      <w:tr w:rsidR="00756255" w:rsidRPr="006F5FDB" w14:paraId="2CF6487B" w14:textId="77777777" w:rsidTr="00BB2706">
        <w:trPr>
          <w:trHeight w:val="170"/>
        </w:trPr>
        <w:tc>
          <w:tcPr>
            <w:tcW w:w="1758" w:type="dxa"/>
            <w:tcBorders>
              <w:top w:val="nil"/>
              <w:left w:val="nil"/>
              <w:bottom w:val="nil"/>
              <w:right w:val="nil"/>
            </w:tcBorders>
            <w:shd w:val="clear" w:color="auto" w:fill="auto"/>
            <w:noWrap/>
            <w:vAlign w:val="bottom"/>
          </w:tcPr>
          <w:p w14:paraId="20EFB705" w14:textId="77777777" w:rsidR="00A67963" w:rsidRPr="006F5FDB" w:rsidRDefault="00A67963" w:rsidP="00A67963">
            <w:pPr>
              <w:spacing w:after="0" w:line="240" w:lineRule="auto"/>
              <w:jc w:val="center"/>
              <w:rPr>
                <w:rFonts w:ascii="Calibri" w:eastAsia="Times New Roman" w:hAnsi="Calibri" w:cs="Calibri"/>
                <w:b/>
                <w:bCs/>
                <w:color w:val="000000"/>
                <w:sz w:val="16"/>
                <w:szCs w:val="16"/>
                <w:lang w:eastAsia="hr-HR"/>
              </w:rPr>
            </w:pPr>
          </w:p>
        </w:tc>
        <w:tc>
          <w:tcPr>
            <w:tcW w:w="1002" w:type="dxa"/>
            <w:tcBorders>
              <w:top w:val="nil"/>
              <w:left w:val="nil"/>
              <w:bottom w:val="nil"/>
              <w:right w:val="nil"/>
            </w:tcBorders>
            <w:shd w:val="clear" w:color="auto" w:fill="auto"/>
            <w:noWrap/>
            <w:vAlign w:val="bottom"/>
          </w:tcPr>
          <w:p w14:paraId="274CF88F" w14:textId="77777777" w:rsidR="00A67963" w:rsidRPr="006F5FDB" w:rsidRDefault="00A67963" w:rsidP="00A67963">
            <w:pPr>
              <w:spacing w:after="0" w:line="240" w:lineRule="auto"/>
              <w:jc w:val="left"/>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vAlign w:val="bottom"/>
          </w:tcPr>
          <w:p w14:paraId="4EE85333" w14:textId="77777777" w:rsidR="00A67963" w:rsidRPr="006F5FDB" w:rsidRDefault="00A67963" w:rsidP="00A67963">
            <w:pPr>
              <w:spacing w:after="0" w:line="240" w:lineRule="auto"/>
              <w:jc w:val="left"/>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vAlign w:val="bottom"/>
          </w:tcPr>
          <w:p w14:paraId="41CCAFC8" w14:textId="77777777" w:rsidR="00A67963" w:rsidRPr="006F5FDB" w:rsidRDefault="00A67963" w:rsidP="00A67963">
            <w:pPr>
              <w:spacing w:after="0" w:line="240" w:lineRule="auto"/>
              <w:jc w:val="left"/>
              <w:rPr>
                <w:rFonts w:ascii="Times New Roman" w:eastAsia="Times New Roman" w:hAnsi="Times New Roman" w:cs="Times New Roman"/>
                <w:sz w:val="16"/>
                <w:szCs w:val="16"/>
                <w:lang w:eastAsia="hr-HR"/>
              </w:rPr>
            </w:pPr>
          </w:p>
        </w:tc>
        <w:tc>
          <w:tcPr>
            <w:tcW w:w="5254" w:type="dxa"/>
            <w:gridSpan w:val="4"/>
            <w:tcBorders>
              <w:top w:val="single" w:sz="8" w:space="0" w:color="auto"/>
              <w:left w:val="single" w:sz="8" w:space="0" w:color="auto"/>
              <w:bottom w:val="single" w:sz="8" w:space="0" w:color="auto"/>
              <w:right w:val="single" w:sz="8" w:space="0" w:color="000000"/>
            </w:tcBorders>
          </w:tcPr>
          <w:p w14:paraId="648066D8" w14:textId="547AE6DC" w:rsidR="00A67963" w:rsidRPr="006F5FDB" w:rsidRDefault="00A67963" w:rsidP="00A67963">
            <w:pPr>
              <w:spacing w:after="0" w:line="240" w:lineRule="auto"/>
              <w:jc w:val="center"/>
              <w:rPr>
                <w:rFonts w:ascii="Calibri" w:eastAsia="Times New Roman" w:hAnsi="Calibri" w:cs="Calibri"/>
                <w:b/>
                <w:bCs/>
                <w:color w:val="000000"/>
                <w:sz w:val="16"/>
                <w:szCs w:val="16"/>
                <w:lang w:eastAsia="hr-HR"/>
              </w:rPr>
            </w:pPr>
            <w:r w:rsidRPr="00A67963">
              <w:rPr>
                <w:rFonts w:ascii="Calibri" w:eastAsia="Times New Roman" w:hAnsi="Calibri" w:cs="Calibri"/>
                <w:b/>
                <w:bCs/>
                <w:color w:val="000000"/>
                <w:sz w:val="16"/>
                <w:szCs w:val="16"/>
                <w:lang w:eastAsia="hr-HR"/>
              </w:rPr>
              <w:t>161.037.219,67</w:t>
            </w:r>
            <w:r>
              <w:rPr>
                <w:rFonts w:ascii="Calibri" w:eastAsia="Times New Roman" w:hAnsi="Calibri" w:cs="Calibri"/>
                <w:b/>
                <w:bCs/>
                <w:color w:val="000000"/>
                <w:sz w:val="16"/>
                <w:szCs w:val="16"/>
                <w:lang w:eastAsia="hr-HR"/>
              </w:rPr>
              <w:t xml:space="preserve"> EUR</w:t>
            </w:r>
          </w:p>
        </w:tc>
      </w:tr>
    </w:tbl>
    <w:p w14:paraId="1BA73B96" w14:textId="6EC5EBFD" w:rsidR="00C259A4" w:rsidRPr="00640659" w:rsidRDefault="00C259A4" w:rsidP="0018450E">
      <w:pPr>
        <w:pStyle w:val="IRNaslov2"/>
        <w:numPr>
          <w:ilvl w:val="1"/>
          <w:numId w:val="22"/>
        </w:numPr>
        <w:ind w:left="709"/>
      </w:pPr>
      <w:bookmarkStart w:id="287" w:name="_Toc123211674"/>
      <w:r w:rsidRPr="00640659">
        <w:lastRenderedPageBreak/>
        <w:t xml:space="preserve">Procjena potrebnih ulaganja u postrojenja za </w:t>
      </w:r>
      <w:r w:rsidR="00640659" w:rsidRPr="00640659">
        <w:t xml:space="preserve">materijalnu oporabu odvojeno prikupljenih i/ili prethodno sortiranih suhih </w:t>
      </w:r>
      <w:proofErr w:type="spellStart"/>
      <w:r w:rsidR="00640659" w:rsidRPr="00640659">
        <w:t>reciklata</w:t>
      </w:r>
      <w:proofErr w:type="spellEnd"/>
      <w:r w:rsidR="0046757B">
        <w:t xml:space="preserve"> i građevnog otpada</w:t>
      </w:r>
      <w:bookmarkEnd w:id="287"/>
    </w:p>
    <w:p w14:paraId="1F99BC8F" w14:textId="77777777" w:rsidR="00640659" w:rsidRDefault="00640659" w:rsidP="00640659">
      <w:r>
        <w:t>Pretpostavlja se da će se materijalna oporaba odvojeno prikupljenog i/ili prethodno sortiranog otpada odvijati na području cijele RH.</w:t>
      </w:r>
    </w:p>
    <w:p w14:paraId="1C1A7290" w14:textId="77777777" w:rsidR="00640659" w:rsidRDefault="00640659" w:rsidP="00640659">
      <w:r>
        <w:t xml:space="preserve">Procjena kapitalnih troškova određena je za slične projekte provedene tijekom zadnjih 5 godina na području Europske unije a na bazi jediničnog troška izgradnje postrojenja po toni/god ulaznog kapaciteta a koji se kreće u sljedećim rasponima za sljedeće vrste otpada: </w:t>
      </w:r>
    </w:p>
    <w:p w14:paraId="358BBC39" w14:textId="3C9758D7" w:rsidR="00640659" w:rsidRDefault="00640659" w:rsidP="00640659">
      <w:pPr>
        <w:pStyle w:val="Odlomakpopisa"/>
        <w:numPr>
          <w:ilvl w:val="0"/>
          <w:numId w:val="26"/>
        </w:numPr>
      </w:pPr>
      <w:r>
        <w:t xml:space="preserve">Plastika od </w:t>
      </w:r>
      <w:r w:rsidR="00F533EC">
        <w:t>1.592,67 – 2.389,01 EUR/t/god (</w:t>
      </w:r>
      <w:r>
        <w:t>12.000 – 18.000 kn/t/god</w:t>
      </w:r>
      <w:r w:rsidR="00F533EC">
        <w:t>)</w:t>
      </w:r>
      <w:r>
        <w:t xml:space="preserve"> ovisno o vrsti plastike i tehnološkom procesu (prosječno</w:t>
      </w:r>
      <w:r w:rsidR="00F533EC">
        <w:t xml:space="preserve"> 1.990,84 EUR/t/god</w:t>
      </w:r>
      <w:r>
        <w:t xml:space="preserve"> </w:t>
      </w:r>
      <w:r w:rsidR="00F533EC">
        <w:t>(</w:t>
      </w:r>
      <w:r>
        <w:t>15.000 kn/t/god</w:t>
      </w:r>
      <w:r w:rsidR="00F533EC">
        <w:t>)</w:t>
      </w:r>
      <w:r>
        <w:t>)</w:t>
      </w:r>
    </w:p>
    <w:p w14:paraId="4CC0ACCD" w14:textId="77F74B92" w:rsidR="00640659" w:rsidRDefault="00640659" w:rsidP="00640659">
      <w:pPr>
        <w:pStyle w:val="Odlomakpopisa"/>
        <w:numPr>
          <w:ilvl w:val="0"/>
          <w:numId w:val="26"/>
        </w:numPr>
      </w:pPr>
      <w:r>
        <w:t>Staklo od</w:t>
      </w:r>
      <w:r w:rsidR="00F533EC">
        <w:t xml:space="preserve"> 199,08 – 331,81 EUR/t/god</w:t>
      </w:r>
      <w:r>
        <w:t xml:space="preserve"> </w:t>
      </w:r>
      <w:r w:rsidR="00F533EC">
        <w:t>(</w:t>
      </w:r>
      <w:r>
        <w:t>1.500 – 2.500 kn/t/god</w:t>
      </w:r>
      <w:r w:rsidR="00F533EC">
        <w:t>)</w:t>
      </w:r>
      <w:r>
        <w:t xml:space="preserve"> (prosječno </w:t>
      </w:r>
      <w:r w:rsidR="00F533EC">
        <w:t>265,45 EUR (</w:t>
      </w:r>
      <w:r>
        <w:t>2.000 kn/t/god</w:t>
      </w:r>
      <w:r w:rsidR="00F533EC">
        <w:t>)</w:t>
      </w:r>
      <w:r>
        <w:t xml:space="preserve">)     </w:t>
      </w:r>
    </w:p>
    <w:p w14:paraId="4F294A56" w14:textId="6A56D516" w:rsidR="00640659" w:rsidRDefault="00640659" w:rsidP="00640659">
      <w:r>
        <w:t>Iako za materijalnu</w:t>
      </w:r>
      <w:r w:rsidR="00730D8A">
        <w:t xml:space="preserve"> oporabu</w:t>
      </w:r>
      <w:r>
        <w:t xml:space="preserve"> stakla postoje dostatni kapaciteti na razini RH, određene su jedinične cijene ulaganja u nova postrojenja s obzirom da je riječ o materijalima koji su osjetljivi na transportne troškove a jedino postrojenje koje </w:t>
      </w:r>
      <w:proofErr w:type="spellStart"/>
      <w:r>
        <w:t>oporabljuje</w:t>
      </w:r>
      <w:proofErr w:type="spellEnd"/>
      <w:r>
        <w:t xml:space="preserve"> staklo se nalazi u sjeverozapadnom dijelu RH.</w:t>
      </w:r>
    </w:p>
    <w:p w14:paraId="250C0B52" w14:textId="45039FA2" w:rsidR="0046757B" w:rsidRPr="00123C18" w:rsidRDefault="0046757B" w:rsidP="00E25425">
      <w:pPr>
        <w:pStyle w:val="Tekstkomentara"/>
        <w:rPr>
          <w:sz w:val="22"/>
          <w:szCs w:val="22"/>
        </w:rPr>
      </w:pPr>
      <w:r w:rsidRPr="00123C18">
        <w:rPr>
          <w:sz w:val="22"/>
          <w:szCs w:val="22"/>
        </w:rPr>
        <w:t xml:space="preserve">Iako za materijalnu oporabu građevnog otpada postoje dostatni kapaciteti na razini RH, određene su jedinične cijene ulaganja u nova postrojenja s obzirom da je riječ o otpadu koji je osjetljiv na transportne troškove. Tako u županijama u kojima je evidentiran dovoljan kapacitet za oporabu građevnog otpada nisu planirana nova ulaganja, u županijama s nedostatnim kapacitetom su planirana </w:t>
      </w:r>
      <w:r w:rsidR="00E875EC" w:rsidRPr="00123C18">
        <w:rPr>
          <w:sz w:val="22"/>
          <w:szCs w:val="22"/>
        </w:rPr>
        <w:t xml:space="preserve">po </w:t>
      </w:r>
      <w:r w:rsidRPr="00123C18">
        <w:rPr>
          <w:sz w:val="22"/>
          <w:szCs w:val="22"/>
        </w:rPr>
        <w:t xml:space="preserve">2 nova postrojenja </w:t>
      </w:r>
      <w:r w:rsidR="00E875EC" w:rsidRPr="00123C18">
        <w:rPr>
          <w:sz w:val="22"/>
          <w:szCs w:val="22"/>
        </w:rPr>
        <w:t xml:space="preserve">sa skladištem i postrojenjem s drobilicama i sitima za prosijavanje obrađenog otpada </w:t>
      </w:r>
      <w:r w:rsidRPr="00123C18">
        <w:rPr>
          <w:sz w:val="22"/>
          <w:szCs w:val="22"/>
        </w:rPr>
        <w:t xml:space="preserve"> na odgovarajuće frakcije</w:t>
      </w:r>
      <w:r w:rsidR="00E875EC" w:rsidRPr="00123C18">
        <w:rPr>
          <w:sz w:val="22"/>
          <w:szCs w:val="22"/>
        </w:rPr>
        <w:t xml:space="preserve"> (agregat za beton, </w:t>
      </w:r>
      <w:r w:rsidR="00E875EC" w:rsidRPr="00123C18">
        <w:rPr>
          <w:rStyle w:val="black"/>
          <w:sz w:val="22"/>
          <w:szCs w:val="22"/>
        </w:rPr>
        <w:t>agregat za nevezane i hidraulički vezane materijale za uporabu u građevinarstvu i cestogradnji, nevezane mješavine, ostali materijali sukladno tehničkoj dokumentaciji temeljem koje se ukida status otpada</w:t>
      </w:r>
      <w:r w:rsidR="00E875EC" w:rsidRPr="00123C18">
        <w:rPr>
          <w:sz w:val="22"/>
          <w:szCs w:val="22"/>
        </w:rPr>
        <w:t>)</w:t>
      </w:r>
      <w:r w:rsidRPr="00123C18">
        <w:rPr>
          <w:sz w:val="22"/>
          <w:szCs w:val="22"/>
        </w:rPr>
        <w:t xml:space="preserve">. </w:t>
      </w:r>
    </w:p>
    <w:p w14:paraId="203990F3" w14:textId="7525D77E" w:rsidR="0046757B" w:rsidRDefault="0046757B" w:rsidP="00640659">
      <w:pPr>
        <w:rPr>
          <w:highlight w:val="yellow"/>
        </w:rPr>
      </w:pPr>
      <w:r>
        <w:t>Troškovi izgradnje 1 postrojenja</w:t>
      </w:r>
      <w:r w:rsidR="00E875EC">
        <w:t xml:space="preserve"> za skladištenje i obradu građevnog otpada</w:t>
      </w:r>
      <w:r>
        <w:t xml:space="preserve"> su procijenjeni na </w:t>
      </w:r>
      <w:r w:rsidR="008D3B70" w:rsidRPr="00BB2706">
        <w:rPr>
          <w:b/>
        </w:rPr>
        <w:t>995.421,06 EUR</w:t>
      </w:r>
      <w:r w:rsidR="008D3B70">
        <w:t xml:space="preserve"> (</w:t>
      </w:r>
      <w:r w:rsidRPr="00BB2706">
        <w:rPr>
          <w:bCs/>
          <w:u w:val="single"/>
        </w:rPr>
        <w:t>7.500.000 kn</w:t>
      </w:r>
      <w:r w:rsidR="008D3B70" w:rsidRPr="00BB2706">
        <w:rPr>
          <w:bCs/>
          <w:u w:val="single"/>
        </w:rPr>
        <w:t>)</w:t>
      </w:r>
      <w:r>
        <w:t xml:space="preserve"> s tim da se </w:t>
      </w:r>
      <w:r w:rsidR="008D3B70">
        <w:t>663.614,04 EUR (</w:t>
      </w:r>
      <w:r>
        <w:t>5.000.000 kn</w:t>
      </w:r>
      <w:r w:rsidR="008D3B70">
        <w:t>)</w:t>
      </w:r>
      <w:r>
        <w:t xml:space="preserve"> odnosi na nabavu opreme a</w:t>
      </w:r>
      <w:r w:rsidR="008D3B70">
        <w:t xml:space="preserve"> 331.807,02 EUR</w:t>
      </w:r>
      <w:r>
        <w:t xml:space="preserve"> </w:t>
      </w:r>
      <w:r w:rsidR="008D3B70">
        <w:t>(</w:t>
      </w:r>
      <w:r>
        <w:t>2.500.000 kn</w:t>
      </w:r>
      <w:r w:rsidR="008D3B70">
        <w:t>)</w:t>
      </w:r>
      <w:r>
        <w:t xml:space="preserve"> na infrastrukturno opremanje lokacije za oporabu.</w:t>
      </w:r>
    </w:p>
    <w:p w14:paraId="20902CEC" w14:textId="06314E47" w:rsidR="0088782C" w:rsidRDefault="0088782C" w:rsidP="0088782C">
      <w:pPr>
        <w:pStyle w:val="Tablica"/>
      </w:pPr>
      <w:bookmarkStart w:id="288" w:name="_Toc125364449"/>
      <w:r>
        <w:t xml:space="preserve">Tablica </w:t>
      </w:r>
      <w:fldSimple w:instr=" SEQ Tablica \* ARABIC ">
        <w:r w:rsidR="00F37B62">
          <w:rPr>
            <w:noProof/>
          </w:rPr>
          <w:t>60</w:t>
        </w:r>
      </w:fldSimple>
      <w:r>
        <w:t xml:space="preserve">. </w:t>
      </w:r>
      <w:r w:rsidR="00126848">
        <w:rPr>
          <w:b w:val="0"/>
          <w:bCs/>
        </w:rPr>
        <w:t>Procjena potrebnih ulaganja u izgradnju</w:t>
      </w:r>
      <w:r>
        <w:rPr>
          <w:b w:val="0"/>
          <w:bCs/>
        </w:rPr>
        <w:t xml:space="preserve"> </w:t>
      </w:r>
      <w:r w:rsidR="0010161F">
        <w:rPr>
          <w:b w:val="0"/>
          <w:bCs/>
        </w:rPr>
        <w:t xml:space="preserve">postrojenja za obradu građevnog </w:t>
      </w:r>
      <w:r>
        <w:rPr>
          <w:b w:val="0"/>
          <w:bCs/>
        </w:rPr>
        <w:t>otpad</w:t>
      </w:r>
      <w:r w:rsidR="0010161F">
        <w:rPr>
          <w:b w:val="0"/>
          <w:bCs/>
        </w:rPr>
        <w:t>a</w:t>
      </w:r>
      <w:bookmarkEnd w:id="288"/>
      <w:r>
        <w:rPr>
          <w:b w:val="0"/>
          <w:bCs/>
        </w:rPr>
        <w:t xml:space="preserve"> </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842"/>
        <w:gridCol w:w="1418"/>
        <w:gridCol w:w="1559"/>
        <w:gridCol w:w="1530"/>
      </w:tblGrid>
      <w:tr w:rsidR="008D3B70" w:rsidRPr="006F5FDB" w14:paraId="1F63CEE4" w14:textId="356B5C48" w:rsidTr="00BB2706">
        <w:trPr>
          <w:trHeight w:val="170"/>
        </w:trPr>
        <w:tc>
          <w:tcPr>
            <w:tcW w:w="2689" w:type="dxa"/>
            <w:shd w:val="clear" w:color="auto" w:fill="002060"/>
            <w:noWrap/>
            <w:vAlign w:val="center"/>
            <w:hideMark/>
          </w:tcPr>
          <w:p w14:paraId="56181AD9" w14:textId="77777777" w:rsidR="008D3B70" w:rsidRPr="006F5FDB" w:rsidRDefault="008D3B70"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Županija</w:t>
            </w:r>
          </w:p>
        </w:tc>
        <w:tc>
          <w:tcPr>
            <w:tcW w:w="1842" w:type="dxa"/>
            <w:shd w:val="clear" w:color="auto" w:fill="002060"/>
            <w:vAlign w:val="center"/>
            <w:hideMark/>
          </w:tcPr>
          <w:p w14:paraId="12BAB2A3" w14:textId="69DF3A86" w:rsidR="008D3B70" w:rsidRPr="006F5FDB" w:rsidRDefault="008D3B70"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Potrebni dodatni kapacitet mobilnih drobilica i stacionarnih postrojenja za obradu građevnog otpada (t/god)</w:t>
            </w:r>
          </w:p>
        </w:tc>
        <w:tc>
          <w:tcPr>
            <w:tcW w:w="1418" w:type="dxa"/>
            <w:shd w:val="clear" w:color="auto" w:fill="002060"/>
            <w:vAlign w:val="center"/>
          </w:tcPr>
          <w:p w14:paraId="3286AE1F" w14:textId="02A7A9BD" w:rsidR="008D3B70" w:rsidRPr="006F5FDB" w:rsidRDefault="008D3B70"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Potreban broj postrojenja</w:t>
            </w:r>
          </w:p>
        </w:tc>
        <w:tc>
          <w:tcPr>
            <w:tcW w:w="1559" w:type="dxa"/>
            <w:shd w:val="clear" w:color="auto" w:fill="002060"/>
          </w:tcPr>
          <w:p w14:paraId="021EDF2E" w14:textId="77ECCAC5" w:rsidR="008D3B70" w:rsidRPr="006F5FDB" w:rsidRDefault="008D3B70"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Procjena troškova nabave mobilnih drobilica i stacionarnih postrojenja za obradu građevnog otpada</w:t>
            </w:r>
            <w:r>
              <w:rPr>
                <w:rFonts w:ascii="Calibri" w:eastAsia="Times New Roman" w:hAnsi="Calibri" w:cs="Calibri"/>
                <w:b/>
                <w:bCs/>
                <w:color w:val="FFFFFF" w:themeColor="background1"/>
                <w:sz w:val="16"/>
                <w:szCs w:val="16"/>
                <w:lang w:eastAsia="hr-HR"/>
              </w:rPr>
              <w:t xml:space="preserve"> </w:t>
            </w:r>
            <w:r>
              <w:rPr>
                <w:rFonts w:ascii="Calibri" w:eastAsia="Times New Roman" w:hAnsi="Calibri" w:cs="Calibri"/>
                <w:b/>
                <w:bCs/>
                <w:color w:val="FFFFFF" w:themeColor="background1"/>
                <w:sz w:val="16"/>
                <w:szCs w:val="16"/>
                <w:lang w:eastAsia="hr-HR"/>
              </w:rPr>
              <w:br/>
              <w:t>(EUR)</w:t>
            </w:r>
          </w:p>
        </w:tc>
        <w:tc>
          <w:tcPr>
            <w:tcW w:w="1530" w:type="dxa"/>
            <w:shd w:val="clear" w:color="auto" w:fill="002060"/>
            <w:vAlign w:val="center"/>
          </w:tcPr>
          <w:p w14:paraId="72C00787" w14:textId="263A9526" w:rsidR="008D3B70" w:rsidRPr="006F5FDB" w:rsidRDefault="008D3B70"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 xml:space="preserve">Procjena troškova nabave mobilnih drobilica i stacionarnih postrojenja za obradu građevnog otpada </w:t>
            </w:r>
            <w:r>
              <w:rPr>
                <w:rFonts w:ascii="Calibri" w:eastAsia="Times New Roman" w:hAnsi="Calibri" w:cs="Calibri"/>
                <w:b/>
                <w:bCs/>
                <w:color w:val="FFFFFF" w:themeColor="background1"/>
                <w:sz w:val="16"/>
                <w:szCs w:val="16"/>
                <w:lang w:eastAsia="hr-HR"/>
              </w:rPr>
              <w:br/>
            </w:r>
            <w:r w:rsidRPr="006F5FDB">
              <w:rPr>
                <w:rFonts w:ascii="Calibri" w:eastAsia="Times New Roman" w:hAnsi="Calibri" w:cs="Calibri"/>
                <w:b/>
                <w:bCs/>
                <w:color w:val="FFFFFF" w:themeColor="background1"/>
                <w:sz w:val="16"/>
                <w:szCs w:val="16"/>
                <w:lang w:eastAsia="hr-HR"/>
              </w:rPr>
              <w:t>(kn)</w:t>
            </w:r>
          </w:p>
        </w:tc>
      </w:tr>
      <w:tr w:rsidR="008D3B70" w:rsidRPr="006F5FDB" w14:paraId="414539B4" w14:textId="4BEDA9EC" w:rsidTr="00BB2706">
        <w:trPr>
          <w:trHeight w:val="170"/>
        </w:trPr>
        <w:tc>
          <w:tcPr>
            <w:tcW w:w="2689" w:type="dxa"/>
            <w:shd w:val="clear" w:color="auto" w:fill="auto"/>
            <w:noWrap/>
            <w:vAlign w:val="center"/>
            <w:hideMark/>
          </w:tcPr>
          <w:p w14:paraId="5304B2BB"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Bjelovarsko-bilogorska</w:t>
            </w:r>
          </w:p>
        </w:tc>
        <w:tc>
          <w:tcPr>
            <w:tcW w:w="1842" w:type="dxa"/>
            <w:shd w:val="clear" w:color="auto" w:fill="auto"/>
            <w:noWrap/>
            <w:vAlign w:val="center"/>
            <w:hideMark/>
          </w:tcPr>
          <w:p w14:paraId="21291CDE" w14:textId="307831BC"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6.711</w:t>
            </w:r>
          </w:p>
        </w:tc>
        <w:tc>
          <w:tcPr>
            <w:tcW w:w="1418" w:type="dxa"/>
            <w:vAlign w:val="center"/>
          </w:tcPr>
          <w:p w14:paraId="733B91FB" w14:textId="3A97D422"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w:t>
            </w:r>
          </w:p>
        </w:tc>
        <w:tc>
          <w:tcPr>
            <w:tcW w:w="1559" w:type="dxa"/>
          </w:tcPr>
          <w:p w14:paraId="2C8EB58C" w14:textId="3BD4235A" w:rsidR="008D3B70" w:rsidRPr="006F5FDB" w:rsidRDefault="008D3B70" w:rsidP="008D3B70">
            <w:pPr>
              <w:spacing w:after="0" w:line="240" w:lineRule="auto"/>
              <w:jc w:val="right"/>
              <w:rPr>
                <w:rFonts w:ascii="Calibri" w:hAnsi="Calibri" w:cs="Calibri"/>
                <w:color w:val="000000"/>
                <w:sz w:val="16"/>
                <w:szCs w:val="16"/>
              </w:rPr>
            </w:pPr>
            <w:r>
              <w:rPr>
                <w:rFonts w:ascii="Calibri" w:hAnsi="Calibri" w:cs="Calibri"/>
                <w:color w:val="000000"/>
                <w:sz w:val="16"/>
                <w:szCs w:val="16"/>
              </w:rPr>
              <w:t>1.990.842,13</w:t>
            </w:r>
          </w:p>
        </w:tc>
        <w:tc>
          <w:tcPr>
            <w:tcW w:w="1530" w:type="dxa"/>
            <w:vAlign w:val="center"/>
          </w:tcPr>
          <w:p w14:paraId="779CA184" w14:textId="756486A7"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15.000.000</w:t>
            </w:r>
          </w:p>
        </w:tc>
      </w:tr>
      <w:tr w:rsidR="008D3B70" w:rsidRPr="006F5FDB" w14:paraId="31B12BB0" w14:textId="4EED3C8A" w:rsidTr="00BB2706">
        <w:trPr>
          <w:trHeight w:val="170"/>
        </w:trPr>
        <w:tc>
          <w:tcPr>
            <w:tcW w:w="2689" w:type="dxa"/>
            <w:shd w:val="clear" w:color="auto" w:fill="auto"/>
            <w:noWrap/>
            <w:vAlign w:val="center"/>
            <w:hideMark/>
          </w:tcPr>
          <w:p w14:paraId="17C38C0E" w14:textId="1D3CAD61"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Brodsko-posavska</w:t>
            </w:r>
          </w:p>
        </w:tc>
        <w:tc>
          <w:tcPr>
            <w:tcW w:w="1842" w:type="dxa"/>
            <w:shd w:val="clear" w:color="auto" w:fill="auto"/>
            <w:noWrap/>
            <w:vAlign w:val="center"/>
            <w:hideMark/>
          </w:tcPr>
          <w:p w14:paraId="4441F718" w14:textId="656C454C"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32.400</w:t>
            </w:r>
          </w:p>
        </w:tc>
        <w:tc>
          <w:tcPr>
            <w:tcW w:w="1418" w:type="dxa"/>
            <w:vAlign w:val="center"/>
          </w:tcPr>
          <w:p w14:paraId="1F9C2C60" w14:textId="5EE28B9C"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w:t>
            </w:r>
          </w:p>
        </w:tc>
        <w:tc>
          <w:tcPr>
            <w:tcW w:w="1559" w:type="dxa"/>
          </w:tcPr>
          <w:p w14:paraId="5EB94425" w14:textId="545D079D" w:rsidR="008D3B70" w:rsidRPr="006F5FDB" w:rsidRDefault="008D3B70"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1.990.842,13</w:t>
            </w:r>
          </w:p>
        </w:tc>
        <w:tc>
          <w:tcPr>
            <w:tcW w:w="1530" w:type="dxa"/>
            <w:vAlign w:val="center"/>
          </w:tcPr>
          <w:p w14:paraId="7E385012" w14:textId="79D79698"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15.000.000</w:t>
            </w:r>
          </w:p>
        </w:tc>
      </w:tr>
      <w:tr w:rsidR="008D3B70" w:rsidRPr="006F5FDB" w14:paraId="300D9DBB" w14:textId="5164CFDA" w:rsidTr="00BB2706">
        <w:trPr>
          <w:trHeight w:val="170"/>
        </w:trPr>
        <w:tc>
          <w:tcPr>
            <w:tcW w:w="2689" w:type="dxa"/>
            <w:shd w:val="clear" w:color="auto" w:fill="auto"/>
            <w:noWrap/>
            <w:vAlign w:val="center"/>
            <w:hideMark/>
          </w:tcPr>
          <w:p w14:paraId="74E5BBDA"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1842" w:type="dxa"/>
            <w:shd w:val="clear" w:color="auto" w:fill="auto"/>
            <w:noWrap/>
            <w:vAlign w:val="center"/>
            <w:hideMark/>
          </w:tcPr>
          <w:p w14:paraId="36FA0138" w14:textId="18A27B4E"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418" w:type="dxa"/>
            <w:vAlign w:val="center"/>
          </w:tcPr>
          <w:p w14:paraId="6B137B15" w14:textId="4FDC0BCF"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559" w:type="dxa"/>
          </w:tcPr>
          <w:p w14:paraId="12798246" w14:textId="0FF9FCA9" w:rsidR="008D3B70" w:rsidRPr="006F5FDB" w:rsidRDefault="008D3B70"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1530" w:type="dxa"/>
            <w:vAlign w:val="center"/>
          </w:tcPr>
          <w:p w14:paraId="2386CE37" w14:textId="04783442"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r>
      <w:tr w:rsidR="008D3B70" w:rsidRPr="006F5FDB" w14:paraId="5E77C626" w14:textId="05A1DCAA" w:rsidTr="00BB2706">
        <w:trPr>
          <w:trHeight w:val="170"/>
        </w:trPr>
        <w:tc>
          <w:tcPr>
            <w:tcW w:w="2689" w:type="dxa"/>
            <w:shd w:val="clear" w:color="auto" w:fill="auto"/>
            <w:noWrap/>
            <w:vAlign w:val="center"/>
            <w:hideMark/>
          </w:tcPr>
          <w:p w14:paraId="1568E75A"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w:t>
            </w:r>
          </w:p>
        </w:tc>
        <w:tc>
          <w:tcPr>
            <w:tcW w:w="1842" w:type="dxa"/>
            <w:shd w:val="clear" w:color="auto" w:fill="auto"/>
            <w:noWrap/>
            <w:vAlign w:val="center"/>
            <w:hideMark/>
          </w:tcPr>
          <w:p w14:paraId="1B9C83C4" w14:textId="2460589F"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418" w:type="dxa"/>
            <w:vAlign w:val="center"/>
          </w:tcPr>
          <w:p w14:paraId="0A4A531A" w14:textId="5C071FC4"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559" w:type="dxa"/>
          </w:tcPr>
          <w:p w14:paraId="19EEC301" w14:textId="045EA515" w:rsidR="008D3B70" w:rsidRPr="006F5FDB" w:rsidRDefault="008D3B70"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1530" w:type="dxa"/>
            <w:vAlign w:val="center"/>
          </w:tcPr>
          <w:p w14:paraId="2D9B2094" w14:textId="5A87770B"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r>
      <w:tr w:rsidR="008D3B70" w:rsidRPr="006F5FDB" w14:paraId="2CCF238A" w14:textId="333D97CC" w:rsidTr="00BB2706">
        <w:trPr>
          <w:trHeight w:val="170"/>
        </w:trPr>
        <w:tc>
          <w:tcPr>
            <w:tcW w:w="2689" w:type="dxa"/>
            <w:shd w:val="clear" w:color="auto" w:fill="auto"/>
            <w:noWrap/>
            <w:vAlign w:val="center"/>
            <w:hideMark/>
          </w:tcPr>
          <w:p w14:paraId="33F998BD"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Istarska </w:t>
            </w:r>
          </w:p>
        </w:tc>
        <w:tc>
          <w:tcPr>
            <w:tcW w:w="1842" w:type="dxa"/>
            <w:shd w:val="clear" w:color="auto" w:fill="auto"/>
            <w:noWrap/>
            <w:vAlign w:val="center"/>
            <w:hideMark/>
          </w:tcPr>
          <w:p w14:paraId="18CA87F9" w14:textId="40E48093"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418" w:type="dxa"/>
            <w:vAlign w:val="center"/>
          </w:tcPr>
          <w:p w14:paraId="4AA28D4A" w14:textId="64D966B2"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559" w:type="dxa"/>
          </w:tcPr>
          <w:p w14:paraId="79DA52FA" w14:textId="3DEFC742" w:rsidR="008D3B70" w:rsidRPr="006F5FDB" w:rsidRDefault="008D3B70"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1530" w:type="dxa"/>
            <w:vAlign w:val="center"/>
          </w:tcPr>
          <w:p w14:paraId="5CF53244" w14:textId="77BBC750"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r>
      <w:tr w:rsidR="008D3B70" w:rsidRPr="006F5FDB" w14:paraId="03502B8B" w14:textId="45964DA5" w:rsidTr="00BB2706">
        <w:trPr>
          <w:trHeight w:val="170"/>
        </w:trPr>
        <w:tc>
          <w:tcPr>
            <w:tcW w:w="2689" w:type="dxa"/>
            <w:shd w:val="clear" w:color="auto" w:fill="auto"/>
            <w:noWrap/>
            <w:vAlign w:val="center"/>
            <w:hideMark/>
          </w:tcPr>
          <w:p w14:paraId="219334EF"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Karlovačka </w:t>
            </w:r>
          </w:p>
        </w:tc>
        <w:tc>
          <w:tcPr>
            <w:tcW w:w="1842" w:type="dxa"/>
            <w:shd w:val="clear" w:color="auto" w:fill="auto"/>
            <w:noWrap/>
            <w:vAlign w:val="center"/>
            <w:hideMark/>
          </w:tcPr>
          <w:p w14:paraId="6089034B" w14:textId="4B8EA7FF"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418" w:type="dxa"/>
            <w:vAlign w:val="center"/>
          </w:tcPr>
          <w:p w14:paraId="501D4567" w14:textId="24B16D3D"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559" w:type="dxa"/>
          </w:tcPr>
          <w:p w14:paraId="01A86473" w14:textId="32BC0465" w:rsidR="008D3B70" w:rsidRPr="006F5FDB" w:rsidRDefault="008D3B70"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1530" w:type="dxa"/>
            <w:vAlign w:val="center"/>
          </w:tcPr>
          <w:p w14:paraId="322D7ED8" w14:textId="47AE3808"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r>
      <w:tr w:rsidR="008D3B70" w:rsidRPr="006F5FDB" w14:paraId="5A3EE0FC" w14:textId="1667FE63" w:rsidTr="00BB2706">
        <w:trPr>
          <w:trHeight w:val="170"/>
        </w:trPr>
        <w:tc>
          <w:tcPr>
            <w:tcW w:w="2689" w:type="dxa"/>
            <w:shd w:val="clear" w:color="auto" w:fill="auto"/>
            <w:noWrap/>
            <w:vAlign w:val="center"/>
            <w:hideMark/>
          </w:tcPr>
          <w:p w14:paraId="35A31810"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Koprivničko-križevačka</w:t>
            </w:r>
          </w:p>
        </w:tc>
        <w:tc>
          <w:tcPr>
            <w:tcW w:w="1842" w:type="dxa"/>
            <w:shd w:val="clear" w:color="auto" w:fill="auto"/>
            <w:noWrap/>
            <w:vAlign w:val="center"/>
            <w:hideMark/>
          </w:tcPr>
          <w:p w14:paraId="172AA66A" w14:textId="4CA03CC7"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7.065</w:t>
            </w:r>
          </w:p>
        </w:tc>
        <w:tc>
          <w:tcPr>
            <w:tcW w:w="1418" w:type="dxa"/>
            <w:vAlign w:val="center"/>
          </w:tcPr>
          <w:p w14:paraId="26C5F4A4" w14:textId="502D813C"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w:t>
            </w:r>
          </w:p>
        </w:tc>
        <w:tc>
          <w:tcPr>
            <w:tcW w:w="1559" w:type="dxa"/>
          </w:tcPr>
          <w:p w14:paraId="21D40248" w14:textId="7201733A" w:rsidR="008D3B70" w:rsidRPr="006F5FDB" w:rsidRDefault="008D3B70"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1.990.842,13</w:t>
            </w:r>
          </w:p>
        </w:tc>
        <w:tc>
          <w:tcPr>
            <w:tcW w:w="1530" w:type="dxa"/>
            <w:vAlign w:val="center"/>
          </w:tcPr>
          <w:p w14:paraId="2E96CE3E" w14:textId="34224594"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15.000.000</w:t>
            </w:r>
          </w:p>
        </w:tc>
      </w:tr>
      <w:tr w:rsidR="008D3B70" w:rsidRPr="006F5FDB" w14:paraId="3A4FA11F" w14:textId="6A72F5CA" w:rsidTr="00BB2706">
        <w:trPr>
          <w:trHeight w:val="170"/>
        </w:trPr>
        <w:tc>
          <w:tcPr>
            <w:tcW w:w="2689" w:type="dxa"/>
            <w:shd w:val="clear" w:color="auto" w:fill="auto"/>
            <w:noWrap/>
            <w:vAlign w:val="center"/>
            <w:hideMark/>
          </w:tcPr>
          <w:p w14:paraId="394A1164"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w:t>
            </w:r>
          </w:p>
        </w:tc>
        <w:tc>
          <w:tcPr>
            <w:tcW w:w="1842" w:type="dxa"/>
            <w:shd w:val="clear" w:color="auto" w:fill="auto"/>
            <w:noWrap/>
            <w:vAlign w:val="center"/>
            <w:hideMark/>
          </w:tcPr>
          <w:p w14:paraId="2FC52CAC" w14:textId="0BA545F7"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418" w:type="dxa"/>
            <w:vAlign w:val="center"/>
          </w:tcPr>
          <w:p w14:paraId="23D69CB3" w14:textId="7A4C0A84"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559" w:type="dxa"/>
          </w:tcPr>
          <w:p w14:paraId="01ED464F" w14:textId="46F7B54C"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1530" w:type="dxa"/>
            <w:vAlign w:val="center"/>
          </w:tcPr>
          <w:p w14:paraId="574C3B58" w14:textId="5D683605"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r>
      <w:tr w:rsidR="008D3B70" w:rsidRPr="006F5FDB" w14:paraId="3CD75BDB" w14:textId="228D8D91" w:rsidTr="00BB2706">
        <w:trPr>
          <w:trHeight w:val="170"/>
        </w:trPr>
        <w:tc>
          <w:tcPr>
            <w:tcW w:w="2689" w:type="dxa"/>
            <w:shd w:val="clear" w:color="auto" w:fill="auto"/>
            <w:noWrap/>
            <w:vAlign w:val="center"/>
            <w:hideMark/>
          </w:tcPr>
          <w:p w14:paraId="1BE4E58D"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Ličko-senjska </w:t>
            </w:r>
          </w:p>
        </w:tc>
        <w:tc>
          <w:tcPr>
            <w:tcW w:w="1842" w:type="dxa"/>
            <w:shd w:val="clear" w:color="auto" w:fill="auto"/>
            <w:noWrap/>
            <w:vAlign w:val="center"/>
            <w:hideMark/>
          </w:tcPr>
          <w:p w14:paraId="674E2B13" w14:textId="7F282043"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13.055</w:t>
            </w:r>
          </w:p>
        </w:tc>
        <w:tc>
          <w:tcPr>
            <w:tcW w:w="1418" w:type="dxa"/>
            <w:vAlign w:val="center"/>
          </w:tcPr>
          <w:p w14:paraId="4FD8675A" w14:textId="6EE47EC3"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w:t>
            </w:r>
          </w:p>
        </w:tc>
        <w:tc>
          <w:tcPr>
            <w:tcW w:w="1559" w:type="dxa"/>
          </w:tcPr>
          <w:p w14:paraId="004B9559" w14:textId="2C3A39D4"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1.990.842,13</w:t>
            </w:r>
          </w:p>
        </w:tc>
        <w:tc>
          <w:tcPr>
            <w:tcW w:w="1530" w:type="dxa"/>
            <w:vAlign w:val="center"/>
          </w:tcPr>
          <w:p w14:paraId="2B7CAB0D" w14:textId="06AEF076"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15.000.000</w:t>
            </w:r>
          </w:p>
        </w:tc>
      </w:tr>
      <w:tr w:rsidR="008D3B70" w:rsidRPr="006F5FDB" w14:paraId="4BCE5225" w14:textId="68BACE1D" w:rsidTr="00BB2706">
        <w:trPr>
          <w:trHeight w:val="170"/>
        </w:trPr>
        <w:tc>
          <w:tcPr>
            <w:tcW w:w="2689" w:type="dxa"/>
            <w:shd w:val="clear" w:color="auto" w:fill="auto"/>
            <w:noWrap/>
            <w:vAlign w:val="center"/>
            <w:hideMark/>
          </w:tcPr>
          <w:p w14:paraId="2CEBC63D"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Međimurska </w:t>
            </w:r>
          </w:p>
        </w:tc>
        <w:tc>
          <w:tcPr>
            <w:tcW w:w="1842" w:type="dxa"/>
            <w:shd w:val="clear" w:color="auto" w:fill="auto"/>
            <w:noWrap/>
            <w:vAlign w:val="center"/>
            <w:hideMark/>
          </w:tcPr>
          <w:p w14:paraId="53930FB4" w14:textId="3276DB2E"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10.108</w:t>
            </w:r>
          </w:p>
        </w:tc>
        <w:tc>
          <w:tcPr>
            <w:tcW w:w="1418" w:type="dxa"/>
            <w:vAlign w:val="center"/>
          </w:tcPr>
          <w:p w14:paraId="2C811E63" w14:textId="02FD32AD"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w:t>
            </w:r>
          </w:p>
        </w:tc>
        <w:tc>
          <w:tcPr>
            <w:tcW w:w="1559" w:type="dxa"/>
          </w:tcPr>
          <w:p w14:paraId="025013EA" w14:textId="50C9379B"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1.990.842,13</w:t>
            </w:r>
          </w:p>
        </w:tc>
        <w:tc>
          <w:tcPr>
            <w:tcW w:w="1530" w:type="dxa"/>
            <w:vAlign w:val="center"/>
          </w:tcPr>
          <w:p w14:paraId="618217CF" w14:textId="6EAD1D75"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15.000.000</w:t>
            </w:r>
          </w:p>
        </w:tc>
      </w:tr>
      <w:tr w:rsidR="008D3B70" w:rsidRPr="006F5FDB" w14:paraId="3583DBC0" w14:textId="56D841E8" w:rsidTr="00BB2706">
        <w:trPr>
          <w:trHeight w:val="170"/>
        </w:trPr>
        <w:tc>
          <w:tcPr>
            <w:tcW w:w="2689" w:type="dxa"/>
            <w:shd w:val="clear" w:color="auto" w:fill="auto"/>
            <w:noWrap/>
            <w:vAlign w:val="center"/>
            <w:hideMark/>
          </w:tcPr>
          <w:p w14:paraId="4532228B"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Osječko-baranjska </w:t>
            </w:r>
          </w:p>
        </w:tc>
        <w:tc>
          <w:tcPr>
            <w:tcW w:w="1842" w:type="dxa"/>
            <w:shd w:val="clear" w:color="auto" w:fill="auto"/>
            <w:noWrap/>
            <w:vAlign w:val="center"/>
            <w:hideMark/>
          </w:tcPr>
          <w:p w14:paraId="0CC3258A" w14:textId="223E1A83"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418" w:type="dxa"/>
            <w:vAlign w:val="center"/>
          </w:tcPr>
          <w:p w14:paraId="36C650FE" w14:textId="46335F5F"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559" w:type="dxa"/>
          </w:tcPr>
          <w:p w14:paraId="2C4F9E8E" w14:textId="11BEFB5D"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1530" w:type="dxa"/>
            <w:vAlign w:val="center"/>
          </w:tcPr>
          <w:p w14:paraId="416535BA" w14:textId="55189D19"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r>
      <w:tr w:rsidR="008D3B70" w:rsidRPr="006F5FDB" w14:paraId="79D46202" w14:textId="62CAEF3E" w:rsidTr="00BB2706">
        <w:trPr>
          <w:trHeight w:val="170"/>
        </w:trPr>
        <w:tc>
          <w:tcPr>
            <w:tcW w:w="2689" w:type="dxa"/>
            <w:shd w:val="clear" w:color="auto" w:fill="auto"/>
            <w:noWrap/>
            <w:vAlign w:val="center"/>
            <w:hideMark/>
          </w:tcPr>
          <w:p w14:paraId="1E922C91"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w:t>
            </w:r>
          </w:p>
        </w:tc>
        <w:tc>
          <w:tcPr>
            <w:tcW w:w="1842" w:type="dxa"/>
            <w:shd w:val="clear" w:color="auto" w:fill="auto"/>
            <w:noWrap/>
            <w:vAlign w:val="center"/>
            <w:hideMark/>
          </w:tcPr>
          <w:p w14:paraId="44D6A713" w14:textId="651B8071"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12.907</w:t>
            </w:r>
          </w:p>
        </w:tc>
        <w:tc>
          <w:tcPr>
            <w:tcW w:w="1418" w:type="dxa"/>
            <w:vAlign w:val="center"/>
          </w:tcPr>
          <w:p w14:paraId="238D192E" w14:textId="685FC454"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w:t>
            </w:r>
          </w:p>
        </w:tc>
        <w:tc>
          <w:tcPr>
            <w:tcW w:w="1559" w:type="dxa"/>
          </w:tcPr>
          <w:p w14:paraId="770BC663" w14:textId="52671AFC"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1.990.842,13</w:t>
            </w:r>
          </w:p>
        </w:tc>
        <w:tc>
          <w:tcPr>
            <w:tcW w:w="1530" w:type="dxa"/>
            <w:vAlign w:val="center"/>
          </w:tcPr>
          <w:p w14:paraId="1E491317" w14:textId="0582693C"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15.000.000</w:t>
            </w:r>
          </w:p>
        </w:tc>
      </w:tr>
      <w:tr w:rsidR="008D3B70" w:rsidRPr="006F5FDB" w14:paraId="33093B84" w14:textId="746E0C9B" w:rsidTr="00BB2706">
        <w:trPr>
          <w:trHeight w:val="170"/>
        </w:trPr>
        <w:tc>
          <w:tcPr>
            <w:tcW w:w="2689" w:type="dxa"/>
            <w:shd w:val="clear" w:color="auto" w:fill="auto"/>
            <w:noWrap/>
            <w:vAlign w:val="center"/>
            <w:hideMark/>
          </w:tcPr>
          <w:p w14:paraId="63C0EC52"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Primorsko-goranska </w:t>
            </w:r>
          </w:p>
        </w:tc>
        <w:tc>
          <w:tcPr>
            <w:tcW w:w="1842" w:type="dxa"/>
            <w:shd w:val="clear" w:color="auto" w:fill="auto"/>
            <w:noWrap/>
            <w:vAlign w:val="center"/>
            <w:hideMark/>
          </w:tcPr>
          <w:p w14:paraId="5742A6E3" w14:textId="10D0C41D"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418" w:type="dxa"/>
            <w:vAlign w:val="center"/>
          </w:tcPr>
          <w:p w14:paraId="1650587E" w14:textId="1E0DBB06"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559" w:type="dxa"/>
          </w:tcPr>
          <w:p w14:paraId="753BC729" w14:textId="66BDDF72"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1530" w:type="dxa"/>
            <w:vAlign w:val="center"/>
          </w:tcPr>
          <w:p w14:paraId="3CE67970" w14:textId="19C6A885"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r>
      <w:tr w:rsidR="008D3B70" w:rsidRPr="006F5FDB" w14:paraId="2D7E4F39" w14:textId="70CDA383" w:rsidTr="00BB2706">
        <w:trPr>
          <w:trHeight w:val="170"/>
        </w:trPr>
        <w:tc>
          <w:tcPr>
            <w:tcW w:w="2689" w:type="dxa"/>
            <w:shd w:val="clear" w:color="auto" w:fill="auto"/>
            <w:noWrap/>
            <w:vAlign w:val="center"/>
            <w:hideMark/>
          </w:tcPr>
          <w:p w14:paraId="043D03C2"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Sisačko-moslavačka </w:t>
            </w:r>
          </w:p>
        </w:tc>
        <w:tc>
          <w:tcPr>
            <w:tcW w:w="1842" w:type="dxa"/>
            <w:shd w:val="clear" w:color="auto" w:fill="auto"/>
            <w:noWrap/>
            <w:vAlign w:val="center"/>
            <w:hideMark/>
          </w:tcPr>
          <w:p w14:paraId="3DEFA449" w14:textId="0C7B9889"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36.286</w:t>
            </w:r>
          </w:p>
        </w:tc>
        <w:tc>
          <w:tcPr>
            <w:tcW w:w="1418" w:type="dxa"/>
            <w:vAlign w:val="center"/>
          </w:tcPr>
          <w:p w14:paraId="23A3A2F5" w14:textId="3818BEDF"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w:t>
            </w:r>
          </w:p>
        </w:tc>
        <w:tc>
          <w:tcPr>
            <w:tcW w:w="1559" w:type="dxa"/>
          </w:tcPr>
          <w:p w14:paraId="6F4EE18C" w14:textId="5883220B"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1.990.842,13</w:t>
            </w:r>
          </w:p>
        </w:tc>
        <w:tc>
          <w:tcPr>
            <w:tcW w:w="1530" w:type="dxa"/>
            <w:vAlign w:val="center"/>
          </w:tcPr>
          <w:p w14:paraId="1C06D306" w14:textId="11546FBA"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15.000.000</w:t>
            </w:r>
          </w:p>
        </w:tc>
      </w:tr>
      <w:tr w:rsidR="008D3B70" w:rsidRPr="006F5FDB" w14:paraId="267C1527" w14:textId="4CDA5F87" w:rsidTr="00BB2706">
        <w:trPr>
          <w:trHeight w:val="170"/>
        </w:trPr>
        <w:tc>
          <w:tcPr>
            <w:tcW w:w="2689" w:type="dxa"/>
            <w:shd w:val="clear" w:color="auto" w:fill="auto"/>
            <w:noWrap/>
            <w:vAlign w:val="center"/>
            <w:hideMark/>
          </w:tcPr>
          <w:p w14:paraId="61B21B37"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Splitsko-dalmatinska </w:t>
            </w:r>
          </w:p>
        </w:tc>
        <w:tc>
          <w:tcPr>
            <w:tcW w:w="1842" w:type="dxa"/>
            <w:shd w:val="clear" w:color="auto" w:fill="auto"/>
            <w:noWrap/>
            <w:vAlign w:val="center"/>
            <w:hideMark/>
          </w:tcPr>
          <w:p w14:paraId="7B0C6B44" w14:textId="5A9CF901"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418" w:type="dxa"/>
            <w:vAlign w:val="center"/>
          </w:tcPr>
          <w:p w14:paraId="7EC27C39" w14:textId="6A37A555"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559" w:type="dxa"/>
          </w:tcPr>
          <w:p w14:paraId="01113703" w14:textId="1D320F41"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1530" w:type="dxa"/>
            <w:vAlign w:val="center"/>
          </w:tcPr>
          <w:p w14:paraId="708F896B" w14:textId="402FB3CB"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r>
      <w:tr w:rsidR="008D3B70" w:rsidRPr="006F5FDB" w14:paraId="25E56DB8" w14:textId="4D97C3BC" w:rsidTr="00BB2706">
        <w:trPr>
          <w:trHeight w:val="170"/>
        </w:trPr>
        <w:tc>
          <w:tcPr>
            <w:tcW w:w="2689" w:type="dxa"/>
            <w:shd w:val="clear" w:color="auto" w:fill="auto"/>
            <w:noWrap/>
            <w:vAlign w:val="center"/>
            <w:hideMark/>
          </w:tcPr>
          <w:p w14:paraId="01443FFB"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Šibensko-kninska</w:t>
            </w:r>
          </w:p>
        </w:tc>
        <w:tc>
          <w:tcPr>
            <w:tcW w:w="1842" w:type="dxa"/>
            <w:shd w:val="clear" w:color="auto" w:fill="auto"/>
            <w:noWrap/>
            <w:vAlign w:val="center"/>
            <w:hideMark/>
          </w:tcPr>
          <w:p w14:paraId="7A4AE2A3" w14:textId="2E468D87"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418" w:type="dxa"/>
            <w:vAlign w:val="center"/>
          </w:tcPr>
          <w:p w14:paraId="46DAA214" w14:textId="574A57B8"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559" w:type="dxa"/>
          </w:tcPr>
          <w:p w14:paraId="74A74C22" w14:textId="247FE73D"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1530" w:type="dxa"/>
            <w:vAlign w:val="center"/>
          </w:tcPr>
          <w:p w14:paraId="523CD27F" w14:textId="0C780D6A"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r>
      <w:tr w:rsidR="008D3B70" w:rsidRPr="006F5FDB" w14:paraId="1392F5CF" w14:textId="02642BC1" w:rsidTr="00BB2706">
        <w:trPr>
          <w:trHeight w:val="170"/>
        </w:trPr>
        <w:tc>
          <w:tcPr>
            <w:tcW w:w="2689" w:type="dxa"/>
            <w:shd w:val="clear" w:color="auto" w:fill="auto"/>
            <w:noWrap/>
            <w:vAlign w:val="center"/>
            <w:hideMark/>
          </w:tcPr>
          <w:p w14:paraId="6DAEF1E6"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lastRenderedPageBreak/>
              <w:t xml:space="preserve">Varaždinska </w:t>
            </w:r>
          </w:p>
        </w:tc>
        <w:tc>
          <w:tcPr>
            <w:tcW w:w="1842" w:type="dxa"/>
            <w:shd w:val="clear" w:color="auto" w:fill="auto"/>
            <w:noWrap/>
            <w:vAlign w:val="center"/>
            <w:hideMark/>
          </w:tcPr>
          <w:p w14:paraId="33991A4E" w14:textId="7BBFFEC1"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36.202</w:t>
            </w:r>
          </w:p>
        </w:tc>
        <w:tc>
          <w:tcPr>
            <w:tcW w:w="1418" w:type="dxa"/>
            <w:vAlign w:val="center"/>
          </w:tcPr>
          <w:p w14:paraId="3326862A" w14:textId="4EC5073E"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w:t>
            </w:r>
          </w:p>
        </w:tc>
        <w:tc>
          <w:tcPr>
            <w:tcW w:w="1559" w:type="dxa"/>
          </w:tcPr>
          <w:p w14:paraId="6FCB2112" w14:textId="39BDDA6F"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1.990.842,13</w:t>
            </w:r>
          </w:p>
        </w:tc>
        <w:tc>
          <w:tcPr>
            <w:tcW w:w="1530" w:type="dxa"/>
            <w:vAlign w:val="center"/>
          </w:tcPr>
          <w:p w14:paraId="57EF47E1" w14:textId="5120BBA2"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15.000.000</w:t>
            </w:r>
          </w:p>
        </w:tc>
      </w:tr>
      <w:tr w:rsidR="008D3B70" w:rsidRPr="006F5FDB" w14:paraId="37423F9E" w14:textId="11A5687F" w:rsidTr="00BB2706">
        <w:trPr>
          <w:trHeight w:val="170"/>
        </w:trPr>
        <w:tc>
          <w:tcPr>
            <w:tcW w:w="2689" w:type="dxa"/>
            <w:shd w:val="clear" w:color="auto" w:fill="auto"/>
            <w:noWrap/>
            <w:vAlign w:val="center"/>
            <w:hideMark/>
          </w:tcPr>
          <w:p w14:paraId="07ECC704"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Virovitičko-podravska</w:t>
            </w:r>
          </w:p>
        </w:tc>
        <w:tc>
          <w:tcPr>
            <w:tcW w:w="1842" w:type="dxa"/>
            <w:shd w:val="clear" w:color="auto" w:fill="auto"/>
            <w:noWrap/>
            <w:vAlign w:val="center"/>
            <w:hideMark/>
          </w:tcPr>
          <w:p w14:paraId="5F82C812" w14:textId="1E100E9F"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15.376</w:t>
            </w:r>
          </w:p>
        </w:tc>
        <w:tc>
          <w:tcPr>
            <w:tcW w:w="1418" w:type="dxa"/>
            <w:vAlign w:val="center"/>
          </w:tcPr>
          <w:p w14:paraId="5926C07E" w14:textId="4663718A"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w:t>
            </w:r>
          </w:p>
        </w:tc>
        <w:tc>
          <w:tcPr>
            <w:tcW w:w="1559" w:type="dxa"/>
          </w:tcPr>
          <w:p w14:paraId="20B882A2" w14:textId="4371B761"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1.990.842,13</w:t>
            </w:r>
          </w:p>
        </w:tc>
        <w:tc>
          <w:tcPr>
            <w:tcW w:w="1530" w:type="dxa"/>
            <w:vAlign w:val="center"/>
          </w:tcPr>
          <w:p w14:paraId="11A68DE1" w14:textId="5EC0ACF8"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15.000.000</w:t>
            </w:r>
          </w:p>
        </w:tc>
      </w:tr>
      <w:tr w:rsidR="008D3B70" w:rsidRPr="006F5FDB" w14:paraId="4AF6E2C5" w14:textId="3D9DBDFD" w:rsidTr="00BB2706">
        <w:trPr>
          <w:trHeight w:val="170"/>
        </w:trPr>
        <w:tc>
          <w:tcPr>
            <w:tcW w:w="2689" w:type="dxa"/>
            <w:shd w:val="clear" w:color="auto" w:fill="auto"/>
            <w:noWrap/>
            <w:vAlign w:val="center"/>
            <w:hideMark/>
          </w:tcPr>
          <w:p w14:paraId="038F6B84"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Vukovarsko-srijemska </w:t>
            </w:r>
          </w:p>
        </w:tc>
        <w:tc>
          <w:tcPr>
            <w:tcW w:w="1842" w:type="dxa"/>
            <w:shd w:val="clear" w:color="auto" w:fill="auto"/>
            <w:noWrap/>
            <w:vAlign w:val="center"/>
            <w:hideMark/>
          </w:tcPr>
          <w:p w14:paraId="17524A3E" w14:textId="4CC00307"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37.779</w:t>
            </w:r>
          </w:p>
        </w:tc>
        <w:tc>
          <w:tcPr>
            <w:tcW w:w="1418" w:type="dxa"/>
            <w:vAlign w:val="center"/>
          </w:tcPr>
          <w:p w14:paraId="059A3339" w14:textId="6DD3E729"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w:t>
            </w:r>
          </w:p>
        </w:tc>
        <w:tc>
          <w:tcPr>
            <w:tcW w:w="1559" w:type="dxa"/>
          </w:tcPr>
          <w:p w14:paraId="5D5C5697" w14:textId="7C94E305"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1.990.842,13</w:t>
            </w:r>
          </w:p>
        </w:tc>
        <w:tc>
          <w:tcPr>
            <w:tcW w:w="1530" w:type="dxa"/>
            <w:vAlign w:val="center"/>
          </w:tcPr>
          <w:p w14:paraId="678E772A" w14:textId="617840D7"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15.000.000</w:t>
            </w:r>
          </w:p>
        </w:tc>
      </w:tr>
      <w:tr w:rsidR="008D3B70" w:rsidRPr="006F5FDB" w14:paraId="23BDD454" w14:textId="5F7E6172" w:rsidTr="00BB2706">
        <w:trPr>
          <w:trHeight w:val="170"/>
        </w:trPr>
        <w:tc>
          <w:tcPr>
            <w:tcW w:w="2689" w:type="dxa"/>
            <w:shd w:val="clear" w:color="auto" w:fill="auto"/>
            <w:noWrap/>
            <w:vAlign w:val="center"/>
            <w:hideMark/>
          </w:tcPr>
          <w:p w14:paraId="7C668CE2"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Zadarska </w:t>
            </w:r>
          </w:p>
        </w:tc>
        <w:tc>
          <w:tcPr>
            <w:tcW w:w="1842" w:type="dxa"/>
            <w:shd w:val="clear" w:color="auto" w:fill="auto"/>
            <w:noWrap/>
            <w:vAlign w:val="center"/>
            <w:hideMark/>
          </w:tcPr>
          <w:p w14:paraId="1D460F18" w14:textId="40A75163"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71.893</w:t>
            </w:r>
          </w:p>
        </w:tc>
        <w:tc>
          <w:tcPr>
            <w:tcW w:w="1418" w:type="dxa"/>
            <w:vAlign w:val="center"/>
          </w:tcPr>
          <w:p w14:paraId="61206B9E" w14:textId="4D93EAA8"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w:t>
            </w:r>
          </w:p>
        </w:tc>
        <w:tc>
          <w:tcPr>
            <w:tcW w:w="1559" w:type="dxa"/>
          </w:tcPr>
          <w:p w14:paraId="5E6C331A" w14:textId="76D62E66"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1.990.842,13</w:t>
            </w:r>
          </w:p>
        </w:tc>
        <w:tc>
          <w:tcPr>
            <w:tcW w:w="1530" w:type="dxa"/>
            <w:vAlign w:val="center"/>
          </w:tcPr>
          <w:p w14:paraId="0E6D2E6E" w14:textId="3A72BA92"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15.000.000</w:t>
            </w:r>
          </w:p>
        </w:tc>
      </w:tr>
      <w:tr w:rsidR="008D3B70" w:rsidRPr="006F5FDB" w14:paraId="331061E9" w14:textId="0D9AE78A" w:rsidTr="00BB2706">
        <w:trPr>
          <w:trHeight w:val="170"/>
        </w:trPr>
        <w:tc>
          <w:tcPr>
            <w:tcW w:w="2689" w:type="dxa"/>
            <w:shd w:val="clear" w:color="auto" w:fill="auto"/>
            <w:noWrap/>
            <w:vAlign w:val="center"/>
            <w:hideMark/>
          </w:tcPr>
          <w:p w14:paraId="44874E5E"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Zagrebačka </w:t>
            </w:r>
          </w:p>
        </w:tc>
        <w:tc>
          <w:tcPr>
            <w:tcW w:w="1842" w:type="dxa"/>
            <w:shd w:val="clear" w:color="auto" w:fill="auto"/>
            <w:noWrap/>
            <w:vAlign w:val="center"/>
            <w:hideMark/>
          </w:tcPr>
          <w:p w14:paraId="2297C294" w14:textId="48CA633C"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418" w:type="dxa"/>
            <w:vAlign w:val="center"/>
          </w:tcPr>
          <w:p w14:paraId="6E756EAD" w14:textId="51B58E70"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559" w:type="dxa"/>
          </w:tcPr>
          <w:p w14:paraId="7FDFBC24" w14:textId="59D6D298"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1530" w:type="dxa"/>
            <w:vAlign w:val="center"/>
          </w:tcPr>
          <w:p w14:paraId="0AB147BE" w14:textId="77F151E5"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r>
      <w:tr w:rsidR="008D3B70" w:rsidRPr="006F5FDB" w14:paraId="14333814" w14:textId="4E19F6C0" w:rsidTr="00BB2706">
        <w:trPr>
          <w:trHeight w:val="170"/>
        </w:trPr>
        <w:tc>
          <w:tcPr>
            <w:tcW w:w="2689" w:type="dxa"/>
            <w:shd w:val="clear" w:color="auto" w:fill="auto"/>
            <w:noWrap/>
            <w:vAlign w:val="center"/>
          </w:tcPr>
          <w:p w14:paraId="1688FFB0" w14:textId="77777777" w:rsidR="008D3B70" w:rsidRPr="006F5FDB" w:rsidRDefault="008D3B70" w:rsidP="00CC41BC">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Ukupno</w:t>
            </w:r>
          </w:p>
        </w:tc>
        <w:tc>
          <w:tcPr>
            <w:tcW w:w="1842" w:type="dxa"/>
            <w:shd w:val="clear" w:color="auto" w:fill="auto"/>
            <w:noWrap/>
            <w:vAlign w:val="center"/>
          </w:tcPr>
          <w:p w14:paraId="0A0F9E29" w14:textId="1C7917A4" w:rsidR="008D3B70" w:rsidRPr="006F5FDB" w:rsidRDefault="008D3B70" w:rsidP="00CC41BC">
            <w:pPr>
              <w:spacing w:after="0" w:line="240" w:lineRule="auto"/>
              <w:jc w:val="center"/>
              <w:rPr>
                <w:rFonts w:ascii="Calibri" w:eastAsia="Times New Roman" w:hAnsi="Calibri" w:cs="Calibri"/>
                <w:b/>
                <w:bCs/>
                <w:color w:val="000000"/>
                <w:sz w:val="16"/>
                <w:szCs w:val="16"/>
                <w:highlight w:val="red"/>
                <w:lang w:eastAsia="hr-HR"/>
              </w:rPr>
            </w:pPr>
            <w:r w:rsidRPr="006F5FDB">
              <w:rPr>
                <w:rFonts w:ascii="Calibri" w:eastAsia="Times New Roman" w:hAnsi="Calibri" w:cs="Calibri"/>
                <w:b/>
                <w:bCs/>
                <w:color w:val="000000"/>
                <w:sz w:val="16"/>
                <w:szCs w:val="16"/>
                <w:lang w:eastAsia="hr-HR"/>
              </w:rPr>
              <w:t>279.781</w:t>
            </w:r>
          </w:p>
        </w:tc>
        <w:tc>
          <w:tcPr>
            <w:tcW w:w="1418" w:type="dxa"/>
            <w:vAlign w:val="center"/>
          </w:tcPr>
          <w:p w14:paraId="3CDBA621" w14:textId="3C5BF939" w:rsidR="008D3B70" w:rsidRPr="006F5FDB" w:rsidRDefault="008D3B70"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22</w:t>
            </w:r>
          </w:p>
        </w:tc>
        <w:tc>
          <w:tcPr>
            <w:tcW w:w="1559" w:type="dxa"/>
          </w:tcPr>
          <w:p w14:paraId="062F1267" w14:textId="2159FD58" w:rsidR="008D3B70" w:rsidRPr="006F5FDB" w:rsidRDefault="00AD0869" w:rsidP="003040D5">
            <w:pPr>
              <w:spacing w:after="0" w:line="240" w:lineRule="auto"/>
              <w:jc w:val="right"/>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21.899.263,39</w:t>
            </w:r>
          </w:p>
        </w:tc>
        <w:tc>
          <w:tcPr>
            <w:tcW w:w="1530" w:type="dxa"/>
            <w:vAlign w:val="center"/>
          </w:tcPr>
          <w:p w14:paraId="551BFC77" w14:textId="4541BE51" w:rsidR="008D3B70" w:rsidRPr="006F5FDB" w:rsidRDefault="008D3B70" w:rsidP="003040D5">
            <w:pPr>
              <w:spacing w:after="0" w:line="240" w:lineRule="auto"/>
              <w:jc w:val="righ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165.000.000</w:t>
            </w:r>
          </w:p>
        </w:tc>
      </w:tr>
    </w:tbl>
    <w:p w14:paraId="0BFB1F0D" w14:textId="77777777" w:rsidR="0088782C" w:rsidRDefault="0088782C" w:rsidP="0088782C"/>
    <w:p w14:paraId="0B2A5A6D" w14:textId="04646CB3" w:rsidR="0088782C" w:rsidRDefault="0088782C" w:rsidP="0088782C">
      <w:pPr>
        <w:pStyle w:val="Tablica"/>
      </w:pPr>
      <w:bookmarkStart w:id="289" w:name="_Toc125364450"/>
      <w:r>
        <w:t xml:space="preserve">Tablica </w:t>
      </w:r>
      <w:fldSimple w:instr=" SEQ Tablica \* ARABIC ">
        <w:r w:rsidR="00F37B62">
          <w:rPr>
            <w:noProof/>
          </w:rPr>
          <w:t>61</w:t>
        </w:r>
      </w:fldSimple>
      <w:r>
        <w:t xml:space="preserve">. </w:t>
      </w:r>
      <w:r w:rsidR="00E33714">
        <w:rPr>
          <w:b w:val="0"/>
          <w:bCs/>
        </w:rPr>
        <w:t xml:space="preserve">Procjena potrebnih ulaganja u izgradnju </w:t>
      </w:r>
      <w:r>
        <w:rPr>
          <w:b w:val="0"/>
          <w:bCs/>
        </w:rPr>
        <w:t xml:space="preserve">postrojenja za </w:t>
      </w:r>
      <w:r w:rsidR="00730D8A">
        <w:rPr>
          <w:b w:val="0"/>
          <w:bCs/>
        </w:rPr>
        <w:t>recikliranje</w:t>
      </w:r>
      <w:r>
        <w:rPr>
          <w:b w:val="0"/>
          <w:bCs/>
        </w:rPr>
        <w:t xml:space="preserve"> </w:t>
      </w:r>
      <w:r w:rsidR="00BB6E69">
        <w:rPr>
          <w:b w:val="0"/>
          <w:bCs/>
        </w:rPr>
        <w:t>plastike</w:t>
      </w:r>
      <w:r w:rsidR="00B637AD">
        <w:rPr>
          <w:b w:val="0"/>
          <w:bCs/>
        </w:rPr>
        <w:t xml:space="preserve"> </w:t>
      </w:r>
      <w:r>
        <w:rPr>
          <w:b w:val="0"/>
          <w:bCs/>
        </w:rPr>
        <w:t>-  SCENARIJ 1</w:t>
      </w:r>
      <w:bookmarkEnd w:id="289"/>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26"/>
        <w:gridCol w:w="2126"/>
        <w:gridCol w:w="2097"/>
      </w:tblGrid>
      <w:tr w:rsidR="00F533EC" w:rsidRPr="006F5FDB" w14:paraId="63AA41B8" w14:textId="44F669F2" w:rsidTr="00BB2706">
        <w:trPr>
          <w:trHeight w:val="778"/>
          <w:tblHeader/>
        </w:trPr>
        <w:tc>
          <w:tcPr>
            <w:tcW w:w="2689" w:type="dxa"/>
            <w:shd w:val="clear" w:color="auto" w:fill="002060"/>
            <w:noWrap/>
            <w:vAlign w:val="center"/>
            <w:hideMark/>
          </w:tcPr>
          <w:p w14:paraId="000D42B4" w14:textId="298A7245" w:rsidR="00F533EC" w:rsidRPr="006F5FDB" w:rsidRDefault="00F533EC" w:rsidP="00CC41BC">
            <w:pPr>
              <w:spacing w:after="0" w:line="240" w:lineRule="auto"/>
              <w:jc w:val="center"/>
              <w:rPr>
                <w:rFonts w:eastAsia="Times New Roman" w:cstheme="minorHAnsi"/>
                <w:b/>
                <w:bCs/>
                <w:color w:val="FFFFFF" w:themeColor="background1"/>
                <w:sz w:val="16"/>
                <w:szCs w:val="16"/>
                <w:lang w:eastAsia="hr-HR"/>
              </w:rPr>
            </w:pPr>
            <w:r w:rsidRPr="006F5FDB">
              <w:rPr>
                <w:rFonts w:eastAsia="Times New Roman" w:cstheme="minorHAnsi"/>
                <w:b/>
                <w:bCs/>
                <w:color w:val="FFFFFF" w:themeColor="background1"/>
                <w:sz w:val="16"/>
                <w:szCs w:val="16"/>
                <w:lang w:eastAsia="hr-HR"/>
              </w:rPr>
              <w:t>Vrsta otpada</w:t>
            </w:r>
          </w:p>
        </w:tc>
        <w:tc>
          <w:tcPr>
            <w:tcW w:w="2126" w:type="dxa"/>
            <w:shd w:val="clear" w:color="auto" w:fill="002060"/>
            <w:vAlign w:val="center"/>
            <w:hideMark/>
          </w:tcPr>
          <w:p w14:paraId="1F2B856C" w14:textId="0BEDF97F" w:rsidR="00F533EC" w:rsidRPr="006F5FDB" w:rsidRDefault="00F533EC" w:rsidP="00CC41BC">
            <w:pPr>
              <w:spacing w:after="0" w:line="240" w:lineRule="auto"/>
              <w:jc w:val="center"/>
              <w:rPr>
                <w:rFonts w:eastAsia="Times New Roman" w:cstheme="minorHAnsi"/>
                <w:b/>
                <w:bCs/>
                <w:color w:val="FFFFFF" w:themeColor="background1"/>
                <w:sz w:val="16"/>
                <w:szCs w:val="16"/>
                <w:lang w:eastAsia="hr-HR"/>
              </w:rPr>
            </w:pPr>
            <w:r w:rsidRPr="006F5FDB">
              <w:rPr>
                <w:rFonts w:eastAsia="Times New Roman" w:cstheme="minorHAnsi"/>
                <w:b/>
                <w:bCs/>
                <w:color w:val="FFFFFF" w:themeColor="background1"/>
                <w:sz w:val="16"/>
                <w:szCs w:val="16"/>
                <w:lang w:eastAsia="hr-HR"/>
              </w:rPr>
              <w:t>Potrebni dodatni kapacitet (t/god)</w:t>
            </w:r>
          </w:p>
        </w:tc>
        <w:tc>
          <w:tcPr>
            <w:tcW w:w="2126" w:type="dxa"/>
            <w:shd w:val="clear" w:color="auto" w:fill="002060"/>
            <w:vAlign w:val="center"/>
          </w:tcPr>
          <w:p w14:paraId="3F398845" w14:textId="4058E3B5" w:rsidR="00F533EC" w:rsidRPr="006F5FDB" w:rsidRDefault="00F533EC" w:rsidP="00CC41BC">
            <w:pPr>
              <w:spacing w:after="0" w:line="240" w:lineRule="auto"/>
              <w:jc w:val="center"/>
              <w:rPr>
                <w:rFonts w:eastAsia="Times New Roman" w:cstheme="minorHAns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 xml:space="preserve">Procjena troškova izgradnje postrojenja za obradu otpada </w:t>
            </w:r>
            <w:r>
              <w:rPr>
                <w:rFonts w:ascii="Calibri" w:eastAsia="Times New Roman" w:hAnsi="Calibri" w:cs="Calibri"/>
                <w:b/>
                <w:bCs/>
                <w:color w:val="FFFFFF" w:themeColor="background1"/>
                <w:sz w:val="16"/>
                <w:szCs w:val="16"/>
                <w:lang w:eastAsia="hr-HR"/>
              </w:rPr>
              <w:br/>
            </w:r>
            <w:r w:rsidRPr="006F5FDB">
              <w:rPr>
                <w:rFonts w:ascii="Calibri" w:eastAsia="Times New Roman" w:hAnsi="Calibri" w:cs="Calibri"/>
                <w:b/>
                <w:bCs/>
                <w:color w:val="FFFFFF" w:themeColor="background1"/>
                <w:sz w:val="16"/>
                <w:szCs w:val="16"/>
                <w:lang w:eastAsia="hr-HR"/>
              </w:rPr>
              <w:t>(kn)</w:t>
            </w:r>
          </w:p>
        </w:tc>
        <w:tc>
          <w:tcPr>
            <w:tcW w:w="2097" w:type="dxa"/>
            <w:shd w:val="clear" w:color="auto" w:fill="002060"/>
            <w:vAlign w:val="center"/>
          </w:tcPr>
          <w:p w14:paraId="3C4B4D78" w14:textId="2D246C8C" w:rsidR="00F533EC" w:rsidRPr="006F5FDB" w:rsidRDefault="00F533EC" w:rsidP="00F533E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 xml:space="preserve">Procjena troškova izgradnje postrojenja za obradu otpada </w:t>
            </w:r>
            <w:r>
              <w:rPr>
                <w:rFonts w:ascii="Calibri" w:eastAsia="Times New Roman" w:hAnsi="Calibri" w:cs="Calibri"/>
                <w:b/>
                <w:bCs/>
                <w:color w:val="FFFFFF" w:themeColor="background1"/>
                <w:sz w:val="16"/>
                <w:szCs w:val="16"/>
                <w:lang w:eastAsia="hr-HR"/>
              </w:rPr>
              <w:br/>
              <w:t>(EUR</w:t>
            </w:r>
            <w:r w:rsidRPr="006F5FDB">
              <w:rPr>
                <w:rFonts w:ascii="Calibri" w:eastAsia="Times New Roman" w:hAnsi="Calibri" w:cs="Calibri"/>
                <w:b/>
                <w:bCs/>
                <w:color w:val="FFFFFF" w:themeColor="background1"/>
                <w:sz w:val="16"/>
                <w:szCs w:val="16"/>
                <w:lang w:eastAsia="hr-HR"/>
              </w:rPr>
              <w:t>)</w:t>
            </w:r>
          </w:p>
        </w:tc>
      </w:tr>
      <w:tr w:rsidR="00F533EC" w:rsidRPr="006F5FDB" w14:paraId="0E798D74" w14:textId="2FE7C54B" w:rsidTr="00BB2706">
        <w:trPr>
          <w:trHeight w:val="255"/>
        </w:trPr>
        <w:tc>
          <w:tcPr>
            <w:tcW w:w="2689" w:type="dxa"/>
            <w:shd w:val="clear" w:color="auto" w:fill="auto"/>
            <w:noWrap/>
            <w:vAlign w:val="center"/>
          </w:tcPr>
          <w:p w14:paraId="15A8269C" w14:textId="1FC6C2B9" w:rsidR="00F533EC" w:rsidRPr="006F5FDB" w:rsidRDefault="00F533EC" w:rsidP="00CC41BC">
            <w:pPr>
              <w:spacing w:after="0" w:line="240" w:lineRule="auto"/>
              <w:jc w:val="left"/>
              <w:rPr>
                <w:rFonts w:eastAsia="Times New Roman" w:cstheme="minorHAnsi"/>
                <w:color w:val="000000"/>
                <w:sz w:val="16"/>
                <w:szCs w:val="16"/>
                <w:lang w:eastAsia="hr-HR"/>
              </w:rPr>
            </w:pPr>
            <w:r w:rsidRPr="006F5FDB">
              <w:rPr>
                <w:rFonts w:eastAsia="Times New Roman" w:cstheme="minorHAnsi"/>
                <w:color w:val="000000"/>
                <w:sz w:val="16"/>
                <w:szCs w:val="16"/>
                <w:lang w:eastAsia="hr-HR"/>
              </w:rPr>
              <w:t>Plastika</w:t>
            </w:r>
          </w:p>
        </w:tc>
        <w:tc>
          <w:tcPr>
            <w:tcW w:w="2126" w:type="dxa"/>
            <w:shd w:val="clear" w:color="auto" w:fill="auto"/>
            <w:noWrap/>
            <w:vAlign w:val="center"/>
          </w:tcPr>
          <w:p w14:paraId="659B3628" w14:textId="1D9BEB1A" w:rsidR="00F533EC" w:rsidRPr="006F5FDB" w:rsidRDefault="00F533EC" w:rsidP="00CC41BC">
            <w:pPr>
              <w:spacing w:after="0" w:line="240" w:lineRule="auto"/>
              <w:jc w:val="center"/>
              <w:rPr>
                <w:rFonts w:eastAsia="Times New Roman" w:cstheme="minorHAnsi"/>
                <w:color w:val="000000"/>
                <w:sz w:val="16"/>
                <w:szCs w:val="16"/>
                <w:lang w:eastAsia="hr-HR"/>
              </w:rPr>
            </w:pPr>
            <w:r w:rsidRPr="006F5FDB">
              <w:rPr>
                <w:rFonts w:eastAsia="Times New Roman" w:cstheme="minorHAnsi"/>
                <w:color w:val="000000"/>
                <w:sz w:val="16"/>
                <w:szCs w:val="16"/>
                <w:lang w:eastAsia="hr-HR"/>
              </w:rPr>
              <w:t>173.536</w:t>
            </w:r>
          </w:p>
        </w:tc>
        <w:tc>
          <w:tcPr>
            <w:tcW w:w="2126" w:type="dxa"/>
            <w:vAlign w:val="center"/>
          </w:tcPr>
          <w:p w14:paraId="79051150" w14:textId="01970663" w:rsidR="00F533EC" w:rsidRPr="006F5FDB" w:rsidRDefault="00F533EC" w:rsidP="008310D9">
            <w:pPr>
              <w:spacing w:after="0" w:line="240" w:lineRule="auto"/>
              <w:jc w:val="right"/>
              <w:rPr>
                <w:rFonts w:eastAsia="Times New Roman" w:cstheme="minorHAnsi"/>
                <w:color w:val="000000"/>
                <w:sz w:val="16"/>
                <w:szCs w:val="16"/>
                <w:lang w:eastAsia="hr-HR"/>
              </w:rPr>
            </w:pPr>
            <w:r w:rsidRPr="006F5FDB">
              <w:rPr>
                <w:rFonts w:eastAsia="Times New Roman" w:cstheme="minorHAnsi"/>
                <w:color w:val="000000"/>
                <w:sz w:val="16"/>
                <w:szCs w:val="16"/>
                <w:lang w:eastAsia="hr-HR"/>
              </w:rPr>
              <w:t>2.603.041.170,00</w:t>
            </w:r>
          </w:p>
        </w:tc>
        <w:tc>
          <w:tcPr>
            <w:tcW w:w="2097" w:type="dxa"/>
          </w:tcPr>
          <w:p w14:paraId="698899C6" w14:textId="4485B4DA" w:rsidR="00F533EC" w:rsidRPr="006F5FDB" w:rsidRDefault="00F533EC" w:rsidP="008310D9">
            <w:pPr>
              <w:spacing w:after="0" w:line="240" w:lineRule="auto"/>
              <w:jc w:val="right"/>
              <w:rPr>
                <w:rFonts w:eastAsia="Times New Roman" w:cstheme="minorHAnsi"/>
                <w:color w:val="000000"/>
                <w:sz w:val="16"/>
                <w:szCs w:val="16"/>
                <w:lang w:eastAsia="hr-HR"/>
              </w:rPr>
            </w:pPr>
            <w:r>
              <w:rPr>
                <w:rFonts w:eastAsia="Times New Roman" w:cstheme="minorHAnsi"/>
                <w:color w:val="000000"/>
                <w:sz w:val="16"/>
                <w:szCs w:val="16"/>
                <w:lang w:eastAsia="hr-HR"/>
              </w:rPr>
              <w:t>345.482.934,50</w:t>
            </w:r>
          </w:p>
        </w:tc>
      </w:tr>
      <w:tr w:rsidR="00F533EC" w:rsidRPr="006F5FDB" w14:paraId="629D115F" w14:textId="38801E5E" w:rsidTr="00BB2706">
        <w:trPr>
          <w:trHeight w:val="300"/>
        </w:trPr>
        <w:tc>
          <w:tcPr>
            <w:tcW w:w="4815" w:type="dxa"/>
            <w:gridSpan w:val="2"/>
            <w:shd w:val="clear" w:color="auto" w:fill="auto"/>
            <w:noWrap/>
            <w:vAlign w:val="center"/>
          </w:tcPr>
          <w:p w14:paraId="24080463" w14:textId="3C916995" w:rsidR="00F533EC" w:rsidRPr="006F5FDB" w:rsidRDefault="00F533EC" w:rsidP="00BB6E69">
            <w:pPr>
              <w:spacing w:after="0" w:line="240" w:lineRule="auto"/>
              <w:jc w:val="left"/>
              <w:rPr>
                <w:rFonts w:eastAsia="Times New Roman" w:cstheme="minorHAnsi"/>
                <w:color w:val="000000"/>
                <w:sz w:val="16"/>
                <w:szCs w:val="16"/>
                <w:lang w:eastAsia="hr-HR"/>
              </w:rPr>
            </w:pPr>
            <w:r w:rsidRPr="006F5FDB">
              <w:rPr>
                <w:rFonts w:eastAsia="Times New Roman" w:cstheme="minorHAnsi"/>
                <w:b/>
                <w:bCs/>
                <w:color w:val="000000"/>
                <w:sz w:val="16"/>
                <w:szCs w:val="16"/>
                <w:lang w:eastAsia="hr-HR"/>
              </w:rPr>
              <w:t>Ukupno</w:t>
            </w:r>
          </w:p>
        </w:tc>
        <w:tc>
          <w:tcPr>
            <w:tcW w:w="2126" w:type="dxa"/>
            <w:vAlign w:val="center"/>
          </w:tcPr>
          <w:p w14:paraId="53E977AD" w14:textId="1A2128EB" w:rsidR="00F533EC" w:rsidRPr="006F5FDB" w:rsidRDefault="00F533EC" w:rsidP="008310D9">
            <w:pPr>
              <w:spacing w:after="0" w:line="240" w:lineRule="auto"/>
              <w:jc w:val="right"/>
              <w:rPr>
                <w:rFonts w:eastAsia="Times New Roman" w:cstheme="minorHAnsi"/>
                <w:b/>
                <w:bCs/>
                <w:color w:val="000000"/>
                <w:sz w:val="16"/>
                <w:szCs w:val="16"/>
                <w:lang w:eastAsia="hr-HR"/>
              </w:rPr>
            </w:pPr>
            <w:r w:rsidRPr="006F5FDB">
              <w:rPr>
                <w:rFonts w:eastAsia="Times New Roman" w:cstheme="minorHAnsi"/>
                <w:b/>
                <w:bCs/>
                <w:color w:val="000000"/>
                <w:sz w:val="16"/>
                <w:szCs w:val="16"/>
                <w:lang w:eastAsia="hr-HR"/>
              </w:rPr>
              <w:t>2.603.041.170,00</w:t>
            </w:r>
          </w:p>
        </w:tc>
        <w:tc>
          <w:tcPr>
            <w:tcW w:w="2097" w:type="dxa"/>
            <w:vAlign w:val="center"/>
          </w:tcPr>
          <w:p w14:paraId="2619C308" w14:textId="7D81AB22" w:rsidR="00F533EC" w:rsidRPr="00F533EC" w:rsidRDefault="00F533EC" w:rsidP="002460A5">
            <w:pPr>
              <w:spacing w:after="0" w:line="240" w:lineRule="auto"/>
              <w:jc w:val="right"/>
              <w:rPr>
                <w:rFonts w:eastAsia="Times New Roman" w:cstheme="minorHAnsi"/>
                <w:b/>
                <w:bCs/>
                <w:color w:val="000000"/>
                <w:sz w:val="16"/>
                <w:szCs w:val="16"/>
                <w:lang w:eastAsia="hr-HR"/>
              </w:rPr>
            </w:pPr>
            <w:r w:rsidRPr="00BB2706">
              <w:rPr>
                <w:rFonts w:eastAsia="Times New Roman" w:cstheme="minorHAnsi"/>
                <w:b/>
                <w:color w:val="000000"/>
                <w:sz w:val="16"/>
                <w:szCs w:val="16"/>
                <w:lang w:eastAsia="hr-HR"/>
              </w:rPr>
              <w:t>345.482.934,50</w:t>
            </w:r>
          </w:p>
        </w:tc>
      </w:tr>
    </w:tbl>
    <w:p w14:paraId="14CDFD26" w14:textId="77777777" w:rsidR="0088782C" w:rsidRDefault="0088782C" w:rsidP="0088782C"/>
    <w:p w14:paraId="0874A09A" w14:textId="3798B8D5" w:rsidR="00BB6E69" w:rsidRDefault="0088782C" w:rsidP="0088782C">
      <w:pPr>
        <w:pStyle w:val="Tablica"/>
        <w:rPr>
          <w:b w:val="0"/>
          <w:bCs/>
        </w:rPr>
      </w:pPr>
      <w:bookmarkStart w:id="290" w:name="_Toc125364451"/>
      <w:r>
        <w:t xml:space="preserve">Tablica </w:t>
      </w:r>
      <w:fldSimple w:instr=" SEQ Tablica \* ARABIC ">
        <w:r w:rsidR="00F37B62">
          <w:rPr>
            <w:noProof/>
          </w:rPr>
          <w:t>62</w:t>
        </w:r>
      </w:fldSimple>
      <w:r>
        <w:t xml:space="preserve">. </w:t>
      </w:r>
      <w:r w:rsidR="00924345">
        <w:rPr>
          <w:b w:val="0"/>
          <w:bCs/>
        </w:rPr>
        <w:t xml:space="preserve">Procjena potrebnih ulaganja u izgradnju postrojenja za </w:t>
      </w:r>
      <w:r w:rsidR="00730D8A">
        <w:rPr>
          <w:b w:val="0"/>
          <w:bCs/>
        </w:rPr>
        <w:t>recikliranje</w:t>
      </w:r>
      <w:r w:rsidR="00924345">
        <w:rPr>
          <w:b w:val="0"/>
          <w:bCs/>
        </w:rPr>
        <w:t xml:space="preserve"> </w:t>
      </w:r>
      <w:r w:rsidR="00BB6E69">
        <w:rPr>
          <w:b w:val="0"/>
          <w:bCs/>
        </w:rPr>
        <w:t>plastike</w:t>
      </w:r>
      <w:r w:rsidR="00B637AD">
        <w:rPr>
          <w:b w:val="0"/>
          <w:bCs/>
        </w:rPr>
        <w:t xml:space="preserve"> </w:t>
      </w:r>
      <w:r w:rsidR="00924345">
        <w:rPr>
          <w:b w:val="0"/>
          <w:bCs/>
        </w:rPr>
        <w:t xml:space="preserve">-  </w:t>
      </w:r>
      <w:r>
        <w:rPr>
          <w:b w:val="0"/>
          <w:bCs/>
        </w:rPr>
        <w:t xml:space="preserve">SCENARIJ </w:t>
      </w:r>
      <w:r w:rsidR="00BB6E69">
        <w:rPr>
          <w:b w:val="0"/>
          <w:bCs/>
        </w:rPr>
        <w:t>2</w:t>
      </w:r>
      <w:bookmarkEnd w:id="290"/>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26"/>
        <w:gridCol w:w="2126"/>
        <w:gridCol w:w="2097"/>
      </w:tblGrid>
      <w:tr w:rsidR="002460A5" w:rsidRPr="006F5FDB" w14:paraId="6F028E59" w14:textId="09010714" w:rsidTr="00BB2706">
        <w:trPr>
          <w:trHeight w:val="778"/>
          <w:tblHeader/>
        </w:trPr>
        <w:tc>
          <w:tcPr>
            <w:tcW w:w="2689" w:type="dxa"/>
            <w:shd w:val="clear" w:color="auto" w:fill="002060"/>
            <w:noWrap/>
            <w:vAlign w:val="center"/>
            <w:hideMark/>
          </w:tcPr>
          <w:p w14:paraId="7D41E698" w14:textId="77777777" w:rsidR="002460A5" w:rsidRPr="006F5FDB" w:rsidRDefault="002460A5" w:rsidP="00CC41BC">
            <w:pPr>
              <w:spacing w:after="0" w:line="240" w:lineRule="auto"/>
              <w:jc w:val="center"/>
              <w:rPr>
                <w:rFonts w:eastAsia="Times New Roman" w:cstheme="minorHAnsi"/>
                <w:b/>
                <w:bCs/>
                <w:color w:val="FFFFFF" w:themeColor="background1"/>
                <w:sz w:val="16"/>
                <w:szCs w:val="18"/>
                <w:lang w:eastAsia="hr-HR"/>
              </w:rPr>
            </w:pPr>
            <w:r w:rsidRPr="006F5FDB">
              <w:rPr>
                <w:rFonts w:eastAsia="Times New Roman" w:cstheme="minorHAnsi"/>
                <w:b/>
                <w:bCs/>
                <w:color w:val="FFFFFF" w:themeColor="background1"/>
                <w:sz w:val="16"/>
                <w:szCs w:val="18"/>
                <w:lang w:eastAsia="hr-HR"/>
              </w:rPr>
              <w:t>Vrsta otpada</w:t>
            </w:r>
          </w:p>
        </w:tc>
        <w:tc>
          <w:tcPr>
            <w:tcW w:w="2126" w:type="dxa"/>
            <w:shd w:val="clear" w:color="auto" w:fill="002060"/>
            <w:vAlign w:val="center"/>
            <w:hideMark/>
          </w:tcPr>
          <w:p w14:paraId="64384D54" w14:textId="77777777" w:rsidR="002460A5" w:rsidRPr="006F5FDB" w:rsidRDefault="002460A5" w:rsidP="00CC41BC">
            <w:pPr>
              <w:spacing w:after="0" w:line="240" w:lineRule="auto"/>
              <w:jc w:val="center"/>
              <w:rPr>
                <w:rFonts w:eastAsia="Times New Roman" w:cstheme="minorHAnsi"/>
                <w:b/>
                <w:bCs/>
                <w:color w:val="FFFFFF" w:themeColor="background1"/>
                <w:sz w:val="16"/>
                <w:szCs w:val="18"/>
                <w:lang w:eastAsia="hr-HR"/>
              </w:rPr>
            </w:pPr>
            <w:r w:rsidRPr="006F5FDB">
              <w:rPr>
                <w:rFonts w:eastAsia="Times New Roman" w:cstheme="minorHAnsi"/>
                <w:b/>
                <w:bCs/>
                <w:color w:val="FFFFFF" w:themeColor="background1"/>
                <w:sz w:val="16"/>
                <w:szCs w:val="18"/>
                <w:lang w:eastAsia="hr-HR"/>
              </w:rPr>
              <w:t>Potrebni dodatni kapacitet (t/god)</w:t>
            </w:r>
          </w:p>
        </w:tc>
        <w:tc>
          <w:tcPr>
            <w:tcW w:w="2126" w:type="dxa"/>
            <w:shd w:val="clear" w:color="auto" w:fill="002060"/>
            <w:vAlign w:val="center"/>
          </w:tcPr>
          <w:p w14:paraId="5EFB6FF2" w14:textId="70A2F609" w:rsidR="002460A5" w:rsidRPr="006F5FDB" w:rsidRDefault="002460A5" w:rsidP="00CC41BC">
            <w:pPr>
              <w:spacing w:after="0" w:line="240" w:lineRule="auto"/>
              <w:jc w:val="center"/>
              <w:rPr>
                <w:rFonts w:eastAsia="Times New Roman" w:cstheme="minorHAnsi"/>
                <w:b/>
                <w:bCs/>
                <w:color w:val="FFFFFF" w:themeColor="background1"/>
                <w:sz w:val="16"/>
                <w:szCs w:val="18"/>
                <w:lang w:eastAsia="hr-HR"/>
              </w:rPr>
            </w:pPr>
            <w:r w:rsidRPr="006F5FDB">
              <w:rPr>
                <w:rFonts w:ascii="Calibri" w:eastAsia="Times New Roman" w:hAnsi="Calibri" w:cs="Calibri"/>
                <w:b/>
                <w:bCs/>
                <w:color w:val="FFFFFF" w:themeColor="background1"/>
                <w:sz w:val="16"/>
                <w:szCs w:val="18"/>
                <w:lang w:eastAsia="hr-HR"/>
              </w:rPr>
              <w:t xml:space="preserve">Procjena troškova izgradnje postrojenja za obradu otpada </w:t>
            </w:r>
            <w:r>
              <w:rPr>
                <w:rFonts w:ascii="Calibri" w:eastAsia="Times New Roman" w:hAnsi="Calibri" w:cs="Calibri"/>
                <w:b/>
                <w:bCs/>
                <w:color w:val="FFFFFF" w:themeColor="background1"/>
                <w:sz w:val="16"/>
                <w:szCs w:val="18"/>
                <w:lang w:eastAsia="hr-HR"/>
              </w:rPr>
              <w:br/>
            </w:r>
            <w:r w:rsidRPr="006F5FDB">
              <w:rPr>
                <w:rFonts w:ascii="Calibri" w:eastAsia="Times New Roman" w:hAnsi="Calibri" w:cs="Calibri"/>
                <w:b/>
                <w:bCs/>
                <w:color w:val="FFFFFF" w:themeColor="background1"/>
                <w:sz w:val="16"/>
                <w:szCs w:val="18"/>
                <w:lang w:eastAsia="hr-HR"/>
              </w:rPr>
              <w:t>(kn)</w:t>
            </w:r>
          </w:p>
        </w:tc>
        <w:tc>
          <w:tcPr>
            <w:tcW w:w="2097" w:type="dxa"/>
            <w:shd w:val="clear" w:color="auto" w:fill="002060"/>
          </w:tcPr>
          <w:p w14:paraId="0779447D" w14:textId="02EAE55B" w:rsidR="002460A5" w:rsidRPr="006F5FDB" w:rsidRDefault="002460A5" w:rsidP="00CC41BC">
            <w:pPr>
              <w:spacing w:after="0" w:line="240" w:lineRule="auto"/>
              <w:jc w:val="center"/>
              <w:rPr>
                <w:rFonts w:ascii="Calibri" w:eastAsia="Times New Roman" w:hAnsi="Calibri" w:cs="Calibri"/>
                <w:b/>
                <w:bCs/>
                <w:color w:val="FFFFFF" w:themeColor="background1"/>
                <w:sz w:val="16"/>
                <w:szCs w:val="18"/>
                <w:lang w:eastAsia="hr-HR"/>
              </w:rPr>
            </w:pPr>
            <w:r w:rsidRPr="006F5FDB">
              <w:rPr>
                <w:rFonts w:ascii="Calibri" w:eastAsia="Times New Roman" w:hAnsi="Calibri" w:cs="Calibri"/>
                <w:b/>
                <w:bCs/>
                <w:color w:val="FFFFFF" w:themeColor="background1"/>
                <w:sz w:val="16"/>
                <w:szCs w:val="18"/>
                <w:lang w:eastAsia="hr-HR"/>
              </w:rPr>
              <w:t xml:space="preserve">Procjena troškova izgradnje postrojenja za obradu otpada </w:t>
            </w:r>
            <w:r>
              <w:rPr>
                <w:rFonts w:ascii="Calibri" w:eastAsia="Times New Roman" w:hAnsi="Calibri" w:cs="Calibri"/>
                <w:b/>
                <w:bCs/>
                <w:color w:val="FFFFFF" w:themeColor="background1"/>
                <w:sz w:val="16"/>
                <w:szCs w:val="18"/>
                <w:lang w:eastAsia="hr-HR"/>
              </w:rPr>
              <w:br/>
              <w:t>(EUR</w:t>
            </w:r>
            <w:r w:rsidRPr="006F5FDB">
              <w:rPr>
                <w:rFonts w:ascii="Calibri" w:eastAsia="Times New Roman" w:hAnsi="Calibri" w:cs="Calibri"/>
                <w:b/>
                <w:bCs/>
                <w:color w:val="FFFFFF" w:themeColor="background1"/>
                <w:sz w:val="16"/>
                <w:szCs w:val="18"/>
                <w:lang w:eastAsia="hr-HR"/>
              </w:rPr>
              <w:t>)</w:t>
            </w:r>
          </w:p>
        </w:tc>
      </w:tr>
      <w:tr w:rsidR="002460A5" w:rsidRPr="006F5FDB" w14:paraId="75C2BBE8" w14:textId="5245280E" w:rsidTr="00BB2706">
        <w:trPr>
          <w:trHeight w:val="255"/>
        </w:trPr>
        <w:tc>
          <w:tcPr>
            <w:tcW w:w="2689" w:type="dxa"/>
            <w:shd w:val="clear" w:color="auto" w:fill="auto"/>
            <w:noWrap/>
            <w:vAlign w:val="center"/>
          </w:tcPr>
          <w:p w14:paraId="501BDAB3" w14:textId="77777777" w:rsidR="002460A5" w:rsidRPr="006F5FDB" w:rsidRDefault="002460A5" w:rsidP="003040D5">
            <w:pPr>
              <w:spacing w:after="0" w:line="240" w:lineRule="auto"/>
              <w:jc w:val="left"/>
              <w:rPr>
                <w:rFonts w:eastAsia="Times New Roman" w:cstheme="minorHAnsi"/>
                <w:color w:val="000000"/>
                <w:sz w:val="16"/>
                <w:szCs w:val="18"/>
                <w:lang w:eastAsia="hr-HR"/>
              </w:rPr>
            </w:pPr>
            <w:r w:rsidRPr="006F5FDB">
              <w:rPr>
                <w:rFonts w:eastAsia="Times New Roman" w:cstheme="minorHAnsi"/>
                <w:color w:val="000000"/>
                <w:sz w:val="16"/>
                <w:szCs w:val="18"/>
                <w:lang w:eastAsia="hr-HR"/>
              </w:rPr>
              <w:t>Plastika</w:t>
            </w:r>
          </w:p>
        </w:tc>
        <w:tc>
          <w:tcPr>
            <w:tcW w:w="2126" w:type="dxa"/>
            <w:shd w:val="clear" w:color="auto" w:fill="auto"/>
            <w:noWrap/>
            <w:vAlign w:val="center"/>
          </w:tcPr>
          <w:p w14:paraId="57A1F44B" w14:textId="360D1C19" w:rsidR="002460A5" w:rsidRPr="006F5FDB" w:rsidRDefault="002460A5" w:rsidP="003040D5">
            <w:pPr>
              <w:spacing w:after="0" w:line="240" w:lineRule="auto"/>
              <w:jc w:val="center"/>
              <w:rPr>
                <w:rFonts w:eastAsia="Times New Roman" w:cstheme="minorHAnsi"/>
                <w:color w:val="000000"/>
                <w:sz w:val="16"/>
                <w:szCs w:val="18"/>
                <w:lang w:eastAsia="hr-HR"/>
              </w:rPr>
            </w:pPr>
            <w:r w:rsidRPr="006F5FDB">
              <w:rPr>
                <w:rFonts w:eastAsia="Times New Roman" w:cstheme="minorHAnsi"/>
                <w:color w:val="000000"/>
                <w:sz w:val="16"/>
                <w:szCs w:val="18"/>
                <w:lang w:eastAsia="hr-HR"/>
              </w:rPr>
              <w:t>149.269</w:t>
            </w:r>
          </w:p>
        </w:tc>
        <w:tc>
          <w:tcPr>
            <w:tcW w:w="2126" w:type="dxa"/>
            <w:vAlign w:val="center"/>
          </w:tcPr>
          <w:p w14:paraId="7B25D754" w14:textId="5336D264" w:rsidR="002460A5" w:rsidRPr="006F5FDB" w:rsidRDefault="002460A5" w:rsidP="003040D5">
            <w:pPr>
              <w:spacing w:after="0" w:line="240" w:lineRule="auto"/>
              <w:jc w:val="right"/>
              <w:rPr>
                <w:rFonts w:eastAsia="Times New Roman" w:cstheme="minorHAnsi"/>
                <w:color w:val="000000"/>
                <w:sz w:val="16"/>
                <w:szCs w:val="18"/>
                <w:lang w:eastAsia="hr-HR"/>
              </w:rPr>
            </w:pPr>
            <w:r w:rsidRPr="006F5FDB">
              <w:rPr>
                <w:rFonts w:eastAsia="Times New Roman" w:cstheme="minorHAnsi"/>
                <w:color w:val="000000"/>
                <w:sz w:val="16"/>
                <w:szCs w:val="18"/>
                <w:lang w:eastAsia="hr-HR"/>
              </w:rPr>
              <w:t>2.239.035.990,00</w:t>
            </w:r>
          </w:p>
        </w:tc>
        <w:tc>
          <w:tcPr>
            <w:tcW w:w="2097" w:type="dxa"/>
          </w:tcPr>
          <w:p w14:paraId="421E8737" w14:textId="086D7302" w:rsidR="002460A5" w:rsidRPr="006F5FDB" w:rsidRDefault="002460A5" w:rsidP="003040D5">
            <w:pPr>
              <w:spacing w:after="0" w:line="240" w:lineRule="auto"/>
              <w:jc w:val="right"/>
              <w:rPr>
                <w:rFonts w:eastAsia="Times New Roman" w:cstheme="minorHAnsi"/>
                <w:color w:val="000000"/>
                <w:sz w:val="16"/>
                <w:szCs w:val="18"/>
                <w:lang w:eastAsia="hr-HR"/>
              </w:rPr>
            </w:pPr>
            <w:r>
              <w:rPr>
                <w:rFonts w:eastAsia="Times New Roman" w:cstheme="minorHAnsi"/>
                <w:color w:val="000000"/>
                <w:sz w:val="16"/>
                <w:szCs w:val="18"/>
                <w:lang w:eastAsia="hr-HR"/>
              </w:rPr>
              <w:t>297.171.144,70</w:t>
            </w:r>
          </w:p>
        </w:tc>
      </w:tr>
      <w:tr w:rsidR="002460A5" w:rsidRPr="002460A5" w14:paraId="0DD90003" w14:textId="28361290" w:rsidTr="00BB2706">
        <w:trPr>
          <w:trHeight w:val="300"/>
        </w:trPr>
        <w:tc>
          <w:tcPr>
            <w:tcW w:w="4815" w:type="dxa"/>
            <w:gridSpan w:val="2"/>
            <w:shd w:val="clear" w:color="auto" w:fill="auto"/>
            <w:noWrap/>
            <w:vAlign w:val="center"/>
          </w:tcPr>
          <w:p w14:paraId="1CCDA5E7" w14:textId="77777777" w:rsidR="002460A5" w:rsidRPr="006F5FDB" w:rsidRDefault="002460A5" w:rsidP="00CC41BC">
            <w:pPr>
              <w:spacing w:after="0" w:line="240" w:lineRule="auto"/>
              <w:jc w:val="left"/>
              <w:rPr>
                <w:rFonts w:eastAsia="Times New Roman" w:cstheme="minorHAnsi"/>
                <w:color w:val="000000"/>
                <w:sz w:val="16"/>
                <w:szCs w:val="18"/>
                <w:lang w:eastAsia="hr-HR"/>
              </w:rPr>
            </w:pPr>
            <w:r w:rsidRPr="006F5FDB">
              <w:rPr>
                <w:rFonts w:eastAsia="Times New Roman" w:cstheme="minorHAnsi"/>
                <w:b/>
                <w:bCs/>
                <w:color w:val="000000"/>
                <w:sz w:val="16"/>
                <w:szCs w:val="18"/>
                <w:lang w:eastAsia="hr-HR"/>
              </w:rPr>
              <w:t>Ukupno</w:t>
            </w:r>
          </w:p>
        </w:tc>
        <w:tc>
          <w:tcPr>
            <w:tcW w:w="2126" w:type="dxa"/>
            <w:vAlign w:val="center"/>
          </w:tcPr>
          <w:p w14:paraId="18624AB7" w14:textId="4D32E0C3" w:rsidR="002460A5" w:rsidRPr="006F5FDB" w:rsidRDefault="002460A5" w:rsidP="00B25FB3">
            <w:pPr>
              <w:spacing w:after="0" w:line="240" w:lineRule="auto"/>
              <w:jc w:val="right"/>
              <w:rPr>
                <w:rFonts w:eastAsia="Times New Roman" w:cstheme="minorHAnsi"/>
                <w:b/>
                <w:bCs/>
                <w:color w:val="000000"/>
                <w:sz w:val="16"/>
                <w:szCs w:val="18"/>
                <w:lang w:eastAsia="hr-HR"/>
              </w:rPr>
            </w:pPr>
            <w:r w:rsidRPr="006F5FDB">
              <w:rPr>
                <w:rFonts w:eastAsia="Times New Roman" w:cstheme="minorHAnsi"/>
                <w:b/>
                <w:bCs/>
                <w:color w:val="000000"/>
                <w:sz w:val="16"/>
                <w:szCs w:val="18"/>
                <w:lang w:eastAsia="hr-HR"/>
              </w:rPr>
              <w:t>2.239.035.990,00</w:t>
            </w:r>
          </w:p>
        </w:tc>
        <w:tc>
          <w:tcPr>
            <w:tcW w:w="2097" w:type="dxa"/>
            <w:vAlign w:val="center"/>
          </w:tcPr>
          <w:p w14:paraId="3D72E006" w14:textId="2FE32E01" w:rsidR="002460A5" w:rsidRPr="002460A5" w:rsidRDefault="002460A5" w:rsidP="002460A5">
            <w:pPr>
              <w:spacing w:after="0" w:line="240" w:lineRule="auto"/>
              <w:jc w:val="right"/>
              <w:rPr>
                <w:rFonts w:eastAsia="Times New Roman" w:cstheme="minorHAnsi"/>
                <w:b/>
                <w:bCs/>
                <w:color w:val="000000"/>
                <w:sz w:val="16"/>
                <w:szCs w:val="18"/>
                <w:lang w:eastAsia="hr-HR"/>
              </w:rPr>
            </w:pPr>
            <w:r w:rsidRPr="00BB2706">
              <w:rPr>
                <w:rFonts w:eastAsia="Times New Roman" w:cstheme="minorHAnsi"/>
                <w:b/>
                <w:color w:val="000000"/>
                <w:sz w:val="16"/>
                <w:szCs w:val="18"/>
                <w:lang w:eastAsia="hr-HR"/>
              </w:rPr>
              <w:t>297.171.144,70</w:t>
            </w:r>
          </w:p>
        </w:tc>
      </w:tr>
    </w:tbl>
    <w:p w14:paraId="4362193F" w14:textId="7432A202" w:rsidR="0088782C" w:rsidRPr="00C259A4" w:rsidRDefault="001D493F" w:rsidP="0018450E">
      <w:pPr>
        <w:pStyle w:val="IRNaslov2"/>
        <w:pageBreakBefore/>
        <w:numPr>
          <w:ilvl w:val="1"/>
          <w:numId w:val="22"/>
        </w:numPr>
        <w:ind w:left="709"/>
      </w:pPr>
      <w:bookmarkStart w:id="291" w:name="_Toc123211675"/>
      <w:r>
        <w:lastRenderedPageBreak/>
        <w:t>P</w:t>
      </w:r>
      <w:r w:rsidR="00E733DD" w:rsidRPr="00C259A4">
        <w:t>rocjena troškova zatvaranja aktivnih odlagališta otpada</w:t>
      </w:r>
      <w:bookmarkEnd w:id="291"/>
    </w:p>
    <w:p w14:paraId="49C7D291" w14:textId="75FF8E6E" w:rsidR="0088782C" w:rsidRDefault="0088782C" w:rsidP="0088782C">
      <w:r>
        <w:t xml:space="preserve">Preliminarna procjena troškova zatvaranja svih aktivnih odlagališta neopasnog otpada je prikazana u </w:t>
      </w:r>
      <w:r>
        <w:fldChar w:fldCharType="begin"/>
      </w:r>
      <w:r>
        <w:instrText xml:space="preserve"> REF _Ref116297445 \h </w:instrText>
      </w:r>
      <w:r>
        <w:fldChar w:fldCharType="separate"/>
      </w:r>
      <w:r w:rsidR="00F37B62" w:rsidRPr="00F2472E">
        <w:t xml:space="preserve">Tablica </w:t>
      </w:r>
      <w:r w:rsidR="00F37B62">
        <w:rPr>
          <w:noProof/>
        </w:rPr>
        <w:t>63</w:t>
      </w:r>
      <w:r>
        <w:fldChar w:fldCharType="end"/>
      </w:r>
      <w:r>
        <w:t>. a zasniva se na prijavljenoj površini odlagališta. Naime, glavnina troška zatvaranja odlagališta proizlazi iz aktivnosti na prekrivanju odloženog otpada završnim prekrivnim sustavom uključujući sustav otplinjavanja</w:t>
      </w:r>
      <w:r w:rsidR="00E875EC">
        <w:t xml:space="preserve"> i sustav prikupljanja i obrade </w:t>
      </w:r>
      <w:proofErr w:type="spellStart"/>
      <w:r w:rsidR="00E875EC">
        <w:t>procjednih</w:t>
      </w:r>
      <w:proofErr w:type="spellEnd"/>
      <w:r w:rsidR="00E875EC">
        <w:t xml:space="preserve"> voda (ukoliko je primjenjivo)</w:t>
      </w:r>
      <w:r>
        <w:t xml:space="preserve">. Prosječna cijena izgradnje završnog prekrivnog sustava u proteklom razdoblju (na osnovu cijena ponuđenih u provedenim postupcima javne nabave) iznosila je oko </w:t>
      </w:r>
      <w:r w:rsidR="002460A5">
        <w:t>39,82 EUR/</w:t>
      </w:r>
      <w:r w:rsidR="002460A5" w:rsidRPr="002460A5">
        <w:t xml:space="preserve"> </w:t>
      </w:r>
      <w:r w:rsidR="002460A5">
        <w:t>m</w:t>
      </w:r>
      <w:r w:rsidR="002460A5" w:rsidRPr="00640659">
        <w:rPr>
          <w:vertAlign w:val="superscript"/>
        </w:rPr>
        <w:t>2</w:t>
      </w:r>
      <w:r w:rsidR="002460A5">
        <w:t xml:space="preserve"> (</w:t>
      </w:r>
      <w:r>
        <w:t>300 kn/m</w:t>
      </w:r>
      <w:r w:rsidRPr="00640659">
        <w:rPr>
          <w:vertAlign w:val="superscript"/>
        </w:rPr>
        <w:t>2</w:t>
      </w:r>
      <w:r>
        <w:t xml:space="preserve"> </w:t>
      </w:r>
      <w:r w:rsidR="002460A5">
        <w:t xml:space="preserve">) </w:t>
      </w:r>
      <w:r>
        <w:t>te će se ista koristiti za procjenu kapitalnih troškova zatvaranja odlagališta neopasnog otpada.</w:t>
      </w:r>
    </w:p>
    <w:p w14:paraId="11E5D4C7" w14:textId="77777777" w:rsidR="0088782C" w:rsidRDefault="0088782C" w:rsidP="0088782C">
      <w:r w:rsidRPr="00CC17B3">
        <w:rPr>
          <w:highlight w:val="yellow"/>
        </w:rPr>
        <w:t>Krajem 2021. na području RH je bilo aktivno ukupno 80 odlagališta (od čega se 2 nalaze u sklopu izgrađenih CGO-a i koja nastavljaju s radom i čije površine nisu uzete u obzir kod procjene troškova zatvaranja) a koja će u narednom periodu, do kraja 2028., prestati s radom</w:t>
      </w:r>
      <w:r>
        <w:t>.</w:t>
      </w:r>
    </w:p>
    <w:p w14:paraId="07128AC2" w14:textId="2C3B47D5" w:rsidR="0088782C" w:rsidRDefault="0088782C" w:rsidP="00E25425">
      <w:pPr>
        <w:pStyle w:val="Tablica"/>
      </w:pPr>
      <w:bookmarkStart w:id="292" w:name="_Ref116297445"/>
      <w:bookmarkStart w:id="293" w:name="_Toc125364452"/>
      <w:r w:rsidRPr="00F2472E">
        <w:t xml:space="preserve">Tablica </w:t>
      </w:r>
      <w:fldSimple w:instr=" SEQ Tablica \* ARABIC ">
        <w:r w:rsidR="00F37B62">
          <w:rPr>
            <w:noProof/>
          </w:rPr>
          <w:t>63</w:t>
        </w:r>
      </w:fldSimple>
      <w:bookmarkEnd w:id="292"/>
      <w:r w:rsidRPr="00F2472E">
        <w:t xml:space="preserve">. </w:t>
      </w:r>
      <w:r w:rsidRPr="00122AD2">
        <w:rPr>
          <w:b w:val="0"/>
          <w:bCs/>
        </w:rPr>
        <w:t>Procjena troškova zatvaranja svih aktivnih odlagališta neopasnog otpada</w:t>
      </w:r>
      <w:bookmarkEnd w:id="293"/>
    </w:p>
    <w:tbl>
      <w:tblPr>
        <w:tblW w:w="9028" w:type="dxa"/>
        <w:tblLook w:val="04A0" w:firstRow="1" w:lastRow="0" w:firstColumn="1" w:lastColumn="0" w:noHBand="0" w:noVBand="1"/>
      </w:tblPr>
      <w:tblGrid>
        <w:gridCol w:w="1900"/>
        <w:gridCol w:w="1918"/>
        <w:gridCol w:w="1417"/>
        <w:gridCol w:w="1843"/>
        <w:gridCol w:w="1950"/>
      </w:tblGrid>
      <w:tr w:rsidR="002460A5" w:rsidRPr="006F5FDB" w14:paraId="2DB8E56D" w14:textId="16DAE31C" w:rsidTr="00BB2706">
        <w:trPr>
          <w:trHeight w:val="170"/>
        </w:trPr>
        <w:tc>
          <w:tcPr>
            <w:tcW w:w="1900" w:type="dxa"/>
            <w:tcBorders>
              <w:top w:val="single" w:sz="8" w:space="0" w:color="auto"/>
              <w:left w:val="single" w:sz="8" w:space="0" w:color="auto"/>
              <w:bottom w:val="single" w:sz="4" w:space="0" w:color="auto"/>
              <w:right w:val="single" w:sz="4" w:space="0" w:color="auto"/>
            </w:tcBorders>
            <w:shd w:val="clear" w:color="auto" w:fill="002060"/>
            <w:noWrap/>
            <w:vAlign w:val="center"/>
            <w:hideMark/>
          </w:tcPr>
          <w:p w14:paraId="30CEA38F" w14:textId="77777777" w:rsidR="002460A5" w:rsidRPr="006F5FDB" w:rsidRDefault="002460A5" w:rsidP="00A41D37">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Županija</w:t>
            </w:r>
          </w:p>
        </w:tc>
        <w:tc>
          <w:tcPr>
            <w:tcW w:w="1918" w:type="dxa"/>
            <w:tcBorders>
              <w:top w:val="single" w:sz="8" w:space="0" w:color="auto"/>
              <w:left w:val="nil"/>
              <w:bottom w:val="single" w:sz="4" w:space="0" w:color="auto"/>
              <w:right w:val="single" w:sz="4" w:space="0" w:color="auto"/>
            </w:tcBorders>
            <w:shd w:val="clear" w:color="auto" w:fill="002060"/>
            <w:vAlign w:val="center"/>
            <w:hideMark/>
          </w:tcPr>
          <w:p w14:paraId="02657640" w14:textId="77777777" w:rsidR="002460A5" w:rsidRPr="006F5FDB" w:rsidRDefault="002460A5" w:rsidP="00A41D37">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Broj aktivnih odlagališta KO</w:t>
            </w:r>
          </w:p>
        </w:tc>
        <w:tc>
          <w:tcPr>
            <w:tcW w:w="1417" w:type="dxa"/>
            <w:tcBorders>
              <w:top w:val="single" w:sz="8" w:space="0" w:color="auto"/>
              <w:left w:val="nil"/>
              <w:bottom w:val="single" w:sz="4" w:space="0" w:color="auto"/>
              <w:right w:val="single" w:sz="4" w:space="0" w:color="auto"/>
            </w:tcBorders>
            <w:shd w:val="clear" w:color="auto" w:fill="002060"/>
            <w:vAlign w:val="center"/>
            <w:hideMark/>
          </w:tcPr>
          <w:p w14:paraId="09762BCD" w14:textId="77777777" w:rsidR="002460A5" w:rsidRPr="006F5FDB" w:rsidRDefault="002460A5" w:rsidP="00A41D37">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Ukupna površina (m</w:t>
            </w:r>
            <w:r w:rsidRPr="006F5FDB">
              <w:rPr>
                <w:rFonts w:ascii="Calibri" w:eastAsia="Times New Roman" w:hAnsi="Calibri" w:cs="Calibri"/>
                <w:b/>
                <w:color w:val="FFFFFF" w:themeColor="background1"/>
                <w:sz w:val="16"/>
                <w:szCs w:val="16"/>
                <w:vertAlign w:val="superscript"/>
                <w:lang w:eastAsia="hr-HR"/>
              </w:rPr>
              <w:t>2</w:t>
            </w:r>
            <w:r w:rsidRPr="006F5FDB">
              <w:rPr>
                <w:rFonts w:ascii="Calibri" w:eastAsia="Times New Roman" w:hAnsi="Calibri" w:cs="Calibri"/>
                <w:b/>
                <w:color w:val="FFFFFF" w:themeColor="background1"/>
                <w:sz w:val="16"/>
                <w:szCs w:val="16"/>
                <w:lang w:eastAsia="hr-HR"/>
              </w:rPr>
              <w:t>)</w:t>
            </w:r>
          </w:p>
        </w:tc>
        <w:tc>
          <w:tcPr>
            <w:tcW w:w="1843" w:type="dxa"/>
            <w:tcBorders>
              <w:top w:val="single" w:sz="8" w:space="0" w:color="auto"/>
              <w:left w:val="nil"/>
              <w:bottom w:val="single" w:sz="4" w:space="0" w:color="auto"/>
              <w:right w:val="single" w:sz="8" w:space="0" w:color="auto"/>
            </w:tcBorders>
            <w:shd w:val="clear" w:color="auto" w:fill="002060"/>
            <w:vAlign w:val="center"/>
            <w:hideMark/>
          </w:tcPr>
          <w:p w14:paraId="157B13F2" w14:textId="77777777" w:rsidR="002460A5" w:rsidRPr="006F5FDB" w:rsidRDefault="002460A5" w:rsidP="00A41D37">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Procjena troškova sanacije</w:t>
            </w:r>
            <w:r w:rsidRPr="006F5FDB">
              <w:rPr>
                <w:rFonts w:ascii="Calibri" w:eastAsia="Times New Roman" w:hAnsi="Calibri" w:cs="Calibri"/>
                <w:b/>
                <w:color w:val="FFFFFF" w:themeColor="background1"/>
                <w:sz w:val="16"/>
                <w:szCs w:val="16"/>
                <w:lang w:eastAsia="hr-HR"/>
              </w:rPr>
              <w:br/>
              <w:t>(kn)</w:t>
            </w:r>
          </w:p>
        </w:tc>
        <w:tc>
          <w:tcPr>
            <w:tcW w:w="1950" w:type="dxa"/>
            <w:tcBorders>
              <w:top w:val="single" w:sz="8" w:space="0" w:color="auto"/>
              <w:left w:val="nil"/>
              <w:bottom w:val="single" w:sz="4" w:space="0" w:color="auto"/>
              <w:right w:val="single" w:sz="8" w:space="0" w:color="auto"/>
            </w:tcBorders>
            <w:shd w:val="clear" w:color="auto" w:fill="002060"/>
          </w:tcPr>
          <w:p w14:paraId="664755AD" w14:textId="10D4A733" w:rsidR="002460A5" w:rsidRPr="006F5FDB" w:rsidRDefault="002460A5" w:rsidP="00A41D37">
            <w:pPr>
              <w:spacing w:after="0" w:line="240" w:lineRule="auto"/>
              <w:jc w:val="center"/>
              <w:rPr>
                <w:rFonts w:ascii="Calibri" w:eastAsia="Times New Roman" w:hAnsi="Calibri" w:cs="Calibri"/>
                <w:b/>
                <w:color w:val="FFFFFF" w:themeColor="background1"/>
                <w:sz w:val="16"/>
                <w:szCs w:val="16"/>
                <w:lang w:eastAsia="hr-HR"/>
              </w:rPr>
            </w:pPr>
            <w:r>
              <w:rPr>
                <w:rFonts w:ascii="Calibri" w:eastAsia="Times New Roman" w:hAnsi="Calibri" w:cs="Calibri"/>
                <w:b/>
                <w:color w:val="FFFFFF" w:themeColor="background1"/>
                <w:sz w:val="16"/>
                <w:szCs w:val="16"/>
                <w:lang w:eastAsia="hr-HR"/>
              </w:rPr>
              <w:t>Procjena troškova sanacije</w:t>
            </w:r>
            <w:r>
              <w:rPr>
                <w:rFonts w:ascii="Calibri" w:eastAsia="Times New Roman" w:hAnsi="Calibri" w:cs="Calibri"/>
                <w:b/>
                <w:color w:val="FFFFFF" w:themeColor="background1"/>
                <w:sz w:val="16"/>
                <w:szCs w:val="16"/>
                <w:lang w:eastAsia="hr-HR"/>
              </w:rPr>
              <w:br/>
              <w:t>(EUR</w:t>
            </w:r>
            <w:r w:rsidRPr="006F5FDB">
              <w:rPr>
                <w:rFonts w:ascii="Calibri" w:eastAsia="Times New Roman" w:hAnsi="Calibri" w:cs="Calibri"/>
                <w:b/>
                <w:color w:val="FFFFFF" w:themeColor="background1"/>
                <w:sz w:val="16"/>
                <w:szCs w:val="16"/>
                <w:lang w:eastAsia="hr-HR"/>
              </w:rPr>
              <w:t>)</w:t>
            </w:r>
          </w:p>
        </w:tc>
      </w:tr>
      <w:tr w:rsidR="002460A5" w:rsidRPr="006F5FDB" w14:paraId="4E1F2B58" w14:textId="59AECA01"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9464BDF"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Bjelovarsko-bilogorska</w:t>
            </w:r>
          </w:p>
        </w:tc>
        <w:tc>
          <w:tcPr>
            <w:tcW w:w="1918" w:type="dxa"/>
            <w:tcBorders>
              <w:top w:val="nil"/>
              <w:left w:val="nil"/>
              <w:bottom w:val="single" w:sz="4" w:space="0" w:color="auto"/>
              <w:right w:val="single" w:sz="4" w:space="0" w:color="auto"/>
            </w:tcBorders>
            <w:shd w:val="clear" w:color="auto" w:fill="auto"/>
            <w:noWrap/>
            <w:vAlign w:val="bottom"/>
            <w:hideMark/>
          </w:tcPr>
          <w:p w14:paraId="08D96DDD"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w:t>
            </w:r>
          </w:p>
        </w:tc>
        <w:tc>
          <w:tcPr>
            <w:tcW w:w="1417" w:type="dxa"/>
            <w:tcBorders>
              <w:top w:val="nil"/>
              <w:left w:val="nil"/>
              <w:bottom w:val="single" w:sz="4" w:space="0" w:color="auto"/>
              <w:right w:val="single" w:sz="4" w:space="0" w:color="auto"/>
            </w:tcBorders>
            <w:shd w:val="clear" w:color="auto" w:fill="auto"/>
            <w:noWrap/>
            <w:vAlign w:val="bottom"/>
            <w:hideMark/>
          </w:tcPr>
          <w:p w14:paraId="185869D4"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214.925</w:t>
            </w:r>
          </w:p>
        </w:tc>
        <w:tc>
          <w:tcPr>
            <w:tcW w:w="1843" w:type="dxa"/>
            <w:tcBorders>
              <w:top w:val="nil"/>
              <w:left w:val="nil"/>
              <w:bottom w:val="single" w:sz="4" w:space="0" w:color="auto"/>
              <w:right w:val="single" w:sz="8" w:space="0" w:color="auto"/>
            </w:tcBorders>
            <w:shd w:val="clear" w:color="auto" w:fill="auto"/>
            <w:noWrap/>
            <w:vAlign w:val="bottom"/>
            <w:hideMark/>
          </w:tcPr>
          <w:p w14:paraId="12E09E22"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64.477.500,00   </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bottom"/>
          </w:tcPr>
          <w:p w14:paraId="21886161" w14:textId="66936198"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8.557.634,88</w:t>
            </w:r>
          </w:p>
        </w:tc>
      </w:tr>
      <w:tr w:rsidR="002460A5" w:rsidRPr="006F5FDB" w14:paraId="12B902C4" w14:textId="080C97FD"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CCEBEE0"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Brodsko-posavska</w:t>
            </w:r>
          </w:p>
        </w:tc>
        <w:tc>
          <w:tcPr>
            <w:tcW w:w="1918" w:type="dxa"/>
            <w:tcBorders>
              <w:top w:val="nil"/>
              <w:left w:val="nil"/>
              <w:bottom w:val="single" w:sz="4" w:space="0" w:color="auto"/>
              <w:right w:val="single" w:sz="4" w:space="0" w:color="auto"/>
            </w:tcBorders>
            <w:shd w:val="clear" w:color="auto" w:fill="auto"/>
            <w:noWrap/>
            <w:vAlign w:val="bottom"/>
            <w:hideMark/>
          </w:tcPr>
          <w:p w14:paraId="427D68BF"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w:t>
            </w:r>
          </w:p>
        </w:tc>
        <w:tc>
          <w:tcPr>
            <w:tcW w:w="1417" w:type="dxa"/>
            <w:tcBorders>
              <w:top w:val="nil"/>
              <w:left w:val="nil"/>
              <w:bottom w:val="single" w:sz="4" w:space="0" w:color="auto"/>
              <w:right w:val="single" w:sz="4" w:space="0" w:color="auto"/>
            </w:tcBorders>
            <w:shd w:val="clear" w:color="auto" w:fill="auto"/>
            <w:noWrap/>
            <w:vAlign w:val="bottom"/>
            <w:hideMark/>
          </w:tcPr>
          <w:p w14:paraId="60284B44"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199.609</w:t>
            </w:r>
          </w:p>
        </w:tc>
        <w:tc>
          <w:tcPr>
            <w:tcW w:w="1843" w:type="dxa"/>
            <w:tcBorders>
              <w:top w:val="nil"/>
              <w:left w:val="nil"/>
              <w:bottom w:val="single" w:sz="4" w:space="0" w:color="auto"/>
              <w:right w:val="single" w:sz="8" w:space="0" w:color="auto"/>
            </w:tcBorders>
            <w:shd w:val="clear" w:color="auto" w:fill="auto"/>
            <w:noWrap/>
            <w:vAlign w:val="bottom"/>
            <w:hideMark/>
          </w:tcPr>
          <w:p w14:paraId="04DC4E6B"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59.882.700,00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662F7EE7" w14:textId="3F13EC38"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7.947.800,12</w:t>
            </w:r>
          </w:p>
        </w:tc>
      </w:tr>
      <w:tr w:rsidR="002460A5" w:rsidRPr="006F5FDB" w14:paraId="5A92F0DC" w14:textId="47245463"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EABCCE7"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Dubrovačko-neretvanska </w:t>
            </w:r>
          </w:p>
        </w:tc>
        <w:tc>
          <w:tcPr>
            <w:tcW w:w="1918" w:type="dxa"/>
            <w:tcBorders>
              <w:top w:val="nil"/>
              <w:left w:val="nil"/>
              <w:bottom w:val="single" w:sz="4" w:space="0" w:color="auto"/>
              <w:right w:val="single" w:sz="4" w:space="0" w:color="auto"/>
            </w:tcBorders>
            <w:shd w:val="clear" w:color="auto" w:fill="auto"/>
            <w:noWrap/>
            <w:vAlign w:val="bottom"/>
            <w:hideMark/>
          </w:tcPr>
          <w:p w14:paraId="7FE0A07E"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w:t>
            </w:r>
          </w:p>
        </w:tc>
        <w:tc>
          <w:tcPr>
            <w:tcW w:w="1417" w:type="dxa"/>
            <w:tcBorders>
              <w:top w:val="nil"/>
              <w:left w:val="nil"/>
              <w:bottom w:val="single" w:sz="4" w:space="0" w:color="auto"/>
              <w:right w:val="single" w:sz="4" w:space="0" w:color="auto"/>
            </w:tcBorders>
            <w:shd w:val="clear" w:color="auto" w:fill="auto"/>
            <w:noWrap/>
            <w:vAlign w:val="bottom"/>
            <w:hideMark/>
          </w:tcPr>
          <w:p w14:paraId="6779F529"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100.585</w:t>
            </w:r>
          </w:p>
        </w:tc>
        <w:tc>
          <w:tcPr>
            <w:tcW w:w="1843" w:type="dxa"/>
            <w:tcBorders>
              <w:top w:val="nil"/>
              <w:left w:val="nil"/>
              <w:bottom w:val="single" w:sz="4" w:space="0" w:color="auto"/>
              <w:right w:val="single" w:sz="8" w:space="0" w:color="auto"/>
            </w:tcBorders>
            <w:shd w:val="clear" w:color="auto" w:fill="auto"/>
            <w:noWrap/>
            <w:vAlign w:val="bottom"/>
            <w:hideMark/>
          </w:tcPr>
          <w:p w14:paraId="4CBF1B9B"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30.175.500,00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57C62617" w14:textId="7A59FEAD"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4.004.977,11</w:t>
            </w:r>
          </w:p>
        </w:tc>
      </w:tr>
      <w:tr w:rsidR="002460A5" w:rsidRPr="006F5FDB" w14:paraId="6118DAEF" w14:textId="67B02F2C"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22F02CF"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w:t>
            </w:r>
          </w:p>
        </w:tc>
        <w:tc>
          <w:tcPr>
            <w:tcW w:w="1918" w:type="dxa"/>
            <w:tcBorders>
              <w:top w:val="nil"/>
              <w:left w:val="nil"/>
              <w:bottom w:val="single" w:sz="4" w:space="0" w:color="auto"/>
              <w:right w:val="single" w:sz="4" w:space="0" w:color="auto"/>
            </w:tcBorders>
            <w:shd w:val="clear" w:color="auto" w:fill="auto"/>
            <w:noWrap/>
            <w:vAlign w:val="bottom"/>
            <w:hideMark/>
          </w:tcPr>
          <w:p w14:paraId="708BA5B3"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w:t>
            </w:r>
          </w:p>
        </w:tc>
        <w:tc>
          <w:tcPr>
            <w:tcW w:w="1417" w:type="dxa"/>
            <w:tcBorders>
              <w:top w:val="nil"/>
              <w:left w:val="nil"/>
              <w:bottom w:val="single" w:sz="4" w:space="0" w:color="auto"/>
              <w:right w:val="single" w:sz="4" w:space="0" w:color="auto"/>
            </w:tcBorders>
            <w:shd w:val="clear" w:color="auto" w:fill="auto"/>
            <w:noWrap/>
            <w:vAlign w:val="bottom"/>
            <w:hideMark/>
          </w:tcPr>
          <w:p w14:paraId="3860B073"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470.000</w:t>
            </w:r>
          </w:p>
        </w:tc>
        <w:tc>
          <w:tcPr>
            <w:tcW w:w="1843" w:type="dxa"/>
            <w:tcBorders>
              <w:top w:val="nil"/>
              <w:left w:val="nil"/>
              <w:bottom w:val="single" w:sz="4" w:space="0" w:color="auto"/>
              <w:right w:val="single" w:sz="8" w:space="0" w:color="auto"/>
            </w:tcBorders>
            <w:shd w:val="clear" w:color="auto" w:fill="auto"/>
            <w:noWrap/>
            <w:vAlign w:val="bottom"/>
            <w:hideMark/>
          </w:tcPr>
          <w:p w14:paraId="705DFF52"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141.000.000,00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6D0E9D9F" w14:textId="698C26FC"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18.713.915,99</w:t>
            </w:r>
          </w:p>
        </w:tc>
      </w:tr>
      <w:tr w:rsidR="002460A5" w:rsidRPr="006F5FDB" w14:paraId="071D7650" w14:textId="64C1D984"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193DD44"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Istarska </w:t>
            </w:r>
          </w:p>
        </w:tc>
        <w:tc>
          <w:tcPr>
            <w:tcW w:w="1918" w:type="dxa"/>
            <w:tcBorders>
              <w:top w:val="nil"/>
              <w:left w:val="nil"/>
              <w:bottom w:val="single" w:sz="4" w:space="0" w:color="auto"/>
              <w:right w:val="single" w:sz="4" w:space="0" w:color="auto"/>
            </w:tcBorders>
            <w:shd w:val="clear" w:color="auto" w:fill="auto"/>
            <w:noWrap/>
            <w:vAlign w:val="bottom"/>
            <w:hideMark/>
          </w:tcPr>
          <w:p w14:paraId="709C3664"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w:t>
            </w:r>
          </w:p>
        </w:tc>
        <w:tc>
          <w:tcPr>
            <w:tcW w:w="1417" w:type="dxa"/>
            <w:tcBorders>
              <w:top w:val="nil"/>
              <w:left w:val="nil"/>
              <w:bottom w:val="single" w:sz="4" w:space="0" w:color="auto"/>
              <w:right w:val="single" w:sz="4" w:space="0" w:color="auto"/>
            </w:tcBorders>
            <w:shd w:val="clear" w:color="auto" w:fill="auto"/>
            <w:noWrap/>
            <w:vAlign w:val="bottom"/>
            <w:hideMark/>
          </w:tcPr>
          <w:p w14:paraId="33DF9F7A"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28.532</w:t>
            </w:r>
          </w:p>
        </w:tc>
        <w:tc>
          <w:tcPr>
            <w:tcW w:w="1843" w:type="dxa"/>
            <w:tcBorders>
              <w:top w:val="nil"/>
              <w:left w:val="nil"/>
              <w:bottom w:val="single" w:sz="4" w:space="0" w:color="auto"/>
              <w:right w:val="single" w:sz="8" w:space="0" w:color="auto"/>
            </w:tcBorders>
            <w:shd w:val="clear" w:color="auto" w:fill="auto"/>
            <w:noWrap/>
            <w:vAlign w:val="bottom"/>
            <w:hideMark/>
          </w:tcPr>
          <w:p w14:paraId="24F5DC9F"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8.559.600,00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7BC2876C" w14:textId="40C0805E"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1.136.054,15</w:t>
            </w:r>
          </w:p>
        </w:tc>
      </w:tr>
      <w:tr w:rsidR="002460A5" w:rsidRPr="006F5FDB" w14:paraId="7D1A0782" w14:textId="70D23EB4"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0509788"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Karlovačka</w:t>
            </w:r>
          </w:p>
        </w:tc>
        <w:tc>
          <w:tcPr>
            <w:tcW w:w="1918" w:type="dxa"/>
            <w:tcBorders>
              <w:top w:val="nil"/>
              <w:left w:val="nil"/>
              <w:bottom w:val="single" w:sz="4" w:space="0" w:color="auto"/>
              <w:right w:val="single" w:sz="4" w:space="0" w:color="auto"/>
            </w:tcBorders>
            <w:shd w:val="clear" w:color="auto" w:fill="auto"/>
            <w:noWrap/>
            <w:vAlign w:val="bottom"/>
            <w:hideMark/>
          </w:tcPr>
          <w:p w14:paraId="7ED20648"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w:t>
            </w:r>
          </w:p>
        </w:tc>
        <w:tc>
          <w:tcPr>
            <w:tcW w:w="1417" w:type="dxa"/>
            <w:tcBorders>
              <w:top w:val="nil"/>
              <w:left w:val="nil"/>
              <w:bottom w:val="single" w:sz="4" w:space="0" w:color="auto"/>
              <w:right w:val="single" w:sz="4" w:space="0" w:color="auto"/>
            </w:tcBorders>
            <w:shd w:val="clear" w:color="auto" w:fill="auto"/>
            <w:noWrap/>
            <w:vAlign w:val="bottom"/>
            <w:hideMark/>
          </w:tcPr>
          <w:p w14:paraId="5A47FC1B"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158.212</w:t>
            </w:r>
          </w:p>
        </w:tc>
        <w:tc>
          <w:tcPr>
            <w:tcW w:w="1843" w:type="dxa"/>
            <w:tcBorders>
              <w:top w:val="nil"/>
              <w:left w:val="nil"/>
              <w:bottom w:val="single" w:sz="4" w:space="0" w:color="auto"/>
              <w:right w:val="single" w:sz="8" w:space="0" w:color="auto"/>
            </w:tcBorders>
            <w:shd w:val="clear" w:color="auto" w:fill="auto"/>
            <w:noWrap/>
            <w:vAlign w:val="bottom"/>
            <w:hideMark/>
          </w:tcPr>
          <w:p w14:paraId="169F6CB5"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47.463.600,00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4CBC84FD" w14:textId="3409626D"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6.299.502,29</w:t>
            </w:r>
          </w:p>
        </w:tc>
      </w:tr>
      <w:tr w:rsidR="002460A5" w:rsidRPr="006F5FDB" w14:paraId="08F28736" w14:textId="7746B2A7"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A9F096C"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Koprivničko-križevačka </w:t>
            </w:r>
          </w:p>
        </w:tc>
        <w:tc>
          <w:tcPr>
            <w:tcW w:w="1918" w:type="dxa"/>
            <w:tcBorders>
              <w:top w:val="nil"/>
              <w:left w:val="nil"/>
              <w:bottom w:val="single" w:sz="4" w:space="0" w:color="auto"/>
              <w:right w:val="single" w:sz="4" w:space="0" w:color="auto"/>
            </w:tcBorders>
            <w:shd w:val="clear" w:color="auto" w:fill="auto"/>
            <w:noWrap/>
            <w:vAlign w:val="bottom"/>
            <w:hideMark/>
          </w:tcPr>
          <w:p w14:paraId="72397688"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w:t>
            </w:r>
          </w:p>
        </w:tc>
        <w:tc>
          <w:tcPr>
            <w:tcW w:w="1417" w:type="dxa"/>
            <w:tcBorders>
              <w:top w:val="nil"/>
              <w:left w:val="nil"/>
              <w:bottom w:val="single" w:sz="4" w:space="0" w:color="auto"/>
              <w:right w:val="single" w:sz="4" w:space="0" w:color="auto"/>
            </w:tcBorders>
            <w:shd w:val="clear" w:color="auto" w:fill="auto"/>
            <w:noWrap/>
            <w:vAlign w:val="bottom"/>
            <w:hideMark/>
          </w:tcPr>
          <w:p w14:paraId="21853ABE"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760.700</w:t>
            </w:r>
          </w:p>
        </w:tc>
        <w:tc>
          <w:tcPr>
            <w:tcW w:w="1843" w:type="dxa"/>
            <w:tcBorders>
              <w:top w:val="nil"/>
              <w:left w:val="nil"/>
              <w:bottom w:val="single" w:sz="4" w:space="0" w:color="auto"/>
              <w:right w:val="single" w:sz="8" w:space="0" w:color="auto"/>
            </w:tcBorders>
            <w:shd w:val="clear" w:color="auto" w:fill="auto"/>
            <w:noWrap/>
            <w:vAlign w:val="bottom"/>
            <w:hideMark/>
          </w:tcPr>
          <w:p w14:paraId="0F2B3DE7"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228.210.000,00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6E409B37" w14:textId="6711C5FD"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30.288.672,11</w:t>
            </w:r>
          </w:p>
        </w:tc>
      </w:tr>
      <w:tr w:rsidR="002460A5" w:rsidRPr="006F5FDB" w14:paraId="69AE2182" w14:textId="3F8F7235"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B39D03F"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w:t>
            </w:r>
          </w:p>
        </w:tc>
        <w:tc>
          <w:tcPr>
            <w:tcW w:w="1918" w:type="dxa"/>
            <w:tcBorders>
              <w:top w:val="nil"/>
              <w:left w:val="nil"/>
              <w:bottom w:val="single" w:sz="4" w:space="0" w:color="auto"/>
              <w:right w:val="single" w:sz="4" w:space="0" w:color="auto"/>
            </w:tcBorders>
            <w:shd w:val="clear" w:color="auto" w:fill="auto"/>
            <w:noWrap/>
            <w:vAlign w:val="bottom"/>
            <w:hideMark/>
          </w:tcPr>
          <w:p w14:paraId="53F6F27A"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w:t>
            </w:r>
          </w:p>
        </w:tc>
        <w:tc>
          <w:tcPr>
            <w:tcW w:w="1417" w:type="dxa"/>
            <w:tcBorders>
              <w:top w:val="nil"/>
              <w:left w:val="nil"/>
              <w:bottom w:val="single" w:sz="4" w:space="0" w:color="auto"/>
              <w:right w:val="single" w:sz="4" w:space="0" w:color="auto"/>
            </w:tcBorders>
            <w:shd w:val="clear" w:color="auto" w:fill="auto"/>
            <w:noWrap/>
            <w:vAlign w:val="bottom"/>
            <w:hideMark/>
          </w:tcPr>
          <w:p w14:paraId="43C11A3F"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49.008</w:t>
            </w:r>
          </w:p>
        </w:tc>
        <w:tc>
          <w:tcPr>
            <w:tcW w:w="1843" w:type="dxa"/>
            <w:tcBorders>
              <w:top w:val="nil"/>
              <w:left w:val="nil"/>
              <w:bottom w:val="single" w:sz="4" w:space="0" w:color="auto"/>
              <w:right w:val="single" w:sz="8" w:space="0" w:color="auto"/>
            </w:tcBorders>
            <w:shd w:val="clear" w:color="auto" w:fill="auto"/>
            <w:noWrap/>
            <w:vAlign w:val="bottom"/>
            <w:hideMark/>
          </w:tcPr>
          <w:p w14:paraId="6218BA40"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14.702.400,00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7D1D4460" w14:textId="2FE5654F"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1.951.343,82</w:t>
            </w:r>
          </w:p>
        </w:tc>
      </w:tr>
      <w:tr w:rsidR="002460A5" w:rsidRPr="006F5FDB" w14:paraId="408F910E" w14:textId="66D51102"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8486685"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Ličko-senjska </w:t>
            </w:r>
          </w:p>
        </w:tc>
        <w:tc>
          <w:tcPr>
            <w:tcW w:w="1918" w:type="dxa"/>
            <w:tcBorders>
              <w:top w:val="nil"/>
              <w:left w:val="nil"/>
              <w:bottom w:val="single" w:sz="4" w:space="0" w:color="auto"/>
              <w:right w:val="single" w:sz="4" w:space="0" w:color="auto"/>
            </w:tcBorders>
            <w:shd w:val="clear" w:color="auto" w:fill="auto"/>
            <w:noWrap/>
            <w:vAlign w:val="bottom"/>
            <w:hideMark/>
          </w:tcPr>
          <w:p w14:paraId="6C91E48A"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w:t>
            </w:r>
          </w:p>
        </w:tc>
        <w:tc>
          <w:tcPr>
            <w:tcW w:w="1417" w:type="dxa"/>
            <w:tcBorders>
              <w:top w:val="nil"/>
              <w:left w:val="nil"/>
              <w:bottom w:val="single" w:sz="4" w:space="0" w:color="auto"/>
              <w:right w:val="single" w:sz="4" w:space="0" w:color="auto"/>
            </w:tcBorders>
            <w:shd w:val="clear" w:color="auto" w:fill="auto"/>
            <w:noWrap/>
            <w:vAlign w:val="bottom"/>
            <w:hideMark/>
          </w:tcPr>
          <w:p w14:paraId="33F97560"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86.756</w:t>
            </w:r>
          </w:p>
        </w:tc>
        <w:tc>
          <w:tcPr>
            <w:tcW w:w="1843" w:type="dxa"/>
            <w:tcBorders>
              <w:top w:val="nil"/>
              <w:left w:val="nil"/>
              <w:bottom w:val="single" w:sz="4" w:space="0" w:color="auto"/>
              <w:right w:val="single" w:sz="8" w:space="0" w:color="auto"/>
            </w:tcBorders>
            <w:shd w:val="clear" w:color="auto" w:fill="auto"/>
            <w:noWrap/>
            <w:vAlign w:val="bottom"/>
            <w:hideMark/>
          </w:tcPr>
          <w:p w14:paraId="0418A571"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26.026.800,00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16FA5691" w14:textId="0E6C5ED8"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3.454.349,99</w:t>
            </w:r>
          </w:p>
        </w:tc>
      </w:tr>
      <w:tr w:rsidR="002460A5" w:rsidRPr="006F5FDB" w14:paraId="4A320D12" w14:textId="1CD7AE2D"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EBC97FB"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Međimurska </w:t>
            </w:r>
          </w:p>
        </w:tc>
        <w:tc>
          <w:tcPr>
            <w:tcW w:w="1918" w:type="dxa"/>
            <w:tcBorders>
              <w:top w:val="nil"/>
              <w:left w:val="nil"/>
              <w:bottom w:val="single" w:sz="4" w:space="0" w:color="auto"/>
              <w:right w:val="single" w:sz="4" w:space="0" w:color="auto"/>
            </w:tcBorders>
            <w:shd w:val="clear" w:color="auto" w:fill="auto"/>
            <w:noWrap/>
            <w:vAlign w:val="bottom"/>
            <w:hideMark/>
          </w:tcPr>
          <w:p w14:paraId="041F667B"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w:t>
            </w:r>
          </w:p>
        </w:tc>
        <w:tc>
          <w:tcPr>
            <w:tcW w:w="1417" w:type="dxa"/>
            <w:tcBorders>
              <w:top w:val="nil"/>
              <w:left w:val="nil"/>
              <w:bottom w:val="single" w:sz="4" w:space="0" w:color="auto"/>
              <w:right w:val="single" w:sz="4" w:space="0" w:color="auto"/>
            </w:tcBorders>
            <w:shd w:val="clear" w:color="auto" w:fill="auto"/>
            <w:noWrap/>
            <w:vAlign w:val="bottom"/>
            <w:hideMark/>
          </w:tcPr>
          <w:p w14:paraId="43AB3E8C"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41.380</w:t>
            </w:r>
          </w:p>
        </w:tc>
        <w:tc>
          <w:tcPr>
            <w:tcW w:w="1843" w:type="dxa"/>
            <w:tcBorders>
              <w:top w:val="nil"/>
              <w:left w:val="nil"/>
              <w:bottom w:val="single" w:sz="4" w:space="0" w:color="auto"/>
              <w:right w:val="single" w:sz="8" w:space="0" w:color="auto"/>
            </w:tcBorders>
            <w:shd w:val="clear" w:color="auto" w:fill="auto"/>
            <w:noWrap/>
            <w:vAlign w:val="bottom"/>
            <w:hideMark/>
          </w:tcPr>
          <w:p w14:paraId="1B8B4DBD"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12.414.000,00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1941C25A" w14:textId="6E7F4175"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1.647.620,94</w:t>
            </w:r>
          </w:p>
        </w:tc>
      </w:tr>
      <w:tr w:rsidR="002460A5" w:rsidRPr="006F5FDB" w14:paraId="1A5FE2E6" w14:textId="0AC9AD8C"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D2C5B54"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Osječko-baranjska </w:t>
            </w:r>
          </w:p>
        </w:tc>
        <w:tc>
          <w:tcPr>
            <w:tcW w:w="1918" w:type="dxa"/>
            <w:tcBorders>
              <w:top w:val="nil"/>
              <w:left w:val="nil"/>
              <w:bottom w:val="single" w:sz="4" w:space="0" w:color="auto"/>
              <w:right w:val="single" w:sz="4" w:space="0" w:color="auto"/>
            </w:tcBorders>
            <w:shd w:val="clear" w:color="auto" w:fill="auto"/>
            <w:noWrap/>
            <w:vAlign w:val="bottom"/>
            <w:hideMark/>
          </w:tcPr>
          <w:p w14:paraId="29B8A605"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w:t>
            </w:r>
          </w:p>
        </w:tc>
        <w:tc>
          <w:tcPr>
            <w:tcW w:w="1417" w:type="dxa"/>
            <w:tcBorders>
              <w:top w:val="nil"/>
              <w:left w:val="nil"/>
              <w:bottom w:val="single" w:sz="4" w:space="0" w:color="auto"/>
              <w:right w:val="single" w:sz="4" w:space="0" w:color="auto"/>
            </w:tcBorders>
            <w:shd w:val="clear" w:color="auto" w:fill="auto"/>
            <w:noWrap/>
            <w:vAlign w:val="bottom"/>
            <w:hideMark/>
          </w:tcPr>
          <w:p w14:paraId="2BC5D513"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521.000</w:t>
            </w:r>
          </w:p>
        </w:tc>
        <w:tc>
          <w:tcPr>
            <w:tcW w:w="1843" w:type="dxa"/>
            <w:tcBorders>
              <w:top w:val="nil"/>
              <w:left w:val="nil"/>
              <w:bottom w:val="single" w:sz="4" w:space="0" w:color="auto"/>
              <w:right w:val="single" w:sz="8" w:space="0" w:color="auto"/>
            </w:tcBorders>
            <w:shd w:val="clear" w:color="auto" w:fill="auto"/>
            <w:noWrap/>
            <w:vAlign w:val="bottom"/>
            <w:hideMark/>
          </w:tcPr>
          <w:p w14:paraId="5F8C09C6"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156.300.000,00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761385D5" w14:textId="22FF202A"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20.744.574,96</w:t>
            </w:r>
          </w:p>
        </w:tc>
      </w:tr>
      <w:tr w:rsidR="002460A5" w:rsidRPr="006F5FDB" w14:paraId="76BFEB25" w14:textId="66024280"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B904F98"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w:t>
            </w:r>
          </w:p>
        </w:tc>
        <w:tc>
          <w:tcPr>
            <w:tcW w:w="1918" w:type="dxa"/>
            <w:tcBorders>
              <w:top w:val="nil"/>
              <w:left w:val="nil"/>
              <w:bottom w:val="single" w:sz="4" w:space="0" w:color="auto"/>
              <w:right w:val="single" w:sz="4" w:space="0" w:color="auto"/>
            </w:tcBorders>
            <w:shd w:val="clear" w:color="auto" w:fill="auto"/>
            <w:noWrap/>
            <w:vAlign w:val="bottom"/>
            <w:hideMark/>
          </w:tcPr>
          <w:p w14:paraId="1A4A6359"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w:t>
            </w:r>
          </w:p>
        </w:tc>
        <w:tc>
          <w:tcPr>
            <w:tcW w:w="1417" w:type="dxa"/>
            <w:tcBorders>
              <w:top w:val="nil"/>
              <w:left w:val="nil"/>
              <w:bottom w:val="single" w:sz="4" w:space="0" w:color="auto"/>
              <w:right w:val="single" w:sz="4" w:space="0" w:color="auto"/>
            </w:tcBorders>
            <w:shd w:val="clear" w:color="auto" w:fill="auto"/>
            <w:noWrap/>
            <w:vAlign w:val="bottom"/>
            <w:hideMark/>
          </w:tcPr>
          <w:p w14:paraId="32D1FAD1"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51.000</w:t>
            </w:r>
          </w:p>
        </w:tc>
        <w:tc>
          <w:tcPr>
            <w:tcW w:w="1843" w:type="dxa"/>
            <w:tcBorders>
              <w:top w:val="nil"/>
              <w:left w:val="nil"/>
              <w:bottom w:val="single" w:sz="4" w:space="0" w:color="auto"/>
              <w:right w:val="single" w:sz="8" w:space="0" w:color="auto"/>
            </w:tcBorders>
            <w:shd w:val="clear" w:color="auto" w:fill="auto"/>
            <w:noWrap/>
            <w:vAlign w:val="bottom"/>
            <w:hideMark/>
          </w:tcPr>
          <w:p w14:paraId="3C8FE138"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15.300.000,00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7FBE07BB" w14:textId="3081AC12"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2.030.658,97</w:t>
            </w:r>
          </w:p>
        </w:tc>
      </w:tr>
      <w:tr w:rsidR="002460A5" w:rsidRPr="006F5FDB" w14:paraId="6D09D547" w14:textId="383B8BF7"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BACE76C"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Primorsko-goranska </w:t>
            </w:r>
          </w:p>
        </w:tc>
        <w:tc>
          <w:tcPr>
            <w:tcW w:w="1918" w:type="dxa"/>
            <w:tcBorders>
              <w:top w:val="nil"/>
              <w:left w:val="nil"/>
              <w:bottom w:val="single" w:sz="4" w:space="0" w:color="auto"/>
              <w:right w:val="single" w:sz="4" w:space="0" w:color="auto"/>
            </w:tcBorders>
            <w:shd w:val="clear" w:color="auto" w:fill="auto"/>
            <w:noWrap/>
            <w:vAlign w:val="bottom"/>
            <w:hideMark/>
          </w:tcPr>
          <w:p w14:paraId="7336F32C"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w:t>
            </w:r>
          </w:p>
        </w:tc>
        <w:tc>
          <w:tcPr>
            <w:tcW w:w="1417" w:type="dxa"/>
            <w:tcBorders>
              <w:top w:val="nil"/>
              <w:left w:val="nil"/>
              <w:bottom w:val="single" w:sz="4" w:space="0" w:color="auto"/>
              <w:right w:val="single" w:sz="4" w:space="0" w:color="auto"/>
            </w:tcBorders>
            <w:shd w:val="clear" w:color="auto" w:fill="auto"/>
            <w:noWrap/>
            <w:vAlign w:val="bottom"/>
            <w:hideMark/>
          </w:tcPr>
          <w:p w14:paraId="1E1BD021"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53.021</w:t>
            </w:r>
          </w:p>
        </w:tc>
        <w:tc>
          <w:tcPr>
            <w:tcW w:w="1843" w:type="dxa"/>
            <w:tcBorders>
              <w:top w:val="nil"/>
              <w:left w:val="nil"/>
              <w:bottom w:val="single" w:sz="4" w:space="0" w:color="auto"/>
              <w:right w:val="single" w:sz="8" w:space="0" w:color="auto"/>
            </w:tcBorders>
            <w:shd w:val="clear" w:color="auto" w:fill="auto"/>
            <w:noWrap/>
            <w:vAlign w:val="bottom"/>
            <w:hideMark/>
          </w:tcPr>
          <w:p w14:paraId="2C0C4041"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15.906.300,00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5F756675" w14:textId="79B30CF2"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2.111.128,81</w:t>
            </w:r>
          </w:p>
        </w:tc>
      </w:tr>
      <w:tr w:rsidR="002460A5" w:rsidRPr="006F5FDB" w14:paraId="3E405750" w14:textId="35E88DA4"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D47F290"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Sisačko-moslavačka </w:t>
            </w:r>
          </w:p>
        </w:tc>
        <w:tc>
          <w:tcPr>
            <w:tcW w:w="1918" w:type="dxa"/>
            <w:tcBorders>
              <w:top w:val="nil"/>
              <w:left w:val="nil"/>
              <w:bottom w:val="single" w:sz="4" w:space="0" w:color="auto"/>
              <w:right w:val="single" w:sz="4" w:space="0" w:color="auto"/>
            </w:tcBorders>
            <w:shd w:val="clear" w:color="auto" w:fill="auto"/>
            <w:noWrap/>
            <w:vAlign w:val="bottom"/>
            <w:hideMark/>
          </w:tcPr>
          <w:p w14:paraId="3C315C33"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w:t>
            </w:r>
          </w:p>
        </w:tc>
        <w:tc>
          <w:tcPr>
            <w:tcW w:w="1417" w:type="dxa"/>
            <w:tcBorders>
              <w:top w:val="nil"/>
              <w:left w:val="nil"/>
              <w:bottom w:val="single" w:sz="4" w:space="0" w:color="auto"/>
              <w:right w:val="single" w:sz="4" w:space="0" w:color="auto"/>
            </w:tcBorders>
            <w:shd w:val="clear" w:color="auto" w:fill="auto"/>
            <w:noWrap/>
            <w:vAlign w:val="bottom"/>
            <w:hideMark/>
          </w:tcPr>
          <w:p w14:paraId="4CAADADB"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327.166</w:t>
            </w:r>
          </w:p>
        </w:tc>
        <w:tc>
          <w:tcPr>
            <w:tcW w:w="1843" w:type="dxa"/>
            <w:tcBorders>
              <w:top w:val="nil"/>
              <w:left w:val="nil"/>
              <w:bottom w:val="single" w:sz="4" w:space="0" w:color="auto"/>
              <w:right w:val="single" w:sz="8" w:space="0" w:color="auto"/>
            </w:tcBorders>
            <w:shd w:val="clear" w:color="auto" w:fill="auto"/>
            <w:noWrap/>
            <w:vAlign w:val="bottom"/>
            <w:hideMark/>
          </w:tcPr>
          <w:p w14:paraId="519AE497"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98.149.800,00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358E9F13" w14:textId="65049B05"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13.026.717,10</w:t>
            </w:r>
          </w:p>
        </w:tc>
      </w:tr>
      <w:tr w:rsidR="002460A5" w:rsidRPr="006F5FDB" w14:paraId="6D9E75FA" w14:textId="3B797538"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5626577"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Splitsko-dalmatinska </w:t>
            </w:r>
          </w:p>
        </w:tc>
        <w:tc>
          <w:tcPr>
            <w:tcW w:w="1918" w:type="dxa"/>
            <w:tcBorders>
              <w:top w:val="nil"/>
              <w:left w:val="nil"/>
              <w:bottom w:val="single" w:sz="4" w:space="0" w:color="auto"/>
              <w:right w:val="single" w:sz="4" w:space="0" w:color="auto"/>
            </w:tcBorders>
            <w:shd w:val="clear" w:color="auto" w:fill="auto"/>
            <w:noWrap/>
            <w:vAlign w:val="bottom"/>
            <w:hideMark/>
          </w:tcPr>
          <w:p w14:paraId="6ADB520E"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w:t>
            </w:r>
          </w:p>
        </w:tc>
        <w:tc>
          <w:tcPr>
            <w:tcW w:w="1417" w:type="dxa"/>
            <w:tcBorders>
              <w:top w:val="nil"/>
              <w:left w:val="nil"/>
              <w:bottom w:val="single" w:sz="4" w:space="0" w:color="auto"/>
              <w:right w:val="single" w:sz="4" w:space="0" w:color="auto"/>
            </w:tcBorders>
            <w:shd w:val="clear" w:color="auto" w:fill="auto"/>
            <w:noWrap/>
            <w:vAlign w:val="bottom"/>
            <w:hideMark/>
          </w:tcPr>
          <w:p w14:paraId="7AE7DC64"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331.024</w:t>
            </w:r>
          </w:p>
        </w:tc>
        <w:tc>
          <w:tcPr>
            <w:tcW w:w="1843" w:type="dxa"/>
            <w:tcBorders>
              <w:top w:val="nil"/>
              <w:left w:val="nil"/>
              <w:bottom w:val="single" w:sz="4" w:space="0" w:color="auto"/>
              <w:right w:val="single" w:sz="8" w:space="0" w:color="auto"/>
            </w:tcBorders>
            <w:shd w:val="clear" w:color="auto" w:fill="auto"/>
            <w:noWrap/>
            <w:vAlign w:val="bottom"/>
            <w:hideMark/>
          </w:tcPr>
          <w:p w14:paraId="2BFEEB87"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99.307.200,00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3D92AC9A" w14:textId="7CBBF970"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13.180.330,48</w:t>
            </w:r>
          </w:p>
        </w:tc>
      </w:tr>
      <w:tr w:rsidR="002460A5" w:rsidRPr="006F5FDB" w14:paraId="3BD190E9" w14:textId="3EF45FD2"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320F326"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Šibensko-kninska </w:t>
            </w:r>
          </w:p>
        </w:tc>
        <w:tc>
          <w:tcPr>
            <w:tcW w:w="1918" w:type="dxa"/>
            <w:tcBorders>
              <w:top w:val="nil"/>
              <w:left w:val="nil"/>
              <w:bottom w:val="single" w:sz="4" w:space="0" w:color="auto"/>
              <w:right w:val="single" w:sz="4" w:space="0" w:color="auto"/>
            </w:tcBorders>
            <w:shd w:val="clear" w:color="auto" w:fill="auto"/>
            <w:noWrap/>
            <w:vAlign w:val="bottom"/>
            <w:hideMark/>
          </w:tcPr>
          <w:p w14:paraId="521CF868"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w:t>
            </w:r>
          </w:p>
        </w:tc>
        <w:tc>
          <w:tcPr>
            <w:tcW w:w="1417" w:type="dxa"/>
            <w:tcBorders>
              <w:top w:val="nil"/>
              <w:left w:val="nil"/>
              <w:bottom w:val="single" w:sz="4" w:space="0" w:color="auto"/>
              <w:right w:val="single" w:sz="4" w:space="0" w:color="auto"/>
            </w:tcBorders>
            <w:shd w:val="clear" w:color="auto" w:fill="auto"/>
            <w:noWrap/>
            <w:vAlign w:val="bottom"/>
            <w:hideMark/>
          </w:tcPr>
          <w:p w14:paraId="3C729482"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151.122</w:t>
            </w:r>
          </w:p>
        </w:tc>
        <w:tc>
          <w:tcPr>
            <w:tcW w:w="1843" w:type="dxa"/>
            <w:tcBorders>
              <w:top w:val="nil"/>
              <w:left w:val="nil"/>
              <w:bottom w:val="single" w:sz="4" w:space="0" w:color="auto"/>
              <w:right w:val="single" w:sz="8" w:space="0" w:color="auto"/>
            </w:tcBorders>
            <w:shd w:val="clear" w:color="auto" w:fill="auto"/>
            <w:noWrap/>
            <w:vAlign w:val="bottom"/>
            <w:hideMark/>
          </w:tcPr>
          <w:p w14:paraId="12B81A31"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45.336.600,00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400CC6E4" w14:textId="525D29BC"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6.017.200,88</w:t>
            </w:r>
          </w:p>
        </w:tc>
      </w:tr>
      <w:tr w:rsidR="002460A5" w:rsidRPr="006F5FDB" w14:paraId="4A7DF71D" w14:textId="4536FD3B"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1B0FC94"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Varaždinska </w:t>
            </w:r>
          </w:p>
        </w:tc>
        <w:tc>
          <w:tcPr>
            <w:tcW w:w="1918" w:type="dxa"/>
            <w:tcBorders>
              <w:top w:val="nil"/>
              <w:left w:val="nil"/>
              <w:bottom w:val="single" w:sz="4" w:space="0" w:color="auto"/>
              <w:right w:val="single" w:sz="4" w:space="0" w:color="auto"/>
            </w:tcBorders>
            <w:shd w:val="clear" w:color="auto" w:fill="auto"/>
            <w:noWrap/>
            <w:vAlign w:val="bottom"/>
            <w:hideMark/>
          </w:tcPr>
          <w:p w14:paraId="2DD6B3FA"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w:t>
            </w:r>
          </w:p>
        </w:tc>
        <w:tc>
          <w:tcPr>
            <w:tcW w:w="1417" w:type="dxa"/>
            <w:tcBorders>
              <w:top w:val="nil"/>
              <w:left w:val="nil"/>
              <w:bottom w:val="single" w:sz="4" w:space="0" w:color="auto"/>
              <w:right w:val="single" w:sz="4" w:space="0" w:color="auto"/>
            </w:tcBorders>
            <w:shd w:val="clear" w:color="auto" w:fill="auto"/>
            <w:noWrap/>
            <w:vAlign w:val="bottom"/>
            <w:hideMark/>
          </w:tcPr>
          <w:p w14:paraId="20C33B30"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10.711</w:t>
            </w:r>
          </w:p>
        </w:tc>
        <w:tc>
          <w:tcPr>
            <w:tcW w:w="1843" w:type="dxa"/>
            <w:tcBorders>
              <w:top w:val="nil"/>
              <w:left w:val="nil"/>
              <w:bottom w:val="single" w:sz="4" w:space="0" w:color="auto"/>
              <w:right w:val="single" w:sz="8" w:space="0" w:color="auto"/>
            </w:tcBorders>
            <w:shd w:val="clear" w:color="auto" w:fill="auto"/>
            <w:noWrap/>
            <w:vAlign w:val="bottom"/>
            <w:hideMark/>
          </w:tcPr>
          <w:p w14:paraId="7CC27135"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3.213.300,00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699DA98E" w14:textId="5B16E870"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426.478,20</w:t>
            </w:r>
          </w:p>
        </w:tc>
      </w:tr>
      <w:tr w:rsidR="002460A5" w:rsidRPr="006F5FDB" w14:paraId="52DFADDC" w14:textId="607EA6B8"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D7DECEC"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Virovitičko-podravska</w:t>
            </w:r>
          </w:p>
        </w:tc>
        <w:tc>
          <w:tcPr>
            <w:tcW w:w="1918" w:type="dxa"/>
            <w:tcBorders>
              <w:top w:val="nil"/>
              <w:left w:val="nil"/>
              <w:bottom w:val="single" w:sz="4" w:space="0" w:color="auto"/>
              <w:right w:val="single" w:sz="4" w:space="0" w:color="auto"/>
            </w:tcBorders>
            <w:shd w:val="clear" w:color="auto" w:fill="auto"/>
            <w:noWrap/>
            <w:vAlign w:val="bottom"/>
            <w:hideMark/>
          </w:tcPr>
          <w:p w14:paraId="42F70E53"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w:t>
            </w:r>
          </w:p>
        </w:tc>
        <w:tc>
          <w:tcPr>
            <w:tcW w:w="1417" w:type="dxa"/>
            <w:tcBorders>
              <w:top w:val="nil"/>
              <w:left w:val="nil"/>
              <w:bottom w:val="single" w:sz="4" w:space="0" w:color="auto"/>
              <w:right w:val="single" w:sz="4" w:space="0" w:color="auto"/>
            </w:tcBorders>
            <w:shd w:val="clear" w:color="auto" w:fill="auto"/>
            <w:noWrap/>
            <w:vAlign w:val="bottom"/>
            <w:hideMark/>
          </w:tcPr>
          <w:p w14:paraId="1AED51E8"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85.500</w:t>
            </w:r>
          </w:p>
        </w:tc>
        <w:tc>
          <w:tcPr>
            <w:tcW w:w="1843" w:type="dxa"/>
            <w:tcBorders>
              <w:top w:val="nil"/>
              <w:left w:val="nil"/>
              <w:bottom w:val="single" w:sz="4" w:space="0" w:color="auto"/>
              <w:right w:val="single" w:sz="8" w:space="0" w:color="auto"/>
            </w:tcBorders>
            <w:shd w:val="clear" w:color="auto" w:fill="auto"/>
            <w:noWrap/>
            <w:vAlign w:val="bottom"/>
            <w:hideMark/>
          </w:tcPr>
          <w:p w14:paraId="1D6BFD43"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25.650.000,00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75CEBD87" w14:textId="18DFF40C"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3.404.340,04</w:t>
            </w:r>
          </w:p>
        </w:tc>
      </w:tr>
      <w:tr w:rsidR="002460A5" w:rsidRPr="006F5FDB" w14:paraId="5D8571B2" w14:textId="1749D856"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A1DA570"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Vukovarsko-srijemska</w:t>
            </w:r>
          </w:p>
        </w:tc>
        <w:tc>
          <w:tcPr>
            <w:tcW w:w="1918" w:type="dxa"/>
            <w:tcBorders>
              <w:top w:val="nil"/>
              <w:left w:val="nil"/>
              <w:bottom w:val="single" w:sz="4" w:space="0" w:color="auto"/>
              <w:right w:val="single" w:sz="4" w:space="0" w:color="auto"/>
            </w:tcBorders>
            <w:shd w:val="clear" w:color="auto" w:fill="auto"/>
            <w:noWrap/>
            <w:vAlign w:val="bottom"/>
            <w:hideMark/>
          </w:tcPr>
          <w:p w14:paraId="0E60B5B2"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w:t>
            </w:r>
          </w:p>
        </w:tc>
        <w:tc>
          <w:tcPr>
            <w:tcW w:w="1417" w:type="dxa"/>
            <w:tcBorders>
              <w:top w:val="nil"/>
              <w:left w:val="nil"/>
              <w:bottom w:val="single" w:sz="4" w:space="0" w:color="auto"/>
              <w:right w:val="single" w:sz="4" w:space="0" w:color="auto"/>
            </w:tcBorders>
            <w:shd w:val="clear" w:color="auto" w:fill="auto"/>
            <w:noWrap/>
            <w:vAlign w:val="bottom"/>
            <w:hideMark/>
          </w:tcPr>
          <w:p w14:paraId="2F2738BE"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84.670</w:t>
            </w:r>
          </w:p>
        </w:tc>
        <w:tc>
          <w:tcPr>
            <w:tcW w:w="1843" w:type="dxa"/>
            <w:tcBorders>
              <w:top w:val="nil"/>
              <w:left w:val="nil"/>
              <w:bottom w:val="single" w:sz="4" w:space="0" w:color="auto"/>
              <w:right w:val="single" w:sz="8" w:space="0" w:color="auto"/>
            </w:tcBorders>
            <w:shd w:val="clear" w:color="auto" w:fill="auto"/>
            <w:noWrap/>
            <w:vAlign w:val="bottom"/>
            <w:hideMark/>
          </w:tcPr>
          <w:p w14:paraId="0EB8AB04"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25.401.000,00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06FD0B20" w14:textId="62A21E4A"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3.371.292,06</w:t>
            </w:r>
          </w:p>
        </w:tc>
      </w:tr>
      <w:tr w:rsidR="002460A5" w:rsidRPr="006F5FDB" w14:paraId="7DA9C822" w14:textId="34A080B9"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367B12C"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Zadarska</w:t>
            </w:r>
          </w:p>
        </w:tc>
        <w:tc>
          <w:tcPr>
            <w:tcW w:w="1918" w:type="dxa"/>
            <w:tcBorders>
              <w:top w:val="nil"/>
              <w:left w:val="nil"/>
              <w:bottom w:val="single" w:sz="4" w:space="0" w:color="auto"/>
              <w:right w:val="single" w:sz="4" w:space="0" w:color="auto"/>
            </w:tcBorders>
            <w:shd w:val="clear" w:color="auto" w:fill="auto"/>
            <w:noWrap/>
            <w:vAlign w:val="bottom"/>
            <w:hideMark/>
          </w:tcPr>
          <w:p w14:paraId="1C04DA53"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w:t>
            </w:r>
          </w:p>
        </w:tc>
        <w:tc>
          <w:tcPr>
            <w:tcW w:w="1417" w:type="dxa"/>
            <w:tcBorders>
              <w:top w:val="nil"/>
              <w:left w:val="nil"/>
              <w:bottom w:val="single" w:sz="4" w:space="0" w:color="auto"/>
              <w:right w:val="single" w:sz="4" w:space="0" w:color="auto"/>
            </w:tcBorders>
            <w:shd w:val="clear" w:color="auto" w:fill="auto"/>
            <w:noWrap/>
            <w:vAlign w:val="bottom"/>
            <w:hideMark/>
          </w:tcPr>
          <w:p w14:paraId="013866DE"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377.950</w:t>
            </w:r>
          </w:p>
        </w:tc>
        <w:tc>
          <w:tcPr>
            <w:tcW w:w="1843" w:type="dxa"/>
            <w:tcBorders>
              <w:top w:val="nil"/>
              <w:left w:val="nil"/>
              <w:bottom w:val="single" w:sz="4" w:space="0" w:color="auto"/>
              <w:right w:val="single" w:sz="8" w:space="0" w:color="auto"/>
            </w:tcBorders>
            <w:shd w:val="clear" w:color="auto" w:fill="auto"/>
            <w:noWrap/>
            <w:vAlign w:val="bottom"/>
            <w:hideMark/>
          </w:tcPr>
          <w:p w14:paraId="6BCEF56A"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113.385.000,00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0C771898" w14:textId="0070E3FD"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15.048.775,63</w:t>
            </w:r>
          </w:p>
        </w:tc>
      </w:tr>
      <w:tr w:rsidR="002460A5" w:rsidRPr="006F5FDB" w14:paraId="54865F37" w14:textId="4FF73B76" w:rsidTr="00BB2706">
        <w:trPr>
          <w:trHeight w:val="170"/>
        </w:trPr>
        <w:tc>
          <w:tcPr>
            <w:tcW w:w="1900" w:type="dxa"/>
            <w:tcBorders>
              <w:top w:val="nil"/>
              <w:left w:val="single" w:sz="8" w:space="0" w:color="auto"/>
              <w:bottom w:val="nil"/>
              <w:right w:val="single" w:sz="4" w:space="0" w:color="auto"/>
            </w:tcBorders>
            <w:shd w:val="clear" w:color="auto" w:fill="auto"/>
            <w:noWrap/>
            <w:vAlign w:val="bottom"/>
            <w:hideMark/>
          </w:tcPr>
          <w:p w14:paraId="756FC9FE"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Zagrebačka</w:t>
            </w:r>
          </w:p>
        </w:tc>
        <w:tc>
          <w:tcPr>
            <w:tcW w:w="1918" w:type="dxa"/>
            <w:tcBorders>
              <w:top w:val="nil"/>
              <w:left w:val="nil"/>
              <w:bottom w:val="nil"/>
              <w:right w:val="single" w:sz="4" w:space="0" w:color="auto"/>
            </w:tcBorders>
            <w:shd w:val="clear" w:color="auto" w:fill="auto"/>
            <w:noWrap/>
            <w:vAlign w:val="bottom"/>
            <w:hideMark/>
          </w:tcPr>
          <w:p w14:paraId="5CA50909"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w:t>
            </w:r>
          </w:p>
        </w:tc>
        <w:tc>
          <w:tcPr>
            <w:tcW w:w="1417" w:type="dxa"/>
            <w:tcBorders>
              <w:top w:val="nil"/>
              <w:left w:val="nil"/>
              <w:bottom w:val="nil"/>
              <w:right w:val="single" w:sz="4" w:space="0" w:color="auto"/>
            </w:tcBorders>
            <w:shd w:val="clear" w:color="auto" w:fill="auto"/>
            <w:noWrap/>
            <w:vAlign w:val="bottom"/>
            <w:hideMark/>
          </w:tcPr>
          <w:p w14:paraId="42589089"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334.358</w:t>
            </w:r>
          </w:p>
        </w:tc>
        <w:tc>
          <w:tcPr>
            <w:tcW w:w="1843" w:type="dxa"/>
            <w:tcBorders>
              <w:top w:val="nil"/>
              <w:left w:val="nil"/>
              <w:bottom w:val="nil"/>
              <w:right w:val="single" w:sz="8" w:space="0" w:color="auto"/>
            </w:tcBorders>
            <w:shd w:val="clear" w:color="auto" w:fill="auto"/>
            <w:noWrap/>
            <w:vAlign w:val="bottom"/>
            <w:hideMark/>
          </w:tcPr>
          <w:p w14:paraId="5AADB1AF"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100.307.400,00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5AB0F934" w14:textId="05E711FE"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13.313.079,83</w:t>
            </w:r>
          </w:p>
        </w:tc>
      </w:tr>
      <w:tr w:rsidR="002460A5" w:rsidRPr="006F5FDB" w14:paraId="3838E0A3" w14:textId="525529D7" w:rsidTr="00BB2706">
        <w:trPr>
          <w:trHeight w:val="170"/>
        </w:trPr>
        <w:tc>
          <w:tcPr>
            <w:tcW w:w="19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1FF9640" w14:textId="77777777" w:rsidR="002460A5" w:rsidRPr="006F5FDB" w:rsidRDefault="002460A5" w:rsidP="002460A5">
            <w:pPr>
              <w:spacing w:after="0" w:line="240" w:lineRule="auto"/>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UKUPNO:</w:t>
            </w:r>
          </w:p>
        </w:tc>
        <w:tc>
          <w:tcPr>
            <w:tcW w:w="1918" w:type="dxa"/>
            <w:tcBorders>
              <w:top w:val="single" w:sz="8" w:space="0" w:color="auto"/>
              <w:left w:val="nil"/>
              <w:bottom w:val="single" w:sz="8" w:space="0" w:color="auto"/>
              <w:right w:val="single" w:sz="4" w:space="0" w:color="auto"/>
            </w:tcBorders>
            <w:shd w:val="clear" w:color="auto" w:fill="auto"/>
            <w:noWrap/>
            <w:vAlign w:val="center"/>
            <w:hideMark/>
          </w:tcPr>
          <w:p w14:paraId="0533E3DB" w14:textId="77777777" w:rsidR="002460A5" w:rsidRPr="006F5FDB" w:rsidRDefault="002460A5" w:rsidP="002460A5">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80</w:t>
            </w:r>
          </w:p>
        </w:tc>
        <w:tc>
          <w:tcPr>
            <w:tcW w:w="1417" w:type="dxa"/>
            <w:tcBorders>
              <w:top w:val="single" w:sz="8" w:space="0" w:color="auto"/>
              <w:left w:val="nil"/>
              <w:bottom w:val="single" w:sz="8" w:space="0" w:color="auto"/>
              <w:right w:val="single" w:sz="4" w:space="0" w:color="auto"/>
            </w:tcBorders>
            <w:shd w:val="clear" w:color="auto" w:fill="auto"/>
            <w:noWrap/>
            <w:vAlign w:val="center"/>
            <w:hideMark/>
          </w:tcPr>
          <w:p w14:paraId="32B8EA6D" w14:textId="77777777" w:rsidR="002460A5" w:rsidRPr="006F5FDB" w:rsidRDefault="002460A5" w:rsidP="002460A5">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4.437.229</w:t>
            </w: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14:paraId="7B063554" w14:textId="77777777" w:rsidR="002460A5" w:rsidRPr="006F5FDB" w:rsidRDefault="002460A5" w:rsidP="002460A5">
            <w:pPr>
              <w:spacing w:after="0" w:line="240" w:lineRule="auto"/>
              <w:jc w:val="righ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 xml:space="preserve">1.331.168.700,00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2832F0CD" w14:textId="0CA9EFC8" w:rsidR="002460A5" w:rsidRPr="006F5FDB" w:rsidRDefault="002460A5" w:rsidP="002460A5">
            <w:pPr>
              <w:spacing w:after="0" w:line="240" w:lineRule="auto"/>
              <w:jc w:val="right"/>
              <w:rPr>
                <w:rFonts w:ascii="Calibri" w:eastAsia="Times New Roman" w:hAnsi="Calibri" w:cs="Calibri"/>
                <w:b/>
                <w:bCs/>
                <w:color w:val="000000"/>
                <w:sz w:val="16"/>
                <w:szCs w:val="16"/>
                <w:lang w:eastAsia="hr-HR"/>
              </w:rPr>
            </w:pPr>
            <w:r>
              <w:rPr>
                <w:rFonts w:ascii="Calibri" w:hAnsi="Calibri" w:cs="Calibri"/>
                <w:color w:val="000000"/>
                <w:sz w:val="16"/>
                <w:szCs w:val="16"/>
              </w:rPr>
              <w:t>176.676.448,34</w:t>
            </w:r>
          </w:p>
        </w:tc>
      </w:tr>
    </w:tbl>
    <w:p w14:paraId="065F5258" w14:textId="77777777" w:rsidR="001B3E44" w:rsidRDefault="001B3E44" w:rsidP="0088782C"/>
    <w:p w14:paraId="5A5693F7" w14:textId="0F08A357" w:rsidR="00C259A4" w:rsidRPr="00C259A4" w:rsidRDefault="00C259A4" w:rsidP="0018450E">
      <w:pPr>
        <w:pStyle w:val="IRNaslov2"/>
        <w:numPr>
          <w:ilvl w:val="1"/>
          <w:numId w:val="22"/>
        </w:numPr>
        <w:ind w:left="709"/>
      </w:pPr>
      <w:bookmarkStart w:id="294" w:name="_Toc123211676"/>
      <w:r w:rsidRPr="00C259A4">
        <w:t xml:space="preserve">Procjena troškova </w:t>
      </w:r>
      <w:r>
        <w:t>izgradnje centara za gospodarenje otpadom</w:t>
      </w:r>
      <w:bookmarkEnd w:id="294"/>
    </w:p>
    <w:p w14:paraId="477976D1" w14:textId="2826759E" w:rsidR="00010C87" w:rsidRPr="00F2472E" w:rsidRDefault="00010C87" w:rsidP="00010C87">
      <w:r w:rsidRPr="00C13B10">
        <w:t xml:space="preserve">Uzimajući u obzir status realizacije pojedinih CGO-a prikazana je i očekivana procjena ukupne investicije za uspostavu CGO-a bazirana na trenutnim uvjetima na tržištu odnosno prosječnim ponuđenim cijenama na provedenim postupcima javne nabave baziranim na jediničnoj cijeni po toni obrade otpada na ulazu u CGO. Tako je za CGO-e s kapacitetom većim od 100.000 t/god procijenjeni jedinični troška investiciju iznosi </w:t>
      </w:r>
      <w:r w:rsidR="002460A5">
        <w:t>1.088,33 EUR/toni (</w:t>
      </w:r>
      <w:r w:rsidR="006B18FA">
        <w:t>8</w:t>
      </w:r>
      <w:r w:rsidRPr="00C13B10">
        <w:t>.</w:t>
      </w:r>
      <w:r w:rsidR="006B18FA">
        <w:t>2</w:t>
      </w:r>
      <w:r w:rsidR="006B18FA" w:rsidRPr="00C13B10">
        <w:t xml:space="preserve">00 </w:t>
      </w:r>
      <w:r w:rsidRPr="00C13B10">
        <w:t>kn/toni</w:t>
      </w:r>
      <w:r w:rsidR="002460A5">
        <w:t>)</w:t>
      </w:r>
      <w:r w:rsidRPr="00C13B10">
        <w:t xml:space="preserve"> kapaciteta dok za CGO-e s kapacitetom manjim od 50.000 t/god procijenjeni jedinični troška investiciju iznosi </w:t>
      </w:r>
      <w:r w:rsidR="002460A5">
        <w:t>1.459,95 EUR/toni (</w:t>
      </w:r>
      <w:r w:rsidRPr="00C13B10">
        <w:t>11.000 kn/toni</w:t>
      </w:r>
      <w:r w:rsidR="002460A5">
        <w:t>)</w:t>
      </w:r>
      <w:r w:rsidRPr="00C13B10">
        <w:t xml:space="preserve"> kapaciteta.      </w:t>
      </w:r>
    </w:p>
    <w:p w14:paraId="1E1102D2" w14:textId="12EE2716" w:rsidR="0019459A" w:rsidRDefault="0088782C" w:rsidP="0088782C">
      <w:pPr>
        <w:pStyle w:val="Tablica"/>
      </w:pPr>
      <w:bookmarkStart w:id="295" w:name="_Toc125364453"/>
      <w:r>
        <w:lastRenderedPageBreak/>
        <w:t xml:space="preserve">Tablica </w:t>
      </w:r>
      <w:fldSimple w:instr=" SEQ Tablica \* ARABIC ">
        <w:r w:rsidR="00F37B62">
          <w:rPr>
            <w:noProof/>
          </w:rPr>
          <w:t>64</w:t>
        </w:r>
      </w:fldSimple>
      <w:r>
        <w:t xml:space="preserve">. </w:t>
      </w:r>
      <w:r w:rsidR="00C259A4">
        <w:rPr>
          <w:b w:val="0"/>
          <w:bCs/>
        </w:rPr>
        <w:t xml:space="preserve">Procjena troškova izgradnje centara za gospodarenje otpadom </w:t>
      </w:r>
      <w:r>
        <w:rPr>
          <w:b w:val="0"/>
          <w:bCs/>
        </w:rPr>
        <w:t>– SCENARIJ 1</w:t>
      </w:r>
      <w:bookmarkEnd w:id="295"/>
    </w:p>
    <w:tbl>
      <w:tblPr>
        <w:tblW w:w="9209" w:type="dxa"/>
        <w:tblLook w:val="04A0" w:firstRow="1" w:lastRow="0" w:firstColumn="1" w:lastColumn="0" w:noHBand="0" w:noVBand="1"/>
      </w:tblPr>
      <w:tblGrid>
        <w:gridCol w:w="1271"/>
        <w:gridCol w:w="2835"/>
        <w:gridCol w:w="1559"/>
        <w:gridCol w:w="993"/>
        <w:gridCol w:w="1359"/>
        <w:gridCol w:w="1235"/>
      </w:tblGrid>
      <w:tr w:rsidR="002460A5" w:rsidRPr="006F5FDB" w14:paraId="3A059A40" w14:textId="1E36C868" w:rsidTr="00BB2706">
        <w:trPr>
          <w:trHeight w:val="170"/>
          <w:tblHeader/>
        </w:trPr>
        <w:tc>
          <w:tcPr>
            <w:tcW w:w="127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655699A" w14:textId="77777777" w:rsidR="002460A5" w:rsidRPr="006F5FDB" w:rsidRDefault="002460A5"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CGO</w:t>
            </w:r>
          </w:p>
        </w:tc>
        <w:tc>
          <w:tcPr>
            <w:tcW w:w="2835" w:type="dxa"/>
            <w:tcBorders>
              <w:top w:val="single" w:sz="4" w:space="0" w:color="auto"/>
              <w:left w:val="nil"/>
              <w:bottom w:val="single" w:sz="4" w:space="0" w:color="auto"/>
              <w:right w:val="single" w:sz="4" w:space="0" w:color="auto"/>
            </w:tcBorders>
            <w:shd w:val="clear" w:color="000000" w:fill="002060"/>
            <w:vAlign w:val="center"/>
            <w:hideMark/>
          </w:tcPr>
          <w:p w14:paraId="65C0EDEB" w14:textId="77777777" w:rsidR="002460A5" w:rsidRPr="006F5FDB" w:rsidRDefault="002460A5"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Županija</w:t>
            </w:r>
          </w:p>
        </w:tc>
        <w:tc>
          <w:tcPr>
            <w:tcW w:w="1559" w:type="dxa"/>
            <w:tcBorders>
              <w:top w:val="single" w:sz="4" w:space="0" w:color="auto"/>
              <w:left w:val="nil"/>
              <w:bottom w:val="single" w:sz="4" w:space="0" w:color="auto"/>
              <w:right w:val="single" w:sz="4" w:space="0" w:color="auto"/>
            </w:tcBorders>
            <w:shd w:val="clear" w:color="000000" w:fill="002060"/>
            <w:vAlign w:val="center"/>
            <w:hideMark/>
          </w:tcPr>
          <w:p w14:paraId="35743A52" w14:textId="77777777" w:rsidR="002460A5" w:rsidRPr="006F5FDB" w:rsidRDefault="002460A5"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Izračunati kapacitet CGO-a s obzirom na ciljeve Scenarija 1</w:t>
            </w:r>
            <w:r w:rsidRPr="006F5FDB">
              <w:rPr>
                <w:rFonts w:ascii="Calibri" w:eastAsia="Times New Roman" w:hAnsi="Calibri" w:cs="Calibri"/>
                <w:b/>
                <w:bCs/>
                <w:color w:val="FFFFFF"/>
                <w:sz w:val="16"/>
                <w:szCs w:val="16"/>
                <w:lang w:eastAsia="hr-HR"/>
              </w:rPr>
              <w:br/>
              <w:t>(t)</w:t>
            </w:r>
          </w:p>
        </w:tc>
        <w:tc>
          <w:tcPr>
            <w:tcW w:w="993" w:type="dxa"/>
            <w:tcBorders>
              <w:top w:val="single" w:sz="4" w:space="0" w:color="auto"/>
              <w:left w:val="nil"/>
              <w:bottom w:val="single" w:sz="4" w:space="0" w:color="auto"/>
              <w:right w:val="single" w:sz="4" w:space="0" w:color="auto"/>
            </w:tcBorders>
            <w:shd w:val="clear" w:color="000000" w:fill="002060"/>
            <w:vAlign w:val="center"/>
            <w:hideMark/>
          </w:tcPr>
          <w:p w14:paraId="46EE2F7C" w14:textId="77777777" w:rsidR="002460A5" w:rsidRPr="006F5FDB" w:rsidRDefault="002460A5"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Predviđeni nazivni kapacitet (t/god)</w:t>
            </w:r>
          </w:p>
        </w:tc>
        <w:tc>
          <w:tcPr>
            <w:tcW w:w="1359" w:type="dxa"/>
            <w:tcBorders>
              <w:top w:val="single" w:sz="4" w:space="0" w:color="auto"/>
              <w:left w:val="nil"/>
              <w:bottom w:val="single" w:sz="4" w:space="0" w:color="auto"/>
              <w:right w:val="single" w:sz="4" w:space="0" w:color="auto"/>
            </w:tcBorders>
            <w:shd w:val="clear" w:color="000000" w:fill="002060"/>
            <w:vAlign w:val="center"/>
            <w:hideMark/>
          </w:tcPr>
          <w:p w14:paraId="3AA07DC4" w14:textId="5D6EED72" w:rsidR="002460A5" w:rsidRPr="006F5FDB" w:rsidRDefault="002460A5"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Cijena izgradnje</w:t>
            </w:r>
            <w:r>
              <w:rPr>
                <w:rFonts w:ascii="Calibri" w:eastAsia="Times New Roman" w:hAnsi="Calibri" w:cs="Calibri"/>
                <w:b/>
                <w:bCs/>
                <w:color w:val="FFFFFF"/>
                <w:sz w:val="16"/>
                <w:szCs w:val="16"/>
                <w:lang w:eastAsia="hr-HR"/>
              </w:rPr>
              <w:br/>
              <w:t>(kn)</w:t>
            </w:r>
          </w:p>
        </w:tc>
        <w:tc>
          <w:tcPr>
            <w:tcW w:w="1192" w:type="dxa"/>
            <w:tcBorders>
              <w:top w:val="single" w:sz="4" w:space="0" w:color="auto"/>
              <w:left w:val="nil"/>
              <w:bottom w:val="single" w:sz="4" w:space="0" w:color="auto"/>
              <w:right w:val="single" w:sz="4" w:space="0" w:color="auto"/>
            </w:tcBorders>
            <w:shd w:val="clear" w:color="000000" w:fill="002060"/>
          </w:tcPr>
          <w:p w14:paraId="36B2FDB2" w14:textId="263AE651" w:rsidR="002460A5" w:rsidRPr="006F5FDB" w:rsidRDefault="002460A5"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Cijena izgradnje</w:t>
            </w:r>
            <w:r>
              <w:rPr>
                <w:rFonts w:ascii="Calibri" w:eastAsia="Times New Roman" w:hAnsi="Calibri" w:cs="Calibri"/>
                <w:b/>
                <w:bCs/>
                <w:color w:val="FFFFFF"/>
                <w:sz w:val="16"/>
                <w:szCs w:val="16"/>
                <w:lang w:eastAsia="hr-HR"/>
              </w:rPr>
              <w:br/>
              <w:t>(EUR)</w:t>
            </w:r>
          </w:p>
        </w:tc>
      </w:tr>
      <w:tr w:rsidR="002460A5" w:rsidRPr="006F5FDB" w14:paraId="5D51BB41" w14:textId="0BBB6D2F" w:rsidTr="00BB2706">
        <w:trPr>
          <w:trHeight w:val="1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3FB5F1F" w14:textId="77777777" w:rsidR="002460A5" w:rsidRPr="006F5FDB" w:rsidRDefault="002460A5" w:rsidP="002460A5">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Babina gora</w:t>
            </w:r>
          </w:p>
        </w:tc>
        <w:tc>
          <w:tcPr>
            <w:tcW w:w="2835" w:type="dxa"/>
            <w:tcBorders>
              <w:top w:val="nil"/>
              <w:left w:val="nil"/>
              <w:bottom w:val="single" w:sz="4" w:space="0" w:color="auto"/>
              <w:right w:val="single" w:sz="4" w:space="0" w:color="auto"/>
            </w:tcBorders>
            <w:shd w:val="clear" w:color="auto" w:fill="auto"/>
            <w:vAlign w:val="center"/>
            <w:hideMark/>
          </w:tcPr>
          <w:p w14:paraId="5D7CE1E1"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Karlovačka, dio Ličko-senjske i</w:t>
            </w:r>
            <w:r w:rsidRPr="006F5FDB">
              <w:rPr>
                <w:rFonts w:ascii="Calibri" w:eastAsia="Times New Roman" w:hAnsi="Calibri" w:cs="Calibri"/>
                <w:color w:val="000000"/>
                <w:sz w:val="16"/>
                <w:szCs w:val="16"/>
                <w:lang w:eastAsia="hr-HR"/>
              </w:rPr>
              <w:br/>
              <w:t>dio Sisačko-moslavačka</w:t>
            </w:r>
          </w:p>
        </w:tc>
        <w:tc>
          <w:tcPr>
            <w:tcW w:w="1559" w:type="dxa"/>
            <w:tcBorders>
              <w:top w:val="nil"/>
              <w:left w:val="nil"/>
              <w:bottom w:val="single" w:sz="4" w:space="0" w:color="auto"/>
              <w:right w:val="single" w:sz="4" w:space="0" w:color="auto"/>
            </w:tcBorders>
            <w:shd w:val="clear" w:color="auto" w:fill="auto"/>
            <w:noWrap/>
            <w:vAlign w:val="center"/>
            <w:hideMark/>
          </w:tcPr>
          <w:p w14:paraId="1AF268BB"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27.971</w:t>
            </w:r>
          </w:p>
        </w:tc>
        <w:tc>
          <w:tcPr>
            <w:tcW w:w="993" w:type="dxa"/>
            <w:tcBorders>
              <w:top w:val="nil"/>
              <w:left w:val="nil"/>
              <w:bottom w:val="single" w:sz="4" w:space="0" w:color="auto"/>
              <w:right w:val="single" w:sz="4" w:space="0" w:color="auto"/>
            </w:tcBorders>
            <w:shd w:val="clear" w:color="auto" w:fill="auto"/>
            <w:noWrap/>
            <w:vAlign w:val="center"/>
            <w:hideMark/>
          </w:tcPr>
          <w:p w14:paraId="60A8884D"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30.000</w:t>
            </w:r>
          </w:p>
        </w:tc>
        <w:tc>
          <w:tcPr>
            <w:tcW w:w="1359" w:type="dxa"/>
            <w:tcBorders>
              <w:top w:val="nil"/>
              <w:left w:val="nil"/>
              <w:bottom w:val="single" w:sz="4" w:space="0" w:color="auto"/>
              <w:right w:val="single" w:sz="4" w:space="0" w:color="auto"/>
            </w:tcBorders>
            <w:shd w:val="clear" w:color="auto" w:fill="auto"/>
            <w:noWrap/>
            <w:vAlign w:val="center"/>
            <w:hideMark/>
          </w:tcPr>
          <w:p w14:paraId="3C81DEEB" w14:textId="5D42FFDF"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429.764.639,05</w:t>
            </w:r>
          </w:p>
        </w:tc>
        <w:tc>
          <w:tcPr>
            <w:tcW w:w="1192" w:type="dxa"/>
            <w:tcBorders>
              <w:top w:val="single" w:sz="4" w:space="0" w:color="auto"/>
              <w:left w:val="nil"/>
              <w:bottom w:val="single" w:sz="4" w:space="0" w:color="auto"/>
              <w:right w:val="single" w:sz="4" w:space="0" w:color="auto"/>
            </w:tcBorders>
            <w:shd w:val="clear" w:color="auto" w:fill="auto"/>
            <w:vAlign w:val="center"/>
          </w:tcPr>
          <w:p w14:paraId="30585D8C" w14:textId="100A8AAD"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57.039.569,85</w:t>
            </w:r>
          </w:p>
        </w:tc>
      </w:tr>
      <w:tr w:rsidR="002460A5" w:rsidRPr="006F5FDB" w14:paraId="37A528A4" w14:textId="4909838C" w:rsidTr="00BB2706">
        <w:trPr>
          <w:trHeight w:val="1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3899D4F" w14:textId="77777777" w:rsidR="002460A5" w:rsidRPr="006F5FDB" w:rsidRDefault="002460A5" w:rsidP="002460A5">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Biljane Donje</w:t>
            </w:r>
          </w:p>
        </w:tc>
        <w:tc>
          <w:tcPr>
            <w:tcW w:w="2835" w:type="dxa"/>
            <w:tcBorders>
              <w:top w:val="nil"/>
              <w:left w:val="nil"/>
              <w:bottom w:val="single" w:sz="4" w:space="0" w:color="auto"/>
              <w:right w:val="single" w:sz="4" w:space="0" w:color="auto"/>
            </w:tcBorders>
            <w:shd w:val="clear" w:color="auto" w:fill="auto"/>
            <w:vAlign w:val="center"/>
            <w:hideMark/>
          </w:tcPr>
          <w:p w14:paraId="71649A5E"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Zadarska i dio Ličko-senjske</w:t>
            </w:r>
          </w:p>
        </w:tc>
        <w:tc>
          <w:tcPr>
            <w:tcW w:w="1559" w:type="dxa"/>
            <w:tcBorders>
              <w:top w:val="nil"/>
              <w:left w:val="nil"/>
              <w:bottom w:val="single" w:sz="4" w:space="0" w:color="auto"/>
              <w:right w:val="single" w:sz="4" w:space="0" w:color="auto"/>
            </w:tcBorders>
            <w:shd w:val="clear" w:color="auto" w:fill="auto"/>
            <w:noWrap/>
            <w:vAlign w:val="center"/>
            <w:hideMark/>
          </w:tcPr>
          <w:p w14:paraId="3B82EA9B"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59.584</w:t>
            </w:r>
          </w:p>
        </w:tc>
        <w:tc>
          <w:tcPr>
            <w:tcW w:w="993" w:type="dxa"/>
            <w:tcBorders>
              <w:top w:val="nil"/>
              <w:left w:val="nil"/>
              <w:bottom w:val="single" w:sz="4" w:space="0" w:color="auto"/>
              <w:right w:val="single" w:sz="4" w:space="0" w:color="auto"/>
            </w:tcBorders>
            <w:shd w:val="clear" w:color="auto" w:fill="auto"/>
            <w:noWrap/>
            <w:vAlign w:val="center"/>
            <w:hideMark/>
          </w:tcPr>
          <w:p w14:paraId="286F09DC"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88.000</w:t>
            </w:r>
          </w:p>
        </w:tc>
        <w:tc>
          <w:tcPr>
            <w:tcW w:w="1359" w:type="dxa"/>
            <w:tcBorders>
              <w:top w:val="nil"/>
              <w:left w:val="nil"/>
              <w:bottom w:val="single" w:sz="4" w:space="0" w:color="auto"/>
              <w:right w:val="single" w:sz="4" w:space="0" w:color="auto"/>
            </w:tcBorders>
            <w:shd w:val="clear" w:color="auto" w:fill="auto"/>
            <w:noWrap/>
            <w:vAlign w:val="center"/>
            <w:hideMark/>
          </w:tcPr>
          <w:p w14:paraId="46DA16B0" w14:textId="4D63E02A"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241.219.909,09</w:t>
            </w:r>
          </w:p>
        </w:tc>
        <w:tc>
          <w:tcPr>
            <w:tcW w:w="1192" w:type="dxa"/>
            <w:tcBorders>
              <w:top w:val="single" w:sz="4" w:space="0" w:color="auto"/>
              <w:left w:val="nil"/>
              <w:bottom w:val="single" w:sz="4" w:space="0" w:color="auto"/>
              <w:right w:val="single" w:sz="4" w:space="0" w:color="auto"/>
            </w:tcBorders>
            <w:shd w:val="clear" w:color="auto" w:fill="auto"/>
            <w:vAlign w:val="center"/>
          </w:tcPr>
          <w:p w14:paraId="0D087AD6" w14:textId="7F76C2B2"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32.015.383,78</w:t>
            </w:r>
          </w:p>
        </w:tc>
      </w:tr>
      <w:tr w:rsidR="002460A5" w:rsidRPr="006F5FDB" w14:paraId="24D75F43" w14:textId="195D2994" w:rsidTr="00BB2706">
        <w:trPr>
          <w:trHeight w:val="1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614F916" w14:textId="77777777" w:rsidR="002460A5" w:rsidRPr="006F5FDB" w:rsidRDefault="002460A5" w:rsidP="002460A5">
            <w:pPr>
              <w:spacing w:after="0" w:line="240" w:lineRule="auto"/>
              <w:jc w:val="left"/>
              <w:rPr>
                <w:rFonts w:ascii="Calibri" w:eastAsia="Times New Roman" w:hAnsi="Calibri" w:cs="Calibri"/>
                <w:b/>
                <w:bCs/>
                <w:color w:val="000000"/>
                <w:sz w:val="16"/>
                <w:szCs w:val="16"/>
                <w:lang w:eastAsia="hr-HR"/>
              </w:rPr>
            </w:pPr>
            <w:proofErr w:type="spellStart"/>
            <w:r w:rsidRPr="006F5FDB">
              <w:rPr>
                <w:rFonts w:ascii="Calibri" w:eastAsia="Times New Roman" w:hAnsi="Calibri" w:cs="Calibri"/>
                <w:b/>
                <w:bCs/>
                <w:color w:val="000000"/>
                <w:sz w:val="16"/>
                <w:szCs w:val="16"/>
                <w:lang w:eastAsia="hr-HR"/>
              </w:rPr>
              <w:t>Lećevica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7DA4B534"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Splitsko-dalmatinska</w:t>
            </w:r>
          </w:p>
        </w:tc>
        <w:tc>
          <w:tcPr>
            <w:tcW w:w="1559" w:type="dxa"/>
            <w:tcBorders>
              <w:top w:val="nil"/>
              <w:left w:val="nil"/>
              <w:bottom w:val="single" w:sz="4" w:space="0" w:color="auto"/>
              <w:right w:val="single" w:sz="4" w:space="0" w:color="auto"/>
            </w:tcBorders>
            <w:shd w:val="clear" w:color="auto" w:fill="auto"/>
            <w:noWrap/>
            <w:vAlign w:val="center"/>
            <w:hideMark/>
          </w:tcPr>
          <w:p w14:paraId="32C88187"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124.101</w:t>
            </w:r>
          </w:p>
        </w:tc>
        <w:tc>
          <w:tcPr>
            <w:tcW w:w="993" w:type="dxa"/>
            <w:tcBorders>
              <w:top w:val="nil"/>
              <w:left w:val="nil"/>
              <w:bottom w:val="single" w:sz="4" w:space="0" w:color="auto"/>
              <w:right w:val="single" w:sz="4" w:space="0" w:color="auto"/>
            </w:tcBorders>
            <w:shd w:val="clear" w:color="auto" w:fill="auto"/>
            <w:noWrap/>
            <w:vAlign w:val="center"/>
            <w:hideMark/>
          </w:tcPr>
          <w:p w14:paraId="511DF8C6"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110.000</w:t>
            </w:r>
          </w:p>
        </w:tc>
        <w:tc>
          <w:tcPr>
            <w:tcW w:w="1359" w:type="dxa"/>
            <w:tcBorders>
              <w:top w:val="nil"/>
              <w:left w:val="nil"/>
              <w:bottom w:val="single" w:sz="4" w:space="0" w:color="auto"/>
              <w:right w:val="single" w:sz="4" w:space="0" w:color="auto"/>
            </w:tcBorders>
            <w:shd w:val="clear" w:color="auto" w:fill="auto"/>
            <w:noWrap/>
            <w:vAlign w:val="center"/>
            <w:hideMark/>
          </w:tcPr>
          <w:p w14:paraId="05DDB0E1" w14:textId="5C3E1352"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900.000.000,00</w:t>
            </w:r>
          </w:p>
        </w:tc>
        <w:tc>
          <w:tcPr>
            <w:tcW w:w="1192" w:type="dxa"/>
            <w:tcBorders>
              <w:top w:val="single" w:sz="4" w:space="0" w:color="auto"/>
              <w:left w:val="nil"/>
              <w:bottom w:val="single" w:sz="4" w:space="0" w:color="auto"/>
              <w:right w:val="single" w:sz="4" w:space="0" w:color="auto"/>
            </w:tcBorders>
            <w:shd w:val="clear" w:color="auto" w:fill="auto"/>
            <w:vAlign w:val="center"/>
          </w:tcPr>
          <w:p w14:paraId="2610D155" w14:textId="0A181B2E"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119.450.527,57</w:t>
            </w:r>
          </w:p>
        </w:tc>
      </w:tr>
      <w:tr w:rsidR="002460A5" w:rsidRPr="006F5FDB" w14:paraId="70377928" w14:textId="6E3B770D" w:rsidTr="00BB2706">
        <w:trPr>
          <w:trHeight w:val="1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56E57AA" w14:textId="77777777" w:rsidR="002460A5" w:rsidRPr="006F5FDB" w:rsidRDefault="002460A5" w:rsidP="002460A5">
            <w:pPr>
              <w:spacing w:after="0" w:line="240" w:lineRule="auto"/>
              <w:jc w:val="left"/>
              <w:rPr>
                <w:rFonts w:ascii="Calibri" w:eastAsia="Times New Roman" w:hAnsi="Calibri" w:cs="Calibri"/>
                <w:b/>
                <w:bCs/>
                <w:color w:val="000000"/>
                <w:sz w:val="16"/>
                <w:szCs w:val="16"/>
                <w:lang w:eastAsia="hr-HR"/>
              </w:rPr>
            </w:pPr>
            <w:proofErr w:type="spellStart"/>
            <w:r w:rsidRPr="006F5FDB">
              <w:rPr>
                <w:rFonts w:ascii="Calibri" w:eastAsia="Times New Roman" w:hAnsi="Calibri" w:cs="Calibri"/>
                <w:b/>
                <w:bCs/>
                <w:color w:val="000000"/>
                <w:sz w:val="16"/>
                <w:szCs w:val="16"/>
                <w:lang w:eastAsia="hr-HR"/>
              </w:rPr>
              <w:t>Lučino</w:t>
            </w:r>
            <w:proofErr w:type="spellEnd"/>
            <w:r w:rsidRPr="006F5FDB">
              <w:rPr>
                <w:rFonts w:ascii="Calibri" w:eastAsia="Times New Roman" w:hAnsi="Calibri" w:cs="Calibri"/>
                <w:b/>
                <w:bCs/>
                <w:color w:val="000000"/>
                <w:sz w:val="16"/>
                <w:szCs w:val="16"/>
                <w:lang w:eastAsia="hr-HR"/>
              </w:rPr>
              <w:t xml:space="preserve"> </w:t>
            </w:r>
            <w:proofErr w:type="spellStart"/>
            <w:r w:rsidRPr="006F5FDB">
              <w:rPr>
                <w:rFonts w:ascii="Calibri" w:eastAsia="Times New Roman" w:hAnsi="Calibri" w:cs="Calibri"/>
                <w:b/>
                <w:bCs/>
                <w:color w:val="000000"/>
                <w:sz w:val="16"/>
                <w:szCs w:val="16"/>
                <w:lang w:eastAsia="hr-HR"/>
              </w:rPr>
              <w:t>Razdolje</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25261C28"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1559" w:type="dxa"/>
            <w:tcBorders>
              <w:top w:val="nil"/>
              <w:left w:val="nil"/>
              <w:bottom w:val="single" w:sz="4" w:space="0" w:color="auto"/>
              <w:right w:val="single" w:sz="4" w:space="0" w:color="auto"/>
            </w:tcBorders>
            <w:shd w:val="clear" w:color="auto" w:fill="auto"/>
            <w:noWrap/>
            <w:vAlign w:val="center"/>
            <w:hideMark/>
          </w:tcPr>
          <w:p w14:paraId="4212E6B3"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33.924</w:t>
            </w:r>
          </w:p>
        </w:tc>
        <w:tc>
          <w:tcPr>
            <w:tcW w:w="993" w:type="dxa"/>
            <w:tcBorders>
              <w:top w:val="nil"/>
              <w:left w:val="nil"/>
              <w:bottom w:val="single" w:sz="4" w:space="0" w:color="auto"/>
              <w:right w:val="single" w:sz="4" w:space="0" w:color="auto"/>
            </w:tcBorders>
            <w:shd w:val="clear" w:color="auto" w:fill="auto"/>
            <w:noWrap/>
            <w:vAlign w:val="center"/>
            <w:hideMark/>
          </w:tcPr>
          <w:p w14:paraId="6A293565"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40.000</w:t>
            </w:r>
          </w:p>
        </w:tc>
        <w:tc>
          <w:tcPr>
            <w:tcW w:w="1359" w:type="dxa"/>
            <w:tcBorders>
              <w:top w:val="nil"/>
              <w:left w:val="nil"/>
              <w:bottom w:val="single" w:sz="4" w:space="0" w:color="auto"/>
              <w:right w:val="single" w:sz="4" w:space="0" w:color="auto"/>
            </w:tcBorders>
            <w:shd w:val="clear" w:color="auto" w:fill="auto"/>
            <w:noWrap/>
            <w:vAlign w:val="center"/>
            <w:hideMark/>
          </w:tcPr>
          <w:p w14:paraId="49F251C3" w14:textId="1EA0D89E"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558.899.735,01</w:t>
            </w:r>
          </w:p>
        </w:tc>
        <w:tc>
          <w:tcPr>
            <w:tcW w:w="1192" w:type="dxa"/>
            <w:tcBorders>
              <w:top w:val="single" w:sz="4" w:space="0" w:color="auto"/>
              <w:left w:val="nil"/>
              <w:bottom w:val="single" w:sz="4" w:space="0" w:color="auto"/>
              <w:right w:val="single" w:sz="4" w:space="0" w:color="auto"/>
            </w:tcBorders>
            <w:shd w:val="clear" w:color="auto" w:fill="auto"/>
            <w:vAlign w:val="center"/>
          </w:tcPr>
          <w:p w14:paraId="7A53315E" w14:textId="59D77892"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74.178.742,45</w:t>
            </w:r>
          </w:p>
        </w:tc>
      </w:tr>
      <w:tr w:rsidR="002460A5" w:rsidRPr="006F5FDB" w14:paraId="68F56A2B" w14:textId="6499E8E5" w:rsidTr="00BB2706">
        <w:trPr>
          <w:trHeight w:val="1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B2FF323" w14:textId="77777777" w:rsidR="002460A5" w:rsidRPr="006F5FDB" w:rsidRDefault="002460A5" w:rsidP="002460A5">
            <w:pPr>
              <w:spacing w:after="0" w:line="240" w:lineRule="auto"/>
              <w:jc w:val="left"/>
              <w:rPr>
                <w:rFonts w:ascii="Calibri" w:eastAsia="Times New Roman" w:hAnsi="Calibri" w:cs="Calibri"/>
                <w:b/>
                <w:bCs/>
                <w:color w:val="000000"/>
                <w:sz w:val="16"/>
                <w:szCs w:val="16"/>
                <w:lang w:eastAsia="hr-HR"/>
              </w:rPr>
            </w:pPr>
            <w:proofErr w:type="spellStart"/>
            <w:r w:rsidRPr="006F5FDB">
              <w:rPr>
                <w:rFonts w:ascii="Calibri" w:eastAsia="Times New Roman" w:hAnsi="Calibri" w:cs="Calibri"/>
                <w:b/>
                <w:bCs/>
                <w:color w:val="000000"/>
                <w:sz w:val="16"/>
                <w:szCs w:val="16"/>
                <w:lang w:eastAsia="hr-HR"/>
              </w:rPr>
              <w:t>Piškornica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198F4615"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Varaždinska, Koprivničko-križevačka, Međimurska, Bjelovarsko-bilogorska </w:t>
            </w:r>
          </w:p>
        </w:tc>
        <w:tc>
          <w:tcPr>
            <w:tcW w:w="1559" w:type="dxa"/>
            <w:tcBorders>
              <w:top w:val="nil"/>
              <w:left w:val="nil"/>
              <w:bottom w:val="single" w:sz="4" w:space="0" w:color="auto"/>
              <w:right w:val="single" w:sz="4" w:space="0" w:color="auto"/>
            </w:tcBorders>
            <w:shd w:val="clear" w:color="auto" w:fill="auto"/>
            <w:noWrap/>
            <w:vAlign w:val="center"/>
            <w:hideMark/>
          </w:tcPr>
          <w:p w14:paraId="2880483B"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88.817</w:t>
            </w:r>
          </w:p>
        </w:tc>
        <w:tc>
          <w:tcPr>
            <w:tcW w:w="993" w:type="dxa"/>
            <w:tcBorders>
              <w:top w:val="nil"/>
              <w:left w:val="nil"/>
              <w:bottom w:val="single" w:sz="4" w:space="0" w:color="auto"/>
              <w:right w:val="single" w:sz="4" w:space="0" w:color="auto"/>
            </w:tcBorders>
            <w:shd w:val="clear" w:color="auto" w:fill="auto"/>
            <w:noWrap/>
            <w:vAlign w:val="center"/>
            <w:hideMark/>
          </w:tcPr>
          <w:p w14:paraId="5C5FC68A"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110.000</w:t>
            </w:r>
          </w:p>
        </w:tc>
        <w:tc>
          <w:tcPr>
            <w:tcW w:w="1359" w:type="dxa"/>
            <w:tcBorders>
              <w:top w:val="nil"/>
              <w:left w:val="nil"/>
              <w:bottom w:val="single" w:sz="4" w:space="0" w:color="auto"/>
              <w:right w:val="single" w:sz="4" w:space="0" w:color="auto"/>
            </w:tcBorders>
            <w:shd w:val="clear" w:color="auto" w:fill="auto"/>
            <w:noWrap/>
            <w:vAlign w:val="center"/>
            <w:hideMark/>
          </w:tcPr>
          <w:p w14:paraId="6150846E" w14:textId="5204F3EF"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900.000.000,00</w:t>
            </w:r>
          </w:p>
        </w:tc>
        <w:tc>
          <w:tcPr>
            <w:tcW w:w="1192" w:type="dxa"/>
            <w:tcBorders>
              <w:top w:val="single" w:sz="4" w:space="0" w:color="auto"/>
              <w:left w:val="nil"/>
              <w:bottom w:val="single" w:sz="4" w:space="0" w:color="auto"/>
              <w:right w:val="single" w:sz="4" w:space="0" w:color="auto"/>
            </w:tcBorders>
            <w:shd w:val="clear" w:color="auto" w:fill="auto"/>
            <w:vAlign w:val="center"/>
          </w:tcPr>
          <w:p w14:paraId="7F887BDE" w14:textId="3A39501B"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119.450.527,57</w:t>
            </w:r>
          </w:p>
        </w:tc>
      </w:tr>
      <w:tr w:rsidR="002460A5" w:rsidRPr="006F5FDB" w14:paraId="1E430FFE" w14:textId="3204FC52" w:rsidTr="00BB2706">
        <w:trPr>
          <w:trHeight w:val="1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9F6D747" w14:textId="77777777" w:rsidR="002460A5" w:rsidRPr="006F5FDB" w:rsidRDefault="002460A5" w:rsidP="002460A5">
            <w:pPr>
              <w:spacing w:after="0" w:line="240" w:lineRule="auto"/>
              <w:jc w:val="left"/>
              <w:rPr>
                <w:rFonts w:ascii="Calibri" w:eastAsia="Times New Roman" w:hAnsi="Calibri" w:cs="Calibri"/>
                <w:b/>
                <w:bCs/>
                <w:color w:val="000000"/>
                <w:sz w:val="16"/>
                <w:szCs w:val="16"/>
                <w:lang w:eastAsia="hr-HR"/>
              </w:rPr>
            </w:pPr>
            <w:proofErr w:type="spellStart"/>
            <w:r w:rsidRPr="006F5FDB">
              <w:rPr>
                <w:rFonts w:ascii="Calibri" w:eastAsia="Times New Roman" w:hAnsi="Calibri" w:cs="Calibri"/>
                <w:b/>
                <w:bCs/>
                <w:color w:val="000000"/>
                <w:sz w:val="16"/>
                <w:szCs w:val="16"/>
                <w:lang w:eastAsia="hr-HR"/>
              </w:rPr>
              <w:t>Šagulje</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7DAD8898"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Brodsko-posavska, dio Sisačko-moslavačke i Virovitičko-podravska </w:t>
            </w:r>
          </w:p>
        </w:tc>
        <w:tc>
          <w:tcPr>
            <w:tcW w:w="1559" w:type="dxa"/>
            <w:tcBorders>
              <w:top w:val="nil"/>
              <w:left w:val="nil"/>
              <w:bottom w:val="single" w:sz="4" w:space="0" w:color="auto"/>
              <w:right w:val="single" w:sz="4" w:space="0" w:color="auto"/>
            </w:tcBorders>
            <w:shd w:val="clear" w:color="auto" w:fill="auto"/>
            <w:noWrap/>
            <w:vAlign w:val="center"/>
            <w:hideMark/>
          </w:tcPr>
          <w:p w14:paraId="055E2C34"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52.485</w:t>
            </w:r>
          </w:p>
        </w:tc>
        <w:tc>
          <w:tcPr>
            <w:tcW w:w="993" w:type="dxa"/>
            <w:tcBorders>
              <w:top w:val="nil"/>
              <w:left w:val="nil"/>
              <w:bottom w:val="single" w:sz="4" w:space="0" w:color="auto"/>
              <w:right w:val="single" w:sz="4" w:space="0" w:color="auto"/>
            </w:tcBorders>
            <w:shd w:val="clear" w:color="auto" w:fill="auto"/>
            <w:noWrap/>
            <w:vAlign w:val="center"/>
            <w:hideMark/>
          </w:tcPr>
          <w:p w14:paraId="08D27979"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55.000</w:t>
            </w:r>
          </w:p>
        </w:tc>
        <w:tc>
          <w:tcPr>
            <w:tcW w:w="1359" w:type="dxa"/>
            <w:tcBorders>
              <w:top w:val="nil"/>
              <w:left w:val="nil"/>
              <w:bottom w:val="single" w:sz="4" w:space="0" w:color="auto"/>
              <w:right w:val="single" w:sz="4" w:space="0" w:color="auto"/>
            </w:tcBorders>
            <w:shd w:val="clear" w:color="auto" w:fill="auto"/>
            <w:noWrap/>
            <w:vAlign w:val="center"/>
            <w:hideMark/>
          </w:tcPr>
          <w:p w14:paraId="0D8ABB60" w14:textId="0FCFB321"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561.000.000,00</w:t>
            </w:r>
          </w:p>
        </w:tc>
        <w:tc>
          <w:tcPr>
            <w:tcW w:w="1192" w:type="dxa"/>
            <w:tcBorders>
              <w:top w:val="single" w:sz="4" w:space="0" w:color="auto"/>
              <w:left w:val="nil"/>
              <w:bottom w:val="single" w:sz="4" w:space="0" w:color="auto"/>
              <w:right w:val="single" w:sz="4" w:space="0" w:color="auto"/>
            </w:tcBorders>
            <w:shd w:val="clear" w:color="auto" w:fill="auto"/>
            <w:vAlign w:val="center"/>
          </w:tcPr>
          <w:p w14:paraId="04509542" w14:textId="43C2F832"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74.457.495,52</w:t>
            </w:r>
          </w:p>
        </w:tc>
      </w:tr>
      <w:tr w:rsidR="002460A5" w:rsidRPr="006F5FDB" w14:paraId="368917C0" w14:textId="227AB2AF" w:rsidTr="00BB2706">
        <w:trPr>
          <w:trHeight w:val="1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DC94D02" w14:textId="77777777" w:rsidR="002460A5" w:rsidRPr="006F5FDB" w:rsidRDefault="002460A5" w:rsidP="002460A5">
            <w:pPr>
              <w:spacing w:after="0" w:line="240" w:lineRule="auto"/>
              <w:jc w:val="left"/>
              <w:rPr>
                <w:rFonts w:ascii="Calibri" w:eastAsia="Times New Roman" w:hAnsi="Calibri" w:cs="Calibri"/>
                <w:b/>
                <w:bCs/>
                <w:color w:val="000000"/>
                <w:sz w:val="16"/>
                <w:szCs w:val="16"/>
                <w:lang w:eastAsia="hr-HR"/>
              </w:rPr>
            </w:pPr>
            <w:proofErr w:type="spellStart"/>
            <w:r w:rsidRPr="006F5FDB">
              <w:rPr>
                <w:rFonts w:ascii="Calibri" w:eastAsia="Times New Roman" w:hAnsi="Calibri" w:cs="Calibri"/>
                <w:b/>
                <w:bCs/>
                <w:color w:val="000000"/>
                <w:sz w:val="16"/>
                <w:szCs w:val="16"/>
                <w:lang w:eastAsia="hr-HR"/>
              </w:rPr>
              <w:t>Orlovnjak</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7E9BEF02"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 baranjska i Vukovarsko-srijemska </w:t>
            </w:r>
          </w:p>
        </w:tc>
        <w:tc>
          <w:tcPr>
            <w:tcW w:w="1559" w:type="dxa"/>
            <w:tcBorders>
              <w:top w:val="nil"/>
              <w:left w:val="nil"/>
              <w:bottom w:val="single" w:sz="4" w:space="0" w:color="auto"/>
              <w:right w:val="single" w:sz="4" w:space="0" w:color="auto"/>
            </w:tcBorders>
            <w:shd w:val="clear" w:color="auto" w:fill="auto"/>
            <w:noWrap/>
            <w:vAlign w:val="center"/>
            <w:hideMark/>
          </w:tcPr>
          <w:p w14:paraId="3F2D2327"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69.027</w:t>
            </w:r>
          </w:p>
        </w:tc>
        <w:tc>
          <w:tcPr>
            <w:tcW w:w="993" w:type="dxa"/>
            <w:tcBorders>
              <w:top w:val="nil"/>
              <w:left w:val="nil"/>
              <w:bottom w:val="single" w:sz="4" w:space="0" w:color="auto"/>
              <w:right w:val="single" w:sz="4" w:space="0" w:color="auto"/>
            </w:tcBorders>
            <w:shd w:val="clear" w:color="auto" w:fill="auto"/>
            <w:noWrap/>
            <w:vAlign w:val="center"/>
            <w:hideMark/>
          </w:tcPr>
          <w:p w14:paraId="41AA59B9"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60.000</w:t>
            </w:r>
          </w:p>
        </w:tc>
        <w:tc>
          <w:tcPr>
            <w:tcW w:w="1359" w:type="dxa"/>
            <w:tcBorders>
              <w:top w:val="nil"/>
              <w:left w:val="nil"/>
              <w:bottom w:val="single" w:sz="4" w:space="0" w:color="auto"/>
              <w:right w:val="single" w:sz="4" w:space="0" w:color="auto"/>
            </w:tcBorders>
            <w:shd w:val="clear" w:color="auto" w:fill="auto"/>
            <w:noWrap/>
            <w:vAlign w:val="center"/>
            <w:hideMark/>
          </w:tcPr>
          <w:p w14:paraId="3F40DDC8" w14:textId="609B9C3B"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612.000.000,00</w:t>
            </w:r>
          </w:p>
        </w:tc>
        <w:tc>
          <w:tcPr>
            <w:tcW w:w="1192" w:type="dxa"/>
            <w:tcBorders>
              <w:top w:val="single" w:sz="4" w:space="0" w:color="auto"/>
              <w:left w:val="nil"/>
              <w:bottom w:val="single" w:sz="4" w:space="0" w:color="auto"/>
              <w:right w:val="single" w:sz="4" w:space="0" w:color="auto"/>
            </w:tcBorders>
            <w:shd w:val="clear" w:color="auto" w:fill="auto"/>
            <w:vAlign w:val="center"/>
          </w:tcPr>
          <w:p w14:paraId="5825B5C5" w14:textId="29B86E95"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81.226.358,75</w:t>
            </w:r>
          </w:p>
        </w:tc>
      </w:tr>
      <w:tr w:rsidR="002460A5" w:rsidRPr="006F5FDB" w14:paraId="587E3FCB" w14:textId="39BB2A5F" w:rsidTr="00BB2706">
        <w:trPr>
          <w:trHeight w:val="1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460EF46" w14:textId="77777777" w:rsidR="002460A5" w:rsidRPr="006F5FDB" w:rsidRDefault="002460A5" w:rsidP="002460A5">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Zagreb</w:t>
            </w:r>
          </w:p>
        </w:tc>
        <w:tc>
          <w:tcPr>
            <w:tcW w:w="2835" w:type="dxa"/>
            <w:tcBorders>
              <w:top w:val="nil"/>
              <w:left w:val="nil"/>
              <w:bottom w:val="single" w:sz="4" w:space="0" w:color="auto"/>
              <w:right w:val="single" w:sz="4" w:space="0" w:color="auto"/>
            </w:tcBorders>
            <w:shd w:val="clear" w:color="auto" w:fill="auto"/>
            <w:vAlign w:val="center"/>
            <w:hideMark/>
          </w:tcPr>
          <w:p w14:paraId="55C8380E"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 i Zagrebačka županija</w:t>
            </w:r>
          </w:p>
        </w:tc>
        <w:tc>
          <w:tcPr>
            <w:tcW w:w="1559" w:type="dxa"/>
            <w:tcBorders>
              <w:top w:val="nil"/>
              <w:left w:val="nil"/>
              <w:bottom w:val="single" w:sz="4" w:space="0" w:color="auto"/>
              <w:right w:val="single" w:sz="4" w:space="0" w:color="auto"/>
            </w:tcBorders>
            <w:shd w:val="clear" w:color="auto" w:fill="auto"/>
            <w:noWrap/>
            <w:vAlign w:val="center"/>
            <w:hideMark/>
          </w:tcPr>
          <w:p w14:paraId="7D1B52F0"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227.393</w:t>
            </w:r>
          </w:p>
        </w:tc>
        <w:tc>
          <w:tcPr>
            <w:tcW w:w="993" w:type="dxa"/>
            <w:tcBorders>
              <w:top w:val="nil"/>
              <w:left w:val="nil"/>
              <w:bottom w:val="single" w:sz="4" w:space="0" w:color="auto"/>
              <w:right w:val="single" w:sz="4" w:space="0" w:color="auto"/>
            </w:tcBorders>
            <w:shd w:val="clear" w:color="auto" w:fill="auto"/>
            <w:noWrap/>
            <w:vAlign w:val="center"/>
            <w:hideMark/>
          </w:tcPr>
          <w:p w14:paraId="1C49C9EF"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180.000</w:t>
            </w:r>
          </w:p>
        </w:tc>
        <w:tc>
          <w:tcPr>
            <w:tcW w:w="1359" w:type="dxa"/>
            <w:tcBorders>
              <w:top w:val="nil"/>
              <w:left w:val="nil"/>
              <w:bottom w:val="single" w:sz="4" w:space="0" w:color="auto"/>
              <w:right w:val="single" w:sz="4" w:space="0" w:color="auto"/>
            </w:tcBorders>
            <w:shd w:val="clear" w:color="auto" w:fill="auto"/>
            <w:noWrap/>
            <w:vAlign w:val="center"/>
            <w:hideMark/>
          </w:tcPr>
          <w:p w14:paraId="55D49C55" w14:textId="4F973E8D"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1.260.000.000,00</w:t>
            </w:r>
          </w:p>
        </w:tc>
        <w:tc>
          <w:tcPr>
            <w:tcW w:w="1192" w:type="dxa"/>
            <w:tcBorders>
              <w:top w:val="single" w:sz="4" w:space="0" w:color="auto"/>
              <w:left w:val="nil"/>
              <w:bottom w:val="single" w:sz="4" w:space="0" w:color="auto"/>
              <w:right w:val="single" w:sz="4" w:space="0" w:color="auto"/>
            </w:tcBorders>
            <w:shd w:val="clear" w:color="auto" w:fill="auto"/>
            <w:vAlign w:val="center"/>
          </w:tcPr>
          <w:p w14:paraId="5C555640" w14:textId="23770A7F"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167.230.738,60</w:t>
            </w:r>
          </w:p>
        </w:tc>
      </w:tr>
      <w:tr w:rsidR="002460A5" w:rsidRPr="006F5FDB" w14:paraId="69477BC7" w14:textId="50DAC9FD" w:rsidTr="00BB2706">
        <w:trPr>
          <w:trHeight w:val="170"/>
        </w:trPr>
        <w:tc>
          <w:tcPr>
            <w:tcW w:w="41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2438E" w14:textId="77777777" w:rsidR="002460A5" w:rsidRPr="006F5FDB" w:rsidRDefault="002460A5" w:rsidP="002460A5">
            <w:pPr>
              <w:spacing w:after="0" w:line="240" w:lineRule="auto"/>
              <w:jc w:val="righ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UKUPNO:</w:t>
            </w:r>
          </w:p>
        </w:tc>
        <w:tc>
          <w:tcPr>
            <w:tcW w:w="1559" w:type="dxa"/>
            <w:tcBorders>
              <w:top w:val="nil"/>
              <w:left w:val="nil"/>
              <w:bottom w:val="single" w:sz="4" w:space="0" w:color="auto"/>
              <w:right w:val="single" w:sz="4" w:space="0" w:color="auto"/>
            </w:tcBorders>
            <w:shd w:val="clear" w:color="auto" w:fill="auto"/>
            <w:noWrap/>
            <w:vAlign w:val="center"/>
            <w:hideMark/>
          </w:tcPr>
          <w:p w14:paraId="1AC6A59C" w14:textId="77777777" w:rsidR="002460A5" w:rsidRPr="006F5FDB" w:rsidRDefault="002460A5" w:rsidP="002460A5">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683.302</w:t>
            </w:r>
          </w:p>
        </w:tc>
        <w:tc>
          <w:tcPr>
            <w:tcW w:w="993" w:type="dxa"/>
            <w:tcBorders>
              <w:top w:val="nil"/>
              <w:left w:val="nil"/>
              <w:bottom w:val="single" w:sz="4" w:space="0" w:color="auto"/>
              <w:right w:val="single" w:sz="4" w:space="0" w:color="auto"/>
            </w:tcBorders>
            <w:shd w:val="clear" w:color="auto" w:fill="auto"/>
            <w:noWrap/>
            <w:vAlign w:val="center"/>
            <w:hideMark/>
          </w:tcPr>
          <w:p w14:paraId="51CC116F" w14:textId="77777777" w:rsidR="002460A5" w:rsidRPr="006F5FDB" w:rsidRDefault="002460A5" w:rsidP="002460A5">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673.000</w:t>
            </w:r>
          </w:p>
        </w:tc>
        <w:tc>
          <w:tcPr>
            <w:tcW w:w="1359" w:type="dxa"/>
            <w:tcBorders>
              <w:top w:val="nil"/>
              <w:left w:val="nil"/>
              <w:bottom w:val="single" w:sz="4" w:space="0" w:color="auto"/>
              <w:right w:val="single" w:sz="4" w:space="0" w:color="auto"/>
            </w:tcBorders>
            <w:shd w:val="clear" w:color="auto" w:fill="auto"/>
            <w:noWrap/>
            <w:vAlign w:val="center"/>
            <w:hideMark/>
          </w:tcPr>
          <w:p w14:paraId="1CC5BF45" w14:textId="6B402832" w:rsidR="002460A5" w:rsidRPr="006F5FDB" w:rsidRDefault="002460A5" w:rsidP="002460A5">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5.462.884.283,16</w:t>
            </w:r>
          </w:p>
        </w:tc>
        <w:tc>
          <w:tcPr>
            <w:tcW w:w="1192" w:type="dxa"/>
            <w:tcBorders>
              <w:top w:val="single" w:sz="4" w:space="0" w:color="auto"/>
              <w:left w:val="nil"/>
              <w:bottom w:val="single" w:sz="4" w:space="0" w:color="auto"/>
              <w:right w:val="single" w:sz="4" w:space="0" w:color="auto"/>
            </w:tcBorders>
          </w:tcPr>
          <w:p w14:paraId="7483C899" w14:textId="53F5D6FC" w:rsidR="002460A5" w:rsidRPr="006F5FDB" w:rsidRDefault="002460A5" w:rsidP="002460A5">
            <w:pPr>
              <w:spacing w:after="0" w:line="240" w:lineRule="auto"/>
              <w:jc w:val="center"/>
              <w:rPr>
                <w:rFonts w:ascii="Calibri" w:eastAsia="Times New Roman" w:hAnsi="Calibri" w:cs="Calibri"/>
                <w:b/>
                <w:bCs/>
                <w:color w:val="000000"/>
                <w:sz w:val="16"/>
                <w:szCs w:val="16"/>
                <w:lang w:eastAsia="hr-HR"/>
              </w:rPr>
            </w:pPr>
            <w:r w:rsidRPr="002460A5">
              <w:rPr>
                <w:rFonts w:ascii="Calibri" w:eastAsia="Times New Roman" w:hAnsi="Calibri" w:cs="Calibri"/>
                <w:b/>
                <w:bCs/>
                <w:color w:val="000000"/>
                <w:sz w:val="16"/>
                <w:szCs w:val="16"/>
                <w:lang w:eastAsia="hr-HR"/>
              </w:rPr>
              <w:t>725.049.344,11</w:t>
            </w:r>
          </w:p>
        </w:tc>
      </w:tr>
    </w:tbl>
    <w:p w14:paraId="2D347078" w14:textId="05811BDC" w:rsidR="00C259A4" w:rsidRDefault="0088782C" w:rsidP="0088782C">
      <w:pPr>
        <w:pStyle w:val="Tablica"/>
        <w:rPr>
          <w:b w:val="0"/>
        </w:rPr>
      </w:pPr>
      <w:bookmarkStart w:id="296" w:name="_Toc125364454"/>
      <w:r>
        <w:t xml:space="preserve">Tablica </w:t>
      </w:r>
      <w:fldSimple w:instr=" SEQ Tablica \* ARABIC ">
        <w:r w:rsidR="00F37B62">
          <w:rPr>
            <w:noProof/>
          </w:rPr>
          <w:t>65</w:t>
        </w:r>
      </w:fldSimple>
      <w:r>
        <w:t xml:space="preserve">. </w:t>
      </w:r>
      <w:r w:rsidR="00C259A4">
        <w:rPr>
          <w:b w:val="0"/>
          <w:bCs/>
        </w:rPr>
        <w:t xml:space="preserve">Procjena troškova izgradnje centara za gospodarenje otpadom </w:t>
      </w:r>
      <w:r>
        <w:rPr>
          <w:b w:val="0"/>
          <w:bCs/>
        </w:rPr>
        <w:t>– SCENARIJ 2</w:t>
      </w:r>
      <w:bookmarkEnd w:id="296"/>
    </w:p>
    <w:tbl>
      <w:tblPr>
        <w:tblW w:w="9351" w:type="dxa"/>
        <w:tblLook w:val="04A0" w:firstRow="1" w:lastRow="0" w:firstColumn="1" w:lastColumn="0" w:noHBand="0" w:noVBand="1"/>
      </w:tblPr>
      <w:tblGrid>
        <w:gridCol w:w="1271"/>
        <w:gridCol w:w="2835"/>
        <w:gridCol w:w="1559"/>
        <w:gridCol w:w="993"/>
        <w:gridCol w:w="1417"/>
        <w:gridCol w:w="1276"/>
      </w:tblGrid>
      <w:tr w:rsidR="00451570" w:rsidRPr="006F5FDB" w14:paraId="1F1DCD58" w14:textId="6E604A4A" w:rsidTr="00BB2706">
        <w:trPr>
          <w:trHeight w:val="170"/>
        </w:trPr>
        <w:tc>
          <w:tcPr>
            <w:tcW w:w="127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CB35D66" w14:textId="77777777" w:rsidR="00451570" w:rsidRPr="006F5FDB" w:rsidRDefault="00451570" w:rsidP="00AE7927">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CGO</w:t>
            </w:r>
          </w:p>
        </w:tc>
        <w:tc>
          <w:tcPr>
            <w:tcW w:w="2835" w:type="dxa"/>
            <w:tcBorders>
              <w:top w:val="single" w:sz="4" w:space="0" w:color="auto"/>
              <w:left w:val="nil"/>
              <w:bottom w:val="single" w:sz="4" w:space="0" w:color="auto"/>
              <w:right w:val="single" w:sz="4" w:space="0" w:color="auto"/>
            </w:tcBorders>
            <w:shd w:val="clear" w:color="000000" w:fill="002060"/>
            <w:vAlign w:val="center"/>
            <w:hideMark/>
          </w:tcPr>
          <w:p w14:paraId="5812D09E" w14:textId="77777777" w:rsidR="00451570" w:rsidRPr="006F5FDB" w:rsidRDefault="00451570" w:rsidP="00AE7927">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Županija</w:t>
            </w:r>
          </w:p>
        </w:tc>
        <w:tc>
          <w:tcPr>
            <w:tcW w:w="1559" w:type="dxa"/>
            <w:tcBorders>
              <w:top w:val="single" w:sz="4" w:space="0" w:color="auto"/>
              <w:left w:val="nil"/>
              <w:bottom w:val="single" w:sz="4" w:space="0" w:color="auto"/>
              <w:right w:val="single" w:sz="4" w:space="0" w:color="auto"/>
            </w:tcBorders>
            <w:shd w:val="clear" w:color="000000" w:fill="002060"/>
            <w:vAlign w:val="center"/>
            <w:hideMark/>
          </w:tcPr>
          <w:p w14:paraId="64DA30F0" w14:textId="77777777" w:rsidR="00451570" w:rsidRPr="006F5FDB" w:rsidRDefault="00451570" w:rsidP="00AE7927">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Izračunati kapacitet CGO-a s obzirom na ciljeve Scenarija 2</w:t>
            </w:r>
            <w:r w:rsidRPr="006F5FDB">
              <w:rPr>
                <w:rFonts w:ascii="Calibri" w:eastAsia="Times New Roman" w:hAnsi="Calibri" w:cs="Calibri"/>
                <w:b/>
                <w:bCs/>
                <w:color w:val="FFFFFF"/>
                <w:sz w:val="16"/>
                <w:szCs w:val="16"/>
                <w:lang w:eastAsia="hr-HR"/>
              </w:rPr>
              <w:br/>
              <w:t>(t)</w:t>
            </w:r>
          </w:p>
        </w:tc>
        <w:tc>
          <w:tcPr>
            <w:tcW w:w="993" w:type="dxa"/>
            <w:tcBorders>
              <w:top w:val="single" w:sz="4" w:space="0" w:color="auto"/>
              <w:left w:val="nil"/>
              <w:bottom w:val="single" w:sz="4" w:space="0" w:color="auto"/>
              <w:right w:val="single" w:sz="4" w:space="0" w:color="auto"/>
            </w:tcBorders>
            <w:shd w:val="clear" w:color="000000" w:fill="002060"/>
            <w:vAlign w:val="center"/>
            <w:hideMark/>
          </w:tcPr>
          <w:p w14:paraId="2194447A" w14:textId="77777777" w:rsidR="00451570" w:rsidRPr="006F5FDB" w:rsidRDefault="00451570" w:rsidP="00AE7927">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Predviđeni nazivni kapacitet (t/god)</w:t>
            </w:r>
          </w:p>
        </w:tc>
        <w:tc>
          <w:tcPr>
            <w:tcW w:w="1417" w:type="dxa"/>
            <w:tcBorders>
              <w:top w:val="single" w:sz="4" w:space="0" w:color="auto"/>
              <w:left w:val="nil"/>
              <w:bottom w:val="single" w:sz="4" w:space="0" w:color="auto"/>
              <w:right w:val="single" w:sz="4" w:space="0" w:color="auto"/>
            </w:tcBorders>
            <w:shd w:val="clear" w:color="000000" w:fill="002060"/>
            <w:vAlign w:val="center"/>
            <w:hideMark/>
          </w:tcPr>
          <w:p w14:paraId="5013B544" w14:textId="24FC262D" w:rsidR="00451570" w:rsidRPr="006F5FDB" w:rsidRDefault="00451570" w:rsidP="00AE7927">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Cijena izgradnje</w:t>
            </w:r>
            <w:r>
              <w:rPr>
                <w:rFonts w:ascii="Calibri" w:eastAsia="Times New Roman" w:hAnsi="Calibri" w:cs="Calibri"/>
                <w:b/>
                <w:bCs/>
                <w:color w:val="FFFFFF"/>
                <w:sz w:val="16"/>
                <w:szCs w:val="16"/>
                <w:lang w:eastAsia="hr-HR"/>
              </w:rPr>
              <w:br/>
              <w:t>(kn)</w:t>
            </w:r>
          </w:p>
        </w:tc>
        <w:tc>
          <w:tcPr>
            <w:tcW w:w="1276" w:type="dxa"/>
            <w:tcBorders>
              <w:top w:val="single" w:sz="4" w:space="0" w:color="auto"/>
              <w:left w:val="nil"/>
              <w:bottom w:val="single" w:sz="4" w:space="0" w:color="auto"/>
              <w:right w:val="single" w:sz="4" w:space="0" w:color="auto"/>
            </w:tcBorders>
            <w:shd w:val="clear" w:color="000000" w:fill="002060"/>
            <w:vAlign w:val="center"/>
          </w:tcPr>
          <w:p w14:paraId="7F0EE646" w14:textId="574B2442" w:rsidR="00451570" w:rsidRPr="006F5FDB" w:rsidRDefault="00451570" w:rsidP="00451570">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Cijena izgradnje</w:t>
            </w:r>
            <w:r>
              <w:rPr>
                <w:rFonts w:ascii="Calibri" w:eastAsia="Times New Roman" w:hAnsi="Calibri" w:cs="Calibri"/>
                <w:b/>
                <w:bCs/>
                <w:color w:val="FFFFFF"/>
                <w:sz w:val="16"/>
                <w:szCs w:val="16"/>
                <w:lang w:eastAsia="hr-HR"/>
              </w:rPr>
              <w:br/>
              <w:t>(EUR)</w:t>
            </w:r>
          </w:p>
        </w:tc>
      </w:tr>
      <w:tr w:rsidR="00451570" w:rsidRPr="006F5FDB" w14:paraId="7845DC86" w14:textId="79A5131F" w:rsidTr="00BB2706">
        <w:trPr>
          <w:trHeight w:val="170"/>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555B6210" w14:textId="77777777" w:rsidR="00451570" w:rsidRPr="006F5FDB" w:rsidRDefault="00451570" w:rsidP="00451570">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Babina gora</w:t>
            </w:r>
          </w:p>
        </w:tc>
        <w:tc>
          <w:tcPr>
            <w:tcW w:w="2835" w:type="dxa"/>
            <w:tcBorders>
              <w:top w:val="nil"/>
              <w:left w:val="nil"/>
              <w:bottom w:val="single" w:sz="4" w:space="0" w:color="auto"/>
              <w:right w:val="single" w:sz="4" w:space="0" w:color="auto"/>
            </w:tcBorders>
            <w:shd w:val="clear" w:color="auto" w:fill="auto"/>
            <w:vAlign w:val="center"/>
            <w:hideMark/>
          </w:tcPr>
          <w:p w14:paraId="2DCDE963"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Karlovačka, dio Ličko-senjske i</w:t>
            </w:r>
            <w:r w:rsidRPr="006F5FDB">
              <w:rPr>
                <w:rFonts w:ascii="Calibri" w:eastAsia="Times New Roman" w:hAnsi="Calibri" w:cs="Calibri"/>
                <w:color w:val="000000"/>
                <w:sz w:val="16"/>
                <w:szCs w:val="16"/>
                <w:lang w:eastAsia="hr-HR"/>
              </w:rPr>
              <w:br/>
              <w:t>dio Sisačko-moslavačka</w:t>
            </w:r>
          </w:p>
        </w:tc>
        <w:tc>
          <w:tcPr>
            <w:tcW w:w="1559" w:type="dxa"/>
            <w:tcBorders>
              <w:top w:val="nil"/>
              <w:left w:val="nil"/>
              <w:bottom w:val="single" w:sz="4" w:space="0" w:color="auto"/>
              <w:right w:val="single" w:sz="4" w:space="0" w:color="auto"/>
            </w:tcBorders>
            <w:shd w:val="clear" w:color="auto" w:fill="auto"/>
            <w:vAlign w:val="center"/>
            <w:hideMark/>
          </w:tcPr>
          <w:p w14:paraId="4F7F522E"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31.301</w:t>
            </w:r>
          </w:p>
        </w:tc>
        <w:tc>
          <w:tcPr>
            <w:tcW w:w="993" w:type="dxa"/>
            <w:tcBorders>
              <w:top w:val="nil"/>
              <w:left w:val="nil"/>
              <w:bottom w:val="single" w:sz="4" w:space="0" w:color="auto"/>
              <w:right w:val="single" w:sz="4" w:space="0" w:color="auto"/>
            </w:tcBorders>
            <w:shd w:val="clear" w:color="auto" w:fill="auto"/>
            <w:vAlign w:val="center"/>
            <w:hideMark/>
          </w:tcPr>
          <w:p w14:paraId="62809908"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30.000</w:t>
            </w:r>
          </w:p>
        </w:tc>
        <w:tc>
          <w:tcPr>
            <w:tcW w:w="1417" w:type="dxa"/>
            <w:tcBorders>
              <w:top w:val="nil"/>
              <w:left w:val="nil"/>
              <w:bottom w:val="single" w:sz="4" w:space="0" w:color="auto"/>
              <w:right w:val="single" w:sz="4" w:space="0" w:color="auto"/>
            </w:tcBorders>
            <w:shd w:val="clear" w:color="auto" w:fill="auto"/>
            <w:noWrap/>
            <w:vAlign w:val="center"/>
            <w:hideMark/>
          </w:tcPr>
          <w:p w14:paraId="7A7BBE71" w14:textId="0D083DB1"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429.764.639,05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DB8AAA" w14:textId="54BC1B9B"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57.039.569,85</w:t>
            </w:r>
          </w:p>
        </w:tc>
      </w:tr>
      <w:tr w:rsidR="00451570" w:rsidRPr="006F5FDB" w14:paraId="1EF932E6" w14:textId="1D638615" w:rsidTr="00BB2706">
        <w:trPr>
          <w:trHeight w:val="170"/>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2B29FB0A" w14:textId="77777777" w:rsidR="00451570" w:rsidRPr="006F5FDB" w:rsidRDefault="00451570" w:rsidP="00451570">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Biljane Donje</w:t>
            </w:r>
          </w:p>
        </w:tc>
        <w:tc>
          <w:tcPr>
            <w:tcW w:w="2835" w:type="dxa"/>
            <w:tcBorders>
              <w:top w:val="nil"/>
              <w:left w:val="nil"/>
              <w:bottom w:val="single" w:sz="4" w:space="0" w:color="auto"/>
              <w:right w:val="single" w:sz="4" w:space="0" w:color="auto"/>
            </w:tcBorders>
            <w:shd w:val="clear" w:color="auto" w:fill="auto"/>
            <w:vAlign w:val="center"/>
            <w:hideMark/>
          </w:tcPr>
          <w:p w14:paraId="049079F1"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Zadarska i dio Ličko-senjske</w:t>
            </w:r>
          </w:p>
        </w:tc>
        <w:tc>
          <w:tcPr>
            <w:tcW w:w="1559" w:type="dxa"/>
            <w:tcBorders>
              <w:top w:val="nil"/>
              <w:left w:val="nil"/>
              <w:bottom w:val="single" w:sz="4" w:space="0" w:color="auto"/>
              <w:right w:val="single" w:sz="4" w:space="0" w:color="auto"/>
            </w:tcBorders>
            <w:shd w:val="clear" w:color="auto" w:fill="auto"/>
            <w:vAlign w:val="center"/>
            <w:hideMark/>
          </w:tcPr>
          <w:p w14:paraId="35A2B4B8"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66.677</w:t>
            </w:r>
          </w:p>
        </w:tc>
        <w:tc>
          <w:tcPr>
            <w:tcW w:w="993" w:type="dxa"/>
            <w:tcBorders>
              <w:top w:val="nil"/>
              <w:left w:val="nil"/>
              <w:bottom w:val="single" w:sz="4" w:space="0" w:color="auto"/>
              <w:right w:val="single" w:sz="4" w:space="0" w:color="auto"/>
            </w:tcBorders>
            <w:shd w:val="clear" w:color="auto" w:fill="auto"/>
            <w:vAlign w:val="center"/>
            <w:hideMark/>
          </w:tcPr>
          <w:p w14:paraId="3DFBCA17"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88.000</w:t>
            </w:r>
          </w:p>
        </w:tc>
        <w:tc>
          <w:tcPr>
            <w:tcW w:w="1417" w:type="dxa"/>
            <w:tcBorders>
              <w:top w:val="nil"/>
              <w:left w:val="nil"/>
              <w:bottom w:val="single" w:sz="4" w:space="0" w:color="auto"/>
              <w:right w:val="single" w:sz="4" w:space="0" w:color="auto"/>
            </w:tcBorders>
            <w:shd w:val="clear" w:color="auto" w:fill="auto"/>
            <w:noWrap/>
            <w:vAlign w:val="center"/>
            <w:hideMark/>
          </w:tcPr>
          <w:p w14:paraId="7F84A6A0" w14:textId="1D644959"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241.219.909,09</w:t>
            </w:r>
          </w:p>
        </w:tc>
        <w:tc>
          <w:tcPr>
            <w:tcW w:w="1276" w:type="dxa"/>
            <w:tcBorders>
              <w:top w:val="nil"/>
              <w:left w:val="single" w:sz="4" w:space="0" w:color="auto"/>
              <w:bottom w:val="single" w:sz="4" w:space="0" w:color="auto"/>
              <w:right w:val="single" w:sz="4" w:space="0" w:color="auto"/>
            </w:tcBorders>
            <w:shd w:val="clear" w:color="auto" w:fill="auto"/>
            <w:vAlign w:val="center"/>
          </w:tcPr>
          <w:p w14:paraId="0E1BA3CE" w14:textId="4F7BFDD2"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32.015.383,78</w:t>
            </w:r>
          </w:p>
        </w:tc>
      </w:tr>
      <w:tr w:rsidR="00451570" w:rsidRPr="006F5FDB" w14:paraId="07D0AEED" w14:textId="5567D6F3" w:rsidTr="00BB2706">
        <w:trPr>
          <w:trHeight w:val="170"/>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59227540" w14:textId="77777777" w:rsidR="00451570" w:rsidRPr="006F5FDB" w:rsidRDefault="00451570" w:rsidP="00451570">
            <w:pPr>
              <w:spacing w:after="0" w:line="240" w:lineRule="auto"/>
              <w:jc w:val="left"/>
              <w:rPr>
                <w:rFonts w:ascii="Calibri" w:eastAsia="Times New Roman" w:hAnsi="Calibri" w:cs="Calibri"/>
                <w:b/>
                <w:bCs/>
                <w:color w:val="000000"/>
                <w:sz w:val="16"/>
                <w:szCs w:val="16"/>
                <w:lang w:eastAsia="hr-HR"/>
              </w:rPr>
            </w:pPr>
            <w:proofErr w:type="spellStart"/>
            <w:r w:rsidRPr="006F5FDB">
              <w:rPr>
                <w:rFonts w:ascii="Calibri" w:eastAsia="Times New Roman" w:hAnsi="Calibri" w:cs="Calibri"/>
                <w:b/>
                <w:bCs/>
                <w:color w:val="000000"/>
                <w:sz w:val="16"/>
                <w:szCs w:val="16"/>
                <w:lang w:eastAsia="hr-HR"/>
              </w:rPr>
              <w:t>Lećevica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19F8EDF8"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Splitsko-dalmatinska</w:t>
            </w:r>
          </w:p>
        </w:tc>
        <w:tc>
          <w:tcPr>
            <w:tcW w:w="1559" w:type="dxa"/>
            <w:tcBorders>
              <w:top w:val="nil"/>
              <w:left w:val="nil"/>
              <w:bottom w:val="single" w:sz="4" w:space="0" w:color="auto"/>
              <w:right w:val="single" w:sz="4" w:space="0" w:color="auto"/>
            </w:tcBorders>
            <w:shd w:val="clear" w:color="auto" w:fill="auto"/>
            <w:vAlign w:val="center"/>
            <w:hideMark/>
          </w:tcPr>
          <w:p w14:paraId="7DCE1523"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138.875</w:t>
            </w:r>
          </w:p>
        </w:tc>
        <w:tc>
          <w:tcPr>
            <w:tcW w:w="993" w:type="dxa"/>
            <w:tcBorders>
              <w:top w:val="nil"/>
              <w:left w:val="nil"/>
              <w:bottom w:val="single" w:sz="4" w:space="0" w:color="auto"/>
              <w:right w:val="single" w:sz="4" w:space="0" w:color="auto"/>
            </w:tcBorders>
            <w:shd w:val="clear" w:color="auto" w:fill="auto"/>
            <w:vAlign w:val="center"/>
            <w:hideMark/>
          </w:tcPr>
          <w:p w14:paraId="660DDBF2"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110.000</w:t>
            </w:r>
          </w:p>
        </w:tc>
        <w:tc>
          <w:tcPr>
            <w:tcW w:w="1417" w:type="dxa"/>
            <w:tcBorders>
              <w:top w:val="nil"/>
              <w:left w:val="nil"/>
              <w:bottom w:val="single" w:sz="4" w:space="0" w:color="auto"/>
              <w:right w:val="single" w:sz="4" w:space="0" w:color="auto"/>
            </w:tcBorders>
            <w:shd w:val="clear" w:color="auto" w:fill="auto"/>
            <w:noWrap/>
            <w:vAlign w:val="center"/>
            <w:hideMark/>
          </w:tcPr>
          <w:p w14:paraId="3CBBB30C" w14:textId="68230FA4"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900.000.000,00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0BADFC33" w14:textId="62C54C6F"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119.450.527,57</w:t>
            </w:r>
          </w:p>
        </w:tc>
      </w:tr>
      <w:tr w:rsidR="00451570" w:rsidRPr="006F5FDB" w14:paraId="2A4F6586" w14:textId="2CB0F4CA" w:rsidTr="00BB2706">
        <w:trPr>
          <w:trHeight w:val="170"/>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6BD36C39" w14:textId="77777777" w:rsidR="00451570" w:rsidRPr="006F5FDB" w:rsidRDefault="00451570" w:rsidP="00451570">
            <w:pPr>
              <w:spacing w:after="0" w:line="240" w:lineRule="auto"/>
              <w:jc w:val="left"/>
              <w:rPr>
                <w:rFonts w:ascii="Calibri" w:eastAsia="Times New Roman" w:hAnsi="Calibri" w:cs="Calibri"/>
                <w:b/>
                <w:bCs/>
                <w:color w:val="000000"/>
                <w:sz w:val="16"/>
                <w:szCs w:val="16"/>
                <w:lang w:eastAsia="hr-HR"/>
              </w:rPr>
            </w:pPr>
            <w:proofErr w:type="spellStart"/>
            <w:r w:rsidRPr="006F5FDB">
              <w:rPr>
                <w:rFonts w:ascii="Calibri" w:eastAsia="Times New Roman" w:hAnsi="Calibri" w:cs="Calibri"/>
                <w:b/>
                <w:bCs/>
                <w:color w:val="000000"/>
                <w:sz w:val="16"/>
                <w:szCs w:val="16"/>
                <w:lang w:eastAsia="hr-HR"/>
              </w:rPr>
              <w:t>Lučino</w:t>
            </w:r>
            <w:proofErr w:type="spellEnd"/>
            <w:r w:rsidRPr="006F5FDB">
              <w:rPr>
                <w:rFonts w:ascii="Calibri" w:eastAsia="Times New Roman" w:hAnsi="Calibri" w:cs="Calibri"/>
                <w:b/>
                <w:bCs/>
                <w:color w:val="000000"/>
                <w:sz w:val="16"/>
                <w:szCs w:val="16"/>
                <w:lang w:eastAsia="hr-HR"/>
              </w:rPr>
              <w:t xml:space="preserve"> </w:t>
            </w:r>
            <w:proofErr w:type="spellStart"/>
            <w:r w:rsidRPr="006F5FDB">
              <w:rPr>
                <w:rFonts w:ascii="Calibri" w:eastAsia="Times New Roman" w:hAnsi="Calibri" w:cs="Calibri"/>
                <w:b/>
                <w:bCs/>
                <w:color w:val="000000"/>
                <w:sz w:val="16"/>
                <w:szCs w:val="16"/>
                <w:lang w:eastAsia="hr-HR"/>
              </w:rPr>
              <w:t>Razdolje</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28EBB467"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1559" w:type="dxa"/>
            <w:tcBorders>
              <w:top w:val="nil"/>
              <w:left w:val="nil"/>
              <w:bottom w:val="single" w:sz="4" w:space="0" w:color="auto"/>
              <w:right w:val="single" w:sz="4" w:space="0" w:color="auto"/>
            </w:tcBorders>
            <w:shd w:val="clear" w:color="auto" w:fill="auto"/>
            <w:vAlign w:val="center"/>
            <w:hideMark/>
          </w:tcPr>
          <w:p w14:paraId="7574AA42"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37.962</w:t>
            </w:r>
          </w:p>
        </w:tc>
        <w:tc>
          <w:tcPr>
            <w:tcW w:w="993" w:type="dxa"/>
            <w:tcBorders>
              <w:top w:val="nil"/>
              <w:left w:val="nil"/>
              <w:bottom w:val="single" w:sz="4" w:space="0" w:color="auto"/>
              <w:right w:val="single" w:sz="4" w:space="0" w:color="auto"/>
            </w:tcBorders>
            <w:shd w:val="clear" w:color="auto" w:fill="auto"/>
            <w:vAlign w:val="center"/>
            <w:hideMark/>
          </w:tcPr>
          <w:p w14:paraId="17B493D3"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40.000</w:t>
            </w:r>
          </w:p>
        </w:tc>
        <w:tc>
          <w:tcPr>
            <w:tcW w:w="1417" w:type="dxa"/>
            <w:tcBorders>
              <w:top w:val="nil"/>
              <w:left w:val="nil"/>
              <w:bottom w:val="single" w:sz="4" w:space="0" w:color="auto"/>
              <w:right w:val="single" w:sz="4" w:space="0" w:color="auto"/>
            </w:tcBorders>
            <w:shd w:val="clear" w:color="auto" w:fill="auto"/>
            <w:noWrap/>
            <w:vAlign w:val="center"/>
            <w:hideMark/>
          </w:tcPr>
          <w:p w14:paraId="0597C439" w14:textId="60938B77"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558.899.735,01</w:t>
            </w:r>
          </w:p>
        </w:tc>
        <w:tc>
          <w:tcPr>
            <w:tcW w:w="1276" w:type="dxa"/>
            <w:tcBorders>
              <w:top w:val="nil"/>
              <w:left w:val="single" w:sz="4" w:space="0" w:color="auto"/>
              <w:bottom w:val="single" w:sz="4" w:space="0" w:color="auto"/>
              <w:right w:val="single" w:sz="4" w:space="0" w:color="auto"/>
            </w:tcBorders>
            <w:shd w:val="clear" w:color="auto" w:fill="auto"/>
            <w:vAlign w:val="center"/>
          </w:tcPr>
          <w:p w14:paraId="1BABAF12" w14:textId="461234C9"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74.178.742,45</w:t>
            </w:r>
          </w:p>
        </w:tc>
      </w:tr>
      <w:tr w:rsidR="00451570" w:rsidRPr="006F5FDB" w14:paraId="601384BB" w14:textId="2467F62B" w:rsidTr="00BB2706">
        <w:trPr>
          <w:trHeight w:val="170"/>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42F67C9A" w14:textId="77777777" w:rsidR="00451570" w:rsidRPr="006F5FDB" w:rsidRDefault="00451570" w:rsidP="00451570">
            <w:pPr>
              <w:spacing w:after="0" w:line="240" w:lineRule="auto"/>
              <w:jc w:val="left"/>
              <w:rPr>
                <w:rFonts w:ascii="Calibri" w:eastAsia="Times New Roman" w:hAnsi="Calibri" w:cs="Calibri"/>
                <w:b/>
                <w:bCs/>
                <w:color w:val="000000"/>
                <w:sz w:val="16"/>
                <w:szCs w:val="16"/>
                <w:lang w:eastAsia="hr-HR"/>
              </w:rPr>
            </w:pPr>
            <w:proofErr w:type="spellStart"/>
            <w:r w:rsidRPr="006F5FDB">
              <w:rPr>
                <w:rFonts w:ascii="Calibri" w:eastAsia="Times New Roman" w:hAnsi="Calibri" w:cs="Calibri"/>
                <w:b/>
                <w:bCs/>
                <w:color w:val="000000"/>
                <w:sz w:val="16"/>
                <w:szCs w:val="16"/>
                <w:lang w:eastAsia="hr-HR"/>
              </w:rPr>
              <w:t>Piškornica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0516FF42"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Varaždinska, Koprivničko-križevačka, Međimurska, Bjelovarsko-bilogorska </w:t>
            </w:r>
          </w:p>
        </w:tc>
        <w:tc>
          <w:tcPr>
            <w:tcW w:w="1559" w:type="dxa"/>
            <w:tcBorders>
              <w:top w:val="nil"/>
              <w:left w:val="nil"/>
              <w:bottom w:val="single" w:sz="4" w:space="0" w:color="auto"/>
              <w:right w:val="single" w:sz="4" w:space="0" w:color="auto"/>
            </w:tcBorders>
            <w:shd w:val="clear" w:color="auto" w:fill="auto"/>
            <w:vAlign w:val="center"/>
            <w:hideMark/>
          </w:tcPr>
          <w:p w14:paraId="5E4B3C40"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99.390</w:t>
            </w:r>
          </w:p>
        </w:tc>
        <w:tc>
          <w:tcPr>
            <w:tcW w:w="993" w:type="dxa"/>
            <w:tcBorders>
              <w:top w:val="nil"/>
              <w:left w:val="nil"/>
              <w:bottom w:val="single" w:sz="4" w:space="0" w:color="auto"/>
              <w:right w:val="single" w:sz="4" w:space="0" w:color="auto"/>
            </w:tcBorders>
            <w:shd w:val="clear" w:color="auto" w:fill="auto"/>
            <w:vAlign w:val="center"/>
            <w:hideMark/>
          </w:tcPr>
          <w:p w14:paraId="075342B6"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110.000</w:t>
            </w:r>
          </w:p>
        </w:tc>
        <w:tc>
          <w:tcPr>
            <w:tcW w:w="1417" w:type="dxa"/>
            <w:tcBorders>
              <w:top w:val="nil"/>
              <w:left w:val="nil"/>
              <w:bottom w:val="single" w:sz="4" w:space="0" w:color="auto"/>
              <w:right w:val="single" w:sz="4" w:space="0" w:color="auto"/>
            </w:tcBorders>
            <w:shd w:val="clear" w:color="auto" w:fill="auto"/>
            <w:noWrap/>
            <w:vAlign w:val="center"/>
            <w:hideMark/>
          </w:tcPr>
          <w:p w14:paraId="20330355" w14:textId="7EBF3F7E"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900.000.000,00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435BA50A" w14:textId="437FE387"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119.450.527,57</w:t>
            </w:r>
          </w:p>
        </w:tc>
      </w:tr>
      <w:tr w:rsidR="00451570" w:rsidRPr="006F5FDB" w14:paraId="6E25EAB9" w14:textId="2DD74D2C" w:rsidTr="00BB2706">
        <w:trPr>
          <w:trHeight w:val="170"/>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67D7E441" w14:textId="77777777" w:rsidR="00451570" w:rsidRPr="006F5FDB" w:rsidRDefault="00451570" w:rsidP="00451570">
            <w:pPr>
              <w:spacing w:after="0" w:line="240" w:lineRule="auto"/>
              <w:jc w:val="left"/>
              <w:rPr>
                <w:rFonts w:ascii="Calibri" w:eastAsia="Times New Roman" w:hAnsi="Calibri" w:cs="Calibri"/>
                <w:b/>
                <w:bCs/>
                <w:color w:val="000000"/>
                <w:sz w:val="16"/>
                <w:szCs w:val="16"/>
                <w:lang w:eastAsia="hr-HR"/>
              </w:rPr>
            </w:pPr>
            <w:proofErr w:type="spellStart"/>
            <w:r w:rsidRPr="006F5FDB">
              <w:rPr>
                <w:rFonts w:ascii="Calibri" w:eastAsia="Times New Roman" w:hAnsi="Calibri" w:cs="Calibri"/>
                <w:b/>
                <w:bCs/>
                <w:color w:val="000000"/>
                <w:sz w:val="16"/>
                <w:szCs w:val="16"/>
                <w:lang w:eastAsia="hr-HR"/>
              </w:rPr>
              <w:t>Šagulje</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605C8826"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Brodsko-posavska, dio Sisačko-moslavačke i Virovitičko-podravska </w:t>
            </w:r>
          </w:p>
        </w:tc>
        <w:tc>
          <w:tcPr>
            <w:tcW w:w="1559" w:type="dxa"/>
            <w:tcBorders>
              <w:top w:val="nil"/>
              <w:left w:val="nil"/>
              <w:bottom w:val="single" w:sz="4" w:space="0" w:color="auto"/>
              <w:right w:val="single" w:sz="4" w:space="0" w:color="auto"/>
            </w:tcBorders>
            <w:shd w:val="clear" w:color="auto" w:fill="auto"/>
            <w:vAlign w:val="center"/>
            <w:hideMark/>
          </w:tcPr>
          <w:p w14:paraId="58E00148"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58.733</w:t>
            </w:r>
          </w:p>
        </w:tc>
        <w:tc>
          <w:tcPr>
            <w:tcW w:w="993" w:type="dxa"/>
            <w:tcBorders>
              <w:top w:val="nil"/>
              <w:left w:val="nil"/>
              <w:bottom w:val="single" w:sz="4" w:space="0" w:color="auto"/>
              <w:right w:val="single" w:sz="4" w:space="0" w:color="auto"/>
            </w:tcBorders>
            <w:shd w:val="clear" w:color="auto" w:fill="auto"/>
            <w:vAlign w:val="center"/>
            <w:hideMark/>
          </w:tcPr>
          <w:p w14:paraId="249DFB14"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55.000</w:t>
            </w:r>
          </w:p>
        </w:tc>
        <w:tc>
          <w:tcPr>
            <w:tcW w:w="1417" w:type="dxa"/>
            <w:tcBorders>
              <w:top w:val="nil"/>
              <w:left w:val="nil"/>
              <w:bottom w:val="single" w:sz="4" w:space="0" w:color="auto"/>
              <w:right w:val="single" w:sz="4" w:space="0" w:color="auto"/>
            </w:tcBorders>
            <w:shd w:val="clear" w:color="auto" w:fill="auto"/>
            <w:noWrap/>
            <w:vAlign w:val="center"/>
            <w:hideMark/>
          </w:tcPr>
          <w:p w14:paraId="5BB5F286" w14:textId="691A6E15"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561.000.000,00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37B850F9" w14:textId="1C488A16"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74.457.495,52</w:t>
            </w:r>
          </w:p>
        </w:tc>
      </w:tr>
      <w:tr w:rsidR="00451570" w:rsidRPr="006F5FDB" w14:paraId="01DD7A24" w14:textId="35073EF1" w:rsidTr="00BB2706">
        <w:trPr>
          <w:trHeight w:val="170"/>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3FAAB890" w14:textId="77777777" w:rsidR="00451570" w:rsidRPr="006F5FDB" w:rsidRDefault="00451570" w:rsidP="00451570">
            <w:pPr>
              <w:spacing w:after="0" w:line="240" w:lineRule="auto"/>
              <w:jc w:val="left"/>
              <w:rPr>
                <w:rFonts w:ascii="Calibri" w:eastAsia="Times New Roman" w:hAnsi="Calibri" w:cs="Calibri"/>
                <w:b/>
                <w:bCs/>
                <w:color w:val="000000"/>
                <w:sz w:val="16"/>
                <w:szCs w:val="16"/>
                <w:lang w:eastAsia="hr-HR"/>
              </w:rPr>
            </w:pPr>
            <w:proofErr w:type="spellStart"/>
            <w:r w:rsidRPr="006F5FDB">
              <w:rPr>
                <w:rFonts w:ascii="Calibri" w:eastAsia="Times New Roman" w:hAnsi="Calibri" w:cs="Calibri"/>
                <w:b/>
                <w:bCs/>
                <w:color w:val="000000"/>
                <w:sz w:val="16"/>
                <w:szCs w:val="16"/>
                <w:lang w:eastAsia="hr-HR"/>
              </w:rPr>
              <w:t>Orlovnjak</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137741CF"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 baranjska i Vukovarsko-srijemska </w:t>
            </w:r>
          </w:p>
        </w:tc>
        <w:tc>
          <w:tcPr>
            <w:tcW w:w="1559" w:type="dxa"/>
            <w:tcBorders>
              <w:top w:val="nil"/>
              <w:left w:val="nil"/>
              <w:bottom w:val="single" w:sz="4" w:space="0" w:color="auto"/>
              <w:right w:val="single" w:sz="4" w:space="0" w:color="auto"/>
            </w:tcBorders>
            <w:shd w:val="clear" w:color="auto" w:fill="auto"/>
            <w:vAlign w:val="center"/>
            <w:hideMark/>
          </w:tcPr>
          <w:p w14:paraId="61245F57"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77.244</w:t>
            </w:r>
          </w:p>
        </w:tc>
        <w:tc>
          <w:tcPr>
            <w:tcW w:w="993" w:type="dxa"/>
            <w:tcBorders>
              <w:top w:val="nil"/>
              <w:left w:val="nil"/>
              <w:bottom w:val="single" w:sz="4" w:space="0" w:color="auto"/>
              <w:right w:val="single" w:sz="4" w:space="0" w:color="auto"/>
            </w:tcBorders>
            <w:shd w:val="clear" w:color="auto" w:fill="auto"/>
            <w:vAlign w:val="center"/>
            <w:hideMark/>
          </w:tcPr>
          <w:p w14:paraId="4B6A6ED6"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60.000</w:t>
            </w:r>
          </w:p>
        </w:tc>
        <w:tc>
          <w:tcPr>
            <w:tcW w:w="1417" w:type="dxa"/>
            <w:tcBorders>
              <w:top w:val="nil"/>
              <w:left w:val="nil"/>
              <w:bottom w:val="single" w:sz="4" w:space="0" w:color="auto"/>
              <w:right w:val="single" w:sz="4" w:space="0" w:color="auto"/>
            </w:tcBorders>
            <w:shd w:val="clear" w:color="auto" w:fill="auto"/>
            <w:noWrap/>
            <w:vAlign w:val="center"/>
            <w:hideMark/>
          </w:tcPr>
          <w:p w14:paraId="4D2AE69A" w14:textId="6B8AE515"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612.000.000,00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72067F43" w14:textId="25E631E1"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81.226.358,75</w:t>
            </w:r>
          </w:p>
        </w:tc>
      </w:tr>
      <w:tr w:rsidR="00451570" w:rsidRPr="006F5FDB" w14:paraId="2B3019BA" w14:textId="7E4D13C3" w:rsidTr="00BB2706">
        <w:trPr>
          <w:trHeight w:val="170"/>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28A3628A" w14:textId="77777777" w:rsidR="00451570" w:rsidRPr="006F5FDB" w:rsidRDefault="00451570" w:rsidP="00451570">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Zagreb</w:t>
            </w:r>
          </w:p>
        </w:tc>
        <w:tc>
          <w:tcPr>
            <w:tcW w:w="2835" w:type="dxa"/>
            <w:tcBorders>
              <w:top w:val="nil"/>
              <w:left w:val="nil"/>
              <w:bottom w:val="single" w:sz="4" w:space="0" w:color="auto"/>
              <w:right w:val="single" w:sz="4" w:space="0" w:color="auto"/>
            </w:tcBorders>
            <w:shd w:val="clear" w:color="auto" w:fill="auto"/>
            <w:vAlign w:val="center"/>
            <w:hideMark/>
          </w:tcPr>
          <w:p w14:paraId="1F08091A"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 i Zagrebačka županija</w:t>
            </w:r>
          </w:p>
        </w:tc>
        <w:tc>
          <w:tcPr>
            <w:tcW w:w="1559" w:type="dxa"/>
            <w:tcBorders>
              <w:top w:val="nil"/>
              <w:left w:val="nil"/>
              <w:bottom w:val="single" w:sz="4" w:space="0" w:color="auto"/>
              <w:right w:val="single" w:sz="4" w:space="0" w:color="auto"/>
            </w:tcBorders>
            <w:shd w:val="clear" w:color="auto" w:fill="auto"/>
            <w:vAlign w:val="center"/>
            <w:hideMark/>
          </w:tcPr>
          <w:p w14:paraId="1251E112"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254.464</w:t>
            </w:r>
          </w:p>
        </w:tc>
        <w:tc>
          <w:tcPr>
            <w:tcW w:w="993" w:type="dxa"/>
            <w:tcBorders>
              <w:top w:val="nil"/>
              <w:left w:val="nil"/>
              <w:bottom w:val="single" w:sz="4" w:space="0" w:color="auto"/>
              <w:right w:val="single" w:sz="4" w:space="0" w:color="auto"/>
            </w:tcBorders>
            <w:shd w:val="clear" w:color="auto" w:fill="auto"/>
            <w:vAlign w:val="center"/>
            <w:hideMark/>
          </w:tcPr>
          <w:p w14:paraId="6A3432F9"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180.000</w:t>
            </w:r>
          </w:p>
        </w:tc>
        <w:tc>
          <w:tcPr>
            <w:tcW w:w="1417" w:type="dxa"/>
            <w:tcBorders>
              <w:top w:val="nil"/>
              <w:left w:val="nil"/>
              <w:bottom w:val="single" w:sz="4" w:space="0" w:color="auto"/>
              <w:right w:val="single" w:sz="4" w:space="0" w:color="auto"/>
            </w:tcBorders>
            <w:shd w:val="clear" w:color="auto" w:fill="auto"/>
            <w:noWrap/>
            <w:vAlign w:val="center"/>
            <w:hideMark/>
          </w:tcPr>
          <w:p w14:paraId="6F946693" w14:textId="27FB0558"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1.260.000.000,00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DFC2BBA" w14:textId="0B144DF2"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167.230.738,60</w:t>
            </w:r>
          </w:p>
        </w:tc>
      </w:tr>
      <w:tr w:rsidR="00451570" w:rsidRPr="006F5FDB" w14:paraId="2ADEABE0" w14:textId="7E268391" w:rsidTr="00BB2706">
        <w:trPr>
          <w:trHeight w:val="170"/>
        </w:trPr>
        <w:tc>
          <w:tcPr>
            <w:tcW w:w="410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F57C604" w14:textId="77777777" w:rsidR="00451570" w:rsidRPr="006F5FDB" w:rsidRDefault="00451570" w:rsidP="00451570">
            <w:pPr>
              <w:spacing w:after="0" w:line="240" w:lineRule="auto"/>
              <w:jc w:val="righ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UKUPNO:</w:t>
            </w:r>
          </w:p>
        </w:tc>
        <w:tc>
          <w:tcPr>
            <w:tcW w:w="1559" w:type="dxa"/>
            <w:tcBorders>
              <w:top w:val="nil"/>
              <w:left w:val="nil"/>
              <w:bottom w:val="single" w:sz="4" w:space="0" w:color="auto"/>
              <w:right w:val="single" w:sz="4" w:space="0" w:color="auto"/>
            </w:tcBorders>
            <w:shd w:val="clear" w:color="auto" w:fill="auto"/>
            <w:vAlign w:val="center"/>
            <w:hideMark/>
          </w:tcPr>
          <w:p w14:paraId="1554724E" w14:textId="77777777" w:rsidR="00451570" w:rsidRPr="006F5FDB" w:rsidRDefault="00451570" w:rsidP="00451570">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764.647</w:t>
            </w:r>
          </w:p>
        </w:tc>
        <w:tc>
          <w:tcPr>
            <w:tcW w:w="993" w:type="dxa"/>
            <w:tcBorders>
              <w:top w:val="nil"/>
              <w:left w:val="nil"/>
              <w:bottom w:val="single" w:sz="4" w:space="0" w:color="auto"/>
              <w:right w:val="single" w:sz="4" w:space="0" w:color="auto"/>
            </w:tcBorders>
            <w:shd w:val="clear" w:color="auto" w:fill="auto"/>
            <w:vAlign w:val="center"/>
            <w:hideMark/>
          </w:tcPr>
          <w:p w14:paraId="63B1CEB5" w14:textId="77777777" w:rsidR="00451570" w:rsidRPr="006F5FDB" w:rsidRDefault="00451570" w:rsidP="00451570">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673.000</w:t>
            </w:r>
          </w:p>
        </w:tc>
        <w:tc>
          <w:tcPr>
            <w:tcW w:w="1417" w:type="dxa"/>
            <w:tcBorders>
              <w:top w:val="nil"/>
              <w:left w:val="nil"/>
              <w:bottom w:val="single" w:sz="4" w:space="0" w:color="auto"/>
              <w:right w:val="single" w:sz="4" w:space="0" w:color="auto"/>
            </w:tcBorders>
            <w:shd w:val="clear" w:color="auto" w:fill="auto"/>
            <w:noWrap/>
            <w:vAlign w:val="center"/>
            <w:hideMark/>
          </w:tcPr>
          <w:p w14:paraId="3753F4AF" w14:textId="3DA8E375" w:rsidR="00451570" w:rsidRPr="006F5FDB" w:rsidRDefault="00451570" w:rsidP="00451570">
            <w:pPr>
              <w:spacing w:after="0" w:line="240" w:lineRule="auto"/>
              <w:jc w:val="right"/>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5.462.884.283,16</w:t>
            </w:r>
          </w:p>
        </w:tc>
        <w:tc>
          <w:tcPr>
            <w:tcW w:w="1276" w:type="dxa"/>
            <w:tcBorders>
              <w:top w:val="nil"/>
              <w:left w:val="nil"/>
              <w:bottom w:val="single" w:sz="4" w:space="0" w:color="auto"/>
              <w:right w:val="single" w:sz="4" w:space="0" w:color="auto"/>
            </w:tcBorders>
          </w:tcPr>
          <w:p w14:paraId="26923B67" w14:textId="54C88663" w:rsidR="00451570" w:rsidRPr="006F5FDB" w:rsidRDefault="00451570" w:rsidP="00451570">
            <w:pPr>
              <w:spacing w:after="0" w:line="240" w:lineRule="auto"/>
              <w:jc w:val="right"/>
              <w:rPr>
                <w:rFonts w:ascii="Calibri" w:eastAsia="Times New Roman" w:hAnsi="Calibri" w:cs="Calibri"/>
                <w:b/>
                <w:bCs/>
                <w:color w:val="000000"/>
                <w:sz w:val="16"/>
                <w:szCs w:val="16"/>
                <w:lang w:eastAsia="hr-HR"/>
              </w:rPr>
            </w:pPr>
            <w:r w:rsidRPr="00451570">
              <w:rPr>
                <w:rFonts w:ascii="Calibri" w:eastAsia="Times New Roman" w:hAnsi="Calibri" w:cs="Calibri"/>
                <w:b/>
                <w:bCs/>
                <w:color w:val="000000"/>
                <w:sz w:val="16"/>
                <w:szCs w:val="16"/>
                <w:lang w:eastAsia="hr-HR"/>
              </w:rPr>
              <w:t>725.049.344,11</w:t>
            </w:r>
          </w:p>
        </w:tc>
      </w:tr>
    </w:tbl>
    <w:p w14:paraId="621775C6" w14:textId="5BC798BC" w:rsidR="0088782C" w:rsidRDefault="00640659" w:rsidP="0018450E">
      <w:pPr>
        <w:pStyle w:val="IRNaslov2"/>
        <w:numPr>
          <w:ilvl w:val="1"/>
          <w:numId w:val="22"/>
        </w:numPr>
        <w:ind w:left="709"/>
      </w:pPr>
      <w:bookmarkStart w:id="297" w:name="_Toc123211677"/>
      <w:r w:rsidRPr="00640659">
        <w:t>Procjena potrebnih ulaganja u izgradnju postrojenja za energetsku oporabu otpada</w:t>
      </w:r>
      <w:bookmarkEnd w:id="297"/>
    </w:p>
    <w:p w14:paraId="4D7E2B28" w14:textId="0C45D20A" w:rsidR="00640659" w:rsidRDefault="00640659" w:rsidP="00640659">
      <w:r>
        <w:t xml:space="preserve">Troškovi ulaganja u izgradnju nove infrastrukture za energetsku oporabu otpada prije svega ovise od instaliranom kapacitetu postrojenja i uobičajeno se kreću od oko </w:t>
      </w:r>
      <w:r w:rsidR="00451570">
        <w:t>796,34 EUR/t/god (</w:t>
      </w:r>
      <w:r>
        <w:t>6.000 kn/t/god</w:t>
      </w:r>
      <w:r w:rsidR="00451570">
        <w:t>)</w:t>
      </w:r>
      <w:r>
        <w:t xml:space="preserve"> za postrojenja iznad 200.000 t/godišnje do</w:t>
      </w:r>
      <w:r w:rsidR="00451570">
        <w:t xml:space="preserve"> 1.061,78 EUR/t/god</w:t>
      </w:r>
      <w:r>
        <w:t xml:space="preserve"> </w:t>
      </w:r>
      <w:r w:rsidR="00451570">
        <w:t>(</w:t>
      </w:r>
      <w:r>
        <w:t>8.000 kn/t/god</w:t>
      </w:r>
      <w:r w:rsidR="00451570">
        <w:t>)</w:t>
      </w:r>
      <w:r>
        <w:t xml:space="preserve"> za postrojenja od 100.000 t/god što je ujedno i najmanji kapacitet čiju je realizaciju moguće opravdati. </w:t>
      </w:r>
    </w:p>
    <w:p w14:paraId="501A25F3" w14:textId="03EAA4E5" w:rsidR="00640659" w:rsidRDefault="00640659" w:rsidP="00640659">
      <w:r>
        <w:t xml:space="preserve">S obzirom da zadane ciljeve gospodarenja otpadom nije moguće postići bez energetske oporabe u obzir je potrebno uzeti i troškove energetske oporabe i/ili zbrinjavanja otpada u slučaju scenarija „ne činiti ništa“. U tom slučaju je potrebno računati s troškovima oporabe i/ili zbrinjavanja otpada izvan RH (izuzev manjih količina visokokvalitetnog goriva iz otpada koji je moguće </w:t>
      </w:r>
      <w:proofErr w:type="spellStart"/>
      <w:r>
        <w:t>oporabiti</w:t>
      </w:r>
      <w:proofErr w:type="spellEnd"/>
      <w:r>
        <w:t xml:space="preserve"> u postojećim postrojenjima u RH postupkom R1) u iznosima koji se kreću u rasponu od </w:t>
      </w:r>
      <w:r w:rsidR="00A82100">
        <w:t>132,72 do 185,81 EUR/t (</w:t>
      </w:r>
      <w:r>
        <w:t>1.000 do 1.400 kn/t</w:t>
      </w:r>
      <w:r w:rsidR="00A82100">
        <w:t>)</w:t>
      </w:r>
      <w:r>
        <w:t xml:space="preserve"> goriva iz otpada a ovisno o načinu pakiranja i kvaliteti goriva iz otpada.</w:t>
      </w:r>
    </w:p>
    <w:p w14:paraId="1AA77D66" w14:textId="52ABFC5E" w:rsidR="00640659" w:rsidRDefault="00640659" w:rsidP="00640659">
      <w:r>
        <w:t>Tako se za Scenarij 1 i potrebu za oporabom i/ili zbrinjavanjem goriva iz otpada srednje kvalitete od oko 400.000 t/g dolazi do godišnjih troškova od oko</w:t>
      </w:r>
      <w:r w:rsidR="00AD0869">
        <w:t xml:space="preserve"> 74.324.772,71 EUR</w:t>
      </w:r>
      <w:r>
        <w:t xml:space="preserve"> </w:t>
      </w:r>
      <w:r w:rsidR="00AD0869">
        <w:t>(</w:t>
      </w:r>
      <w:r>
        <w:t>560.000.000 kn</w:t>
      </w:r>
      <w:r w:rsidR="00AD0869">
        <w:t>)</w:t>
      </w:r>
      <w:r>
        <w:t xml:space="preserve"> i neiskorištenih 320.000 MWh električne energije i 640.000 MWh toplinske energije godišnje.</w:t>
      </w:r>
    </w:p>
    <w:p w14:paraId="133B5D02" w14:textId="5F295265" w:rsidR="00640659" w:rsidRDefault="00640659" w:rsidP="00640659">
      <w:r>
        <w:lastRenderedPageBreak/>
        <w:t>U slučaju Scenarija 2 i potrebu za oporabom i/ili zbrinjavanjem goriva iz otpada srednje kvalitete od oko 145.000 t/g dolazi do godišnjih troškova od oko</w:t>
      </w:r>
      <w:r w:rsidR="00AD0869">
        <w:t xml:space="preserve"> 19.244.807,22 EUR</w:t>
      </w:r>
      <w:r>
        <w:t xml:space="preserve"> </w:t>
      </w:r>
      <w:r w:rsidR="00AD0869">
        <w:t>(</w:t>
      </w:r>
      <w:r>
        <w:t>145.000.000 kn</w:t>
      </w:r>
      <w:r w:rsidR="00AD0869">
        <w:t>)</w:t>
      </w:r>
      <w:r>
        <w:t xml:space="preserve"> i </w:t>
      </w:r>
      <w:r w:rsidR="00443E52">
        <w:t xml:space="preserve">potencijalno </w:t>
      </w:r>
      <w:r>
        <w:t>neiskorištenih 174.000 MWh električne energije i 348.000 MWh toplinske energije godišnje.</w:t>
      </w:r>
    </w:p>
    <w:p w14:paraId="1D279DD8" w14:textId="4562035F" w:rsidR="00D7571F" w:rsidRDefault="00D7571F" w:rsidP="0018450E">
      <w:pPr>
        <w:pStyle w:val="IRNaslov2"/>
        <w:numPr>
          <w:ilvl w:val="1"/>
          <w:numId w:val="22"/>
        </w:numPr>
        <w:ind w:left="709"/>
      </w:pPr>
      <w:bookmarkStart w:id="298" w:name="_Toc123211678"/>
      <w:r>
        <w:t>Troškovi ulaganja u infrastrukturu za oporabu i zbrinjavanje mulja</w:t>
      </w:r>
      <w:bookmarkEnd w:id="298"/>
      <w:r w:rsidR="00B46FFB">
        <w:t xml:space="preserve"> s uređaja za pročišćavanje komunalnih otpadnih voda</w:t>
      </w:r>
    </w:p>
    <w:p w14:paraId="385064E5" w14:textId="229AEDED" w:rsidR="00D7571F" w:rsidRDefault="00D7571F" w:rsidP="00D7571F">
      <w:r>
        <w:t xml:space="preserve">Uz pretpostavku da se cjelokupni mulj </w:t>
      </w:r>
      <w:r w:rsidR="002243D9">
        <w:t xml:space="preserve">s uređaja za pročišćavanje komunalnih otpadnih voda </w:t>
      </w:r>
      <w:proofErr w:type="spellStart"/>
      <w:r>
        <w:t>oporabljuje</w:t>
      </w:r>
      <w:proofErr w:type="spellEnd"/>
      <w:r>
        <w:t xml:space="preserve"> i/ili zbrinjava spaljivanjem ili suspaljivanjem, potrebno je predvidjeti kapacitete za spaljivanje/suspaljivanje u iznosu od oko </w:t>
      </w:r>
      <w:r w:rsidR="002243D9">
        <w:t xml:space="preserve">100.000 t ST/god </w:t>
      </w:r>
      <w:r>
        <w:t xml:space="preserve"> (udio vlage </w:t>
      </w:r>
      <w:r w:rsidR="002243D9">
        <w:t xml:space="preserve">&lt; </w:t>
      </w:r>
      <w:r>
        <w:t>20%). Uz pretpostavku kapitalnog troška od</w:t>
      </w:r>
      <w:r w:rsidR="00AD0869">
        <w:t xml:space="preserve"> 995,42 EUR/t</w:t>
      </w:r>
      <w:r>
        <w:t xml:space="preserve"> </w:t>
      </w:r>
      <w:r w:rsidR="00AD0869">
        <w:t>(</w:t>
      </w:r>
      <w:r>
        <w:t>7.500 kn/t</w:t>
      </w:r>
      <w:r w:rsidR="00AD0869">
        <w:t>)</w:t>
      </w:r>
      <w:r>
        <w:t xml:space="preserve"> godišnje instalirane snage dolazi se do</w:t>
      </w:r>
      <w:r w:rsidR="00AD0869">
        <w:t xml:space="preserve"> 124.427.632,89 EUR</w:t>
      </w:r>
      <w:r>
        <w:t xml:space="preserve"> </w:t>
      </w:r>
      <w:r w:rsidR="00AD0869">
        <w:t>(</w:t>
      </w:r>
      <w:r>
        <w:t>937.500.000 kn</w:t>
      </w:r>
      <w:r w:rsidR="00AD0869">
        <w:t>)</w:t>
      </w:r>
      <w:r>
        <w:t xml:space="preserve"> potrebnih ulaganja. S obzirom na ograničene količine raspoloživog mulja </w:t>
      </w:r>
      <w:r w:rsidR="002243D9">
        <w:t xml:space="preserve">s uređaja za pročišćavanje komunalnih otpadnih voda </w:t>
      </w:r>
      <w:r>
        <w:t xml:space="preserve">na razini RH kao i prostornog rasporeda nastanka mulja, racionalno rješenje je potrebno tražiti u energetskog oporabi suspaljivanjem. Na ovaj način, uzimajući u obzir potrebu za energetskom oporabom oko 400.000 t/god goriva iz otpada a koji nastaje kao rezultat obrade </w:t>
      </w:r>
      <w:proofErr w:type="spellStart"/>
      <w:r>
        <w:t>mKO</w:t>
      </w:r>
      <w:proofErr w:type="spellEnd"/>
      <w:r>
        <w:t>-a, dolazi se do ukupnih potrebnih kapaciteta za energetskom oporabom suspaljivanjem u iznosu od oko 525.000 t/god.</w:t>
      </w:r>
    </w:p>
    <w:p w14:paraId="39470D52" w14:textId="223974C5" w:rsidR="00D7571F" w:rsidRDefault="00D7571F" w:rsidP="00D7571F">
      <w:r>
        <w:t>Uz pretpostavku isključivo materijalne oporabe mulja kompostiranjem, potrebno je osigurati kapacitete za približno 200.000 t/god mulja (</w:t>
      </w:r>
      <w:r w:rsidR="002243D9">
        <w:t xml:space="preserve">100.000 t ST/god uz </w:t>
      </w:r>
      <w:r>
        <w:t xml:space="preserve">udio vlage od 50%). </w:t>
      </w:r>
      <w:r w:rsidRPr="00D7571F">
        <w:t xml:space="preserve">Uz pretpostavku kapitalnog troška od </w:t>
      </w:r>
      <w:r w:rsidR="00AD0869">
        <w:t>663,61 EUR/t (</w:t>
      </w:r>
      <w:r w:rsidRPr="00D7571F">
        <w:t>5.000 kn/t</w:t>
      </w:r>
      <w:r w:rsidR="00AD0869">
        <w:t>)</w:t>
      </w:r>
      <w:r w:rsidRPr="00D7571F">
        <w:t xml:space="preserve"> godišnje instalirane snage dolazi se do </w:t>
      </w:r>
      <w:r w:rsidR="00AD0869">
        <w:t>132.722.808,41 EUR (</w:t>
      </w:r>
      <w:r w:rsidRPr="00D7571F">
        <w:t>1.000.000.000 kn</w:t>
      </w:r>
      <w:r w:rsidR="00AD0869">
        <w:t>)</w:t>
      </w:r>
      <w:r w:rsidRPr="00D7571F">
        <w:t xml:space="preserve"> potrebnih ulaganja.</w:t>
      </w:r>
    </w:p>
    <w:p w14:paraId="53296655" w14:textId="77777777" w:rsidR="00D7571F" w:rsidRDefault="00D7571F" w:rsidP="00640659"/>
    <w:p w14:paraId="3B1874C0" w14:textId="77777777" w:rsidR="00640659" w:rsidRPr="00640659" w:rsidRDefault="00640659" w:rsidP="00640659"/>
    <w:p w14:paraId="0C182E29" w14:textId="62B0A018" w:rsidR="00596ABF" w:rsidRPr="00835847" w:rsidRDefault="00596ABF" w:rsidP="0018450E">
      <w:pPr>
        <w:pStyle w:val="IRNaslov1"/>
        <w:numPr>
          <w:ilvl w:val="0"/>
          <w:numId w:val="22"/>
        </w:numPr>
        <w:ind w:left="709" w:hanging="709"/>
      </w:pPr>
      <w:bookmarkStart w:id="299" w:name="_Toc123211679"/>
      <w:r>
        <w:lastRenderedPageBreak/>
        <w:t>Organizacijski aspekti gospodarenja otpadom i raspodjela odgovornosti</w:t>
      </w:r>
      <w:bookmarkEnd w:id="299"/>
    </w:p>
    <w:p w14:paraId="4B256A6E" w14:textId="77777777" w:rsidR="008B5DAB" w:rsidRDefault="008B5DAB" w:rsidP="008B5DAB">
      <w:r>
        <w:t xml:space="preserve">Gospodarenje otpadom obuhvaća sve razine uprave (nacionalna, regionalna, lokalna, mjesna), gotovo sva područja gospodarstva-proizvodnje, potrošnje i svakodnevnog života, te uključuje velik broj raznovrsnih sudionika. </w:t>
      </w:r>
    </w:p>
    <w:p w14:paraId="7570E044" w14:textId="77777777" w:rsidR="008B5DAB" w:rsidRDefault="008B5DAB" w:rsidP="008B5DAB">
      <w:r>
        <w:t>Gospodarenje otpadom i građenje građevina za gospodarenje otpadom od interesa su za RH.</w:t>
      </w:r>
    </w:p>
    <w:p w14:paraId="06587689" w14:textId="77777777" w:rsidR="008B5DAB" w:rsidRDefault="008B5DAB" w:rsidP="008B5DAB">
      <w:r>
        <w:t>Gospodarenje otpadom i učinkovitost gospodarenja otpadom osiguravaju Vlada Republike Hrvatske i ministarstvo nadležno za zaštitu okoliša propisivanjem mjera gospodarenja otpadom.</w:t>
      </w:r>
    </w:p>
    <w:p w14:paraId="0AC8138E" w14:textId="77777777" w:rsidR="008B5DAB" w:rsidRDefault="008B5DAB" w:rsidP="008B5DAB">
      <w:r>
        <w:t>Provedbeno tijelo na državnoj razini je Fond za zaštitu okoliša i energetsku učinkovitost (FZOEU).</w:t>
      </w:r>
    </w:p>
    <w:p w14:paraId="38A2E163" w14:textId="77777777" w:rsidR="008B5DAB" w:rsidRDefault="008B5DAB" w:rsidP="008B5DAB">
      <w:r>
        <w:t>Izvršno tijelo jedinice lokalne samouprave i izvršno tijelo jedinice područne (regionalne) samouprave odnosno Grada Zagreba dužno je na svom području osigurati uvjete i provedbu propisanih mjera gospodarenja otpadom.</w:t>
      </w:r>
    </w:p>
    <w:p w14:paraId="5FC506CA" w14:textId="5BAD72A6" w:rsidR="008B5DAB" w:rsidRDefault="008B5DAB" w:rsidP="008B5DAB">
      <w:r>
        <w:t>Više jedinica lokalne i područne (regionalne) samouprave mogu sporazumno osigurati zajedničku provedbu propisanih mjera gospodarenja otpadom.</w:t>
      </w:r>
    </w:p>
    <w:p w14:paraId="746D2EE2" w14:textId="5F73980D" w:rsidR="008B5DAB" w:rsidRDefault="008B5DAB" w:rsidP="0018450E">
      <w:pPr>
        <w:pStyle w:val="IRNaslov2"/>
        <w:numPr>
          <w:ilvl w:val="1"/>
          <w:numId w:val="22"/>
        </w:numPr>
        <w:ind w:left="709"/>
      </w:pPr>
      <w:bookmarkStart w:id="300" w:name="_Toc123211680"/>
      <w:r>
        <w:t>Nacionalna razina</w:t>
      </w:r>
      <w:bookmarkEnd w:id="300"/>
    </w:p>
    <w:p w14:paraId="064591D4" w14:textId="314B7BEC" w:rsidR="008B5DAB" w:rsidRDefault="008B5DAB" w:rsidP="008B5DAB">
      <w:r w:rsidRPr="008B5DAB">
        <w:rPr>
          <w:b/>
          <w:bCs/>
        </w:rPr>
        <w:t>Hrvatski sabor</w:t>
      </w:r>
      <w:r>
        <w:t xml:space="preserve"> predstavničko je tijelo građana i nositelj zakonodavne vlasti u Republici Hrvatskoj čij</w:t>
      </w:r>
      <w:r w:rsidR="005C5E60">
        <w:t>a</w:t>
      </w:r>
      <w:r>
        <w:t xml:space="preserve"> uloga je donošenje zakona i nacionalnih strategija, između ostalog Zakona o gospodarenju otpadom i Strategije gospodarenja otpadom. Saborski odbor daje mišljenja o konkretnim zakonima i dokumentima.</w:t>
      </w:r>
    </w:p>
    <w:p w14:paraId="35F82471" w14:textId="77777777" w:rsidR="008B5DAB" w:rsidRDefault="008B5DAB" w:rsidP="008B5DAB">
      <w:r w:rsidRPr="008B5DAB">
        <w:rPr>
          <w:b/>
          <w:bCs/>
        </w:rPr>
        <w:t>Vlada Republike Hrvatske</w:t>
      </w:r>
      <w:r>
        <w:t xml:space="preserve"> donosi Plan gospodarenja otpadom za razdoblje od šest godina i provedbene propise (Uredbe), usvaja Izvješće o stanju okoliša, predlaže Saboru odgovarajuće zakonodavstvo i strategije. Također, Vlada RH osigurava uvjete i propisivanje mjera za gospodarenje opasnim otpadom nastalim na teritoriju Republike Hrvatske i osniva trgovačko društvo za djelatnost zbrinjavanja opasnog otpada postupkom odlaganja, a u suradnji s jedinicom područne (regionalne) samouprave ili Gradom Zagrebom osniva trgovačko društvo koje obavlja djelatnost zbrinjavanja opasnog otpada postupkom spaljivanja, isključivo za opasni otpad nastao na teritoriju RH.</w:t>
      </w:r>
    </w:p>
    <w:p w14:paraId="0B9AE642" w14:textId="77777777" w:rsidR="008B5DAB" w:rsidRDefault="008B5DAB" w:rsidP="008B5DAB">
      <w:r w:rsidRPr="008B5DAB">
        <w:rPr>
          <w:b/>
          <w:bCs/>
        </w:rPr>
        <w:t>Ministarstvo gospodarstva i održivog razvoja (MINGOR)</w:t>
      </w:r>
      <w:r>
        <w:t xml:space="preserve"> kao tijelo državne uprave u sektoru gospodarenja otpadom određuje strateške smjerove, razvija programe i planove održivog razvoja društva na načelu zelenog i kružnog gospodarstva, osiguravajući klimatsku neutralnost, očuvanje i održivo korištenje prirodnih dobara. Nadležno je za pripremu zakonodavstva, strategije i Plana gospodarenja otpadom Republike Hrvatske, pripremu Izvješća o stanju okoliša, odobravanje zahvata utemeljenih na procjenama utjecaja na okoliš. Ministarstvo može dodjelom koncesije osigurati obavljanje djelatnosti zbrinjavanja opasnog otpada postupkom odlaganja i obavljanje djelatnosti zbrinjavanja opasnog otpada postupkom spaljivanja. Također, ministarstvo je nadležno za izdavanje dozvola za djelatnost koja uključuje gospodarenje opasnim otpadom te za postupke R 1 – korištenje otpada uglavnom kao goriva ili drugog načina dobivanja energije i D 10 – spaljivanje otpada na kopnu za opasni i neopasni otpad, izdaje ovlaštenje za obavljanje poslova obrade otpada osobama koje sklapaju ugovor s FZOEU u sustavu proširene odgovornosti proizvođača, rješava zahtjeve o uspostavi statusa Organizacije, vodi informacijski sustav gospodarenja otpadom, nadležno je tijelo za provedbu Uredbe (EZ) br. 1013/2006 o pošiljkama otpada i izrađuje propisana izvješća o gospodarenju otpadom. </w:t>
      </w:r>
    </w:p>
    <w:p w14:paraId="4363ECE1" w14:textId="50803855" w:rsidR="008B5DAB" w:rsidRDefault="008B5DAB" w:rsidP="008B5DAB">
      <w:r w:rsidRPr="008B5DAB">
        <w:rPr>
          <w:b/>
          <w:bCs/>
        </w:rPr>
        <w:lastRenderedPageBreak/>
        <w:t>Fond za zaštitu okoliša i energetsku učinkovitost</w:t>
      </w:r>
      <w:r>
        <w:t xml:space="preserve"> nadležan je za prikupljanje izvanproračunskih sredstava, obračunom i naplatom propisanih naknada, financiranje i sufinanciranje projekata u području gospodarenja otpadom, upravljanje sustavom sakupljanja i obrade određenih posebnih kategorija otpada, vođenje Registra gospodarenja posebnim kategorijama otpada te rješavanje zahtjeva za samostalno ispunjavanje pojedinačnog cilja za određenu posebnu kategoriju otpada.</w:t>
      </w:r>
    </w:p>
    <w:p w14:paraId="6B835CC9" w14:textId="7CF71A56" w:rsidR="008B5DAB" w:rsidRDefault="008B5DAB" w:rsidP="0018450E">
      <w:pPr>
        <w:pStyle w:val="IRNaslov2"/>
        <w:numPr>
          <w:ilvl w:val="1"/>
          <w:numId w:val="22"/>
        </w:numPr>
        <w:ind w:left="709"/>
      </w:pPr>
      <w:bookmarkStart w:id="301" w:name="_Toc123211681"/>
      <w:r>
        <w:t>Područna (regionalna) razina</w:t>
      </w:r>
      <w:bookmarkEnd w:id="301"/>
    </w:p>
    <w:p w14:paraId="24CA4132" w14:textId="2CA64F14" w:rsidR="008B5DAB" w:rsidRDefault="008B5DAB" w:rsidP="00596ABF">
      <w:r w:rsidRPr="008B5DAB">
        <w:t xml:space="preserve">Predstavničko tijelo </w:t>
      </w:r>
      <w:r w:rsidRPr="008B5DAB">
        <w:rPr>
          <w:b/>
          <w:bCs/>
        </w:rPr>
        <w:t>jedinice područne (regionalne) samouprave i Grada Zagreba</w:t>
      </w:r>
      <w:r w:rsidRPr="008B5DAB">
        <w:t xml:space="preserve">, a na prijedlog izvršnog tijela, dužno je donositi županijske (regionalne) planove gospodarenja otpadom usklađene s Planom gospodarenja otpadom Republike Hrvatske. </w:t>
      </w:r>
      <w:r w:rsidR="00E359B7">
        <w:t>N</w:t>
      </w:r>
      <w:r w:rsidRPr="008B5DAB">
        <w:t xml:space="preserve">adležni uredi u županijama odnosno Gradu Zagrebu su zaduženi za prikupljanje i prosljeđivanje podataka o otpadu (ROO – registar onečišćavanja okoliša), vođenje očevidnika sakupljača i </w:t>
      </w:r>
      <w:proofErr w:type="spellStart"/>
      <w:r w:rsidRPr="008B5DAB">
        <w:t>oporabitelja</w:t>
      </w:r>
      <w:proofErr w:type="spellEnd"/>
      <w:r w:rsidRPr="008B5DAB">
        <w:t>, očevidnika nusproizvoda</w:t>
      </w:r>
      <w:r w:rsidR="00280EDD">
        <w:t>,</w:t>
      </w:r>
      <w:r w:rsidRPr="008B5DAB">
        <w:t xml:space="preserve"> evidenciju centara ponovne uporabe</w:t>
      </w:r>
      <w:r w:rsidR="00280EDD">
        <w:t xml:space="preserve">, evidenciju prijevoznika otpada, posrednika otpadom, trgovaca otpadom i </w:t>
      </w:r>
      <w:proofErr w:type="spellStart"/>
      <w:r w:rsidR="00280EDD">
        <w:t>reciklažnih</w:t>
      </w:r>
      <w:proofErr w:type="spellEnd"/>
      <w:r w:rsidR="00280EDD">
        <w:t xml:space="preserve"> dvorišta</w:t>
      </w:r>
      <w:r w:rsidRPr="008B5DAB">
        <w:t>. Također, izdaju dozvole za gospodarenje otpadom za neopasni otpad za sve postupke oporabe i zbrinjavanja osim R1 i D10 i dozvole za gospodarenje otpadom iz rudarske industrije.</w:t>
      </w:r>
    </w:p>
    <w:p w14:paraId="38A7296D" w14:textId="79DBB9F7" w:rsidR="008B5DAB" w:rsidRDefault="008B5DAB" w:rsidP="0018450E">
      <w:pPr>
        <w:pStyle w:val="IRNaslov2"/>
        <w:numPr>
          <w:ilvl w:val="1"/>
          <w:numId w:val="22"/>
        </w:numPr>
        <w:ind w:left="709"/>
      </w:pPr>
      <w:bookmarkStart w:id="302" w:name="_Toc123211682"/>
      <w:r>
        <w:t>Lokalna razina</w:t>
      </w:r>
      <w:bookmarkEnd w:id="302"/>
    </w:p>
    <w:p w14:paraId="53CC37CA" w14:textId="2AAF6CD1" w:rsidR="008B5DAB" w:rsidRDefault="008B5DAB" w:rsidP="00596ABF">
      <w:r w:rsidRPr="008B5DAB">
        <w:t xml:space="preserve">U </w:t>
      </w:r>
      <w:r w:rsidRPr="008B5DAB">
        <w:rPr>
          <w:b/>
          <w:bCs/>
        </w:rPr>
        <w:t>jedinicama lokalne samouprave</w:t>
      </w:r>
      <w:r w:rsidRPr="008B5DAB">
        <w:t xml:space="preserve">, općine i gradovi, uključujući Grad Zagreb, poslove vezane za gospodarenje otpadom obavljaju različita upravna tijela, najčešće nadležni upravni odjeli. Izvršno tijelo jedinice lokalne samouprave odnosno Grada Zagreba dužno je na svom području osigurati odvojeno prikupljanje otpada putem </w:t>
      </w:r>
      <w:proofErr w:type="spellStart"/>
      <w:r w:rsidRPr="008B5DAB">
        <w:t>reciklažnih</w:t>
      </w:r>
      <w:proofErr w:type="spellEnd"/>
      <w:r w:rsidRPr="008B5DAB">
        <w:t xml:space="preserve"> dvorišta i spremnika kod korisnika javne usluge, dok predstavničko tijelo jedinice lokalne samouprave donosi Odluku o načinu pružanja javne usluge sakupljanja komunalnog otpada. Komunalni redari jedinice lokalne samouprave odnosno Grada Zagreba su nadležni za provedbu mjera sprječavanja nepropisnog odbacivanja otpada u okoliš (evidencija lokacija odbačenog otpada, provedba redovitog godišnjeg nadzora područja JLS i ostale utvrđene mjere) i za uklanjanje tako odbačenog otpada.</w:t>
      </w:r>
    </w:p>
    <w:p w14:paraId="78454A40" w14:textId="5196CF89" w:rsidR="008B5DAB" w:rsidRDefault="008B5DAB" w:rsidP="0018450E">
      <w:pPr>
        <w:pStyle w:val="IRNaslov2"/>
        <w:numPr>
          <w:ilvl w:val="1"/>
          <w:numId w:val="22"/>
        </w:numPr>
        <w:ind w:left="709"/>
      </w:pPr>
      <w:bookmarkStart w:id="303" w:name="_Toc123211683"/>
      <w:r>
        <w:t>Trgovačka društva u vlasništvu JP(R)S i JLS</w:t>
      </w:r>
      <w:bookmarkEnd w:id="303"/>
    </w:p>
    <w:p w14:paraId="7C2FEDCB" w14:textId="77777777" w:rsidR="008B5DAB" w:rsidRDefault="008B5DAB" w:rsidP="008B5DAB">
      <w:r w:rsidRPr="008B5DAB">
        <w:rPr>
          <w:b/>
          <w:bCs/>
        </w:rPr>
        <w:t>Trgovačka društva u vlasništvu JP(R)S i JLS</w:t>
      </w:r>
      <w:r>
        <w:t xml:space="preserve"> odnosno Grada Zagreba upravljaju centrom za gospodarenje otpadom. Javnu uslugu sakupljanja komunalnog otpada pruža davatelj javne usluge koji je: </w:t>
      </w:r>
    </w:p>
    <w:p w14:paraId="55C276F0" w14:textId="0356F9E0" w:rsidR="008B5DAB" w:rsidRDefault="008B5DAB">
      <w:pPr>
        <w:pStyle w:val="Odlomakpopisa"/>
        <w:numPr>
          <w:ilvl w:val="0"/>
          <w:numId w:val="19"/>
        </w:numPr>
      </w:pPr>
      <w:r>
        <w:t>trgovačko društvo, koje osniva jedna ili više jedinica lokalne samouprave i u kojem većinski dio udjela čine dionice odnosno udjeli jedne ili nekoliko jedinica lokalne samouprave, temeljem odluke predstavničkog tijela jedinice lokalne samouprave o dodjeli obavljanja javne usluge sakupljanja komunalnog otpada</w:t>
      </w:r>
    </w:p>
    <w:p w14:paraId="6B7EB69A" w14:textId="157E9042" w:rsidR="008B5DAB" w:rsidRDefault="008B5DAB">
      <w:pPr>
        <w:pStyle w:val="Odlomakpopisa"/>
        <w:numPr>
          <w:ilvl w:val="0"/>
          <w:numId w:val="19"/>
        </w:numPr>
      </w:pPr>
      <w:r>
        <w:t>pravna ili fizička osoba – obrtnik temeljem koncesije dodijeljene odlukom predstavničkog tijela jedinice lokalne samouprave</w:t>
      </w:r>
    </w:p>
    <w:p w14:paraId="63C9FB54" w14:textId="12FD0C77" w:rsidR="008B5DAB" w:rsidRDefault="008B5DAB" w:rsidP="0018450E">
      <w:pPr>
        <w:pStyle w:val="IRNaslov2"/>
        <w:numPr>
          <w:ilvl w:val="1"/>
          <w:numId w:val="22"/>
        </w:numPr>
        <w:ind w:left="709"/>
      </w:pPr>
      <w:bookmarkStart w:id="304" w:name="_Toc123211684"/>
      <w:r w:rsidRPr="008B5DAB">
        <w:lastRenderedPageBreak/>
        <w:t>Trgovačka društva u privatnom vlasništvu (pravne osobe i fizičke osobe koje obavljaju neku od djelatnosti gospodarenja otpadom)</w:t>
      </w:r>
      <w:bookmarkEnd w:id="304"/>
    </w:p>
    <w:p w14:paraId="7841D431" w14:textId="3BD4258E" w:rsidR="008B5DAB" w:rsidRDefault="008B5DAB" w:rsidP="00596ABF">
      <w:r w:rsidRPr="008B5DAB">
        <w:rPr>
          <w:b/>
          <w:bCs/>
        </w:rPr>
        <w:t>Trgovačka društva u privatnom vlasništvu (pravne osobe i fizičke osobe koje obavljaju neku od djelatnosti gospodarenja otpadom)</w:t>
      </w:r>
      <w:r w:rsidRPr="008B5DAB">
        <w:t xml:space="preserve"> mogu biti uključena u gospodarenje otpadom obavljanjem djelatnosti prijevoza otpada, posredovanja u gospodarenju otpadom, trgovanja otpadom, sakupljanja otpadom, oporabe otpada, zbrinjavanja otpada, izvoz i uvoz otpada, pružanje javne usluge sakupljanja komunalnog otpada.</w:t>
      </w:r>
    </w:p>
    <w:p w14:paraId="54B17FD8" w14:textId="77777777" w:rsidR="00D60A60" w:rsidRDefault="00D60A60" w:rsidP="00596ABF"/>
    <w:p w14:paraId="5CE3586E" w14:textId="14DBDD9C" w:rsidR="008B5DAB" w:rsidRDefault="008B5DAB" w:rsidP="008B5DAB">
      <w:pPr>
        <w:pStyle w:val="Slika"/>
      </w:pPr>
      <w:bookmarkStart w:id="305" w:name="_Toc125363975"/>
      <w:r>
        <w:t xml:space="preserve">Slika </w:t>
      </w:r>
      <w:fldSimple w:instr=" SEQ Slika \* ARABIC ">
        <w:r w:rsidR="00F37B62">
          <w:rPr>
            <w:noProof/>
          </w:rPr>
          <w:t>67</w:t>
        </w:r>
      </w:fldSimple>
      <w:r>
        <w:t xml:space="preserve">. </w:t>
      </w:r>
      <w:r w:rsidRPr="008B5DAB">
        <w:rPr>
          <w:b w:val="0"/>
          <w:bCs/>
        </w:rPr>
        <w:t>Organizacijski aspekti gospodarenja otpadom i raspodjela odgovornosti</w:t>
      </w:r>
      <w:bookmarkEnd w:id="305"/>
    </w:p>
    <w:p w14:paraId="37D15599" w14:textId="66EFDBB1" w:rsidR="00596ABF" w:rsidRPr="00835847" w:rsidRDefault="00596ABF" w:rsidP="0018450E">
      <w:pPr>
        <w:pStyle w:val="IRNaslov1"/>
        <w:numPr>
          <w:ilvl w:val="0"/>
          <w:numId w:val="22"/>
        </w:numPr>
        <w:ind w:left="709" w:hanging="709"/>
      </w:pPr>
      <w:bookmarkStart w:id="306" w:name="_Toc123211685"/>
      <w:r w:rsidRPr="00596ABF">
        <w:lastRenderedPageBreak/>
        <w:t>PROCJENA KORISNOSTI I PRIKLADNOSTI UPORABE EKONOMSKIH INSTRUMENATA UGOSPODARENJU OTPADOM UZ NESMETANO FUNKCIONIRANJE UNUTARNJEG TRŽIŠTA</w:t>
      </w:r>
      <w:bookmarkEnd w:id="306"/>
    </w:p>
    <w:p w14:paraId="4078D2F1" w14:textId="5FED3FCA" w:rsidR="00596ABF" w:rsidRDefault="00F444EC" w:rsidP="00596ABF">
      <w:r w:rsidRPr="00F444EC">
        <w:t xml:space="preserve">Ekonomski instrumenti gospodarenja otpadom u RH propisani su u </w:t>
      </w:r>
      <w:r w:rsidR="00DC0A95">
        <w:t>ZGO</w:t>
      </w:r>
      <w:r w:rsidRPr="00F444EC">
        <w:t>: poticaji i potpore,</w:t>
      </w:r>
      <w:r>
        <w:t xml:space="preserve"> </w:t>
      </w:r>
      <w:r w:rsidRPr="00F444EC">
        <w:t>naknada za odlaganje otpada, poticajna naknada zbog blizine odlagališta, naknada za korištenje odlagališta na</w:t>
      </w:r>
      <w:r>
        <w:t xml:space="preserve"> </w:t>
      </w:r>
      <w:r w:rsidRPr="00F444EC">
        <w:t xml:space="preserve">području duge jedinice lokalne samouprave odnosno grada Zagreba, povratna naknada </w:t>
      </w:r>
      <w:r>
        <w:t xml:space="preserve">za </w:t>
      </w:r>
      <w:r w:rsidRPr="00F444EC">
        <w:t>gospodarenja otpadom i</w:t>
      </w:r>
      <w:r>
        <w:t xml:space="preserve"> </w:t>
      </w:r>
      <w:r w:rsidRPr="00F444EC">
        <w:t>naknada za javnu uslugu prikupljanja komunalnog otpada. Ove naknade se koriste radi postizanja ciljeva za smanjenje</w:t>
      </w:r>
      <w:r>
        <w:t xml:space="preserve"> </w:t>
      </w:r>
      <w:r w:rsidRPr="00F444EC">
        <w:t>nastanka otpada, povećanje recikliranja otpada i smanjenje odlaganja otpada.</w:t>
      </w:r>
    </w:p>
    <w:p w14:paraId="3EE852DA" w14:textId="70937B73" w:rsidR="00596ABF" w:rsidRDefault="00F444EC" w:rsidP="0018450E">
      <w:pPr>
        <w:pStyle w:val="IRNaslov2"/>
        <w:numPr>
          <w:ilvl w:val="1"/>
          <w:numId w:val="22"/>
        </w:numPr>
        <w:ind w:left="709"/>
      </w:pPr>
      <w:bookmarkStart w:id="307" w:name="_Toc123211686"/>
      <w:r>
        <w:t>Naknada za odlaganje otpada</w:t>
      </w:r>
      <w:bookmarkEnd w:id="307"/>
    </w:p>
    <w:p w14:paraId="6A4362AC" w14:textId="0CA60025" w:rsidR="00F444EC" w:rsidRDefault="00801827" w:rsidP="00F444EC">
      <w:r w:rsidRPr="00801827">
        <w:t xml:space="preserve">Naknada za odlaganje otpada je mjera kojom će se poticati smanjenje količine otpada koji se odlaže na odlagalištima, te recikliranje i oporabu otpada odnosno služi za ostvarenje cilja smanjenja odlaganja otpada te odvojenog prikupljanja otpada. </w:t>
      </w:r>
      <w:r w:rsidR="00F444EC">
        <w:t>Obveznik plaćanja naknade je osoba koja upravlja odlagalištem, a naknada se godišnje plaća u FZOEU.</w:t>
      </w:r>
    </w:p>
    <w:p w14:paraId="362D40EB" w14:textId="70156A84" w:rsidR="00F444EC" w:rsidRDefault="00F444EC" w:rsidP="00F444EC">
      <w:r>
        <w:t>Osim naknade za odlaganje otpada određene Zakonom o gospodarenju otpadom, Zakonom o Fondu za zaštitu okoliša i energetsku učinkovitost (NN 107/03, 144/12) određene su naknada na opterećenje okoliša otpadom koja se odnosi na odloženi neopasni/tehnološki otpad i naknada za opasni otpad koja se odnosi na proizvodnju opasnog otpada koji nije obrađen ili izvezen.</w:t>
      </w:r>
    </w:p>
    <w:p w14:paraId="00A42C7D" w14:textId="18830AC5" w:rsidR="00801827" w:rsidRPr="00CC17B3" w:rsidRDefault="00801827" w:rsidP="00F444EC">
      <w:pPr>
        <w:rPr>
          <w:highlight w:val="yellow"/>
        </w:rPr>
      </w:pPr>
      <w:r w:rsidRPr="00CC17B3">
        <w:rPr>
          <w:highlight w:val="yellow"/>
        </w:rPr>
        <w:t>Sredstva koja FZEOU prikupi naplatom ove naknade mogu se koristiti za financiranje izgradnje nužne infrastrukture za gospodarenje otpadom, posebice u dijelu kojem nije moguće dobiti sufinanciranje EU.</w:t>
      </w:r>
    </w:p>
    <w:p w14:paraId="71BF5314" w14:textId="01204873" w:rsidR="00596ABF" w:rsidRDefault="00F444EC" w:rsidP="00F444EC">
      <w:r w:rsidRPr="00CC17B3">
        <w:rPr>
          <w:highlight w:val="yellow"/>
        </w:rPr>
        <w:t>Naknada za odlaganje otpada nije u primjeni.</w:t>
      </w:r>
    </w:p>
    <w:p w14:paraId="7B337FB1" w14:textId="1856F56A" w:rsidR="00F444EC" w:rsidRDefault="00F444EC" w:rsidP="0018450E">
      <w:pPr>
        <w:pStyle w:val="IRNaslov2"/>
        <w:numPr>
          <w:ilvl w:val="1"/>
          <w:numId w:val="22"/>
        </w:numPr>
        <w:ind w:left="709"/>
      </w:pPr>
      <w:bookmarkStart w:id="308" w:name="_Toc123211687"/>
      <w:r>
        <w:t>Poticajna naknada</w:t>
      </w:r>
      <w:bookmarkEnd w:id="308"/>
    </w:p>
    <w:p w14:paraId="34AB2D84" w14:textId="721176A0" w:rsidR="00F444EC" w:rsidRDefault="00F444EC" w:rsidP="00F444EC">
      <w:r>
        <w:t>Poticajna naknada je mjera kojom se potiče jedinica lokalne samouprave da na svom području provede mjere kojima se smanjuje udio miješanog komunalnog otpada u komunalnom otpadu. Obveznik plaćanja poticajne naknade je jedinica lokalne samouprave, naknada se godišnje plaća u FZOEU.</w:t>
      </w:r>
    </w:p>
    <w:p w14:paraId="53E3226C" w14:textId="25FE001D" w:rsidR="00596ABF" w:rsidRDefault="00F444EC" w:rsidP="00F444EC">
      <w:r>
        <w:t xml:space="preserve">Poticajna naknada u primjeni je od 2017. </w:t>
      </w:r>
      <w:commentRangeStart w:id="309"/>
      <w:r>
        <w:t>godine</w:t>
      </w:r>
      <w:commentRangeEnd w:id="309"/>
      <w:r w:rsidR="00CC17B3">
        <w:rPr>
          <w:rStyle w:val="Referencakomentara"/>
        </w:rPr>
        <w:commentReference w:id="309"/>
      </w:r>
      <w:r>
        <w:t>.</w:t>
      </w:r>
    </w:p>
    <w:p w14:paraId="21C4C092" w14:textId="02BF3123" w:rsidR="00F444EC" w:rsidRDefault="00F444EC" w:rsidP="0018450E">
      <w:pPr>
        <w:pStyle w:val="IRNaslov2"/>
        <w:numPr>
          <w:ilvl w:val="1"/>
          <w:numId w:val="22"/>
        </w:numPr>
        <w:ind w:left="709"/>
      </w:pPr>
      <w:bookmarkStart w:id="310" w:name="_Toc123211688"/>
      <w:r>
        <w:t>Naknada zbog blizine odlagališta</w:t>
      </w:r>
      <w:bookmarkEnd w:id="310"/>
    </w:p>
    <w:p w14:paraId="0822F97D" w14:textId="3801131A" w:rsidR="00F444EC" w:rsidRDefault="00F444EC" w:rsidP="00F444EC">
      <w:r>
        <w:t>Na novčanu naknadu zbog blizine odlagališta ima pravo vlasnik postojeće stambene odnosno stambeno-poslovne građevine u kojoj ima prijavljeno prebivalište i koja se nalazi na udaljenosti do 500 metara mjereno od vršne točke katastarske čestice na kojoj se nalazi odlagalište do vršne točke katastarske čestice na kojoj se nalazi stambena odnosno stambeno-poslovna građevina, uz uvjet da je vlasništvo nad nekretninom stekao prije početka građenja te građevine za odlaganje otpada. Naknadu godišnje plaća osoba koja upravlja odlagalištem na temelju rješenja jedinice lokalne samouprave odnosno Grada Zagreba na čijem području se nalazi odlagalište.</w:t>
      </w:r>
    </w:p>
    <w:p w14:paraId="1F250F25" w14:textId="08854710" w:rsidR="00F444EC" w:rsidRDefault="00F444EC" w:rsidP="00F444EC">
      <w:r>
        <w:t>Naknada je u primjeni u nekim jedinicama lokalne samouprave.</w:t>
      </w:r>
    </w:p>
    <w:p w14:paraId="3AE12D7F" w14:textId="3C577CF1" w:rsidR="00F444EC" w:rsidRDefault="00F444EC" w:rsidP="0018450E">
      <w:pPr>
        <w:pStyle w:val="IRNaslov2"/>
        <w:numPr>
          <w:ilvl w:val="1"/>
          <w:numId w:val="22"/>
        </w:numPr>
        <w:ind w:left="709"/>
      </w:pPr>
      <w:bookmarkStart w:id="311" w:name="_Toc123211689"/>
      <w:r>
        <w:lastRenderedPageBreak/>
        <w:t>Naknada za korištenje odlagališta otpada na području druge jedinice lokalne samouprave odnosno Grada Zagreba</w:t>
      </w:r>
      <w:bookmarkEnd w:id="311"/>
    </w:p>
    <w:p w14:paraId="363B76A9" w14:textId="5E0F0064" w:rsidR="00F444EC" w:rsidRDefault="00F444EC" w:rsidP="00F444EC">
      <w:r>
        <w:t>Na novčanu naknadu za korištenje odlagališta otpada ima pravo jedinica lokalne samouprave odnosno Grad Zagreb na čijem se području nalazi odlagalište otpada, a koje koriste druge jedinice lokalne samouprave odnosno Grad Zagreb. Naknadu plaćaju jedinice lokalne samouprave odnosno Grad Zagreb koje koriste odlagalište otpada na području druge jedinice lokalne samouprave odnosno Grada Zagreba. Naknada nije obavezna nego ovisi o odluci jedinice lokalne samouprave na čijem području se nalazi odlagalište.</w:t>
      </w:r>
    </w:p>
    <w:p w14:paraId="26F118E4" w14:textId="22440ED5" w:rsidR="00F444EC" w:rsidRDefault="00F444EC" w:rsidP="00F444EC">
      <w:r>
        <w:t>Naknada je u primjeni u nekim jedinicama lokalne samouprave.</w:t>
      </w:r>
    </w:p>
    <w:p w14:paraId="6C1C68BA" w14:textId="4E39112F" w:rsidR="00F444EC" w:rsidRDefault="00F444EC" w:rsidP="0018450E">
      <w:pPr>
        <w:pStyle w:val="IRNaslov2"/>
        <w:numPr>
          <w:ilvl w:val="1"/>
          <w:numId w:val="22"/>
        </w:numPr>
        <w:ind w:left="709"/>
      </w:pPr>
      <w:bookmarkStart w:id="312" w:name="_Toc123211690"/>
      <w:r>
        <w:t>Povratna naknada</w:t>
      </w:r>
      <w:bookmarkEnd w:id="312"/>
    </w:p>
    <w:p w14:paraId="7E981470" w14:textId="545E2000" w:rsidR="00F444EC" w:rsidRDefault="00F444EC" w:rsidP="00F444EC">
      <w:r>
        <w:t xml:space="preserve">Povratna naknada je stimulativna mjera kojom se potiče posjednik otpada da određeni otpad preda prodavatelju one vrste proizvoda od kojeg nastaje odgovarajući otpad ili osobi koja upravlja </w:t>
      </w:r>
      <w:proofErr w:type="spellStart"/>
      <w:r>
        <w:t>reciklažnim</w:t>
      </w:r>
      <w:proofErr w:type="spellEnd"/>
      <w:r>
        <w:t xml:space="preserve"> dvorištem i za to primi određeni iznos povratne naknade.</w:t>
      </w:r>
    </w:p>
    <w:p w14:paraId="2B551608" w14:textId="6F6B5632" w:rsidR="00F444EC" w:rsidRDefault="00F444EC" w:rsidP="00F444EC">
      <w:r>
        <w:t xml:space="preserve">Povratna naknada je novčani iznos koji plaća proizvođač proizvoda koji stavlja na tržište proizvod u FZOEU, a krajnji korisnik ili potrošač ostvaruje pravo na povrat iznosa povratne naknade od prodavatelja proizvoda ili osobe koja upravlja </w:t>
      </w:r>
      <w:proofErr w:type="spellStart"/>
      <w:r>
        <w:t>reciklažnim</w:t>
      </w:r>
      <w:proofErr w:type="spellEnd"/>
      <w:r>
        <w:t xml:space="preserve"> dvorištem predajom odgovarajućeg otpada. Prodavatelj proizvoda i osoba koja upravlja </w:t>
      </w:r>
      <w:proofErr w:type="spellStart"/>
      <w:r>
        <w:t>reciklažnim</w:t>
      </w:r>
      <w:proofErr w:type="spellEnd"/>
      <w:r>
        <w:t xml:space="preserve"> dvorištem dužna je preuzeti otpad od proizvoda za koji je propisano plaćanje povratne naknade, isplatiti iznos povratne naknade donosiocu toga otpada te predati taj otpad osobi koju je odredio FZOEU. FZOEU nadoknađuje prodavatelju proizvoda i osobi koja upravlja </w:t>
      </w:r>
      <w:proofErr w:type="spellStart"/>
      <w:r>
        <w:t>reciklažnim</w:t>
      </w:r>
      <w:proofErr w:type="spellEnd"/>
      <w:r>
        <w:t xml:space="preserve"> dvorištem troškove isplaćene povratne naknade.</w:t>
      </w:r>
    </w:p>
    <w:p w14:paraId="0FDC26FF" w14:textId="5BAFA5D0" w:rsidR="00596ABF" w:rsidRDefault="00F444EC" w:rsidP="00F444EC">
      <w:r>
        <w:t>Povratna naknada se primjenjuje samo za neke vrste ambalaže, pri čemu je postignut značajni uspjeh, posebice u vezi s PET bocama od pića.</w:t>
      </w:r>
    </w:p>
    <w:p w14:paraId="7C790EC0" w14:textId="068B7C9B" w:rsidR="00F444EC" w:rsidRDefault="00F444EC" w:rsidP="0018450E">
      <w:pPr>
        <w:pStyle w:val="IRNaslov2"/>
        <w:numPr>
          <w:ilvl w:val="1"/>
          <w:numId w:val="22"/>
        </w:numPr>
        <w:ind w:left="709"/>
      </w:pPr>
      <w:bookmarkStart w:id="313" w:name="_Toc123211691"/>
      <w:r>
        <w:t>Naknada gospodarenja otpadom</w:t>
      </w:r>
      <w:bookmarkEnd w:id="313"/>
    </w:p>
    <w:p w14:paraId="00CC8633" w14:textId="682693E5" w:rsidR="00F444EC" w:rsidRDefault="00F444EC" w:rsidP="00F444EC">
      <w:r>
        <w:t>Naknada gospodarenja otpadom je mjera kojom se osiguravaju usluge gospodarenja otpadom radi postizanja propisanih ciljeva gospodarenja otpadom u okviru sustava proširene odgovornosti proizvođača proizvoda. Naknadu gospodarenja otpadom plaća u FZOEU proizvođač koji stavlja na tržište proizvod. Naknada se određuje za vrstu proizvoda ili skupinu sličnih proizvoda.</w:t>
      </w:r>
    </w:p>
    <w:p w14:paraId="22467C8B" w14:textId="41450255" w:rsidR="00F444EC" w:rsidRDefault="00F444EC" w:rsidP="00F444EC">
      <w:r>
        <w:t>Naknada je u primjeni za pojedine vrste proizvoda.</w:t>
      </w:r>
    </w:p>
    <w:p w14:paraId="67D782EB" w14:textId="57603E18" w:rsidR="00F444EC" w:rsidRDefault="00801827" w:rsidP="0018450E">
      <w:pPr>
        <w:pStyle w:val="IRNaslov2"/>
        <w:numPr>
          <w:ilvl w:val="1"/>
          <w:numId w:val="22"/>
        </w:numPr>
        <w:ind w:left="709"/>
      </w:pPr>
      <w:bookmarkStart w:id="314" w:name="_Toc123211692"/>
      <w:r>
        <w:t>Cijena</w:t>
      </w:r>
      <w:r w:rsidR="00F444EC">
        <w:t xml:space="preserve"> za javnu uslugu sakupljanja komunalnog otpada</w:t>
      </w:r>
      <w:bookmarkEnd w:id="314"/>
    </w:p>
    <w:p w14:paraId="2796D829" w14:textId="38EED989" w:rsidR="00F444EC" w:rsidRDefault="00F444EC" w:rsidP="00F444EC">
      <w:r>
        <w:t>Naknada za javnu uslugu sakupljanja komunalnog otpada koristi se za troškove pružanja javne usluge. Naknadu plaćaju korisnici javne usluge davatelju javne usluge na temelju Odluke predstavničkog tijela jedinice lokalne samouprave i Cjenika davatelja javne usluge.</w:t>
      </w:r>
    </w:p>
    <w:p w14:paraId="60EF5EFB" w14:textId="77777777" w:rsidR="00F444EC" w:rsidRDefault="00F444EC" w:rsidP="00F444EC">
      <w:r>
        <w:t>Naknada se sastoji do dva dijela:</w:t>
      </w:r>
    </w:p>
    <w:p w14:paraId="5A1BA4F7" w14:textId="2C8C8677" w:rsidR="00F444EC" w:rsidRDefault="00F444EC" w:rsidP="004C775C">
      <w:pPr>
        <w:pStyle w:val="Odlomakpopisa"/>
        <w:numPr>
          <w:ilvl w:val="0"/>
          <w:numId w:val="43"/>
        </w:numPr>
      </w:pPr>
      <w:r>
        <w:t>cijena za količinu predanog miješanog komunalnog otpada i</w:t>
      </w:r>
    </w:p>
    <w:p w14:paraId="71947324" w14:textId="7286211C" w:rsidR="00F444EC" w:rsidRDefault="00F444EC" w:rsidP="004C775C">
      <w:pPr>
        <w:pStyle w:val="Odlomakpopisa"/>
        <w:numPr>
          <w:ilvl w:val="0"/>
          <w:numId w:val="43"/>
        </w:numPr>
      </w:pPr>
      <w:r>
        <w:t>cijena obvezne minimalne javne usluge.</w:t>
      </w:r>
    </w:p>
    <w:p w14:paraId="67121CFE" w14:textId="4475043E" w:rsidR="00F444EC" w:rsidRDefault="00F444EC" w:rsidP="00F444EC">
      <w:r>
        <w:lastRenderedPageBreak/>
        <w:t>Cijena za količinu predanog miješanog otpada i cijena obvezne minimalne javne usluge u cijeni javne usluge mora biti određena na način koji će osigurati obavljanje javne usluge na kvalitetan, postojan i ekonomski učinkovit način, izbjegavajući neopravdano visoke troškove, u skladu s načelima održivog razvoja, zaštite okoliša, javnosti rada i onečišćivač plaća, kako bi se osiguralo i poticalo odvojeno sakupljanje otpada.</w:t>
      </w:r>
    </w:p>
    <w:p w14:paraId="5C4E5A08" w14:textId="3CEF3249" w:rsidR="00F444EC" w:rsidRDefault="00F444EC" w:rsidP="00F444EC">
      <w:r>
        <w:t>Naknada je u primjeni od 2017. godine.</w:t>
      </w:r>
    </w:p>
    <w:p w14:paraId="697FC414" w14:textId="77777777" w:rsidR="00F444EC" w:rsidRDefault="00F444EC" w:rsidP="00596ABF"/>
    <w:p w14:paraId="021693D0" w14:textId="68742362" w:rsidR="00596ABF" w:rsidRPr="00835847" w:rsidRDefault="00596ABF" w:rsidP="0018450E">
      <w:pPr>
        <w:pStyle w:val="IRNaslov1"/>
        <w:numPr>
          <w:ilvl w:val="0"/>
          <w:numId w:val="22"/>
        </w:numPr>
        <w:ind w:left="709" w:hanging="709"/>
      </w:pPr>
      <w:bookmarkStart w:id="315" w:name="_Ref116478981"/>
      <w:bookmarkStart w:id="316" w:name="_Toc123211693"/>
      <w:r w:rsidRPr="00596ABF">
        <w:lastRenderedPageBreak/>
        <w:t>MJERE ZA PROVEDBU PLANA</w:t>
      </w:r>
      <w:bookmarkEnd w:id="315"/>
      <w:bookmarkEnd w:id="316"/>
    </w:p>
    <w:p w14:paraId="2BF604B3" w14:textId="259E8C93" w:rsidR="007C3BF8" w:rsidRDefault="007C3BF8" w:rsidP="007C3BF8">
      <w:r>
        <w:t>U skladu s dokumentom „Akcijski plan za kružno gospodarstvo - Za čišću i konkurentniju Europu“ (COM (2020), mjere i aktivnosti ovog Plana koncipirane su na način da osiguraju jačanje kružnosti i smanjenje nastanka otpada primjenom načela održivosti u cijelom lancu vrijednosti, od dizajna održivih proizvoda, jačanja položaja potrošača i javnih naručitelja (zelena javna nabava, eko – oznake i dr.) prema učinkovitijim modelima odvojenog sakupljanja otpada, njegove ponovne uporabe i visokokvalitetnog recikliranja. Također, u skladu s EU Akcijskim planom skupina mjera i aktivnosti su usmjerene upravo na proizvode koji su u kontekstu lanaca vrijednosti prepoznati kao ključni za uklanjanju prepreka širenju tržišta za kružne proizvode: elektronički uređaji, baterije i vozila, ambalaža, plastika, tekstilni proizvodi, građevinski proizvodi i hrana.</w:t>
      </w:r>
    </w:p>
    <w:p w14:paraId="181EFF4D" w14:textId="6A7C036C" w:rsidR="007C3BF8" w:rsidRDefault="007C3BF8" w:rsidP="007C3BF8">
      <w:r>
        <w:t xml:space="preserve">U nastavku se daje pregled mjera i aktivnosti koje je potrebno provesti kako bi se osiguralo dostizanje ciljeva definiranih ovim Planom (Poglavlje </w:t>
      </w:r>
      <w:r>
        <w:fldChar w:fldCharType="begin"/>
      </w:r>
      <w:r>
        <w:instrText xml:space="preserve"> REF _Ref116287843 \r \h </w:instrText>
      </w:r>
      <w:r>
        <w:fldChar w:fldCharType="separate"/>
      </w:r>
      <w:r w:rsidR="00F37B62">
        <w:t>4</w:t>
      </w:r>
      <w:r>
        <w:fldChar w:fldCharType="end"/>
      </w:r>
      <w:r>
        <w:t>).</w:t>
      </w:r>
    </w:p>
    <w:p w14:paraId="7FC430D0" w14:textId="2F3314C7" w:rsidR="007C3BF8" w:rsidRDefault="007C3BF8" w:rsidP="007C3BF8">
      <w:r w:rsidRPr="00DC0A95">
        <w:t xml:space="preserve">Također, mjere i aktivnosti definirane </w:t>
      </w:r>
      <w:r w:rsidR="0045369B">
        <w:t>Programom</w:t>
      </w:r>
      <w:r w:rsidR="0045369B" w:rsidRPr="00DC0A95">
        <w:t xml:space="preserve"> </w:t>
      </w:r>
      <w:r w:rsidRPr="00DC0A95">
        <w:t xml:space="preserve">sprječavanja nastanka otpada RH (PSNO, Poglavlje </w:t>
      </w:r>
      <w:r w:rsidR="00DC0A95" w:rsidRPr="00DC0A95">
        <w:fldChar w:fldCharType="begin"/>
      </w:r>
      <w:r w:rsidR="00DC0A95" w:rsidRPr="00DC0A95">
        <w:instrText xml:space="preserve"> REF _Ref116479991 \r \h </w:instrText>
      </w:r>
      <w:r w:rsidR="00DC0A95">
        <w:instrText xml:space="preserve"> \* MERGEFORMAT </w:instrText>
      </w:r>
      <w:r w:rsidR="00DC0A95" w:rsidRPr="00DC0A95">
        <w:fldChar w:fldCharType="separate"/>
      </w:r>
      <w:r w:rsidR="00F37B62">
        <w:t>15</w:t>
      </w:r>
      <w:r w:rsidR="00DC0A95" w:rsidRPr="00DC0A95">
        <w:fldChar w:fldCharType="end"/>
      </w:r>
      <w:r w:rsidR="00DC0A95" w:rsidRPr="00DC0A95">
        <w:t xml:space="preserve"> </w:t>
      </w:r>
      <w:r w:rsidRPr="00DC0A95">
        <w:t>ovog Plana) relevantne su za postizanje određenih ciljeva gospodarenja otpadom i njihova uspješna realizacija ima direktni utjecaj i doprinos ostvarenju ciljeva Plana. Provedba mjera sprječavanja nastanka otpada u najvećoj mjeri doprinijet će održivom gospodarenju i jačanju kružnosti slijedećih tokova otpada: komunalni otpad i glavne sastavnice komunalnog otpada (biootpad, papir i karton, otpadni tekstil i odjeća, plastični otpad), plastični otpad, morski otpad, otpad od papira i kartona, tekstila i obuće, plastičnih proizvoda za jednokratnu uporabu, električnog i elektroničkog otpada, građevnog otpada. Sprječavanjem nastanka komunalnog otpada doprinijet će povećanju ponovne uporabe otpada, smanjiti će se i količine ukupnog komunalnog otpada i biorazgradivog komunalnog otpada odloženog na odlagališta otpada odnosno doprinijet će se ostvarenju ciljeva iz Direktive 1999/31/EZ o odlagalištima otpada. Provedbom mjera za sprječavanja nastanka posebnih kategorija otpada, osobito u dijelu promicanja ponovne uporabe i primjene eko-modulacije u sustavu proširene odgovornost proizvođača, osim smanjenju nastajanja, doprinijet će unaprjeđenju sustava gospodarenja tim posebnim kategorijama otpada te dostizanju ciljeva vezanih za odvojeno sakupljanje, ponovnu uporabu, recikliranje i oporabu propisane EU direktivama o posebnim kategorijama otpada te ciljeva vezanih za ponovnu uporabu i recikliranje komunalnog otpada propisanih Direktivom 2008/98/EZ.</w:t>
      </w:r>
    </w:p>
    <w:p w14:paraId="32AF4A85" w14:textId="77777777" w:rsidR="007C3BF8" w:rsidRDefault="007C3BF8" w:rsidP="007C3BF8">
      <w:pPr>
        <w:sectPr w:rsidR="007C3BF8" w:rsidSect="00CF361D">
          <w:pgSz w:w="11906" w:h="16838" w:code="9"/>
          <w:pgMar w:top="1440" w:right="1418" w:bottom="1440" w:left="1440" w:header="709" w:footer="709" w:gutter="0"/>
          <w:cols w:space="708"/>
          <w:docGrid w:linePitch="360"/>
        </w:sectPr>
      </w:pPr>
    </w:p>
    <w:p w14:paraId="2AEADCB5" w14:textId="258A53C0" w:rsidR="007C3BF8" w:rsidRPr="007C3BF8" w:rsidRDefault="007C3BF8" w:rsidP="007C3BF8">
      <w:pPr>
        <w:pStyle w:val="Tablica"/>
        <w:rPr>
          <w:b w:val="0"/>
          <w:bCs/>
        </w:rPr>
      </w:pPr>
      <w:bookmarkStart w:id="317" w:name="_Toc125364455"/>
      <w:r>
        <w:lastRenderedPageBreak/>
        <w:t xml:space="preserve">Tablica </w:t>
      </w:r>
      <w:fldSimple w:instr=" SEQ Tablica \* ARABIC ">
        <w:r w:rsidR="00F37B62">
          <w:rPr>
            <w:noProof/>
          </w:rPr>
          <w:t>66</w:t>
        </w:r>
      </w:fldSimple>
      <w:r>
        <w:t xml:space="preserve">. </w:t>
      </w:r>
      <w:r w:rsidRPr="007C3BF8">
        <w:rPr>
          <w:b w:val="0"/>
          <w:bCs/>
        </w:rPr>
        <w:t>Odnos ciljeva i mjera za postizanje ciljeva EU-a definiranih u PGO 2023 – 2028</w:t>
      </w:r>
      <w:bookmarkEnd w:id="317"/>
      <w:r w:rsidRPr="007C3BF8">
        <w:rPr>
          <w:b w:val="0"/>
          <w:bCs/>
        </w:rPr>
        <w:t xml:space="preserve"> </w:t>
      </w:r>
    </w:p>
    <w:tbl>
      <w:tblPr>
        <w:tblStyle w:val="Reetkatablice"/>
        <w:tblW w:w="5000" w:type="pct"/>
        <w:tblLook w:val="04A0" w:firstRow="1" w:lastRow="0" w:firstColumn="1" w:lastColumn="0" w:noHBand="0" w:noVBand="1"/>
      </w:tblPr>
      <w:tblGrid>
        <w:gridCol w:w="1924"/>
        <w:gridCol w:w="1379"/>
        <w:gridCol w:w="1131"/>
        <w:gridCol w:w="2245"/>
        <w:gridCol w:w="2359"/>
      </w:tblGrid>
      <w:tr w:rsidR="008B146A" w:rsidRPr="007C3BF8" w14:paraId="7DA25B6A" w14:textId="77777777" w:rsidTr="009008E5">
        <w:trPr>
          <w:trHeight w:val="20"/>
          <w:tblHeader/>
        </w:trPr>
        <w:tc>
          <w:tcPr>
            <w:tcW w:w="1064"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105583DB" w14:textId="77777777" w:rsidR="007C3BF8" w:rsidRPr="007C3BF8" w:rsidRDefault="007C3BF8">
            <w:pPr>
              <w:jc w:val="center"/>
              <w:rPr>
                <w:rFonts w:eastAsia="Calibri" w:cstheme="minorHAnsi"/>
                <w:b/>
                <w:sz w:val="18"/>
                <w:szCs w:val="18"/>
              </w:rPr>
            </w:pPr>
            <w:r w:rsidRPr="007C3BF8">
              <w:rPr>
                <w:rFonts w:eastAsia="Calibri" w:cstheme="minorHAnsi"/>
                <w:b/>
                <w:sz w:val="18"/>
                <w:szCs w:val="18"/>
              </w:rPr>
              <w:t>Cilj PGO 2023.-2028.</w:t>
            </w:r>
          </w:p>
        </w:tc>
        <w:tc>
          <w:tcPr>
            <w:tcW w:w="742"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3BB018E3" w14:textId="77777777" w:rsidR="007C3BF8" w:rsidRPr="007C3BF8" w:rsidRDefault="007C3BF8">
            <w:pPr>
              <w:jc w:val="center"/>
              <w:rPr>
                <w:rFonts w:eastAsia="Calibri" w:cstheme="minorHAnsi"/>
                <w:b/>
                <w:sz w:val="18"/>
                <w:szCs w:val="18"/>
              </w:rPr>
            </w:pPr>
            <w:r w:rsidRPr="007C3BF8">
              <w:rPr>
                <w:rFonts w:eastAsia="Calibri" w:cstheme="minorHAnsi"/>
                <w:b/>
                <w:sz w:val="18"/>
                <w:szCs w:val="18"/>
              </w:rPr>
              <w:t>Mjera iz PGO 2023.-2028</w:t>
            </w:r>
          </w:p>
        </w:tc>
        <w:tc>
          <w:tcPr>
            <w:tcW w:w="633"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6DB79C5F" w14:textId="77777777" w:rsidR="007C3BF8" w:rsidRPr="007C3BF8" w:rsidRDefault="007C3BF8">
            <w:pPr>
              <w:jc w:val="center"/>
              <w:rPr>
                <w:rFonts w:eastAsia="Calibri" w:cstheme="minorHAnsi"/>
                <w:b/>
                <w:sz w:val="18"/>
                <w:szCs w:val="18"/>
              </w:rPr>
            </w:pPr>
            <w:r w:rsidRPr="007C3BF8">
              <w:rPr>
                <w:rFonts w:eastAsia="Calibri" w:cstheme="minorHAnsi"/>
                <w:b/>
                <w:sz w:val="18"/>
                <w:szCs w:val="18"/>
              </w:rPr>
              <w:t>Aktivnost iz PGO 2023.-2028.</w:t>
            </w:r>
          </w:p>
        </w:tc>
        <w:tc>
          <w:tcPr>
            <w:tcW w:w="1249"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37F6D589" w14:textId="77777777" w:rsidR="007C3BF8" w:rsidRPr="007C3BF8" w:rsidRDefault="007C3BF8">
            <w:pPr>
              <w:jc w:val="center"/>
              <w:rPr>
                <w:rFonts w:eastAsia="Calibri" w:cstheme="minorHAnsi"/>
                <w:b/>
                <w:sz w:val="18"/>
                <w:szCs w:val="18"/>
              </w:rPr>
            </w:pPr>
            <w:r w:rsidRPr="007C3BF8">
              <w:rPr>
                <w:rFonts w:eastAsia="Calibri" w:cstheme="minorHAnsi"/>
                <w:b/>
                <w:sz w:val="18"/>
                <w:szCs w:val="18"/>
              </w:rPr>
              <w:t>EU Cilj</w:t>
            </w:r>
          </w:p>
        </w:tc>
        <w:tc>
          <w:tcPr>
            <w:tcW w:w="1312"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136AA756" w14:textId="77777777" w:rsidR="007C3BF8" w:rsidRPr="007C3BF8" w:rsidRDefault="007C3BF8">
            <w:pPr>
              <w:jc w:val="center"/>
              <w:rPr>
                <w:rFonts w:eastAsia="Calibri" w:cstheme="minorHAnsi"/>
                <w:b/>
                <w:sz w:val="18"/>
                <w:szCs w:val="18"/>
              </w:rPr>
            </w:pPr>
            <w:r w:rsidRPr="007C3BF8">
              <w:rPr>
                <w:rFonts w:eastAsia="Calibri" w:cstheme="minorHAnsi"/>
                <w:b/>
                <w:sz w:val="18"/>
                <w:szCs w:val="18"/>
              </w:rPr>
              <w:t>EU Propis</w:t>
            </w:r>
          </w:p>
        </w:tc>
      </w:tr>
      <w:tr w:rsidR="00C262BD" w:rsidRPr="007C3BF8" w14:paraId="255EDEEB" w14:textId="77777777" w:rsidTr="007C3BF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5899F528" w14:textId="77777777" w:rsidR="007C3BF8" w:rsidRPr="007C3BF8" w:rsidRDefault="007C3BF8">
            <w:pPr>
              <w:jc w:val="center"/>
              <w:rPr>
                <w:rFonts w:eastAsia="Calibri" w:cstheme="minorHAnsi"/>
                <w:sz w:val="18"/>
                <w:szCs w:val="18"/>
              </w:rPr>
            </w:pPr>
            <w:r w:rsidRPr="007C3BF8">
              <w:rPr>
                <w:rFonts w:eastAsia="Calibri" w:cstheme="minorHAnsi"/>
                <w:b/>
                <w:bCs/>
                <w:sz w:val="18"/>
                <w:szCs w:val="18"/>
              </w:rPr>
              <w:t>Cilj 1. - Komunalni otpad</w:t>
            </w:r>
          </w:p>
        </w:tc>
      </w:tr>
      <w:tr w:rsidR="008B146A" w:rsidRPr="007C3BF8" w14:paraId="56CC3F50" w14:textId="77777777" w:rsidTr="009008E5">
        <w:trPr>
          <w:trHeight w:val="6592"/>
        </w:trPr>
        <w:tc>
          <w:tcPr>
            <w:tcW w:w="1064" w:type="pct"/>
            <w:tcBorders>
              <w:top w:val="single" w:sz="4" w:space="0" w:color="auto"/>
              <w:left w:val="single" w:sz="4" w:space="0" w:color="auto"/>
              <w:bottom w:val="single" w:sz="4" w:space="0" w:color="auto"/>
              <w:right w:val="single" w:sz="4" w:space="0" w:color="auto"/>
            </w:tcBorders>
            <w:vAlign w:val="center"/>
            <w:hideMark/>
          </w:tcPr>
          <w:p w14:paraId="439A999D" w14:textId="77777777" w:rsidR="009008E5" w:rsidRPr="007C3BF8" w:rsidRDefault="009008E5">
            <w:pPr>
              <w:rPr>
                <w:rFonts w:eastAsia="Calibri" w:cstheme="minorHAnsi"/>
                <w:sz w:val="18"/>
                <w:szCs w:val="18"/>
              </w:rPr>
            </w:pPr>
            <w:proofErr w:type="spellStart"/>
            <w:r w:rsidRPr="007C3BF8">
              <w:rPr>
                <w:rFonts w:eastAsia="Calibri" w:cstheme="minorHAnsi"/>
                <w:sz w:val="18"/>
                <w:szCs w:val="18"/>
              </w:rPr>
              <w:t>Oporabiti</w:t>
            </w:r>
            <w:proofErr w:type="spellEnd"/>
            <w:r w:rsidRPr="007C3BF8">
              <w:rPr>
                <w:rFonts w:eastAsia="Calibri" w:cstheme="minorHAnsi"/>
                <w:sz w:val="18"/>
                <w:szCs w:val="18"/>
              </w:rPr>
              <w:t xml:space="preserve"> recikliranjem i pripremom za ponovnu uporabu najmanje: </w:t>
            </w:r>
          </w:p>
          <w:p w14:paraId="1D03F760" w14:textId="77777777" w:rsidR="009008E5" w:rsidRPr="007C3BF8" w:rsidRDefault="009008E5">
            <w:pPr>
              <w:numPr>
                <w:ilvl w:val="0"/>
                <w:numId w:val="29"/>
              </w:numPr>
              <w:contextualSpacing/>
              <w:rPr>
                <w:rFonts w:eastAsia="Calibri" w:cstheme="minorHAnsi"/>
                <w:sz w:val="18"/>
                <w:szCs w:val="18"/>
              </w:rPr>
            </w:pPr>
            <w:r w:rsidRPr="007C3BF8">
              <w:rPr>
                <w:rFonts w:eastAsia="Calibri" w:cstheme="minorHAnsi"/>
                <w:sz w:val="18"/>
                <w:szCs w:val="18"/>
              </w:rPr>
              <w:t>55% mase komunalnog otpada do 2025. godine</w:t>
            </w:r>
          </w:p>
          <w:p w14:paraId="3C35E176" w14:textId="77777777" w:rsidR="009008E5" w:rsidRPr="007C3BF8" w:rsidRDefault="009008E5">
            <w:pPr>
              <w:numPr>
                <w:ilvl w:val="0"/>
                <w:numId w:val="29"/>
              </w:numPr>
              <w:contextualSpacing/>
              <w:rPr>
                <w:rFonts w:eastAsia="Calibri" w:cstheme="minorHAnsi"/>
                <w:sz w:val="18"/>
                <w:szCs w:val="18"/>
              </w:rPr>
            </w:pPr>
            <w:r w:rsidRPr="007C3BF8">
              <w:rPr>
                <w:rFonts w:eastAsia="Calibri" w:cstheme="minorHAnsi"/>
                <w:sz w:val="18"/>
                <w:szCs w:val="18"/>
              </w:rPr>
              <w:t>60% mase komunalnog otpada do 2030. godine i</w:t>
            </w:r>
          </w:p>
          <w:p w14:paraId="7A173F8F" w14:textId="77777777" w:rsidR="009008E5" w:rsidRPr="007C3BF8" w:rsidRDefault="009008E5">
            <w:pPr>
              <w:numPr>
                <w:ilvl w:val="0"/>
                <w:numId w:val="29"/>
              </w:numPr>
              <w:contextualSpacing/>
              <w:rPr>
                <w:rFonts w:eastAsia="Calibri" w:cstheme="minorHAnsi"/>
                <w:sz w:val="18"/>
                <w:szCs w:val="18"/>
              </w:rPr>
            </w:pPr>
            <w:r w:rsidRPr="007C3BF8">
              <w:rPr>
                <w:rFonts w:eastAsia="Calibri" w:cstheme="minorHAnsi"/>
                <w:sz w:val="18"/>
                <w:szCs w:val="18"/>
              </w:rPr>
              <w:t>65% mase komunalnog otpada do 2035. godine.</w:t>
            </w:r>
          </w:p>
        </w:tc>
        <w:tc>
          <w:tcPr>
            <w:tcW w:w="742" w:type="pct"/>
            <w:tcBorders>
              <w:top w:val="single" w:sz="4" w:space="0" w:color="auto"/>
              <w:left w:val="single" w:sz="4" w:space="0" w:color="auto"/>
              <w:bottom w:val="single" w:sz="4" w:space="0" w:color="auto"/>
              <w:right w:val="single" w:sz="4" w:space="0" w:color="auto"/>
            </w:tcBorders>
            <w:vAlign w:val="center"/>
          </w:tcPr>
          <w:p w14:paraId="68EE4D07" w14:textId="4A27E597" w:rsidR="009008E5" w:rsidRPr="007C3BF8" w:rsidRDefault="009008E5">
            <w:pPr>
              <w:rPr>
                <w:rFonts w:eastAsia="Calibri" w:cstheme="minorHAnsi"/>
                <w:sz w:val="18"/>
                <w:szCs w:val="18"/>
              </w:rPr>
            </w:pPr>
            <w:r w:rsidRPr="007C3BF8">
              <w:rPr>
                <w:rFonts w:eastAsia="Calibri" w:cstheme="minorHAnsi"/>
                <w:sz w:val="18"/>
                <w:szCs w:val="18"/>
              </w:rPr>
              <w:t xml:space="preserve">Mjera 1. Unaprjeđenje sustava za </w:t>
            </w:r>
            <w:r>
              <w:rPr>
                <w:rFonts w:eastAsia="Calibri" w:cstheme="minorHAnsi"/>
                <w:sz w:val="18"/>
                <w:szCs w:val="18"/>
              </w:rPr>
              <w:t xml:space="preserve">odvojeno </w:t>
            </w:r>
            <w:r w:rsidRPr="007C3BF8">
              <w:rPr>
                <w:rFonts w:eastAsia="Calibri" w:cstheme="minorHAnsi"/>
                <w:sz w:val="18"/>
                <w:szCs w:val="18"/>
              </w:rPr>
              <w:t>sakupljanje komunalnog otpada i infrastrukture (kapaciteta i tehnologije) za recikliranje i druge postupke oporabe komunalnog otpada</w:t>
            </w:r>
          </w:p>
          <w:p w14:paraId="190DFDF5" w14:textId="77777777" w:rsidR="009008E5" w:rsidRPr="007C3BF8" w:rsidRDefault="009008E5">
            <w:pPr>
              <w:rPr>
                <w:rFonts w:eastAsia="Calibri" w:cstheme="minorHAnsi"/>
                <w:sz w:val="18"/>
                <w:szCs w:val="18"/>
              </w:rPr>
            </w:pPr>
          </w:p>
          <w:p w14:paraId="48D44F82" w14:textId="26DED20E" w:rsidR="009008E5" w:rsidRPr="007C3BF8" w:rsidRDefault="009008E5">
            <w:pPr>
              <w:rPr>
                <w:rFonts w:eastAsia="Calibri" w:cstheme="minorHAnsi"/>
                <w:sz w:val="18"/>
                <w:szCs w:val="18"/>
              </w:rPr>
            </w:pPr>
            <w:r w:rsidRPr="007C3BF8">
              <w:rPr>
                <w:rFonts w:eastAsia="Calibri" w:cstheme="minorHAnsi"/>
                <w:sz w:val="18"/>
                <w:szCs w:val="18"/>
              </w:rPr>
              <w:t>Mjera 2. Jačanje svijesti, informiranja i edukacije o gospodarenju otpadom</w:t>
            </w:r>
            <w:r w:rsidR="00916512">
              <w:rPr>
                <w:rFonts w:eastAsia="Calibri" w:cstheme="minorHAnsi"/>
                <w:sz w:val="18"/>
                <w:szCs w:val="18"/>
              </w:rPr>
              <w:t xml:space="preserve"> i proizvodima</w:t>
            </w:r>
          </w:p>
          <w:p w14:paraId="13FB0E36" w14:textId="77777777" w:rsidR="009008E5" w:rsidRPr="007C3BF8" w:rsidRDefault="009008E5">
            <w:pPr>
              <w:rPr>
                <w:rFonts w:eastAsia="Calibri" w:cstheme="minorHAnsi"/>
                <w:sz w:val="18"/>
                <w:szCs w:val="18"/>
              </w:rPr>
            </w:pPr>
          </w:p>
          <w:p w14:paraId="215CFB3F" w14:textId="77777777" w:rsidR="009008E5" w:rsidRPr="007C3BF8" w:rsidRDefault="009008E5">
            <w:pPr>
              <w:rPr>
                <w:rFonts w:eastAsia="Calibri" w:cstheme="minorHAnsi"/>
                <w:sz w:val="18"/>
                <w:szCs w:val="18"/>
              </w:rPr>
            </w:pPr>
            <w:r w:rsidRPr="007C3BF8">
              <w:rPr>
                <w:rFonts w:eastAsia="Calibri" w:cstheme="minorHAnsi"/>
                <w:sz w:val="18"/>
                <w:szCs w:val="18"/>
              </w:rPr>
              <w:t>Mjera 3. Određivanje nacionalnog sastava komunalnog otpada</w:t>
            </w:r>
          </w:p>
        </w:tc>
        <w:tc>
          <w:tcPr>
            <w:tcW w:w="633" w:type="pct"/>
            <w:tcBorders>
              <w:top w:val="single" w:sz="4" w:space="0" w:color="auto"/>
              <w:left w:val="single" w:sz="4" w:space="0" w:color="auto"/>
              <w:right w:val="single" w:sz="4" w:space="0" w:color="auto"/>
            </w:tcBorders>
            <w:vAlign w:val="center"/>
            <w:hideMark/>
          </w:tcPr>
          <w:p w14:paraId="03828844" w14:textId="4EB3EC77" w:rsidR="009008E5" w:rsidRDefault="009008E5">
            <w:pPr>
              <w:rPr>
                <w:rFonts w:eastAsia="Calibri" w:cstheme="minorHAnsi"/>
                <w:sz w:val="18"/>
                <w:szCs w:val="18"/>
              </w:rPr>
            </w:pPr>
          </w:p>
          <w:p w14:paraId="08D19817" w14:textId="77777777" w:rsidR="00F65CB7" w:rsidRDefault="00F65CB7" w:rsidP="005A368E">
            <w:pPr>
              <w:rPr>
                <w:rFonts w:eastAsia="Calibri" w:cstheme="minorHAnsi"/>
                <w:sz w:val="18"/>
                <w:szCs w:val="18"/>
              </w:rPr>
            </w:pPr>
            <w:r>
              <w:rPr>
                <w:rFonts w:eastAsia="Calibri" w:cstheme="minorHAnsi"/>
                <w:sz w:val="18"/>
                <w:szCs w:val="18"/>
              </w:rPr>
              <w:t>Aktivnosti iz PSNO: PSNO A11.1, PSNO A11.2</w:t>
            </w:r>
          </w:p>
          <w:p w14:paraId="071F5A42" w14:textId="2AB1FA07" w:rsidR="009008E5" w:rsidRPr="007C3BF8" w:rsidRDefault="009008E5" w:rsidP="005A368E">
            <w:pPr>
              <w:rPr>
                <w:rFonts w:eastAsia="Calibri" w:cstheme="minorHAnsi"/>
                <w:sz w:val="18"/>
                <w:szCs w:val="18"/>
              </w:rPr>
            </w:pPr>
            <w:r w:rsidRPr="007C3BF8">
              <w:rPr>
                <w:rFonts w:eastAsia="Calibri" w:cstheme="minorHAnsi"/>
                <w:sz w:val="18"/>
                <w:szCs w:val="18"/>
              </w:rPr>
              <w:t>A 1.1. – A 1.</w:t>
            </w:r>
            <w:r w:rsidR="00964006">
              <w:rPr>
                <w:rFonts w:eastAsia="Calibri" w:cstheme="minorHAnsi"/>
                <w:sz w:val="18"/>
                <w:szCs w:val="18"/>
              </w:rPr>
              <w:t>5</w:t>
            </w:r>
            <w:r w:rsidRPr="007C3BF8">
              <w:rPr>
                <w:rFonts w:eastAsia="Calibri" w:cstheme="minorHAnsi"/>
                <w:sz w:val="18"/>
                <w:szCs w:val="18"/>
              </w:rPr>
              <w:t>.; A 2.1. – A 2.3.; A 3.1.</w:t>
            </w:r>
          </w:p>
        </w:tc>
        <w:tc>
          <w:tcPr>
            <w:tcW w:w="1249" w:type="pct"/>
            <w:tcBorders>
              <w:top w:val="single" w:sz="4" w:space="0" w:color="auto"/>
              <w:left w:val="single" w:sz="4" w:space="0" w:color="auto"/>
              <w:bottom w:val="single" w:sz="4" w:space="0" w:color="auto"/>
              <w:right w:val="single" w:sz="4" w:space="0" w:color="auto"/>
            </w:tcBorders>
            <w:vAlign w:val="center"/>
          </w:tcPr>
          <w:p w14:paraId="58D65C8F" w14:textId="77777777" w:rsidR="009008E5" w:rsidRPr="007C3BF8" w:rsidRDefault="009008E5">
            <w:pPr>
              <w:rPr>
                <w:rFonts w:eastAsia="Calibri" w:cstheme="minorHAnsi"/>
                <w:sz w:val="18"/>
                <w:szCs w:val="18"/>
              </w:rPr>
            </w:pPr>
            <w:proofErr w:type="spellStart"/>
            <w:r w:rsidRPr="007C3BF8">
              <w:rPr>
                <w:rFonts w:eastAsia="Calibri" w:cstheme="minorHAnsi"/>
                <w:sz w:val="18"/>
                <w:szCs w:val="18"/>
              </w:rPr>
              <w:t>Oporabiti</w:t>
            </w:r>
            <w:proofErr w:type="spellEnd"/>
            <w:r w:rsidRPr="007C3BF8">
              <w:rPr>
                <w:rFonts w:eastAsia="Calibri" w:cstheme="minorHAnsi"/>
                <w:sz w:val="18"/>
                <w:szCs w:val="18"/>
              </w:rPr>
              <w:t xml:space="preserve"> recikliranjem i pripremom za ponovnu uporabu najmanje: </w:t>
            </w:r>
          </w:p>
          <w:p w14:paraId="32A9B7D6" w14:textId="77777777" w:rsidR="009008E5" w:rsidRPr="007C3BF8" w:rsidRDefault="009008E5">
            <w:pPr>
              <w:numPr>
                <w:ilvl w:val="0"/>
                <w:numId w:val="29"/>
              </w:numPr>
              <w:contextualSpacing/>
              <w:rPr>
                <w:rFonts w:eastAsia="Calibri" w:cstheme="minorHAnsi"/>
                <w:sz w:val="18"/>
                <w:szCs w:val="18"/>
              </w:rPr>
            </w:pPr>
            <w:r w:rsidRPr="007C3BF8">
              <w:rPr>
                <w:rFonts w:eastAsia="Calibri" w:cstheme="minorHAnsi"/>
                <w:sz w:val="18"/>
                <w:szCs w:val="18"/>
              </w:rPr>
              <w:t>55% mase komunalnog otpada do 2025. godine</w:t>
            </w:r>
          </w:p>
          <w:p w14:paraId="33FE5712" w14:textId="77777777" w:rsidR="009008E5" w:rsidRPr="007C3BF8" w:rsidRDefault="009008E5">
            <w:pPr>
              <w:numPr>
                <w:ilvl w:val="0"/>
                <w:numId w:val="29"/>
              </w:numPr>
              <w:contextualSpacing/>
              <w:rPr>
                <w:rFonts w:eastAsia="Calibri" w:cstheme="minorHAnsi"/>
                <w:sz w:val="18"/>
                <w:szCs w:val="18"/>
              </w:rPr>
            </w:pPr>
            <w:r w:rsidRPr="007C3BF8">
              <w:rPr>
                <w:rFonts w:eastAsia="Calibri" w:cstheme="minorHAnsi"/>
                <w:sz w:val="18"/>
                <w:szCs w:val="18"/>
              </w:rPr>
              <w:t>60% mase komunalnog otpada do 2030. godine i</w:t>
            </w:r>
          </w:p>
          <w:p w14:paraId="3F5F2E92" w14:textId="77777777" w:rsidR="009008E5" w:rsidRPr="007C3BF8" w:rsidRDefault="009008E5">
            <w:pPr>
              <w:numPr>
                <w:ilvl w:val="0"/>
                <w:numId w:val="29"/>
              </w:numPr>
              <w:contextualSpacing/>
              <w:rPr>
                <w:rFonts w:eastAsia="Calibri" w:cstheme="minorHAnsi"/>
                <w:sz w:val="18"/>
                <w:szCs w:val="18"/>
              </w:rPr>
            </w:pPr>
            <w:r w:rsidRPr="007C3BF8">
              <w:rPr>
                <w:rFonts w:eastAsia="Calibri" w:cstheme="minorHAnsi"/>
                <w:sz w:val="18"/>
                <w:szCs w:val="18"/>
              </w:rPr>
              <w:t>65% mase komunalnog otpada do 2035. godine.</w:t>
            </w:r>
          </w:p>
          <w:p w14:paraId="418A797F" w14:textId="77777777" w:rsidR="009008E5" w:rsidRPr="007C3BF8" w:rsidRDefault="009008E5">
            <w:pPr>
              <w:ind w:left="720"/>
              <w:contextualSpacing/>
              <w:rPr>
                <w:rFonts w:eastAsia="Calibri" w:cstheme="minorHAnsi"/>
                <w:sz w:val="18"/>
                <w:szCs w:val="18"/>
              </w:rPr>
            </w:pPr>
          </w:p>
          <w:p w14:paraId="7863CA89" w14:textId="77777777" w:rsidR="009008E5" w:rsidRPr="007C3BF8" w:rsidRDefault="009008E5">
            <w:pPr>
              <w:rPr>
                <w:rFonts w:eastAsia="Calibri" w:cstheme="minorHAnsi"/>
                <w:sz w:val="18"/>
                <w:szCs w:val="18"/>
              </w:rPr>
            </w:pPr>
            <w:r w:rsidRPr="007C3BF8">
              <w:rPr>
                <w:rFonts w:eastAsia="Calibri" w:cstheme="minorHAnsi"/>
                <w:sz w:val="18"/>
                <w:szCs w:val="18"/>
              </w:rPr>
              <w:t>Do 1. siječnja 2025. uspostaviti odvojeno prikupljanje tekstila.</w:t>
            </w:r>
          </w:p>
        </w:tc>
        <w:tc>
          <w:tcPr>
            <w:tcW w:w="1312" w:type="pct"/>
            <w:tcBorders>
              <w:top w:val="single" w:sz="4" w:space="0" w:color="auto"/>
              <w:left w:val="single" w:sz="4" w:space="0" w:color="auto"/>
              <w:bottom w:val="single" w:sz="4" w:space="0" w:color="auto"/>
              <w:right w:val="single" w:sz="4" w:space="0" w:color="auto"/>
            </w:tcBorders>
            <w:vAlign w:val="center"/>
            <w:hideMark/>
          </w:tcPr>
          <w:p w14:paraId="275DDBF6" w14:textId="77777777" w:rsidR="009008E5" w:rsidRPr="007C3BF8" w:rsidRDefault="009008E5">
            <w:pPr>
              <w:rPr>
                <w:rFonts w:eastAsia="Calibri"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tc>
      </w:tr>
      <w:tr w:rsidR="008B146A" w:rsidRPr="007C3BF8" w14:paraId="4DBE65F3" w14:textId="77777777" w:rsidTr="009008E5">
        <w:trPr>
          <w:trHeight w:val="714"/>
        </w:trPr>
        <w:tc>
          <w:tcPr>
            <w:tcW w:w="1064" w:type="pct"/>
            <w:vMerge w:val="restart"/>
            <w:tcBorders>
              <w:top w:val="single" w:sz="4" w:space="0" w:color="auto"/>
              <w:left w:val="single" w:sz="4" w:space="0" w:color="auto"/>
              <w:bottom w:val="single" w:sz="4" w:space="0" w:color="auto"/>
              <w:right w:val="single" w:sz="4" w:space="0" w:color="auto"/>
            </w:tcBorders>
            <w:vAlign w:val="center"/>
            <w:hideMark/>
          </w:tcPr>
          <w:p w14:paraId="26DAFD33" w14:textId="6BC47103" w:rsidR="007C3BF8" w:rsidRPr="007C3BF8" w:rsidRDefault="007C3BF8">
            <w:pPr>
              <w:rPr>
                <w:rFonts w:eastAsia="Calibri" w:cstheme="minorHAnsi"/>
                <w:sz w:val="18"/>
                <w:szCs w:val="18"/>
              </w:rPr>
            </w:pPr>
            <w:r w:rsidRPr="007C3BF8">
              <w:rPr>
                <w:rFonts w:eastAsia="Calibri" w:cstheme="minorHAnsi"/>
                <w:sz w:val="18"/>
                <w:szCs w:val="18"/>
              </w:rPr>
              <w:t>Svim dozvolama za gospodarenje otpadom u RH dopustiti, u jednoj kalendarskoj godini, odlaganje najviše 264.661 tone mase biorazgradivog komunalnog otpada (35% mase biorazgradivog komunalnog otpada proizvedenog u 1997. godini)</w:t>
            </w:r>
          </w:p>
        </w:tc>
        <w:tc>
          <w:tcPr>
            <w:tcW w:w="742" w:type="pct"/>
            <w:vMerge w:val="restart"/>
            <w:tcBorders>
              <w:top w:val="single" w:sz="4" w:space="0" w:color="auto"/>
              <w:left w:val="single" w:sz="4" w:space="0" w:color="auto"/>
              <w:bottom w:val="single" w:sz="4" w:space="0" w:color="auto"/>
              <w:right w:val="single" w:sz="4" w:space="0" w:color="auto"/>
            </w:tcBorders>
            <w:vAlign w:val="center"/>
          </w:tcPr>
          <w:p w14:paraId="2975BF6B" w14:textId="0F4271F5" w:rsidR="006A3B25" w:rsidRPr="007C3BF8" w:rsidRDefault="006A3B25" w:rsidP="006A3B25">
            <w:pPr>
              <w:rPr>
                <w:rFonts w:eastAsia="Calibri" w:cstheme="minorHAnsi"/>
                <w:sz w:val="18"/>
                <w:szCs w:val="18"/>
              </w:rPr>
            </w:pPr>
            <w:bookmarkStart w:id="318" w:name="_Hlk121081668"/>
            <w:r w:rsidRPr="007C3BF8">
              <w:rPr>
                <w:rFonts w:eastAsia="Calibri" w:cstheme="minorHAnsi"/>
                <w:sz w:val="18"/>
                <w:szCs w:val="18"/>
              </w:rPr>
              <w:t xml:space="preserve">Mjere i aktivnosti definirane </w:t>
            </w:r>
            <w:r w:rsidR="00916512">
              <w:rPr>
                <w:rFonts w:eastAsia="Calibri" w:cstheme="minorHAnsi"/>
                <w:sz w:val="18"/>
                <w:szCs w:val="18"/>
              </w:rPr>
              <w:t xml:space="preserve">Programom </w:t>
            </w:r>
            <w:r w:rsidRPr="007C3BF8">
              <w:rPr>
                <w:rFonts w:eastAsia="Calibri" w:cstheme="minorHAnsi"/>
                <w:sz w:val="18"/>
                <w:szCs w:val="18"/>
              </w:rPr>
              <w:t xml:space="preserve">sprječavanja nastanka otpada RH </w:t>
            </w:r>
          </w:p>
          <w:bookmarkEnd w:id="318"/>
          <w:p w14:paraId="3A305143" w14:textId="77777777" w:rsidR="007C3BF8" w:rsidRPr="007C3BF8" w:rsidRDefault="007C3BF8">
            <w:pPr>
              <w:rPr>
                <w:rFonts w:eastAsia="Calibri" w:cstheme="minorHAnsi"/>
                <w:sz w:val="18"/>
                <w:szCs w:val="18"/>
              </w:rPr>
            </w:pPr>
          </w:p>
          <w:p w14:paraId="6AAA58F8" w14:textId="39FC00C9" w:rsidR="007C3BF8" w:rsidRPr="007C3BF8" w:rsidRDefault="007C3BF8">
            <w:pPr>
              <w:rPr>
                <w:rFonts w:eastAsia="Calibri" w:cstheme="minorHAnsi"/>
                <w:sz w:val="18"/>
                <w:szCs w:val="18"/>
              </w:rPr>
            </w:pPr>
            <w:r w:rsidRPr="007C3BF8">
              <w:rPr>
                <w:rFonts w:eastAsia="Calibri" w:cstheme="minorHAnsi"/>
                <w:sz w:val="18"/>
                <w:szCs w:val="18"/>
              </w:rPr>
              <w:t>Mjera 4. Primjena naknade za odlaganje otpada</w:t>
            </w:r>
          </w:p>
          <w:p w14:paraId="242415EF" w14:textId="77777777" w:rsidR="007C3BF8" w:rsidRPr="007C3BF8" w:rsidRDefault="007C3BF8">
            <w:pPr>
              <w:rPr>
                <w:rFonts w:eastAsia="Calibri" w:cstheme="minorHAnsi"/>
                <w:sz w:val="18"/>
                <w:szCs w:val="18"/>
              </w:rPr>
            </w:pPr>
          </w:p>
          <w:p w14:paraId="48739BE7" w14:textId="77777777" w:rsidR="007C3BF8" w:rsidRDefault="007C3BF8">
            <w:pPr>
              <w:rPr>
                <w:rFonts w:eastAsia="Calibri" w:cstheme="minorHAnsi"/>
                <w:sz w:val="18"/>
                <w:szCs w:val="18"/>
              </w:rPr>
            </w:pPr>
            <w:r w:rsidRPr="007C3BF8">
              <w:rPr>
                <w:rFonts w:eastAsia="Calibri" w:cstheme="minorHAnsi"/>
                <w:sz w:val="18"/>
                <w:szCs w:val="18"/>
              </w:rPr>
              <w:t>Mjera 5. Izgradnja centara za gospodarenje otpadom</w:t>
            </w:r>
          </w:p>
          <w:p w14:paraId="2F2DC408" w14:textId="77777777" w:rsidR="00BE67A8" w:rsidRDefault="00BE67A8">
            <w:pPr>
              <w:rPr>
                <w:rFonts w:eastAsia="Calibri" w:cstheme="minorHAnsi"/>
                <w:sz w:val="18"/>
                <w:szCs w:val="18"/>
              </w:rPr>
            </w:pPr>
          </w:p>
          <w:p w14:paraId="176A449F" w14:textId="30C2AA37" w:rsidR="00BE67A8" w:rsidRPr="007C3BF8" w:rsidRDefault="00BE67A8">
            <w:pPr>
              <w:rPr>
                <w:rFonts w:eastAsia="Calibri" w:cstheme="minorHAnsi"/>
                <w:sz w:val="18"/>
                <w:szCs w:val="18"/>
              </w:rPr>
            </w:pPr>
            <w:r w:rsidRPr="007C3BF8">
              <w:rPr>
                <w:rFonts w:eastAsia="Calibri" w:cstheme="minorHAnsi"/>
                <w:sz w:val="18"/>
                <w:szCs w:val="18"/>
              </w:rPr>
              <w:t>Mjera 1</w:t>
            </w:r>
            <w:r w:rsidR="00D13DC2">
              <w:rPr>
                <w:rFonts w:eastAsia="Calibri" w:cstheme="minorHAnsi"/>
                <w:sz w:val="18"/>
                <w:szCs w:val="18"/>
              </w:rPr>
              <w:t>4</w:t>
            </w:r>
            <w:r w:rsidRPr="007C3BF8">
              <w:rPr>
                <w:rFonts w:eastAsia="Calibri" w:cstheme="minorHAnsi"/>
                <w:sz w:val="18"/>
                <w:szCs w:val="18"/>
              </w:rPr>
              <w:t xml:space="preserve">. Izrada i/ili unaprjeđenje aplikacija koje su dio informacijskog sustava </w:t>
            </w:r>
            <w:r w:rsidRPr="007C3BF8">
              <w:rPr>
                <w:rFonts w:eastAsia="Calibri" w:cstheme="minorHAnsi"/>
                <w:sz w:val="18"/>
                <w:szCs w:val="18"/>
              </w:rPr>
              <w:lastRenderedPageBreak/>
              <w:t>gospodarenja otpadom</w:t>
            </w:r>
          </w:p>
        </w:tc>
        <w:tc>
          <w:tcPr>
            <w:tcW w:w="633" w:type="pct"/>
            <w:tcBorders>
              <w:top w:val="single" w:sz="4" w:space="0" w:color="auto"/>
              <w:left w:val="single" w:sz="4" w:space="0" w:color="auto"/>
              <w:bottom w:val="single" w:sz="4" w:space="0" w:color="auto"/>
              <w:right w:val="single" w:sz="4" w:space="0" w:color="auto"/>
            </w:tcBorders>
            <w:vAlign w:val="center"/>
            <w:hideMark/>
          </w:tcPr>
          <w:p w14:paraId="60CD057A" w14:textId="77777777" w:rsidR="006A3B25" w:rsidRDefault="007C3BF8">
            <w:pPr>
              <w:rPr>
                <w:rFonts w:eastAsia="Calibri" w:cstheme="minorHAnsi"/>
                <w:sz w:val="18"/>
                <w:szCs w:val="18"/>
              </w:rPr>
            </w:pPr>
            <w:r w:rsidRPr="007C3BF8">
              <w:rPr>
                <w:rFonts w:eastAsia="Calibri" w:cstheme="minorHAnsi"/>
                <w:sz w:val="18"/>
                <w:szCs w:val="18"/>
              </w:rPr>
              <w:lastRenderedPageBreak/>
              <w:t>Aktivnosti iz PSNO</w:t>
            </w:r>
            <w:r w:rsidR="006A3B25">
              <w:rPr>
                <w:rFonts w:eastAsia="Calibri" w:cstheme="minorHAnsi"/>
                <w:sz w:val="18"/>
                <w:szCs w:val="18"/>
              </w:rPr>
              <w:t>:</w:t>
            </w:r>
          </w:p>
          <w:p w14:paraId="62D75696" w14:textId="5FF03731" w:rsidR="007C3BF8" w:rsidRPr="007C3BF8" w:rsidRDefault="00192B3B">
            <w:pPr>
              <w:rPr>
                <w:rFonts w:eastAsia="Calibri" w:cstheme="minorHAnsi"/>
                <w:sz w:val="18"/>
                <w:szCs w:val="18"/>
              </w:rPr>
            </w:pPr>
            <w:r>
              <w:rPr>
                <w:rFonts w:eastAsia="Calibri" w:cstheme="minorHAnsi"/>
                <w:sz w:val="18"/>
                <w:szCs w:val="18"/>
              </w:rPr>
              <w:t xml:space="preserve">PSNO </w:t>
            </w:r>
            <w:r w:rsidR="007C3BF8" w:rsidRPr="007C3BF8">
              <w:rPr>
                <w:rFonts w:eastAsia="Calibri" w:cstheme="minorHAnsi"/>
                <w:sz w:val="18"/>
                <w:szCs w:val="18"/>
              </w:rPr>
              <w:t xml:space="preserve">A 2.1.; </w:t>
            </w:r>
            <w:r>
              <w:rPr>
                <w:rFonts w:eastAsia="Calibri" w:cstheme="minorHAnsi"/>
                <w:sz w:val="18"/>
                <w:szCs w:val="18"/>
              </w:rPr>
              <w:t xml:space="preserve"> PSNO </w:t>
            </w:r>
            <w:r w:rsidR="007C3BF8" w:rsidRPr="007C3BF8">
              <w:rPr>
                <w:rFonts w:eastAsia="Calibri" w:cstheme="minorHAnsi"/>
                <w:sz w:val="18"/>
                <w:szCs w:val="18"/>
              </w:rPr>
              <w:t xml:space="preserve">A 2.2.; </w:t>
            </w:r>
            <w:r>
              <w:rPr>
                <w:rFonts w:eastAsia="Calibri" w:cstheme="minorHAnsi"/>
                <w:sz w:val="18"/>
                <w:szCs w:val="18"/>
              </w:rPr>
              <w:t xml:space="preserve">PSNO </w:t>
            </w:r>
            <w:r w:rsidR="007C3BF8" w:rsidRPr="007C3BF8">
              <w:rPr>
                <w:rFonts w:eastAsia="Calibri" w:cstheme="minorHAnsi"/>
                <w:sz w:val="18"/>
                <w:szCs w:val="18"/>
              </w:rPr>
              <w:t xml:space="preserve">A 3.1.- </w:t>
            </w:r>
            <w:r>
              <w:rPr>
                <w:rFonts w:eastAsia="Calibri" w:cstheme="minorHAnsi"/>
                <w:sz w:val="18"/>
                <w:szCs w:val="18"/>
              </w:rPr>
              <w:t xml:space="preserve">PSNO </w:t>
            </w:r>
            <w:r w:rsidR="007C3BF8" w:rsidRPr="007C3BF8">
              <w:rPr>
                <w:rFonts w:eastAsia="Calibri" w:cstheme="minorHAnsi"/>
                <w:sz w:val="18"/>
                <w:szCs w:val="18"/>
              </w:rPr>
              <w:t xml:space="preserve"> A 3.4.; </w:t>
            </w:r>
            <w:r>
              <w:rPr>
                <w:rFonts w:eastAsia="Calibri" w:cstheme="minorHAnsi"/>
                <w:sz w:val="18"/>
                <w:szCs w:val="18"/>
              </w:rPr>
              <w:t xml:space="preserve">PSNO </w:t>
            </w:r>
            <w:r w:rsidR="007C3BF8" w:rsidRPr="007C3BF8">
              <w:rPr>
                <w:rFonts w:eastAsia="Calibri" w:cstheme="minorHAnsi"/>
                <w:sz w:val="18"/>
                <w:szCs w:val="18"/>
              </w:rPr>
              <w:t>A 4.1.-</w:t>
            </w:r>
            <w:r>
              <w:rPr>
                <w:rFonts w:eastAsia="Calibri" w:cstheme="minorHAnsi"/>
                <w:sz w:val="18"/>
                <w:szCs w:val="18"/>
              </w:rPr>
              <w:t xml:space="preserve">PSNO </w:t>
            </w:r>
            <w:r w:rsidR="007C3BF8" w:rsidRPr="007C3BF8">
              <w:rPr>
                <w:rFonts w:eastAsia="Calibri" w:cstheme="minorHAnsi"/>
                <w:sz w:val="18"/>
                <w:szCs w:val="18"/>
              </w:rPr>
              <w:t>A 4.</w:t>
            </w:r>
            <w:r w:rsidR="004810E3">
              <w:rPr>
                <w:rFonts w:eastAsia="Calibri" w:cstheme="minorHAnsi"/>
                <w:sz w:val="18"/>
                <w:szCs w:val="18"/>
              </w:rPr>
              <w:t>3</w:t>
            </w:r>
            <w:r w:rsidR="007C3BF8" w:rsidRPr="007C3BF8">
              <w:rPr>
                <w:rFonts w:eastAsia="Calibri" w:cstheme="minorHAnsi"/>
                <w:sz w:val="18"/>
                <w:szCs w:val="18"/>
              </w:rPr>
              <w:t>;</w:t>
            </w:r>
            <w:r>
              <w:rPr>
                <w:rFonts w:eastAsia="Calibri" w:cstheme="minorHAnsi"/>
                <w:sz w:val="18"/>
                <w:szCs w:val="18"/>
              </w:rPr>
              <w:t xml:space="preserve"> PSNO</w:t>
            </w:r>
            <w:r w:rsidR="007C3BF8" w:rsidRPr="007C3BF8">
              <w:rPr>
                <w:rFonts w:eastAsia="Calibri" w:cstheme="minorHAnsi"/>
                <w:sz w:val="18"/>
                <w:szCs w:val="18"/>
              </w:rPr>
              <w:t xml:space="preserve"> A 7.1 </w:t>
            </w:r>
          </w:p>
        </w:tc>
        <w:tc>
          <w:tcPr>
            <w:tcW w:w="1249" w:type="pct"/>
            <w:vMerge w:val="restart"/>
            <w:tcBorders>
              <w:top w:val="single" w:sz="4" w:space="0" w:color="auto"/>
              <w:left w:val="single" w:sz="4" w:space="0" w:color="auto"/>
              <w:bottom w:val="single" w:sz="4" w:space="0" w:color="auto"/>
              <w:right w:val="single" w:sz="4" w:space="0" w:color="auto"/>
            </w:tcBorders>
            <w:vAlign w:val="center"/>
            <w:hideMark/>
          </w:tcPr>
          <w:p w14:paraId="7A2195A0" w14:textId="77777777" w:rsidR="007C3BF8" w:rsidRPr="007C3BF8" w:rsidRDefault="007C3BF8">
            <w:pPr>
              <w:rPr>
                <w:rFonts w:eastAsia="Calibri" w:cstheme="minorHAnsi"/>
                <w:sz w:val="18"/>
                <w:szCs w:val="18"/>
              </w:rPr>
            </w:pPr>
            <w:r w:rsidRPr="007C3BF8">
              <w:rPr>
                <w:rFonts w:eastAsia="Calibri" w:cstheme="minorHAnsi"/>
                <w:sz w:val="18"/>
                <w:szCs w:val="18"/>
              </w:rPr>
              <w:t>Odlagati na odlagališta manje od 35% biorazgradivog komunalnog otpada proizvedenog 1997.</w:t>
            </w:r>
          </w:p>
        </w:tc>
        <w:tc>
          <w:tcPr>
            <w:tcW w:w="1312" w:type="pct"/>
            <w:vMerge w:val="restart"/>
            <w:tcBorders>
              <w:top w:val="single" w:sz="4" w:space="0" w:color="auto"/>
              <w:left w:val="single" w:sz="4" w:space="0" w:color="auto"/>
              <w:bottom w:val="single" w:sz="4" w:space="0" w:color="auto"/>
              <w:right w:val="single" w:sz="4" w:space="0" w:color="auto"/>
            </w:tcBorders>
            <w:vAlign w:val="center"/>
            <w:hideMark/>
          </w:tcPr>
          <w:p w14:paraId="757612DC" w14:textId="77777777" w:rsidR="007C3BF8" w:rsidRPr="007C3BF8" w:rsidRDefault="007C3BF8">
            <w:pPr>
              <w:rPr>
                <w:rFonts w:eastAsia="Calibri" w:cstheme="minorHAnsi"/>
                <w:sz w:val="18"/>
                <w:szCs w:val="18"/>
              </w:rPr>
            </w:pPr>
            <w:r w:rsidRPr="007C3BF8">
              <w:rPr>
                <w:rFonts w:eastAsia="Calibri" w:cstheme="minorHAnsi"/>
                <w:sz w:val="18"/>
                <w:szCs w:val="18"/>
              </w:rPr>
              <w:t>Direktiva Vijeća 1999/31/EZ od 26. travnja 1999. o odlagalištima otpada (SL L 182, 16. 7. 1999.) kako je posljednji put izmijenjena Direktivom (EU) 2018/850 Europskog parlamenta i Vijeća od 30. svibnja 2018. o izmjeni Direktive 1999/31/EZ o odlagalištima otpada (SL L 150, 14. 6. 2018.)</w:t>
            </w:r>
          </w:p>
        </w:tc>
      </w:tr>
      <w:tr w:rsidR="008B146A" w:rsidRPr="007C3BF8" w14:paraId="29B3C634" w14:textId="77777777" w:rsidTr="009008E5">
        <w:trPr>
          <w:trHeight w:val="7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5A0800" w14:textId="77777777" w:rsidR="007C3BF8" w:rsidRPr="007C3BF8" w:rsidRDefault="007C3BF8">
            <w:pPr>
              <w:rPr>
                <w:rFonts w:eastAsia="Calibri" w:cstheme="minorHAns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1B0FB" w14:textId="77777777" w:rsidR="007C3BF8" w:rsidRPr="007C3BF8" w:rsidRDefault="007C3BF8">
            <w:pPr>
              <w:rPr>
                <w:rFonts w:eastAsia="Calibri" w:cstheme="minorHAnsi"/>
                <w:sz w:val="18"/>
                <w:szCs w:val="18"/>
              </w:rPr>
            </w:pPr>
          </w:p>
        </w:tc>
        <w:tc>
          <w:tcPr>
            <w:tcW w:w="633" w:type="pct"/>
            <w:tcBorders>
              <w:top w:val="single" w:sz="4" w:space="0" w:color="auto"/>
              <w:left w:val="single" w:sz="4" w:space="0" w:color="auto"/>
              <w:bottom w:val="single" w:sz="4" w:space="0" w:color="auto"/>
              <w:right w:val="single" w:sz="4" w:space="0" w:color="auto"/>
            </w:tcBorders>
            <w:vAlign w:val="center"/>
            <w:hideMark/>
          </w:tcPr>
          <w:p w14:paraId="071F63E1" w14:textId="1D822AFE" w:rsidR="007C3BF8" w:rsidRPr="007C3BF8" w:rsidRDefault="007C3BF8">
            <w:pPr>
              <w:rPr>
                <w:rFonts w:eastAsia="Calibri" w:cstheme="minorHAnsi"/>
                <w:sz w:val="18"/>
                <w:szCs w:val="18"/>
              </w:rPr>
            </w:pPr>
            <w:r w:rsidRPr="007C3BF8">
              <w:rPr>
                <w:rFonts w:eastAsia="Calibri" w:cstheme="minorHAnsi"/>
                <w:sz w:val="18"/>
                <w:szCs w:val="18"/>
              </w:rPr>
              <w:t>A 4.1.; A 5.1. – A 5.</w:t>
            </w:r>
            <w:r w:rsidR="00964006">
              <w:rPr>
                <w:rFonts w:eastAsia="Calibri" w:cstheme="minorHAnsi"/>
                <w:sz w:val="18"/>
                <w:szCs w:val="18"/>
              </w:rPr>
              <w:t>8</w:t>
            </w:r>
            <w:r w:rsidRPr="007C3BF8">
              <w:rPr>
                <w:rFonts w:eastAsia="Calibri" w:cstheme="minorHAnsi"/>
                <w:sz w:val="18"/>
                <w:szCs w:val="18"/>
              </w:rPr>
              <w:t>.</w:t>
            </w:r>
            <w:r w:rsidR="00606E60">
              <w:rPr>
                <w:rFonts w:eastAsia="Calibri" w:cstheme="minorHAnsi"/>
                <w:sz w:val="18"/>
                <w:szCs w:val="18"/>
              </w:rPr>
              <w:t>, A 1</w:t>
            </w:r>
            <w:r w:rsidR="00D13DC2">
              <w:rPr>
                <w:rFonts w:eastAsia="Calibri" w:cstheme="minorHAnsi"/>
                <w:sz w:val="18"/>
                <w:szCs w:val="18"/>
              </w:rPr>
              <w:t>4</w:t>
            </w:r>
            <w:r w:rsidR="00606E60">
              <w:rPr>
                <w:rFonts w:eastAsia="Calibri" w:cstheme="minorHAnsi"/>
                <w:sz w:val="18"/>
                <w:szCs w:val="18"/>
              </w:rPr>
              <w:t>.1</w:t>
            </w:r>
            <w:r w:rsidR="00964006">
              <w:rPr>
                <w:rFonts w:eastAsia="Calibri" w:cstheme="minorHAnsi"/>
                <w:sz w:val="18"/>
                <w:szCs w:val="18"/>
              </w:rPr>
              <w:t>0.</w:t>
            </w:r>
          </w:p>
        </w:tc>
        <w:tc>
          <w:tcPr>
            <w:tcW w:w="1249" w:type="pct"/>
            <w:vMerge/>
            <w:tcBorders>
              <w:top w:val="single" w:sz="4" w:space="0" w:color="auto"/>
              <w:left w:val="single" w:sz="4" w:space="0" w:color="auto"/>
              <w:bottom w:val="single" w:sz="4" w:space="0" w:color="auto"/>
              <w:right w:val="single" w:sz="4" w:space="0" w:color="auto"/>
            </w:tcBorders>
            <w:vAlign w:val="center"/>
            <w:hideMark/>
          </w:tcPr>
          <w:p w14:paraId="5A476848" w14:textId="77777777" w:rsidR="007C3BF8" w:rsidRPr="007C3BF8" w:rsidRDefault="007C3BF8">
            <w:pPr>
              <w:rPr>
                <w:rFonts w:eastAsia="Calibri" w:cstheme="minorHAnsi"/>
                <w:sz w:val="18"/>
                <w:szCs w:val="18"/>
              </w:rPr>
            </w:pPr>
          </w:p>
        </w:tc>
        <w:tc>
          <w:tcPr>
            <w:tcW w:w="1312" w:type="pct"/>
            <w:vMerge/>
            <w:tcBorders>
              <w:top w:val="single" w:sz="4" w:space="0" w:color="auto"/>
              <w:left w:val="single" w:sz="4" w:space="0" w:color="auto"/>
              <w:bottom w:val="single" w:sz="4" w:space="0" w:color="auto"/>
              <w:right w:val="single" w:sz="4" w:space="0" w:color="auto"/>
            </w:tcBorders>
            <w:vAlign w:val="center"/>
            <w:hideMark/>
          </w:tcPr>
          <w:p w14:paraId="00787F2E" w14:textId="77777777" w:rsidR="007C3BF8" w:rsidRPr="007C3BF8" w:rsidRDefault="007C3BF8">
            <w:pPr>
              <w:rPr>
                <w:rFonts w:eastAsia="Calibri" w:cstheme="minorHAnsi"/>
                <w:sz w:val="18"/>
                <w:szCs w:val="18"/>
              </w:rPr>
            </w:pPr>
          </w:p>
        </w:tc>
      </w:tr>
      <w:tr w:rsidR="008B146A" w:rsidRPr="007C3BF8" w14:paraId="409A7B03" w14:textId="77777777" w:rsidTr="009008E5">
        <w:trPr>
          <w:trHeight w:val="1020"/>
        </w:trPr>
        <w:tc>
          <w:tcPr>
            <w:tcW w:w="1064" w:type="pct"/>
            <w:vMerge w:val="restart"/>
            <w:tcBorders>
              <w:top w:val="single" w:sz="4" w:space="0" w:color="auto"/>
              <w:left w:val="single" w:sz="4" w:space="0" w:color="auto"/>
              <w:bottom w:val="single" w:sz="4" w:space="0" w:color="auto"/>
              <w:right w:val="single" w:sz="4" w:space="0" w:color="auto"/>
            </w:tcBorders>
            <w:vAlign w:val="center"/>
            <w:hideMark/>
          </w:tcPr>
          <w:p w14:paraId="70C77F19" w14:textId="77777777" w:rsidR="007C3BF8" w:rsidRPr="007C3BF8" w:rsidRDefault="007C3BF8">
            <w:pPr>
              <w:rPr>
                <w:rFonts w:eastAsia="Calibri" w:cstheme="minorHAnsi"/>
                <w:sz w:val="18"/>
                <w:szCs w:val="18"/>
              </w:rPr>
            </w:pPr>
            <w:r w:rsidRPr="007C3BF8">
              <w:rPr>
                <w:rFonts w:eastAsia="Calibri" w:cstheme="minorHAnsi"/>
                <w:sz w:val="18"/>
                <w:szCs w:val="18"/>
              </w:rPr>
              <w:t>Količina komunalnog otpada odloženog na odlagališta otpada iznosi najviše 10% mase ukupno proizvedenog komunalnog otpada, do 2035. godine</w:t>
            </w:r>
          </w:p>
        </w:tc>
        <w:tc>
          <w:tcPr>
            <w:tcW w:w="742" w:type="pct"/>
            <w:vMerge w:val="restart"/>
            <w:tcBorders>
              <w:top w:val="single" w:sz="4" w:space="0" w:color="auto"/>
              <w:left w:val="single" w:sz="4" w:space="0" w:color="auto"/>
              <w:bottom w:val="single" w:sz="4" w:space="0" w:color="auto"/>
              <w:right w:val="single" w:sz="4" w:space="0" w:color="auto"/>
            </w:tcBorders>
            <w:vAlign w:val="center"/>
          </w:tcPr>
          <w:p w14:paraId="3063CEFE" w14:textId="244D940C" w:rsidR="007C3BF8" w:rsidRPr="007C3BF8" w:rsidRDefault="007C3BF8">
            <w:pPr>
              <w:rPr>
                <w:rFonts w:eastAsia="Calibri" w:cstheme="minorHAnsi"/>
                <w:sz w:val="18"/>
                <w:szCs w:val="18"/>
              </w:rPr>
            </w:pPr>
            <w:r w:rsidRPr="007C3BF8">
              <w:rPr>
                <w:rFonts w:eastAsia="Calibri" w:cstheme="minorHAnsi"/>
                <w:sz w:val="18"/>
                <w:szCs w:val="18"/>
              </w:rPr>
              <w:t xml:space="preserve">Mjere i aktivnosti definirane </w:t>
            </w:r>
            <w:r w:rsidR="007A0053">
              <w:rPr>
                <w:rFonts w:eastAsia="Calibri" w:cstheme="minorHAnsi"/>
                <w:sz w:val="18"/>
                <w:szCs w:val="18"/>
              </w:rPr>
              <w:t>Programom</w:t>
            </w:r>
            <w:r w:rsidR="007A0053" w:rsidRPr="007C3BF8">
              <w:rPr>
                <w:rFonts w:eastAsia="Calibri" w:cstheme="minorHAnsi"/>
                <w:sz w:val="18"/>
                <w:szCs w:val="18"/>
              </w:rPr>
              <w:t xml:space="preserve"> </w:t>
            </w:r>
            <w:r w:rsidRPr="007C3BF8">
              <w:rPr>
                <w:rFonts w:eastAsia="Calibri" w:cstheme="minorHAnsi"/>
                <w:sz w:val="18"/>
                <w:szCs w:val="18"/>
              </w:rPr>
              <w:t xml:space="preserve">sprječavanja nastanka otpada RH </w:t>
            </w:r>
          </w:p>
          <w:p w14:paraId="0008AD89" w14:textId="77777777" w:rsidR="007C3BF8" w:rsidRPr="007C3BF8" w:rsidRDefault="007C3BF8">
            <w:pPr>
              <w:rPr>
                <w:rFonts w:eastAsia="Calibri" w:cstheme="minorHAnsi"/>
                <w:sz w:val="18"/>
                <w:szCs w:val="18"/>
              </w:rPr>
            </w:pPr>
          </w:p>
          <w:p w14:paraId="67F60A47" w14:textId="4C3E3A78" w:rsidR="007C3BF8" w:rsidRPr="007C3BF8" w:rsidRDefault="007C3BF8">
            <w:pPr>
              <w:rPr>
                <w:rFonts w:eastAsia="Calibri" w:cstheme="minorHAnsi"/>
                <w:sz w:val="18"/>
                <w:szCs w:val="18"/>
              </w:rPr>
            </w:pPr>
            <w:r w:rsidRPr="007C3BF8">
              <w:rPr>
                <w:rFonts w:eastAsia="Calibri" w:cstheme="minorHAnsi"/>
                <w:sz w:val="18"/>
                <w:szCs w:val="18"/>
              </w:rPr>
              <w:t xml:space="preserve">Mjera </w:t>
            </w:r>
            <w:r w:rsidR="006A3B25">
              <w:rPr>
                <w:rFonts w:eastAsia="Calibri" w:cstheme="minorHAnsi"/>
                <w:sz w:val="18"/>
                <w:szCs w:val="18"/>
              </w:rPr>
              <w:t>4</w:t>
            </w:r>
            <w:r w:rsidRPr="007C3BF8">
              <w:rPr>
                <w:rFonts w:eastAsia="Calibri" w:cstheme="minorHAnsi"/>
                <w:sz w:val="18"/>
                <w:szCs w:val="18"/>
              </w:rPr>
              <w:t xml:space="preserve">. </w:t>
            </w:r>
            <w:r w:rsidR="006A3B25" w:rsidRPr="006A3B25">
              <w:rPr>
                <w:rFonts w:eastAsia="Calibri" w:cstheme="minorHAnsi"/>
                <w:sz w:val="18"/>
                <w:szCs w:val="18"/>
              </w:rPr>
              <w:t>Uvođenje naknade za odlaganje</w:t>
            </w:r>
          </w:p>
          <w:p w14:paraId="64F537C2" w14:textId="77777777" w:rsidR="007C3BF8" w:rsidRPr="007C3BF8" w:rsidRDefault="007C3BF8">
            <w:pPr>
              <w:rPr>
                <w:rFonts w:eastAsia="Calibri" w:cstheme="minorHAnsi"/>
                <w:sz w:val="18"/>
                <w:szCs w:val="18"/>
              </w:rPr>
            </w:pPr>
          </w:p>
          <w:p w14:paraId="2E68FF85" w14:textId="0A55F8E5" w:rsidR="007C3BF8" w:rsidRPr="007C3BF8" w:rsidRDefault="007C3BF8">
            <w:pPr>
              <w:rPr>
                <w:rFonts w:eastAsia="Calibri" w:cstheme="minorHAnsi"/>
                <w:sz w:val="18"/>
                <w:szCs w:val="18"/>
              </w:rPr>
            </w:pPr>
            <w:r w:rsidRPr="007C3BF8">
              <w:rPr>
                <w:rFonts w:eastAsia="Calibri" w:cstheme="minorHAnsi"/>
                <w:sz w:val="18"/>
                <w:szCs w:val="18"/>
              </w:rPr>
              <w:t xml:space="preserve">Mjera </w:t>
            </w:r>
            <w:r w:rsidR="006A3B25">
              <w:rPr>
                <w:rFonts w:eastAsia="Calibri" w:cstheme="minorHAnsi"/>
                <w:sz w:val="18"/>
                <w:szCs w:val="18"/>
              </w:rPr>
              <w:t>5</w:t>
            </w:r>
            <w:r w:rsidRPr="007C3BF8">
              <w:rPr>
                <w:rFonts w:eastAsia="Calibri" w:cstheme="minorHAnsi"/>
                <w:sz w:val="18"/>
                <w:szCs w:val="18"/>
              </w:rPr>
              <w:t>. Izgradnja centara za gospodarenje otpadom</w:t>
            </w:r>
          </w:p>
        </w:tc>
        <w:tc>
          <w:tcPr>
            <w:tcW w:w="633" w:type="pct"/>
            <w:tcBorders>
              <w:top w:val="single" w:sz="4" w:space="0" w:color="auto"/>
              <w:left w:val="single" w:sz="4" w:space="0" w:color="auto"/>
              <w:bottom w:val="single" w:sz="4" w:space="0" w:color="auto"/>
              <w:right w:val="single" w:sz="4" w:space="0" w:color="auto"/>
            </w:tcBorders>
            <w:vAlign w:val="center"/>
            <w:hideMark/>
          </w:tcPr>
          <w:p w14:paraId="0D1F5654" w14:textId="1B9B7804" w:rsidR="007C3BF8" w:rsidRPr="007C3BF8" w:rsidRDefault="007C3BF8">
            <w:pPr>
              <w:rPr>
                <w:rFonts w:eastAsia="Calibri" w:cstheme="minorHAnsi"/>
                <w:sz w:val="18"/>
                <w:szCs w:val="18"/>
              </w:rPr>
            </w:pPr>
            <w:r w:rsidRPr="007C3BF8">
              <w:rPr>
                <w:rFonts w:eastAsia="Calibri" w:cstheme="minorHAnsi"/>
                <w:sz w:val="18"/>
                <w:szCs w:val="18"/>
              </w:rPr>
              <w:t>Aktivnosti iz PSNO</w:t>
            </w:r>
            <w:r w:rsidR="006A3B25">
              <w:rPr>
                <w:rFonts w:eastAsia="Calibri" w:cstheme="minorHAnsi"/>
                <w:sz w:val="18"/>
                <w:szCs w:val="18"/>
              </w:rPr>
              <w:t>:</w:t>
            </w:r>
            <w:r w:rsidRPr="007C3BF8">
              <w:rPr>
                <w:rFonts w:eastAsia="Calibri" w:cstheme="minorHAnsi"/>
                <w:sz w:val="18"/>
                <w:szCs w:val="18"/>
              </w:rPr>
              <w:t xml:space="preserve"> </w:t>
            </w:r>
            <w:r w:rsidR="00192B3B">
              <w:rPr>
                <w:rFonts w:eastAsia="Calibri" w:cstheme="minorHAnsi"/>
                <w:sz w:val="18"/>
                <w:szCs w:val="18"/>
              </w:rPr>
              <w:t xml:space="preserve">PSNO </w:t>
            </w:r>
            <w:r w:rsidRPr="007C3BF8">
              <w:rPr>
                <w:rFonts w:eastAsia="Calibri" w:cstheme="minorHAnsi"/>
                <w:sz w:val="18"/>
                <w:szCs w:val="18"/>
              </w:rPr>
              <w:t xml:space="preserve">A 2.1.; </w:t>
            </w:r>
            <w:r w:rsidR="00192B3B">
              <w:rPr>
                <w:rFonts w:eastAsia="Calibri" w:cstheme="minorHAnsi"/>
                <w:sz w:val="18"/>
                <w:szCs w:val="18"/>
              </w:rPr>
              <w:t xml:space="preserve">PSNO </w:t>
            </w:r>
            <w:r w:rsidRPr="007C3BF8">
              <w:rPr>
                <w:rFonts w:eastAsia="Calibri" w:cstheme="minorHAnsi"/>
                <w:sz w:val="18"/>
                <w:szCs w:val="18"/>
              </w:rPr>
              <w:t xml:space="preserve">A 2.2.; </w:t>
            </w:r>
            <w:r w:rsidR="00192B3B">
              <w:rPr>
                <w:rFonts w:eastAsia="Calibri" w:cstheme="minorHAnsi"/>
                <w:sz w:val="18"/>
                <w:szCs w:val="18"/>
              </w:rPr>
              <w:t xml:space="preserve">PSNO </w:t>
            </w:r>
            <w:r w:rsidRPr="007C3BF8">
              <w:rPr>
                <w:rFonts w:eastAsia="Calibri" w:cstheme="minorHAnsi"/>
                <w:sz w:val="18"/>
                <w:szCs w:val="18"/>
              </w:rPr>
              <w:t xml:space="preserve">A 3.1.- </w:t>
            </w:r>
            <w:r w:rsidR="00192B3B">
              <w:rPr>
                <w:rFonts w:eastAsia="Calibri" w:cstheme="minorHAnsi"/>
                <w:sz w:val="18"/>
                <w:szCs w:val="18"/>
              </w:rPr>
              <w:t xml:space="preserve">PSNO </w:t>
            </w:r>
            <w:r w:rsidRPr="007C3BF8">
              <w:rPr>
                <w:rFonts w:eastAsia="Calibri" w:cstheme="minorHAnsi"/>
                <w:sz w:val="18"/>
                <w:szCs w:val="18"/>
              </w:rPr>
              <w:t xml:space="preserve"> A 3.4.; </w:t>
            </w:r>
            <w:r w:rsidR="00192B3B">
              <w:rPr>
                <w:rFonts w:eastAsia="Calibri" w:cstheme="minorHAnsi"/>
                <w:sz w:val="18"/>
                <w:szCs w:val="18"/>
              </w:rPr>
              <w:t xml:space="preserve">PSNO </w:t>
            </w:r>
            <w:r w:rsidRPr="007C3BF8">
              <w:rPr>
                <w:rFonts w:eastAsia="Calibri" w:cstheme="minorHAnsi"/>
                <w:sz w:val="18"/>
                <w:szCs w:val="18"/>
              </w:rPr>
              <w:t>A 4.1.-</w:t>
            </w:r>
            <w:r w:rsidR="00192B3B">
              <w:rPr>
                <w:rFonts w:eastAsia="Calibri" w:cstheme="minorHAnsi"/>
                <w:sz w:val="18"/>
                <w:szCs w:val="18"/>
              </w:rPr>
              <w:t xml:space="preserve">PSNO </w:t>
            </w:r>
            <w:r w:rsidRPr="007C3BF8">
              <w:rPr>
                <w:rFonts w:eastAsia="Calibri" w:cstheme="minorHAnsi"/>
                <w:sz w:val="18"/>
                <w:szCs w:val="18"/>
              </w:rPr>
              <w:t>A 4.</w:t>
            </w:r>
            <w:r w:rsidR="004810E3">
              <w:rPr>
                <w:rFonts w:eastAsia="Calibri" w:cstheme="minorHAnsi"/>
                <w:sz w:val="18"/>
                <w:szCs w:val="18"/>
              </w:rPr>
              <w:t>3</w:t>
            </w:r>
            <w:r w:rsidRPr="007C3BF8">
              <w:rPr>
                <w:rFonts w:eastAsia="Calibri" w:cstheme="minorHAnsi"/>
                <w:sz w:val="18"/>
                <w:szCs w:val="18"/>
              </w:rPr>
              <w:t xml:space="preserve">; </w:t>
            </w:r>
            <w:r w:rsidR="00192B3B">
              <w:rPr>
                <w:rFonts w:eastAsia="Calibri" w:cstheme="minorHAnsi"/>
                <w:sz w:val="18"/>
                <w:szCs w:val="18"/>
              </w:rPr>
              <w:t xml:space="preserve">PSNO </w:t>
            </w:r>
            <w:r w:rsidRPr="007C3BF8">
              <w:rPr>
                <w:rFonts w:eastAsia="Calibri" w:cstheme="minorHAnsi"/>
                <w:sz w:val="18"/>
                <w:szCs w:val="18"/>
              </w:rPr>
              <w:t xml:space="preserve">A 7.1 </w:t>
            </w:r>
          </w:p>
        </w:tc>
        <w:tc>
          <w:tcPr>
            <w:tcW w:w="1249" w:type="pct"/>
            <w:vMerge w:val="restart"/>
            <w:tcBorders>
              <w:top w:val="single" w:sz="4" w:space="0" w:color="auto"/>
              <w:left w:val="single" w:sz="4" w:space="0" w:color="auto"/>
              <w:bottom w:val="single" w:sz="4" w:space="0" w:color="auto"/>
              <w:right w:val="single" w:sz="4" w:space="0" w:color="auto"/>
            </w:tcBorders>
            <w:vAlign w:val="center"/>
            <w:hideMark/>
          </w:tcPr>
          <w:p w14:paraId="063F9329" w14:textId="77777777" w:rsidR="007C3BF8" w:rsidRPr="007C3BF8" w:rsidRDefault="007C3BF8">
            <w:pPr>
              <w:rPr>
                <w:rFonts w:eastAsia="Calibri" w:cstheme="minorHAnsi"/>
                <w:sz w:val="18"/>
                <w:szCs w:val="18"/>
              </w:rPr>
            </w:pPr>
            <w:r w:rsidRPr="007C3BF8">
              <w:rPr>
                <w:rFonts w:eastAsia="Calibri" w:cstheme="minorHAnsi"/>
                <w:sz w:val="18"/>
                <w:szCs w:val="18"/>
              </w:rPr>
              <w:t>Do 2035. smanjiti odlaganje na najviše 10% nastalog komunalnog otpada (po težini)</w:t>
            </w:r>
          </w:p>
        </w:tc>
        <w:tc>
          <w:tcPr>
            <w:tcW w:w="1312" w:type="pct"/>
            <w:vMerge w:val="restart"/>
            <w:tcBorders>
              <w:top w:val="single" w:sz="4" w:space="0" w:color="auto"/>
              <w:left w:val="single" w:sz="4" w:space="0" w:color="auto"/>
              <w:bottom w:val="single" w:sz="4" w:space="0" w:color="auto"/>
              <w:right w:val="single" w:sz="4" w:space="0" w:color="auto"/>
            </w:tcBorders>
            <w:vAlign w:val="center"/>
            <w:hideMark/>
          </w:tcPr>
          <w:p w14:paraId="4FFD39AD" w14:textId="77777777" w:rsidR="007C3BF8" w:rsidRPr="007C3BF8" w:rsidRDefault="007C3BF8">
            <w:pPr>
              <w:rPr>
                <w:rFonts w:eastAsia="Calibri" w:cstheme="minorHAnsi"/>
                <w:sz w:val="18"/>
                <w:szCs w:val="18"/>
              </w:rPr>
            </w:pPr>
            <w:r w:rsidRPr="007C3BF8">
              <w:rPr>
                <w:rFonts w:eastAsia="Calibri" w:cstheme="minorHAnsi"/>
                <w:sz w:val="18"/>
                <w:szCs w:val="18"/>
              </w:rPr>
              <w:t>Direktiva Vijeća 1999/31/EZ od 26. travnja 1999. o odlagalištima otpada (SL L 182, 16. 7. 1999.) kako je posljednji put izmijenjena Direktivom (EU) 2018/850 Europskog parlamenta i Vijeća od 30. svibnja 2018. o izmjeni Direktive 1999/31/EZ o odlagalištima otpada (SL L 150, 14. 6. 2018.)</w:t>
            </w:r>
          </w:p>
        </w:tc>
      </w:tr>
      <w:tr w:rsidR="008B146A" w:rsidRPr="007C3BF8" w14:paraId="72BF7818" w14:textId="77777777" w:rsidTr="009008E5">
        <w:trPr>
          <w:trHeight w:val="10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6E01C7" w14:textId="77777777" w:rsidR="007C3BF8" w:rsidRPr="007C3BF8" w:rsidRDefault="007C3BF8">
            <w:pPr>
              <w:rPr>
                <w:rFonts w:eastAsia="Calibri" w:cstheme="minorHAns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6E10B" w14:textId="77777777" w:rsidR="007C3BF8" w:rsidRPr="007C3BF8" w:rsidRDefault="007C3BF8">
            <w:pPr>
              <w:rPr>
                <w:rFonts w:eastAsia="Calibri" w:cstheme="minorHAnsi"/>
                <w:sz w:val="18"/>
                <w:szCs w:val="18"/>
              </w:rPr>
            </w:pPr>
          </w:p>
        </w:tc>
        <w:tc>
          <w:tcPr>
            <w:tcW w:w="633" w:type="pct"/>
            <w:tcBorders>
              <w:top w:val="single" w:sz="4" w:space="0" w:color="auto"/>
              <w:left w:val="single" w:sz="4" w:space="0" w:color="auto"/>
              <w:bottom w:val="single" w:sz="4" w:space="0" w:color="auto"/>
              <w:right w:val="single" w:sz="4" w:space="0" w:color="auto"/>
            </w:tcBorders>
            <w:vAlign w:val="center"/>
            <w:hideMark/>
          </w:tcPr>
          <w:p w14:paraId="5E345436" w14:textId="3657EE4C" w:rsidR="007C3BF8" w:rsidRPr="007C3BF8" w:rsidRDefault="007C3BF8">
            <w:pPr>
              <w:rPr>
                <w:rFonts w:eastAsia="Calibri" w:cstheme="minorHAnsi"/>
                <w:sz w:val="18"/>
                <w:szCs w:val="18"/>
              </w:rPr>
            </w:pPr>
            <w:r w:rsidRPr="007C3BF8">
              <w:rPr>
                <w:rFonts w:eastAsia="Calibri" w:cstheme="minorHAnsi"/>
                <w:sz w:val="18"/>
                <w:szCs w:val="18"/>
              </w:rPr>
              <w:t>A 4.1.; A 5.1. – A 5.</w:t>
            </w:r>
            <w:r w:rsidR="004810E3">
              <w:rPr>
                <w:rFonts w:eastAsia="Calibri" w:cstheme="minorHAnsi"/>
                <w:sz w:val="18"/>
                <w:szCs w:val="18"/>
              </w:rPr>
              <w:t>8</w:t>
            </w:r>
            <w:r w:rsidRPr="007C3BF8">
              <w:rPr>
                <w:rFonts w:eastAsia="Calibri" w:cstheme="minorHAnsi"/>
                <w:sz w:val="18"/>
                <w:szCs w:val="18"/>
              </w:rPr>
              <w:t>.</w:t>
            </w:r>
          </w:p>
        </w:tc>
        <w:tc>
          <w:tcPr>
            <w:tcW w:w="1249" w:type="pct"/>
            <w:vMerge/>
            <w:tcBorders>
              <w:top w:val="single" w:sz="4" w:space="0" w:color="auto"/>
              <w:left w:val="single" w:sz="4" w:space="0" w:color="auto"/>
              <w:bottom w:val="single" w:sz="4" w:space="0" w:color="auto"/>
              <w:right w:val="single" w:sz="4" w:space="0" w:color="auto"/>
            </w:tcBorders>
            <w:vAlign w:val="center"/>
            <w:hideMark/>
          </w:tcPr>
          <w:p w14:paraId="188F92AE" w14:textId="77777777" w:rsidR="007C3BF8" w:rsidRPr="007C3BF8" w:rsidRDefault="007C3BF8">
            <w:pPr>
              <w:rPr>
                <w:rFonts w:eastAsia="Calibri" w:cstheme="minorHAnsi"/>
                <w:sz w:val="18"/>
                <w:szCs w:val="18"/>
              </w:rPr>
            </w:pPr>
          </w:p>
        </w:tc>
        <w:tc>
          <w:tcPr>
            <w:tcW w:w="1312" w:type="pct"/>
            <w:vMerge/>
            <w:tcBorders>
              <w:top w:val="single" w:sz="4" w:space="0" w:color="auto"/>
              <w:left w:val="single" w:sz="4" w:space="0" w:color="auto"/>
              <w:bottom w:val="single" w:sz="4" w:space="0" w:color="auto"/>
              <w:right w:val="single" w:sz="4" w:space="0" w:color="auto"/>
            </w:tcBorders>
            <w:vAlign w:val="center"/>
            <w:hideMark/>
          </w:tcPr>
          <w:p w14:paraId="56FAE8BD" w14:textId="77777777" w:rsidR="007C3BF8" w:rsidRPr="007C3BF8" w:rsidRDefault="007C3BF8">
            <w:pPr>
              <w:rPr>
                <w:rFonts w:eastAsia="Calibri" w:cstheme="minorHAnsi"/>
                <w:sz w:val="18"/>
                <w:szCs w:val="18"/>
              </w:rPr>
            </w:pPr>
          </w:p>
        </w:tc>
      </w:tr>
      <w:tr w:rsidR="008B146A" w:rsidRPr="007C3BF8" w14:paraId="2AD67F67" w14:textId="77777777" w:rsidTr="009008E5">
        <w:trPr>
          <w:trHeight w:val="1127"/>
        </w:trPr>
        <w:tc>
          <w:tcPr>
            <w:tcW w:w="1064" w:type="pct"/>
            <w:vMerge w:val="restart"/>
            <w:tcBorders>
              <w:top w:val="single" w:sz="4" w:space="0" w:color="auto"/>
              <w:left w:val="single" w:sz="4" w:space="0" w:color="auto"/>
              <w:bottom w:val="single" w:sz="4" w:space="0" w:color="auto"/>
              <w:right w:val="single" w:sz="4" w:space="0" w:color="auto"/>
            </w:tcBorders>
            <w:vAlign w:val="center"/>
            <w:hideMark/>
          </w:tcPr>
          <w:p w14:paraId="366F1DF7" w14:textId="77777777" w:rsidR="007C3BF8" w:rsidRPr="007C3BF8" w:rsidRDefault="007C3BF8">
            <w:pPr>
              <w:rPr>
                <w:rFonts w:eastAsia="Calibri" w:cstheme="minorHAnsi"/>
                <w:sz w:val="18"/>
                <w:szCs w:val="18"/>
              </w:rPr>
            </w:pPr>
            <w:r w:rsidRPr="007C3BF8">
              <w:rPr>
                <w:rFonts w:eastAsia="Calibri" w:cstheme="minorHAnsi"/>
                <w:sz w:val="18"/>
                <w:szCs w:val="18"/>
              </w:rPr>
              <w:t>Unaprijediti sustav za skupljanje i oporabu biootpada</w:t>
            </w:r>
          </w:p>
        </w:tc>
        <w:tc>
          <w:tcPr>
            <w:tcW w:w="742" w:type="pct"/>
            <w:vMerge w:val="restart"/>
            <w:tcBorders>
              <w:top w:val="single" w:sz="4" w:space="0" w:color="auto"/>
              <w:left w:val="single" w:sz="4" w:space="0" w:color="auto"/>
              <w:bottom w:val="single" w:sz="4" w:space="0" w:color="auto"/>
              <w:right w:val="single" w:sz="4" w:space="0" w:color="auto"/>
            </w:tcBorders>
            <w:vAlign w:val="center"/>
          </w:tcPr>
          <w:p w14:paraId="14EBBCA4" w14:textId="1EA0DEC6" w:rsidR="005C164B" w:rsidRDefault="007A0053">
            <w:pPr>
              <w:rPr>
                <w:rFonts w:eastAsia="Calibri" w:cstheme="minorHAnsi"/>
                <w:sz w:val="18"/>
                <w:szCs w:val="18"/>
              </w:rPr>
            </w:pPr>
            <w:r w:rsidRPr="007A0053">
              <w:rPr>
                <w:rFonts w:eastAsia="Calibri" w:cstheme="minorHAnsi"/>
                <w:sz w:val="18"/>
                <w:szCs w:val="18"/>
              </w:rPr>
              <w:t>Mjere i aktivnosti definirane Programom sprječavanja nastanka otpada RH</w:t>
            </w:r>
          </w:p>
          <w:p w14:paraId="1C8F263A" w14:textId="77777777" w:rsidR="007A0053" w:rsidRDefault="007A0053">
            <w:pPr>
              <w:rPr>
                <w:rFonts w:eastAsia="Calibri" w:cstheme="minorHAnsi"/>
                <w:sz w:val="18"/>
                <w:szCs w:val="18"/>
              </w:rPr>
            </w:pPr>
          </w:p>
          <w:p w14:paraId="5FDD6046" w14:textId="50DEF863" w:rsidR="007C3BF8" w:rsidRPr="007C3BF8" w:rsidRDefault="007C3BF8">
            <w:pPr>
              <w:rPr>
                <w:rFonts w:eastAsia="Calibri" w:cstheme="minorHAnsi"/>
                <w:sz w:val="18"/>
                <w:szCs w:val="18"/>
              </w:rPr>
            </w:pPr>
            <w:r w:rsidRPr="007C3BF8">
              <w:rPr>
                <w:rFonts w:eastAsia="Calibri" w:cstheme="minorHAnsi"/>
                <w:sz w:val="18"/>
                <w:szCs w:val="18"/>
              </w:rPr>
              <w:t>Mjera 1.  Unaprjeđenje sustava za sakupljanje komunalnog otpada i infrastrukture (kapaciteta i tehnologije) za recikliranje i druge postupke oporabe komunalnog otpada</w:t>
            </w:r>
          </w:p>
          <w:p w14:paraId="4AC34B93" w14:textId="77777777" w:rsidR="007C3BF8" w:rsidRPr="007C3BF8" w:rsidRDefault="007C3BF8">
            <w:pPr>
              <w:rPr>
                <w:rFonts w:eastAsia="Calibri" w:cstheme="minorHAnsi"/>
                <w:sz w:val="18"/>
                <w:szCs w:val="18"/>
              </w:rPr>
            </w:pPr>
          </w:p>
          <w:p w14:paraId="413720B1" w14:textId="0EFB5301" w:rsidR="007C3BF8" w:rsidRPr="007C3BF8" w:rsidRDefault="007C3BF8">
            <w:pPr>
              <w:rPr>
                <w:rFonts w:eastAsia="Calibri" w:cstheme="minorHAnsi"/>
                <w:sz w:val="18"/>
                <w:szCs w:val="18"/>
              </w:rPr>
            </w:pPr>
            <w:r w:rsidRPr="007C3BF8">
              <w:rPr>
                <w:rFonts w:eastAsia="Calibri" w:cstheme="minorHAnsi"/>
                <w:sz w:val="18"/>
                <w:szCs w:val="18"/>
              </w:rPr>
              <w:t>Mjera 2. Jačanje svijesti, informiranja i edukacije o gospodarenju otpadom</w:t>
            </w:r>
            <w:r w:rsidR="007A0053">
              <w:rPr>
                <w:rFonts w:eastAsia="Calibri" w:cstheme="minorHAnsi"/>
                <w:sz w:val="18"/>
                <w:szCs w:val="18"/>
              </w:rPr>
              <w:t xml:space="preserve"> i proizvodima</w:t>
            </w:r>
          </w:p>
        </w:tc>
        <w:tc>
          <w:tcPr>
            <w:tcW w:w="633" w:type="pct"/>
            <w:tcBorders>
              <w:top w:val="single" w:sz="4" w:space="0" w:color="auto"/>
              <w:left w:val="single" w:sz="4" w:space="0" w:color="auto"/>
              <w:bottom w:val="single" w:sz="4" w:space="0" w:color="auto"/>
              <w:right w:val="single" w:sz="4" w:space="0" w:color="auto"/>
            </w:tcBorders>
            <w:vAlign w:val="center"/>
            <w:hideMark/>
          </w:tcPr>
          <w:p w14:paraId="7AEDFB6B" w14:textId="665D9FF7" w:rsidR="007C3BF8" w:rsidRPr="007C3BF8" w:rsidRDefault="007C3BF8">
            <w:pPr>
              <w:rPr>
                <w:rFonts w:eastAsia="Calibri" w:cstheme="minorHAnsi"/>
                <w:sz w:val="18"/>
                <w:szCs w:val="18"/>
              </w:rPr>
            </w:pPr>
            <w:r w:rsidRPr="007C3BF8">
              <w:rPr>
                <w:rFonts w:eastAsia="Calibri" w:cstheme="minorHAnsi"/>
                <w:sz w:val="18"/>
                <w:szCs w:val="18"/>
              </w:rPr>
              <w:t>Aktivnosti iz PSNO</w:t>
            </w:r>
            <w:r w:rsidR="006A3B25">
              <w:rPr>
                <w:rFonts w:eastAsia="Calibri" w:cstheme="minorHAnsi"/>
                <w:sz w:val="18"/>
                <w:szCs w:val="18"/>
              </w:rPr>
              <w:t>:</w:t>
            </w:r>
            <w:r w:rsidRPr="007C3BF8">
              <w:rPr>
                <w:rFonts w:eastAsia="Calibri" w:cstheme="minorHAnsi"/>
                <w:sz w:val="18"/>
                <w:szCs w:val="18"/>
              </w:rPr>
              <w:t xml:space="preserve"> </w:t>
            </w:r>
            <w:r w:rsidR="00192B3B">
              <w:rPr>
                <w:rFonts w:eastAsia="Calibri" w:cstheme="minorHAnsi"/>
                <w:sz w:val="18"/>
                <w:szCs w:val="18"/>
              </w:rPr>
              <w:t xml:space="preserve">PSNO </w:t>
            </w:r>
            <w:r w:rsidRPr="007C3BF8">
              <w:rPr>
                <w:rFonts w:eastAsia="Calibri" w:cstheme="minorHAnsi"/>
                <w:sz w:val="18"/>
                <w:szCs w:val="18"/>
              </w:rPr>
              <w:t xml:space="preserve">A 3.1.; </w:t>
            </w:r>
            <w:r w:rsidR="00192B3B">
              <w:rPr>
                <w:rFonts w:eastAsia="Calibri" w:cstheme="minorHAnsi"/>
                <w:sz w:val="18"/>
                <w:szCs w:val="18"/>
              </w:rPr>
              <w:t xml:space="preserve">PSNO </w:t>
            </w:r>
            <w:r w:rsidRPr="007C3BF8">
              <w:rPr>
                <w:rFonts w:eastAsia="Calibri" w:cstheme="minorHAnsi"/>
                <w:sz w:val="18"/>
                <w:szCs w:val="18"/>
              </w:rPr>
              <w:t>A 3.2.</w:t>
            </w:r>
          </w:p>
        </w:tc>
        <w:tc>
          <w:tcPr>
            <w:tcW w:w="1249" w:type="pct"/>
            <w:vMerge w:val="restart"/>
            <w:tcBorders>
              <w:top w:val="single" w:sz="4" w:space="0" w:color="auto"/>
              <w:left w:val="single" w:sz="4" w:space="0" w:color="auto"/>
              <w:bottom w:val="single" w:sz="4" w:space="0" w:color="auto"/>
              <w:right w:val="single" w:sz="4" w:space="0" w:color="auto"/>
            </w:tcBorders>
            <w:vAlign w:val="center"/>
            <w:hideMark/>
          </w:tcPr>
          <w:p w14:paraId="16D31EE6" w14:textId="77777777" w:rsidR="007C3BF8" w:rsidRPr="007C3BF8" w:rsidRDefault="007C3BF8">
            <w:pPr>
              <w:rPr>
                <w:rFonts w:eastAsia="Calibri" w:cstheme="minorHAnsi"/>
                <w:sz w:val="18"/>
                <w:szCs w:val="18"/>
              </w:rPr>
            </w:pPr>
            <w:r w:rsidRPr="007C3BF8">
              <w:rPr>
                <w:rFonts w:eastAsia="Calibri" w:cstheme="minorHAnsi"/>
                <w:sz w:val="18"/>
                <w:szCs w:val="18"/>
              </w:rPr>
              <w:t xml:space="preserve">Do 31. prosinca 2023. biootpad odvojiti i reciklirati na izvoru ili zasebno prikupljati. </w:t>
            </w:r>
          </w:p>
        </w:tc>
        <w:tc>
          <w:tcPr>
            <w:tcW w:w="1312" w:type="pct"/>
            <w:vMerge w:val="restart"/>
            <w:tcBorders>
              <w:top w:val="single" w:sz="4" w:space="0" w:color="auto"/>
              <w:left w:val="single" w:sz="4" w:space="0" w:color="auto"/>
              <w:bottom w:val="single" w:sz="4" w:space="0" w:color="auto"/>
              <w:right w:val="single" w:sz="4" w:space="0" w:color="auto"/>
            </w:tcBorders>
            <w:vAlign w:val="center"/>
            <w:hideMark/>
          </w:tcPr>
          <w:p w14:paraId="3C552E1A" w14:textId="77777777" w:rsidR="007C3BF8" w:rsidRPr="007C3BF8" w:rsidRDefault="007C3BF8">
            <w:pPr>
              <w:rPr>
                <w:rFonts w:eastAsia="Calibri"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tc>
      </w:tr>
      <w:tr w:rsidR="008B146A" w:rsidRPr="007C3BF8" w14:paraId="5B5F1DA9" w14:textId="77777777" w:rsidTr="009008E5">
        <w:trPr>
          <w:trHeight w:val="1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251BD" w14:textId="77777777" w:rsidR="007C3BF8" w:rsidRPr="007C3BF8" w:rsidRDefault="007C3BF8">
            <w:pPr>
              <w:rPr>
                <w:rFonts w:eastAsia="Calibri" w:cstheme="minorHAns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65F6E" w14:textId="77777777" w:rsidR="007C3BF8" w:rsidRPr="007C3BF8" w:rsidRDefault="007C3BF8">
            <w:pPr>
              <w:rPr>
                <w:rFonts w:eastAsia="Calibri" w:cstheme="minorHAnsi"/>
                <w:sz w:val="18"/>
                <w:szCs w:val="18"/>
              </w:rPr>
            </w:pPr>
          </w:p>
        </w:tc>
        <w:tc>
          <w:tcPr>
            <w:tcW w:w="633" w:type="pct"/>
            <w:tcBorders>
              <w:top w:val="single" w:sz="4" w:space="0" w:color="auto"/>
              <w:left w:val="single" w:sz="4" w:space="0" w:color="auto"/>
              <w:bottom w:val="single" w:sz="4" w:space="0" w:color="auto"/>
              <w:right w:val="single" w:sz="4" w:space="0" w:color="auto"/>
            </w:tcBorders>
            <w:vAlign w:val="center"/>
            <w:hideMark/>
          </w:tcPr>
          <w:p w14:paraId="0C67D968" w14:textId="052BCD99" w:rsidR="007C3BF8" w:rsidRPr="007C3BF8" w:rsidRDefault="007C3BF8">
            <w:pPr>
              <w:rPr>
                <w:rFonts w:eastAsia="Calibri" w:cstheme="minorHAnsi"/>
                <w:sz w:val="18"/>
                <w:szCs w:val="18"/>
              </w:rPr>
            </w:pPr>
            <w:r w:rsidRPr="007C3BF8">
              <w:rPr>
                <w:rFonts w:eastAsia="Calibri" w:cstheme="minorHAnsi"/>
                <w:sz w:val="18"/>
                <w:szCs w:val="18"/>
              </w:rPr>
              <w:t>A 1.</w:t>
            </w:r>
            <w:r w:rsidR="00E17034">
              <w:rPr>
                <w:rFonts w:eastAsia="Calibri" w:cstheme="minorHAnsi"/>
                <w:sz w:val="18"/>
                <w:szCs w:val="18"/>
              </w:rPr>
              <w:t>1</w:t>
            </w:r>
            <w:r w:rsidRPr="007C3BF8">
              <w:rPr>
                <w:rFonts w:eastAsia="Calibri" w:cstheme="minorHAnsi"/>
                <w:sz w:val="18"/>
                <w:szCs w:val="18"/>
              </w:rPr>
              <w:t>.</w:t>
            </w:r>
            <w:r w:rsidR="00E17034">
              <w:rPr>
                <w:rFonts w:eastAsia="Calibri" w:cstheme="minorHAnsi"/>
                <w:sz w:val="18"/>
                <w:szCs w:val="18"/>
              </w:rPr>
              <w:t>, A 1.3.</w:t>
            </w:r>
            <w:r w:rsidRPr="007C3BF8">
              <w:rPr>
                <w:rFonts w:eastAsia="Calibri" w:cstheme="minorHAnsi"/>
                <w:sz w:val="18"/>
                <w:szCs w:val="18"/>
              </w:rPr>
              <w:t>; A 1.5; A 2.1 – A 2.3</w:t>
            </w:r>
          </w:p>
        </w:tc>
        <w:tc>
          <w:tcPr>
            <w:tcW w:w="1249" w:type="pct"/>
            <w:vMerge/>
            <w:tcBorders>
              <w:top w:val="single" w:sz="4" w:space="0" w:color="auto"/>
              <w:left w:val="single" w:sz="4" w:space="0" w:color="auto"/>
              <w:bottom w:val="single" w:sz="4" w:space="0" w:color="auto"/>
              <w:right w:val="single" w:sz="4" w:space="0" w:color="auto"/>
            </w:tcBorders>
            <w:vAlign w:val="center"/>
            <w:hideMark/>
          </w:tcPr>
          <w:p w14:paraId="070C181E" w14:textId="77777777" w:rsidR="007C3BF8" w:rsidRPr="007C3BF8" w:rsidRDefault="007C3BF8">
            <w:pPr>
              <w:rPr>
                <w:rFonts w:eastAsia="Calibri" w:cstheme="minorHAnsi"/>
                <w:sz w:val="18"/>
                <w:szCs w:val="18"/>
              </w:rPr>
            </w:pPr>
          </w:p>
        </w:tc>
        <w:tc>
          <w:tcPr>
            <w:tcW w:w="1312" w:type="pct"/>
            <w:vMerge/>
            <w:tcBorders>
              <w:top w:val="single" w:sz="4" w:space="0" w:color="auto"/>
              <w:left w:val="single" w:sz="4" w:space="0" w:color="auto"/>
              <w:bottom w:val="single" w:sz="4" w:space="0" w:color="auto"/>
              <w:right w:val="single" w:sz="4" w:space="0" w:color="auto"/>
            </w:tcBorders>
            <w:vAlign w:val="center"/>
            <w:hideMark/>
          </w:tcPr>
          <w:p w14:paraId="7605E640" w14:textId="77777777" w:rsidR="007C3BF8" w:rsidRPr="007C3BF8" w:rsidRDefault="007C3BF8">
            <w:pPr>
              <w:rPr>
                <w:rFonts w:eastAsia="Calibri" w:cstheme="minorHAnsi"/>
                <w:sz w:val="18"/>
                <w:szCs w:val="18"/>
              </w:rPr>
            </w:pPr>
          </w:p>
        </w:tc>
      </w:tr>
      <w:tr w:rsidR="00C262BD" w:rsidRPr="007C3BF8" w14:paraId="3B237432" w14:textId="77777777" w:rsidTr="007C3BF8">
        <w:trPr>
          <w:trHeight w:val="20"/>
        </w:trPr>
        <w:tc>
          <w:tcPr>
            <w:tcW w:w="5000" w:type="pct"/>
            <w:gridSpan w:val="5"/>
            <w:tcBorders>
              <w:top w:val="single" w:sz="6" w:space="0" w:color="auto"/>
              <w:left w:val="single" w:sz="6" w:space="0" w:color="auto"/>
              <w:bottom w:val="single" w:sz="6" w:space="0" w:color="auto"/>
              <w:right w:val="single" w:sz="6" w:space="0" w:color="auto"/>
            </w:tcBorders>
            <w:shd w:val="clear" w:color="auto" w:fill="E7E6E6" w:themeFill="background2"/>
            <w:hideMark/>
          </w:tcPr>
          <w:p w14:paraId="6B01B256" w14:textId="77777777" w:rsidR="007C3BF8" w:rsidRPr="007C3BF8" w:rsidRDefault="007C3BF8">
            <w:pPr>
              <w:jc w:val="center"/>
              <w:rPr>
                <w:rFonts w:eastAsiaTheme="minorEastAsia" w:cstheme="minorHAnsi"/>
                <w:sz w:val="18"/>
                <w:szCs w:val="18"/>
              </w:rPr>
            </w:pPr>
            <w:r w:rsidRPr="007C3BF8">
              <w:rPr>
                <w:rFonts w:eastAsia="Calibri" w:cstheme="minorHAnsi"/>
                <w:b/>
                <w:bCs/>
                <w:sz w:val="18"/>
                <w:szCs w:val="18"/>
              </w:rPr>
              <w:t>Cilj 2. - Otpadna ambalaža</w:t>
            </w:r>
          </w:p>
        </w:tc>
      </w:tr>
      <w:tr w:rsidR="008B146A" w:rsidRPr="007C3BF8" w14:paraId="2B0EFE58" w14:textId="77777777" w:rsidTr="009008E5">
        <w:trPr>
          <w:trHeight w:val="20"/>
        </w:trPr>
        <w:tc>
          <w:tcPr>
            <w:tcW w:w="1064"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5A2D6BD1" w14:textId="77777777" w:rsidR="007C3BF8" w:rsidRPr="007C3BF8" w:rsidRDefault="007C3BF8">
            <w:pPr>
              <w:numPr>
                <w:ilvl w:val="0"/>
                <w:numId w:val="30"/>
              </w:numPr>
              <w:ind w:left="317"/>
              <w:rPr>
                <w:rFonts w:eastAsiaTheme="minorEastAsia" w:cstheme="minorHAnsi"/>
                <w:sz w:val="18"/>
                <w:szCs w:val="18"/>
              </w:rPr>
            </w:pPr>
            <w:r w:rsidRPr="007C3BF8">
              <w:rPr>
                <w:rFonts w:eastAsiaTheme="minorEastAsia" w:cstheme="minorHAnsi"/>
                <w:sz w:val="18"/>
                <w:szCs w:val="18"/>
              </w:rPr>
              <w:t xml:space="preserve">Odvojeno sakupiti i </w:t>
            </w:r>
            <w:proofErr w:type="spellStart"/>
            <w:r w:rsidRPr="007C3BF8">
              <w:rPr>
                <w:rFonts w:eastAsiaTheme="minorEastAsia" w:cstheme="minorHAnsi"/>
                <w:sz w:val="18"/>
                <w:szCs w:val="18"/>
              </w:rPr>
              <w:t>oporabiti</w:t>
            </w:r>
            <w:proofErr w:type="spellEnd"/>
            <w:r w:rsidRPr="007C3BF8">
              <w:rPr>
                <w:rFonts w:eastAsiaTheme="minorEastAsia" w:cstheme="minorHAnsi"/>
                <w:sz w:val="18"/>
                <w:szCs w:val="18"/>
              </w:rPr>
              <w:t xml:space="preserve">, materijalno ili energetski, najmanje 60% ukupne mase otpadne ambalaže </w:t>
            </w:r>
            <w:r w:rsidRPr="007C3BF8">
              <w:rPr>
                <w:rFonts w:eastAsiaTheme="minorEastAsia" w:cstheme="minorHAnsi"/>
                <w:sz w:val="18"/>
                <w:szCs w:val="18"/>
              </w:rPr>
              <w:lastRenderedPageBreak/>
              <w:t>proizvedene na području RH.</w:t>
            </w:r>
          </w:p>
          <w:p w14:paraId="1B8E1FF9" w14:textId="77777777" w:rsidR="007C3BF8" w:rsidRPr="007C3BF8" w:rsidRDefault="007C3BF8">
            <w:pPr>
              <w:ind w:left="317"/>
              <w:rPr>
                <w:rFonts w:eastAsiaTheme="minorEastAsia" w:cstheme="minorHAnsi"/>
                <w:sz w:val="18"/>
                <w:szCs w:val="18"/>
                <w:lang w:val="en-GB"/>
              </w:rPr>
            </w:pPr>
          </w:p>
          <w:p w14:paraId="366D4E47" w14:textId="77777777" w:rsidR="007C3BF8" w:rsidRPr="007C3BF8" w:rsidRDefault="007C3BF8">
            <w:pPr>
              <w:numPr>
                <w:ilvl w:val="0"/>
                <w:numId w:val="30"/>
              </w:numPr>
              <w:ind w:left="317"/>
              <w:rPr>
                <w:rFonts w:eastAsiaTheme="minorEastAsia" w:cstheme="minorHAnsi"/>
                <w:sz w:val="18"/>
                <w:szCs w:val="18"/>
              </w:rPr>
            </w:pPr>
            <w:r w:rsidRPr="007C3BF8">
              <w:rPr>
                <w:rFonts w:eastAsiaTheme="minorEastAsia" w:cstheme="minorHAnsi"/>
                <w:sz w:val="18"/>
                <w:szCs w:val="18"/>
              </w:rPr>
              <w:t>Reciklirati 55 % - 80 % ukupne mase otpadne ambalaže namijenjene materijalnoj oporabi</w:t>
            </w:r>
          </w:p>
          <w:p w14:paraId="19DB9DC2" w14:textId="77777777" w:rsidR="007C3BF8" w:rsidRDefault="007C3BF8">
            <w:pPr>
              <w:rPr>
                <w:rFonts w:eastAsiaTheme="minorEastAsia" w:cstheme="minorHAnsi"/>
                <w:sz w:val="18"/>
                <w:szCs w:val="18"/>
              </w:rPr>
            </w:pPr>
          </w:p>
          <w:p w14:paraId="0D453AD1" w14:textId="0850ABCD" w:rsidR="007C3BF8" w:rsidRPr="007C3BF8" w:rsidRDefault="007C3BF8">
            <w:pPr>
              <w:rPr>
                <w:rFonts w:eastAsiaTheme="minorEastAsia" w:cstheme="minorHAnsi"/>
                <w:sz w:val="18"/>
                <w:szCs w:val="18"/>
                <w:lang w:eastAsia="hr-HR"/>
              </w:rPr>
            </w:pPr>
            <w:r w:rsidRPr="007C3BF8">
              <w:rPr>
                <w:rFonts w:eastAsiaTheme="minorEastAsia" w:cstheme="minorHAnsi"/>
                <w:sz w:val="18"/>
                <w:szCs w:val="18"/>
              </w:rPr>
              <w:t xml:space="preserve">Obraditi postupkom recikliranja najmanje mase materijala u otpadnoj ambalaži:  </w:t>
            </w:r>
          </w:p>
          <w:p w14:paraId="33EE0A24" w14:textId="77777777" w:rsidR="007C3BF8" w:rsidRPr="007C3BF8" w:rsidRDefault="007C3BF8">
            <w:pPr>
              <w:numPr>
                <w:ilvl w:val="0"/>
                <w:numId w:val="31"/>
              </w:numPr>
              <w:ind w:left="458"/>
              <w:rPr>
                <w:rFonts w:eastAsiaTheme="minorEastAsia" w:cstheme="minorHAnsi"/>
                <w:sz w:val="18"/>
                <w:szCs w:val="18"/>
                <w:lang w:eastAsia="hr-HR"/>
              </w:rPr>
            </w:pPr>
            <w:r w:rsidRPr="007C3BF8">
              <w:rPr>
                <w:rFonts w:eastAsiaTheme="minorEastAsia" w:cstheme="minorHAnsi"/>
                <w:sz w:val="18"/>
                <w:szCs w:val="18"/>
              </w:rPr>
              <w:t>60 % mase za staklo;</w:t>
            </w:r>
          </w:p>
          <w:p w14:paraId="4E07D2FB" w14:textId="77777777" w:rsidR="007C3BF8" w:rsidRPr="007C3BF8" w:rsidRDefault="007C3BF8">
            <w:pPr>
              <w:numPr>
                <w:ilvl w:val="0"/>
                <w:numId w:val="31"/>
              </w:numPr>
              <w:ind w:left="458"/>
              <w:rPr>
                <w:rFonts w:eastAsiaTheme="minorEastAsia" w:cstheme="minorHAnsi"/>
                <w:sz w:val="18"/>
                <w:szCs w:val="18"/>
              </w:rPr>
            </w:pPr>
            <w:r w:rsidRPr="007C3BF8">
              <w:rPr>
                <w:rFonts w:eastAsiaTheme="minorEastAsia" w:cstheme="minorHAnsi"/>
                <w:sz w:val="18"/>
                <w:szCs w:val="18"/>
              </w:rPr>
              <w:t>60 % mase za papir i karton;</w:t>
            </w:r>
          </w:p>
          <w:p w14:paraId="1D35C11A" w14:textId="77777777" w:rsidR="007C3BF8" w:rsidRPr="007C3BF8" w:rsidRDefault="007C3BF8">
            <w:pPr>
              <w:numPr>
                <w:ilvl w:val="0"/>
                <w:numId w:val="31"/>
              </w:numPr>
              <w:ind w:left="458"/>
              <w:rPr>
                <w:rFonts w:eastAsiaTheme="minorEastAsia" w:cstheme="minorHAnsi"/>
                <w:sz w:val="18"/>
                <w:szCs w:val="18"/>
              </w:rPr>
            </w:pPr>
            <w:r w:rsidRPr="007C3BF8">
              <w:rPr>
                <w:rFonts w:eastAsiaTheme="minorEastAsia" w:cstheme="minorHAnsi"/>
                <w:sz w:val="18"/>
                <w:szCs w:val="18"/>
              </w:rPr>
              <w:t>50 % mase za metale;</w:t>
            </w:r>
          </w:p>
          <w:p w14:paraId="323DB4B9" w14:textId="77777777" w:rsidR="007C3BF8" w:rsidRPr="007C3BF8" w:rsidRDefault="007C3BF8">
            <w:pPr>
              <w:numPr>
                <w:ilvl w:val="0"/>
                <w:numId w:val="31"/>
              </w:numPr>
              <w:ind w:left="458"/>
              <w:rPr>
                <w:rFonts w:eastAsiaTheme="minorEastAsia" w:cstheme="minorHAnsi"/>
                <w:sz w:val="18"/>
                <w:szCs w:val="18"/>
              </w:rPr>
            </w:pPr>
            <w:r w:rsidRPr="007C3BF8">
              <w:rPr>
                <w:rFonts w:eastAsiaTheme="minorEastAsia" w:cstheme="minorHAnsi"/>
                <w:sz w:val="18"/>
                <w:szCs w:val="18"/>
              </w:rPr>
              <w:t>22,5 % mase za plastiku, računajući isključivo materijal koji se ponovno reciklira u plastiku;</w:t>
            </w:r>
          </w:p>
          <w:p w14:paraId="044AF27B" w14:textId="77777777" w:rsidR="007C3BF8" w:rsidRPr="007C3BF8" w:rsidRDefault="007C3BF8">
            <w:pPr>
              <w:numPr>
                <w:ilvl w:val="0"/>
                <w:numId w:val="31"/>
              </w:numPr>
              <w:ind w:left="458"/>
              <w:rPr>
                <w:rFonts w:eastAsiaTheme="minorEastAsia" w:cstheme="minorHAnsi"/>
                <w:sz w:val="18"/>
                <w:szCs w:val="18"/>
              </w:rPr>
            </w:pPr>
            <w:r w:rsidRPr="007C3BF8">
              <w:rPr>
                <w:rFonts w:eastAsiaTheme="minorEastAsia" w:cstheme="minorHAnsi"/>
                <w:sz w:val="18"/>
                <w:szCs w:val="18"/>
              </w:rPr>
              <w:t>15 % mase za drvo</w:t>
            </w:r>
          </w:p>
          <w:p w14:paraId="4A4500EB" w14:textId="77777777" w:rsidR="007C3BF8" w:rsidRPr="007C3BF8" w:rsidRDefault="007C3BF8">
            <w:pPr>
              <w:ind w:left="458"/>
              <w:rPr>
                <w:rFonts w:eastAsiaTheme="minorEastAsia" w:cstheme="minorHAnsi"/>
                <w:sz w:val="18"/>
                <w:szCs w:val="18"/>
              </w:rPr>
            </w:pPr>
          </w:p>
          <w:p w14:paraId="625A5277" w14:textId="77777777" w:rsidR="007C3BF8" w:rsidRPr="007C3BF8" w:rsidRDefault="007C3BF8">
            <w:pPr>
              <w:numPr>
                <w:ilvl w:val="0"/>
                <w:numId w:val="32"/>
              </w:numPr>
              <w:ind w:left="317"/>
              <w:contextualSpacing/>
              <w:rPr>
                <w:rFonts w:cstheme="minorHAnsi"/>
                <w:sz w:val="18"/>
                <w:szCs w:val="18"/>
              </w:rPr>
            </w:pPr>
            <w:r w:rsidRPr="007C3BF8">
              <w:rPr>
                <w:rFonts w:cstheme="minorHAnsi"/>
                <w:sz w:val="18"/>
                <w:szCs w:val="18"/>
              </w:rPr>
              <w:t xml:space="preserve">Reciklirati najmanje 65 % mase ukupne otpadne ambalaže, do </w:t>
            </w:r>
            <w:r w:rsidRPr="007C3BF8">
              <w:rPr>
                <w:rFonts w:cstheme="minorHAnsi"/>
                <w:b/>
                <w:bCs/>
                <w:sz w:val="18"/>
                <w:szCs w:val="18"/>
              </w:rPr>
              <w:t>31. prosinca 2025.</w:t>
            </w:r>
          </w:p>
          <w:p w14:paraId="3E1A81FD" w14:textId="77777777" w:rsidR="007C3BF8" w:rsidRPr="007C3BF8" w:rsidRDefault="007C3BF8">
            <w:pPr>
              <w:rPr>
                <w:rFonts w:cstheme="minorHAnsi"/>
                <w:sz w:val="18"/>
                <w:szCs w:val="18"/>
              </w:rPr>
            </w:pPr>
          </w:p>
          <w:p w14:paraId="19F989D3" w14:textId="77777777" w:rsidR="007C3BF8" w:rsidRPr="007C3BF8" w:rsidRDefault="007C3BF8">
            <w:pPr>
              <w:rPr>
                <w:rFonts w:cstheme="minorHAnsi"/>
                <w:sz w:val="18"/>
                <w:szCs w:val="18"/>
              </w:rPr>
            </w:pPr>
            <w:r w:rsidRPr="007C3BF8">
              <w:rPr>
                <w:rFonts w:cstheme="minorHAnsi"/>
                <w:sz w:val="18"/>
                <w:szCs w:val="18"/>
              </w:rPr>
              <w:t>Do 31. prosinca 2025. obraditi postupkom recikliranja barem sljedeće mase materijala u otpadnoj ambalaži:</w:t>
            </w:r>
          </w:p>
          <w:p w14:paraId="15291F00" w14:textId="77777777" w:rsidR="007C3BF8" w:rsidRPr="007C3BF8" w:rsidRDefault="007C3BF8">
            <w:pPr>
              <w:numPr>
                <w:ilvl w:val="0"/>
                <w:numId w:val="33"/>
              </w:numPr>
              <w:contextualSpacing/>
              <w:rPr>
                <w:rFonts w:cstheme="minorHAnsi"/>
                <w:sz w:val="18"/>
                <w:szCs w:val="18"/>
              </w:rPr>
            </w:pPr>
            <w:r w:rsidRPr="007C3BF8">
              <w:rPr>
                <w:rFonts w:cstheme="minorHAnsi"/>
                <w:sz w:val="18"/>
                <w:szCs w:val="18"/>
              </w:rPr>
              <w:t>50 % plastike;</w:t>
            </w:r>
          </w:p>
          <w:p w14:paraId="6596F114" w14:textId="77777777" w:rsidR="007C3BF8" w:rsidRPr="007C3BF8" w:rsidRDefault="007C3BF8">
            <w:pPr>
              <w:numPr>
                <w:ilvl w:val="0"/>
                <w:numId w:val="33"/>
              </w:numPr>
              <w:contextualSpacing/>
              <w:rPr>
                <w:rFonts w:cstheme="minorHAnsi"/>
                <w:sz w:val="18"/>
                <w:szCs w:val="18"/>
              </w:rPr>
            </w:pPr>
            <w:r w:rsidRPr="007C3BF8">
              <w:rPr>
                <w:rFonts w:cstheme="minorHAnsi"/>
                <w:sz w:val="18"/>
                <w:szCs w:val="18"/>
              </w:rPr>
              <w:t>25 % drva;</w:t>
            </w:r>
          </w:p>
          <w:p w14:paraId="6AAB814D" w14:textId="77777777" w:rsidR="007C3BF8" w:rsidRPr="007C3BF8" w:rsidRDefault="007C3BF8">
            <w:pPr>
              <w:numPr>
                <w:ilvl w:val="0"/>
                <w:numId w:val="33"/>
              </w:numPr>
              <w:contextualSpacing/>
              <w:rPr>
                <w:rFonts w:cstheme="minorHAnsi"/>
                <w:sz w:val="18"/>
                <w:szCs w:val="18"/>
              </w:rPr>
            </w:pPr>
            <w:r w:rsidRPr="007C3BF8">
              <w:rPr>
                <w:rFonts w:cstheme="minorHAnsi"/>
                <w:sz w:val="18"/>
                <w:szCs w:val="18"/>
              </w:rPr>
              <w:t>70 % neobojenih metala;</w:t>
            </w:r>
          </w:p>
          <w:p w14:paraId="508C5C89" w14:textId="77777777" w:rsidR="007C3BF8" w:rsidRPr="007C3BF8" w:rsidRDefault="007C3BF8">
            <w:pPr>
              <w:numPr>
                <w:ilvl w:val="0"/>
                <w:numId w:val="33"/>
              </w:numPr>
              <w:contextualSpacing/>
              <w:rPr>
                <w:rFonts w:cstheme="minorHAnsi"/>
                <w:sz w:val="18"/>
                <w:szCs w:val="18"/>
              </w:rPr>
            </w:pPr>
            <w:r w:rsidRPr="007C3BF8">
              <w:rPr>
                <w:rFonts w:cstheme="minorHAnsi"/>
                <w:sz w:val="18"/>
                <w:szCs w:val="18"/>
              </w:rPr>
              <w:t>50 % aluminija;</w:t>
            </w:r>
          </w:p>
          <w:p w14:paraId="33C6CD63" w14:textId="77777777" w:rsidR="007C3BF8" w:rsidRPr="007C3BF8" w:rsidRDefault="007C3BF8">
            <w:pPr>
              <w:numPr>
                <w:ilvl w:val="0"/>
                <w:numId w:val="33"/>
              </w:numPr>
              <w:contextualSpacing/>
              <w:rPr>
                <w:rFonts w:cstheme="minorHAnsi"/>
                <w:sz w:val="18"/>
                <w:szCs w:val="18"/>
              </w:rPr>
            </w:pPr>
            <w:r w:rsidRPr="007C3BF8">
              <w:rPr>
                <w:rFonts w:cstheme="minorHAnsi"/>
                <w:sz w:val="18"/>
                <w:szCs w:val="18"/>
              </w:rPr>
              <w:t>70 % stakla;</w:t>
            </w:r>
          </w:p>
          <w:p w14:paraId="6CC20BBB" w14:textId="77777777" w:rsidR="007C3BF8" w:rsidRPr="007C3BF8" w:rsidRDefault="007C3BF8">
            <w:pPr>
              <w:numPr>
                <w:ilvl w:val="0"/>
                <w:numId w:val="33"/>
              </w:numPr>
              <w:contextualSpacing/>
              <w:rPr>
                <w:rFonts w:cstheme="minorHAnsi"/>
                <w:sz w:val="18"/>
                <w:szCs w:val="18"/>
              </w:rPr>
            </w:pPr>
            <w:r w:rsidRPr="007C3BF8">
              <w:rPr>
                <w:rFonts w:cstheme="minorHAnsi"/>
                <w:sz w:val="18"/>
                <w:szCs w:val="18"/>
              </w:rPr>
              <w:t>75 % papira i kartona;</w:t>
            </w:r>
          </w:p>
          <w:p w14:paraId="6B48EAAF" w14:textId="77777777" w:rsidR="007C3BF8" w:rsidRPr="007C3BF8" w:rsidRDefault="007C3BF8">
            <w:pPr>
              <w:rPr>
                <w:rFonts w:cstheme="minorHAnsi"/>
                <w:sz w:val="18"/>
                <w:szCs w:val="18"/>
              </w:rPr>
            </w:pPr>
          </w:p>
          <w:p w14:paraId="67602F30" w14:textId="77777777" w:rsidR="007C3BF8" w:rsidRPr="007C3BF8" w:rsidRDefault="007C3BF8">
            <w:pPr>
              <w:numPr>
                <w:ilvl w:val="0"/>
                <w:numId w:val="32"/>
              </w:numPr>
              <w:ind w:left="317"/>
              <w:contextualSpacing/>
              <w:rPr>
                <w:rFonts w:cstheme="minorHAnsi"/>
                <w:b/>
                <w:bCs/>
                <w:sz w:val="18"/>
                <w:szCs w:val="18"/>
              </w:rPr>
            </w:pPr>
            <w:r w:rsidRPr="007C3BF8">
              <w:rPr>
                <w:rFonts w:cstheme="minorHAnsi"/>
                <w:sz w:val="18"/>
                <w:szCs w:val="18"/>
              </w:rPr>
              <w:t xml:space="preserve">Reciklirati najmanje 70 mase ukupne otpadne ambalaže, </w:t>
            </w:r>
            <w:r w:rsidRPr="007C3BF8">
              <w:rPr>
                <w:rFonts w:cstheme="minorHAnsi"/>
                <w:sz w:val="18"/>
                <w:szCs w:val="18"/>
              </w:rPr>
              <w:lastRenderedPageBreak/>
              <w:t xml:space="preserve">najkasnije do </w:t>
            </w:r>
            <w:r w:rsidRPr="007C3BF8">
              <w:rPr>
                <w:rFonts w:cstheme="minorHAnsi"/>
                <w:b/>
                <w:bCs/>
                <w:sz w:val="18"/>
                <w:szCs w:val="18"/>
              </w:rPr>
              <w:t>31. prosinca 2030.</w:t>
            </w:r>
          </w:p>
          <w:p w14:paraId="6FFF28C4" w14:textId="77777777" w:rsidR="007C3BF8" w:rsidRPr="007C3BF8" w:rsidRDefault="007C3BF8">
            <w:pPr>
              <w:rPr>
                <w:rFonts w:cstheme="minorHAnsi"/>
                <w:sz w:val="18"/>
                <w:szCs w:val="18"/>
              </w:rPr>
            </w:pPr>
          </w:p>
          <w:p w14:paraId="2ACBC95C" w14:textId="77777777" w:rsidR="007C3BF8" w:rsidRPr="007C3BF8" w:rsidRDefault="007C3BF8">
            <w:pPr>
              <w:rPr>
                <w:rFonts w:cstheme="minorHAnsi"/>
                <w:sz w:val="18"/>
                <w:szCs w:val="18"/>
              </w:rPr>
            </w:pPr>
            <w:r w:rsidRPr="007C3BF8">
              <w:rPr>
                <w:rFonts w:cstheme="minorHAnsi"/>
                <w:sz w:val="18"/>
                <w:szCs w:val="18"/>
              </w:rPr>
              <w:t>Do 31. prosinca 2030. obraditi postupkom recikliranja barem sljedeće mase materijala u otpadnoj ambalaži:</w:t>
            </w:r>
          </w:p>
          <w:p w14:paraId="66F8A676" w14:textId="77777777" w:rsidR="007C3BF8" w:rsidRPr="007C3BF8" w:rsidRDefault="007C3BF8">
            <w:pPr>
              <w:numPr>
                <w:ilvl w:val="0"/>
                <w:numId w:val="34"/>
              </w:numPr>
              <w:contextualSpacing/>
              <w:rPr>
                <w:rFonts w:cstheme="minorHAnsi"/>
                <w:sz w:val="18"/>
                <w:szCs w:val="18"/>
              </w:rPr>
            </w:pPr>
            <w:r w:rsidRPr="007C3BF8">
              <w:rPr>
                <w:rFonts w:cstheme="minorHAnsi"/>
                <w:sz w:val="18"/>
                <w:szCs w:val="18"/>
              </w:rPr>
              <w:t>55 % plastike;</w:t>
            </w:r>
          </w:p>
          <w:p w14:paraId="6C16E71D" w14:textId="77777777" w:rsidR="007C3BF8" w:rsidRPr="007C3BF8" w:rsidRDefault="007C3BF8">
            <w:pPr>
              <w:numPr>
                <w:ilvl w:val="0"/>
                <w:numId w:val="34"/>
              </w:numPr>
              <w:contextualSpacing/>
              <w:rPr>
                <w:rFonts w:cstheme="minorHAnsi"/>
                <w:sz w:val="18"/>
                <w:szCs w:val="18"/>
              </w:rPr>
            </w:pPr>
            <w:r w:rsidRPr="007C3BF8">
              <w:rPr>
                <w:rFonts w:cstheme="minorHAnsi"/>
                <w:sz w:val="18"/>
                <w:szCs w:val="18"/>
              </w:rPr>
              <w:t>30 % drva;</w:t>
            </w:r>
          </w:p>
          <w:p w14:paraId="45AD331A" w14:textId="77777777" w:rsidR="007C3BF8" w:rsidRPr="007C3BF8" w:rsidRDefault="007C3BF8">
            <w:pPr>
              <w:numPr>
                <w:ilvl w:val="0"/>
                <w:numId w:val="34"/>
              </w:numPr>
              <w:contextualSpacing/>
              <w:rPr>
                <w:rFonts w:cstheme="minorHAnsi"/>
                <w:sz w:val="18"/>
                <w:szCs w:val="18"/>
              </w:rPr>
            </w:pPr>
            <w:r w:rsidRPr="007C3BF8">
              <w:rPr>
                <w:rFonts w:cstheme="minorHAnsi"/>
                <w:sz w:val="18"/>
                <w:szCs w:val="18"/>
              </w:rPr>
              <w:t>80 % neobojenih metala;</w:t>
            </w:r>
          </w:p>
          <w:p w14:paraId="208E581F" w14:textId="77777777" w:rsidR="007C3BF8" w:rsidRPr="007C3BF8" w:rsidRDefault="007C3BF8">
            <w:pPr>
              <w:numPr>
                <w:ilvl w:val="0"/>
                <w:numId w:val="34"/>
              </w:numPr>
              <w:contextualSpacing/>
              <w:rPr>
                <w:rFonts w:cstheme="minorHAnsi"/>
                <w:sz w:val="18"/>
                <w:szCs w:val="18"/>
              </w:rPr>
            </w:pPr>
            <w:r w:rsidRPr="007C3BF8">
              <w:rPr>
                <w:rFonts w:cstheme="minorHAnsi"/>
                <w:sz w:val="18"/>
                <w:szCs w:val="18"/>
              </w:rPr>
              <w:t>60 % aluminija;</w:t>
            </w:r>
          </w:p>
          <w:p w14:paraId="0FD7516A" w14:textId="77777777" w:rsidR="007C3BF8" w:rsidRPr="007C3BF8" w:rsidRDefault="007C3BF8">
            <w:pPr>
              <w:numPr>
                <w:ilvl w:val="0"/>
                <w:numId w:val="34"/>
              </w:numPr>
              <w:contextualSpacing/>
              <w:rPr>
                <w:rFonts w:eastAsia="Calibri" w:cstheme="minorHAnsi"/>
                <w:sz w:val="18"/>
                <w:szCs w:val="18"/>
              </w:rPr>
            </w:pPr>
            <w:r w:rsidRPr="007C3BF8">
              <w:rPr>
                <w:rFonts w:cstheme="minorHAnsi"/>
                <w:sz w:val="18"/>
                <w:szCs w:val="18"/>
              </w:rPr>
              <w:t>75 % stakla;</w:t>
            </w:r>
          </w:p>
          <w:p w14:paraId="0AFB334A" w14:textId="193FDD7E" w:rsidR="007C3BF8" w:rsidRPr="007C3BF8" w:rsidRDefault="007C3BF8">
            <w:pPr>
              <w:numPr>
                <w:ilvl w:val="0"/>
                <w:numId w:val="34"/>
              </w:numPr>
              <w:contextualSpacing/>
              <w:rPr>
                <w:rFonts w:eastAsia="Calibri" w:cstheme="minorHAnsi"/>
                <w:sz w:val="18"/>
                <w:szCs w:val="18"/>
              </w:rPr>
            </w:pPr>
            <w:r w:rsidRPr="007C3BF8">
              <w:rPr>
                <w:rFonts w:cstheme="minorHAnsi"/>
                <w:sz w:val="18"/>
                <w:szCs w:val="18"/>
              </w:rPr>
              <w:t>85 % papira i kartona</w:t>
            </w:r>
          </w:p>
        </w:tc>
        <w:tc>
          <w:tcPr>
            <w:tcW w:w="742"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11A1FE22" w14:textId="4D9E7392" w:rsidR="005C164B" w:rsidRDefault="007A0053">
            <w:pPr>
              <w:rPr>
                <w:rFonts w:eastAsia="Calibri" w:cstheme="minorHAnsi"/>
                <w:sz w:val="18"/>
                <w:szCs w:val="18"/>
              </w:rPr>
            </w:pPr>
            <w:r w:rsidRPr="007A0053">
              <w:rPr>
                <w:rFonts w:eastAsia="Calibri" w:cstheme="minorHAnsi"/>
                <w:sz w:val="18"/>
                <w:szCs w:val="18"/>
              </w:rPr>
              <w:lastRenderedPageBreak/>
              <w:t>Mjere i aktivnosti definirane Programom sprječavanja nastanka otpada RH</w:t>
            </w:r>
          </w:p>
          <w:p w14:paraId="5B119BA4" w14:textId="77777777" w:rsidR="007A0053" w:rsidRDefault="007A0053">
            <w:pPr>
              <w:rPr>
                <w:rFonts w:eastAsiaTheme="minorEastAsia" w:cstheme="minorHAnsi"/>
                <w:sz w:val="18"/>
                <w:szCs w:val="18"/>
              </w:rPr>
            </w:pPr>
          </w:p>
          <w:p w14:paraId="61EB491D" w14:textId="06840434" w:rsidR="007C3BF8" w:rsidRPr="007C3BF8" w:rsidRDefault="007C3BF8">
            <w:pPr>
              <w:rPr>
                <w:rFonts w:eastAsiaTheme="minorEastAsia" w:cstheme="minorHAnsi"/>
                <w:sz w:val="18"/>
                <w:szCs w:val="18"/>
              </w:rPr>
            </w:pPr>
            <w:r w:rsidRPr="007C3BF8">
              <w:rPr>
                <w:rFonts w:eastAsiaTheme="minorEastAsia" w:cstheme="minorHAnsi"/>
                <w:sz w:val="18"/>
                <w:szCs w:val="18"/>
              </w:rPr>
              <w:t xml:space="preserve">Mjera 1.  Unaprjeđenje sustava za </w:t>
            </w:r>
            <w:r w:rsidR="0069517A">
              <w:rPr>
                <w:rFonts w:eastAsiaTheme="minorEastAsia" w:cstheme="minorHAnsi"/>
                <w:sz w:val="18"/>
                <w:szCs w:val="18"/>
              </w:rPr>
              <w:t xml:space="preserve">odvojeno </w:t>
            </w:r>
            <w:r w:rsidRPr="007C3BF8">
              <w:rPr>
                <w:rFonts w:eastAsiaTheme="minorEastAsia" w:cstheme="minorHAnsi"/>
                <w:sz w:val="18"/>
                <w:szCs w:val="18"/>
              </w:rPr>
              <w:t>sakupljanje komunalnog otpada i infrastrukture (kapaciteta i tehnologije) za recikliranje i druge postupke oporabe komunalnog otpada</w:t>
            </w:r>
          </w:p>
          <w:p w14:paraId="1A60D652" w14:textId="77777777" w:rsidR="007C3BF8" w:rsidRPr="007C3BF8" w:rsidRDefault="007C3BF8">
            <w:pPr>
              <w:rPr>
                <w:rFonts w:eastAsiaTheme="minorEastAsia" w:cstheme="minorHAnsi"/>
                <w:sz w:val="18"/>
                <w:szCs w:val="18"/>
              </w:rPr>
            </w:pPr>
          </w:p>
          <w:p w14:paraId="100ADA23" w14:textId="5C88850A" w:rsidR="007C3BF8" w:rsidRPr="007C3BF8" w:rsidRDefault="007C3BF8">
            <w:pPr>
              <w:rPr>
                <w:rFonts w:eastAsiaTheme="minorEastAsia" w:cstheme="minorHAnsi"/>
                <w:sz w:val="18"/>
                <w:szCs w:val="18"/>
              </w:rPr>
            </w:pPr>
            <w:r w:rsidRPr="007C3BF8">
              <w:rPr>
                <w:rFonts w:eastAsia="Calibri" w:cstheme="minorHAnsi"/>
                <w:sz w:val="18"/>
                <w:szCs w:val="18"/>
              </w:rPr>
              <w:t>Mjera 2. Jačanje svijesti, informiranja i edukacije o gospodarenju otpadom</w:t>
            </w:r>
            <w:r w:rsidR="007A0053">
              <w:rPr>
                <w:rFonts w:eastAsia="Calibri" w:cstheme="minorHAnsi"/>
                <w:sz w:val="18"/>
                <w:szCs w:val="18"/>
              </w:rPr>
              <w:t xml:space="preserve"> i proizvodima</w:t>
            </w:r>
          </w:p>
          <w:p w14:paraId="0B5F3C19" w14:textId="77777777" w:rsidR="007C3BF8" w:rsidRPr="007C3BF8" w:rsidRDefault="007C3BF8">
            <w:pPr>
              <w:rPr>
                <w:rFonts w:eastAsiaTheme="minorEastAsia" w:cstheme="minorHAnsi"/>
                <w:sz w:val="18"/>
                <w:szCs w:val="18"/>
              </w:rPr>
            </w:pPr>
          </w:p>
          <w:p w14:paraId="5F913437" w14:textId="60515206" w:rsidR="007C3BF8" w:rsidRPr="007C3BF8" w:rsidRDefault="007C3BF8">
            <w:pPr>
              <w:rPr>
                <w:rFonts w:eastAsiaTheme="minorEastAsia" w:cstheme="minorHAnsi"/>
                <w:sz w:val="18"/>
                <w:szCs w:val="18"/>
              </w:rPr>
            </w:pPr>
            <w:r w:rsidRPr="007C3BF8">
              <w:rPr>
                <w:rFonts w:eastAsiaTheme="minorEastAsia" w:cstheme="minorHAnsi"/>
                <w:sz w:val="18"/>
                <w:szCs w:val="18"/>
              </w:rPr>
              <w:t xml:space="preserve">Mjera 6. Analiza </w:t>
            </w:r>
            <w:r w:rsidR="006A3B25">
              <w:rPr>
                <w:rFonts w:eastAsiaTheme="minorEastAsia" w:cstheme="minorHAnsi"/>
                <w:sz w:val="18"/>
                <w:szCs w:val="18"/>
              </w:rPr>
              <w:t xml:space="preserve">učinkovitosti </w:t>
            </w:r>
            <w:r w:rsidRPr="007C3BF8">
              <w:rPr>
                <w:rFonts w:eastAsiaTheme="minorEastAsia" w:cstheme="minorHAnsi"/>
                <w:sz w:val="18"/>
                <w:szCs w:val="18"/>
              </w:rPr>
              <w:t>sustava za gospodarenje posebnim kategorijama otpada</w:t>
            </w:r>
            <w:r w:rsidR="007A0053">
              <w:rPr>
                <w:rFonts w:eastAsiaTheme="minorEastAsia" w:cstheme="minorHAnsi"/>
                <w:sz w:val="18"/>
                <w:szCs w:val="18"/>
              </w:rPr>
              <w:t xml:space="preserve"> s prijedlozima </w:t>
            </w:r>
            <w:proofErr w:type="spellStart"/>
            <w:r w:rsidR="007A0053">
              <w:rPr>
                <w:rFonts w:eastAsiaTheme="minorEastAsia" w:cstheme="minorHAnsi"/>
                <w:sz w:val="18"/>
                <w:szCs w:val="18"/>
              </w:rPr>
              <w:t>unaprijeđenja</w:t>
            </w:r>
            <w:proofErr w:type="spellEnd"/>
          </w:p>
          <w:p w14:paraId="608D1777" w14:textId="77777777" w:rsidR="007C3BF8" w:rsidRPr="007C3BF8" w:rsidRDefault="007C3BF8">
            <w:pPr>
              <w:rPr>
                <w:rFonts w:eastAsiaTheme="minorEastAsia" w:cstheme="minorHAnsi"/>
                <w:sz w:val="18"/>
                <w:szCs w:val="18"/>
              </w:rPr>
            </w:pPr>
          </w:p>
          <w:p w14:paraId="1FCA293E" w14:textId="412EF87F" w:rsidR="007C3BF8" w:rsidRPr="007C3BF8" w:rsidRDefault="007C3BF8">
            <w:pPr>
              <w:rPr>
                <w:rFonts w:eastAsiaTheme="minorEastAsia" w:cstheme="minorHAnsi"/>
                <w:sz w:val="18"/>
                <w:szCs w:val="18"/>
              </w:rPr>
            </w:pPr>
            <w:r w:rsidRPr="007C3BF8">
              <w:rPr>
                <w:rFonts w:eastAsia="Calibri" w:cstheme="minorHAnsi"/>
                <w:sz w:val="18"/>
                <w:szCs w:val="18"/>
              </w:rPr>
              <w:t xml:space="preserve">Mjera 7. </w:t>
            </w:r>
            <w:r w:rsidR="000A2891" w:rsidRPr="000A2891">
              <w:rPr>
                <w:rFonts w:eastAsia="Calibri" w:cstheme="minorHAnsi"/>
                <w:sz w:val="18"/>
                <w:szCs w:val="18"/>
              </w:rPr>
              <w:t>Unaprjeđenje sustava za gospodarenje otpadnom ambalažom i uspostava sustava za gospodarenje otpadnim plastičnim proizvodima za jednokratnu uporabu i ribolovnim alatima koji sadrže plastiku</w:t>
            </w:r>
          </w:p>
        </w:tc>
        <w:tc>
          <w:tcPr>
            <w:tcW w:w="633"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299CF06A" w14:textId="2124B4FA" w:rsidR="007C3BF8" w:rsidRPr="007C3BF8" w:rsidRDefault="007C3BF8">
            <w:pPr>
              <w:rPr>
                <w:rFonts w:eastAsiaTheme="minorEastAsia" w:cstheme="minorHAnsi"/>
                <w:sz w:val="18"/>
                <w:szCs w:val="18"/>
              </w:rPr>
            </w:pPr>
            <w:r w:rsidRPr="007C3BF8">
              <w:rPr>
                <w:rFonts w:eastAsiaTheme="minorEastAsia" w:cstheme="minorHAnsi"/>
                <w:sz w:val="18"/>
                <w:szCs w:val="18"/>
              </w:rPr>
              <w:lastRenderedPageBreak/>
              <w:t>Aktivnosti iz PSNO</w:t>
            </w:r>
            <w:r w:rsidR="006A3B25">
              <w:rPr>
                <w:rFonts w:eastAsiaTheme="minorEastAsia" w:cstheme="minorHAnsi"/>
                <w:sz w:val="18"/>
                <w:szCs w:val="18"/>
              </w:rPr>
              <w:t>:</w:t>
            </w:r>
            <w:r w:rsidRPr="007C3BF8">
              <w:rPr>
                <w:rFonts w:eastAsiaTheme="minorEastAsia" w:cstheme="minorHAnsi"/>
                <w:sz w:val="18"/>
                <w:szCs w:val="18"/>
              </w:rPr>
              <w:t xml:space="preserve"> </w:t>
            </w:r>
          </w:p>
          <w:p w14:paraId="04BFD187" w14:textId="7C7B2020" w:rsidR="007C3BF8" w:rsidRPr="007C3BF8" w:rsidRDefault="00192B3B">
            <w:pPr>
              <w:rPr>
                <w:rFonts w:eastAsia="Calibri" w:cstheme="minorHAnsi"/>
                <w:sz w:val="18"/>
                <w:szCs w:val="18"/>
              </w:rPr>
            </w:pPr>
            <w:r>
              <w:rPr>
                <w:rFonts w:eastAsia="Calibri" w:cstheme="minorHAnsi"/>
                <w:sz w:val="18"/>
                <w:szCs w:val="18"/>
              </w:rPr>
              <w:t xml:space="preserve">PSNO </w:t>
            </w:r>
            <w:r w:rsidR="007C3BF8" w:rsidRPr="007C3BF8">
              <w:rPr>
                <w:rFonts w:eastAsia="Calibri" w:cstheme="minorHAnsi"/>
                <w:sz w:val="18"/>
                <w:szCs w:val="18"/>
              </w:rPr>
              <w:t>A 5.1. -</w:t>
            </w:r>
            <w:r>
              <w:rPr>
                <w:rFonts w:eastAsia="Calibri" w:cstheme="minorHAnsi"/>
                <w:sz w:val="18"/>
                <w:szCs w:val="18"/>
              </w:rPr>
              <w:t xml:space="preserve">PSNO </w:t>
            </w:r>
            <w:r w:rsidR="007C3BF8" w:rsidRPr="007C3BF8">
              <w:rPr>
                <w:rFonts w:eastAsia="Calibri" w:cstheme="minorHAnsi"/>
                <w:sz w:val="18"/>
                <w:szCs w:val="18"/>
              </w:rPr>
              <w:t xml:space="preserve">A 5.4.; </w:t>
            </w:r>
            <w:r>
              <w:rPr>
                <w:rFonts w:eastAsia="Calibri" w:cstheme="minorHAnsi"/>
                <w:sz w:val="18"/>
                <w:szCs w:val="18"/>
              </w:rPr>
              <w:t xml:space="preserve">PSNO </w:t>
            </w:r>
            <w:r w:rsidR="007C3BF8" w:rsidRPr="007C3BF8">
              <w:rPr>
                <w:rFonts w:eastAsia="Calibri" w:cstheme="minorHAnsi"/>
                <w:sz w:val="18"/>
                <w:szCs w:val="18"/>
              </w:rPr>
              <w:t>A 6.1.</w:t>
            </w:r>
            <w:r w:rsidR="006061BC">
              <w:rPr>
                <w:rFonts w:eastAsia="Calibri" w:cstheme="minorHAnsi"/>
                <w:sz w:val="18"/>
                <w:szCs w:val="18"/>
              </w:rPr>
              <w:t xml:space="preserve">, </w:t>
            </w:r>
            <w:r>
              <w:rPr>
                <w:rFonts w:eastAsia="Calibri" w:cstheme="minorHAnsi"/>
                <w:sz w:val="18"/>
                <w:szCs w:val="18"/>
              </w:rPr>
              <w:t xml:space="preserve">PSNO </w:t>
            </w:r>
            <w:r w:rsidR="006061BC">
              <w:rPr>
                <w:rFonts w:eastAsia="Calibri" w:cstheme="minorHAnsi"/>
                <w:sz w:val="18"/>
                <w:szCs w:val="18"/>
              </w:rPr>
              <w:t xml:space="preserve">A 6.2., </w:t>
            </w:r>
            <w:r>
              <w:rPr>
                <w:rFonts w:eastAsia="Calibri" w:cstheme="minorHAnsi"/>
                <w:sz w:val="18"/>
                <w:szCs w:val="18"/>
              </w:rPr>
              <w:t xml:space="preserve">PSNO </w:t>
            </w:r>
            <w:r w:rsidR="006061BC">
              <w:rPr>
                <w:rFonts w:eastAsia="Calibri" w:cstheme="minorHAnsi"/>
                <w:sz w:val="18"/>
                <w:szCs w:val="18"/>
              </w:rPr>
              <w:t xml:space="preserve">A </w:t>
            </w:r>
            <w:r w:rsidR="006061BC">
              <w:rPr>
                <w:rFonts w:eastAsia="Calibri" w:cstheme="minorHAnsi"/>
                <w:sz w:val="18"/>
                <w:szCs w:val="18"/>
              </w:rPr>
              <w:lastRenderedPageBreak/>
              <w:t>6.4.</w:t>
            </w:r>
            <w:r w:rsidR="007C3BF8" w:rsidRPr="007C3BF8">
              <w:rPr>
                <w:rFonts w:eastAsia="Calibri" w:cstheme="minorHAnsi"/>
                <w:sz w:val="18"/>
                <w:szCs w:val="18"/>
              </w:rPr>
              <w:t xml:space="preserve"> – 6.</w:t>
            </w:r>
            <w:r w:rsidR="00E17034">
              <w:rPr>
                <w:rFonts w:eastAsia="Calibri" w:cstheme="minorHAnsi"/>
                <w:sz w:val="18"/>
                <w:szCs w:val="18"/>
              </w:rPr>
              <w:t>6</w:t>
            </w:r>
            <w:r w:rsidR="007C3BF8" w:rsidRPr="007C3BF8">
              <w:rPr>
                <w:rFonts w:eastAsia="Calibri" w:cstheme="minorHAnsi"/>
                <w:sz w:val="18"/>
                <w:szCs w:val="18"/>
              </w:rPr>
              <w:t xml:space="preserve">.; </w:t>
            </w:r>
            <w:r>
              <w:rPr>
                <w:rFonts w:eastAsia="Calibri" w:cstheme="minorHAnsi"/>
                <w:sz w:val="18"/>
                <w:szCs w:val="18"/>
              </w:rPr>
              <w:t xml:space="preserve">PSNO </w:t>
            </w:r>
            <w:r w:rsidR="007C3BF8" w:rsidRPr="007C3BF8">
              <w:rPr>
                <w:rFonts w:eastAsia="Calibri" w:cstheme="minorHAnsi"/>
                <w:sz w:val="18"/>
                <w:szCs w:val="18"/>
              </w:rPr>
              <w:t xml:space="preserve">A 8.1. – A 8.5., </w:t>
            </w:r>
            <w:r>
              <w:rPr>
                <w:rFonts w:eastAsia="Calibri" w:cstheme="minorHAnsi"/>
                <w:sz w:val="18"/>
                <w:szCs w:val="18"/>
              </w:rPr>
              <w:t xml:space="preserve">PSNO </w:t>
            </w:r>
            <w:r w:rsidR="007C3BF8" w:rsidRPr="007C3BF8">
              <w:rPr>
                <w:rFonts w:eastAsia="Calibri" w:cstheme="minorHAnsi"/>
                <w:sz w:val="18"/>
                <w:szCs w:val="18"/>
              </w:rPr>
              <w:t>A 9.1</w:t>
            </w:r>
          </w:p>
          <w:p w14:paraId="4DD5D24D" w14:textId="77777777" w:rsidR="007C3BF8" w:rsidRPr="007C3BF8" w:rsidRDefault="007C3BF8">
            <w:pPr>
              <w:rPr>
                <w:rFonts w:eastAsiaTheme="minorEastAsia" w:cstheme="minorHAnsi"/>
                <w:sz w:val="18"/>
                <w:szCs w:val="18"/>
              </w:rPr>
            </w:pPr>
          </w:p>
          <w:p w14:paraId="3B3538C0" w14:textId="1A8C58A6" w:rsidR="007C3BF8" w:rsidRPr="007C3BF8" w:rsidRDefault="00E17034">
            <w:pPr>
              <w:rPr>
                <w:rFonts w:eastAsiaTheme="minorEastAsia" w:cstheme="minorHAnsi"/>
                <w:sz w:val="18"/>
                <w:szCs w:val="18"/>
              </w:rPr>
            </w:pPr>
            <w:r>
              <w:rPr>
                <w:rFonts w:eastAsiaTheme="minorEastAsia" w:cstheme="minorHAnsi"/>
                <w:sz w:val="18"/>
                <w:szCs w:val="18"/>
              </w:rPr>
              <w:t xml:space="preserve">A 1.1. – A 1.4.; </w:t>
            </w:r>
            <w:r w:rsidR="007C3BF8" w:rsidRPr="007C3BF8">
              <w:rPr>
                <w:rFonts w:eastAsiaTheme="minorEastAsia" w:cstheme="minorHAnsi"/>
                <w:sz w:val="18"/>
                <w:szCs w:val="18"/>
              </w:rPr>
              <w:t>A 2.1. – A2.3.; A 6.1.,</w:t>
            </w:r>
            <w:r>
              <w:rPr>
                <w:rFonts w:eastAsiaTheme="minorEastAsia" w:cstheme="minorHAnsi"/>
                <w:sz w:val="18"/>
                <w:szCs w:val="18"/>
              </w:rPr>
              <w:t xml:space="preserve"> A 6.3.;</w:t>
            </w:r>
            <w:r w:rsidR="007C3BF8" w:rsidRPr="007C3BF8">
              <w:rPr>
                <w:rFonts w:eastAsiaTheme="minorEastAsia" w:cstheme="minorHAnsi"/>
                <w:sz w:val="18"/>
                <w:szCs w:val="18"/>
              </w:rPr>
              <w:t xml:space="preserve"> A 7.1. (A 1.2. – A 1.4.); A 7.3.</w:t>
            </w:r>
          </w:p>
        </w:tc>
        <w:tc>
          <w:tcPr>
            <w:tcW w:w="1249"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03CEE443" w14:textId="77777777" w:rsidR="007C3BF8" w:rsidRPr="007C3BF8" w:rsidRDefault="007C3BF8" w:rsidP="007C3BF8">
            <w:pPr>
              <w:rPr>
                <w:rFonts w:eastAsiaTheme="minorEastAsia" w:cstheme="minorHAnsi"/>
                <w:sz w:val="18"/>
                <w:szCs w:val="18"/>
              </w:rPr>
            </w:pPr>
            <w:r w:rsidRPr="007C3BF8">
              <w:rPr>
                <w:rFonts w:eastAsiaTheme="minorEastAsia" w:cstheme="minorHAnsi"/>
                <w:sz w:val="18"/>
                <w:szCs w:val="18"/>
              </w:rPr>
              <w:lastRenderedPageBreak/>
              <w:t xml:space="preserve">Poduzeti odgovarajuće mjere kako bi potakle dizajn proizvoda i sastavnih dijelova proizvoda koji umanjuju učinak proizvoda na okoliš i nastanak otpada u tijeku proizvodnje i daljnje </w:t>
            </w:r>
            <w:r w:rsidRPr="007C3BF8">
              <w:rPr>
                <w:rFonts w:eastAsiaTheme="minorEastAsia" w:cstheme="minorHAnsi"/>
                <w:sz w:val="18"/>
                <w:szCs w:val="18"/>
              </w:rPr>
              <w:lastRenderedPageBreak/>
              <w:t>uporabe proizvoda te kako bi osigurale da se oporaba i zbrinjavanje proizvoda koji su postali otpad provode u skladu s člancima 4. i 13. Direktive 2008/98/EZ.</w:t>
            </w:r>
          </w:p>
          <w:p w14:paraId="29D1B5A5" w14:textId="77777777" w:rsidR="007C3BF8" w:rsidRPr="007C3BF8" w:rsidRDefault="007C3BF8">
            <w:pPr>
              <w:ind w:left="317"/>
              <w:rPr>
                <w:rFonts w:eastAsiaTheme="minorEastAsia" w:cstheme="minorHAnsi"/>
                <w:sz w:val="18"/>
                <w:szCs w:val="18"/>
              </w:rPr>
            </w:pPr>
          </w:p>
          <w:p w14:paraId="6D32353C" w14:textId="77777777" w:rsidR="007C3BF8" w:rsidRPr="007C3BF8" w:rsidRDefault="007C3BF8">
            <w:pPr>
              <w:numPr>
                <w:ilvl w:val="0"/>
                <w:numId w:val="30"/>
              </w:numPr>
              <w:ind w:left="317"/>
              <w:rPr>
                <w:rFonts w:eastAsiaTheme="minorEastAsia" w:cstheme="minorHAnsi"/>
                <w:sz w:val="18"/>
                <w:szCs w:val="18"/>
              </w:rPr>
            </w:pPr>
            <w:r w:rsidRPr="007C3BF8">
              <w:rPr>
                <w:rFonts w:eastAsiaTheme="minorEastAsia" w:cstheme="minorHAnsi"/>
                <w:sz w:val="18"/>
                <w:szCs w:val="18"/>
              </w:rPr>
              <w:t xml:space="preserve">Odvojeno sakupiti i </w:t>
            </w:r>
            <w:proofErr w:type="spellStart"/>
            <w:r w:rsidRPr="007C3BF8">
              <w:rPr>
                <w:rFonts w:eastAsiaTheme="minorEastAsia" w:cstheme="minorHAnsi"/>
                <w:sz w:val="18"/>
                <w:szCs w:val="18"/>
              </w:rPr>
              <w:t>oporabiti</w:t>
            </w:r>
            <w:proofErr w:type="spellEnd"/>
            <w:r w:rsidRPr="007C3BF8">
              <w:rPr>
                <w:rFonts w:eastAsiaTheme="minorEastAsia" w:cstheme="minorHAnsi"/>
                <w:sz w:val="18"/>
                <w:szCs w:val="18"/>
              </w:rPr>
              <w:t>, materijalno ili energetski, najmanje 60% ukupne mase otpadne ambalaže proizvedene na području RH.</w:t>
            </w:r>
          </w:p>
          <w:p w14:paraId="3A3124C6" w14:textId="77777777" w:rsidR="007C3BF8" w:rsidRPr="007C3BF8" w:rsidRDefault="007C3BF8">
            <w:pPr>
              <w:ind w:left="317"/>
              <w:rPr>
                <w:rFonts w:eastAsiaTheme="minorEastAsia" w:cstheme="minorHAnsi"/>
                <w:sz w:val="18"/>
                <w:szCs w:val="18"/>
                <w:lang w:val="en-GB"/>
              </w:rPr>
            </w:pPr>
          </w:p>
          <w:p w14:paraId="0A5CA204" w14:textId="77777777" w:rsidR="007C3BF8" w:rsidRPr="007C3BF8" w:rsidRDefault="007C3BF8">
            <w:pPr>
              <w:numPr>
                <w:ilvl w:val="0"/>
                <w:numId w:val="30"/>
              </w:numPr>
              <w:ind w:left="317"/>
              <w:rPr>
                <w:rFonts w:eastAsiaTheme="minorEastAsia" w:cstheme="minorHAnsi"/>
                <w:sz w:val="18"/>
                <w:szCs w:val="18"/>
              </w:rPr>
            </w:pPr>
            <w:r w:rsidRPr="007C3BF8">
              <w:rPr>
                <w:rFonts w:eastAsiaTheme="minorEastAsia" w:cstheme="minorHAnsi"/>
                <w:sz w:val="18"/>
                <w:szCs w:val="18"/>
              </w:rPr>
              <w:t>Reciklirati 55 % - 80 % ukupne mase otpadne ambalaže namijenjene materijalnoj oporabi</w:t>
            </w:r>
          </w:p>
          <w:p w14:paraId="1EC01E04" w14:textId="77777777" w:rsidR="007C3BF8" w:rsidRPr="007C3BF8" w:rsidRDefault="007C3BF8">
            <w:pPr>
              <w:rPr>
                <w:rFonts w:eastAsiaTheme="minorEastAsia" w:cstheme="minorHAnsi"/>
                <w:sz w:val="18"/>
                <w:szCs w:val="18"/>
              </w:rPr>
            </w:pPr>
          </w:p>
          <w:p w14:paraId="4B4C3986" w14:textId="77777777" w:rsidR="007C3BF8" w:rsidRPr="007C3BF8" w:rsidRDefault="007C3BF8">
            <w:pPr>
              <w:rPr>
                <w:rFonts w:eastAsiaTheme="minorEastAsia" w:cstheme="minorHAnsi"/>
                <w:sz w:val="18"/>
                <w:szCs w:val="18"/>
                <w:lang w:eastAsia="hr-HR"/>
              </w:rPr>
            </w:pPr>
            <w:r w:rsidRPr="007C3BF8">
              <w:rPr>
                <w:rFonts w:eastAsiaTheme="minorEastAsia" w:cstheme="minorHAnsi"/>
                <w:sz w:val="18"/>
                <w:szCs w:val="18"/>
              </w:rPr>
              <w:t xml:space="preserve">Obraditi postupkom recikliranja najmanje mase materijala u otpadnoj ambalaži:  </w:t>
            </w:r>
          </w:p>
          <w:p w14:paraId="46479AC1" w14:textId="77777777" w:rsidR="007C3BF8" w:rsidRPr="007C3BF8" w:rsidRDefault="007C3BF8">
            <w:pPr>
              <w:numPr>
                <w:ilvl w:val="0"/>
                <w:numId w:val="31"/>
              </w:numPr>
              <w:ind w:left="458"/>
              <w:rPr>
                <w:rFonts w:eastAsiaTheme="minorEastAsia" w:cstheme="minorHAnsi"/>
                <w:sz w:val="18"/>
                <w:szCs w:val="18"/>
                <w:lang w:eastAsia="hr-HR"/>
              </w:rPr>
            </w:pPr>
            <w:r w:rsidRPr="007C3BF8">
              <w:rPr>
                <w:rFonts w:eastAsiaTheme="minorEastAsia" w:cstheme="minorHAnsi"/>
                <w:sz w:val="18"/>
                <w:szCs w:val="18"/>
              </w:rPr>
              <w:t>60 % mase za staklo;</w:t>
            </w:r>
          </w:p>
          <w:p w14:paraId="4408A61F" w14:textId="77777777" w:rsidR="007C3BF8" w:rsidRPr="007C3BF8" w:rsidRDefault="007C3BF8">
            <w:pPr>
              <w:numPr>
                <w:ilvl w:val="0"/>
                <w:numId w:val="31"/>
              </w:numPr>
              <w:ind w:left="458"/>
              <w:rPr>
                <w:rFonts w:eastAsiaTheme="minorEastAsia" w:cstheme="minorHAnsi"/>
                <w:sz w:val="18"/>
                <w:szCs w:val="18"/>
              </w:rPr>
            </w:pPr>
            <w:r w:rsidRPr="007C3BF8">
              <w:rPr>
                <w:rFonts w:eastAsiaTheme="minorEastAsia" w:cstheme="minorHAnsi"/>
                <w:sz w:val="18"/>
                <w:szCs w:val="18"/>
              </w:rPr>
              <w:t>60 % mase za papir i karton;</w:t>
            </w:r>
          </w:p>
          <w:p w14:paraId="1AD9BC18" w14:textId="77777777" w:rsidR="007C3BF8" w:rsidRPr="007C3BF8" w:rsidRDefault="007C3BF8">
            <w:pPr>
              <w:numPr>
                <w:ilvl w:val="0"/>
                <w:numId w:val="31"/>
              </w:numPr>
              <w:ind w:left="458"/>
              <w:rPr>
                <w:rFonts w:eastAsiaTheme="minorEastAsia" w:cstheme="minorHAnsi"/>
                <w:sz w:val="18"/>
                <w:szCs w:val="18"/>
              </w:rPr>
            </w:pPr>
            <w:r w:rsidRPr="007C3BF8">
              <w:rPr>
                <w:rFonts w:eastAsiaTheme="minorEastAsia" w:cstheme="minorHAnsi"/>
                <w:sz w:val="18"/>
                <w:szCs w:val="18"/>
              </w:rPr>
              <w:t>50 % mase za metale;</w:t>
            </w:r>
          </w:p>
          <w:p w14:paraId="2E11AD7A" w14:textId="77777777" w:rsidR="007C3BF8" w:rsidRPr="007C3BF8" w:rsidRDefault="007C3BF8">
            <w:pPr>
              <w:numPr>
                <w:ilvl w:val="0"/>
                <w:numId w:val="31"/>
              </w:numPr>
              <w:ind w:left="458"/>
              <w:rPr>
                <w:rFonts w:eastAsiaTheme="minorEastAsia" w:cstheme="minorHAnsi"/>
                <w:sz w:val="18"/>
                <w:szCs w:val="18"/>
              </w:rPr>
            </w:pPr>
            <w:r w:rsidRPr="007C3BF8">
              <w:rPr>
                <w:rFonts w:eastAsiaTheme="minorEastAsia" w:cstheme="minorHAnsi"/>
                <w:sz w:val="18"/>
                <w:szCs w:val="18"/>
              </w:rPr>
              <w:t>22,5 % mase za plastiku, računajući isključivo materijal koji se ponovno reciklira u plastiku;</w:t>
            </w:r>
          </w:p>
          <w:p w14:paraId="7738E31B" w14:textId="77777777" w:rsidR="007C3BF8" w:rsidRPr="007C3BF8" w:rsidRDefault="007C3BF8">
            <w:pPr>
              <w:numPr>
                <w:ilvl w:val="0"/>
                <w:numId w:val="31"/>
              </w:numPr>
              <w:ind w:left="458"/>
              <w:rPr>
                <w:rFonts w:eastAsiaTheme="minorEastAsia" w:cstheme="minorHAnsi"/>
                <w:sz w:val="18"/>
                <w:szCs w:val="18"/>
              </w:rPr>
            </w:pPr>
            <w:r w:rsidRPr="007C3BF8">
              <w:rPr>
                <w:rFonts w:eastAsiaTheme="minorEastAsia" w:cstheme="minorHAnsi"/>
                <w:sz w:val="18"/>
                <w:szCs w:val="18"/>
              </w:rPr>
              <w:t>15 % mase za drvo</w:t>
            </w:r>
          </w:p>
          <w:p w14:paraId="6D4B3E3C" w14:textId="77777777" w:rsidR="007C3BF8" w:rsidRPr="007C3BF8" w:rsidRDefault="007C3BF8">
            <w:pPr>
              <w:ind w:left="458"/>
              <w:rPr>
                <w:rFonts w:eastAsiaTheme="minorEastAsia" w:cstheme="minorHAnsi"/>
                <w:sz w:val="18"/>
                <w:szCs w:val="18"/>
              </w:rPr>
            </w:pPr>
          </w:p>
          <w:p w14:paraId="7A9F7A2E" w14:textId="77777777" w:rsidR="007C3BF8" w:rsidRPr="007C3BF8" w:rsidRDefault="007C3BF8">
            <w:pPr>
              <w:numPr>
                <w:ilvl w:val="0"/>
                <w:numId w:val="32"/>
              </w:numPr>
              <w:ind w:left="317"/>
              <w:contextualSpacing/>
              <w:rPr>
                <w:rFonts w:cstheme="minorHAnsi"/>
                <w:sz w:val="18"/>
                <w:szCs w:val="18"/>
              </w:rPr>
            </w:pPr>
            <w:r w:rsidRPr="007C3BF8">
              <w:rPr>
                <w:rFonts w:cstheme="minorHAnsi"/>
                <w:sz w:val="18"/>
                <w:szCs w:val="18"/>
              </w:rPr>
              <w:t xml:space="preserve">Reciklirati najmanje 65 % mase ukupne otpadne ambalaže, do </w:t>
            </w:r>
            <w:r w:rsidRPr="007C3BF8">
              <w:rPr>
                <w:rFonts w:cstheme="minorHAnsi"/>
                <w:b/>
                <w:bCs/>
                <w:sz w:val="18"/>
                <w:szCs w:val="18"/>
              </w:rPr>
              <w:t>31. prosinca 2025.</w:t>
            </w:r>
          </w:p>
          <w:p w14:paraId="531F369D" w14:textId="77777777" w:rsidR="007C3BF8" w:rsidRPr="007C3BF8" w:rsidRDefault="007C3BF8">
            <w:pPr>
              <w:rPr>
                <w:rFonts w:cstheme="minorHAnsi"/>
                <w:sz w:val="18"/>
                <w:szCs w:val="18"/>
              </w:rPr>
            </w:pPr>
          </w:p>
          <w:p w14:paraId="6F7F0145" w14:textId="77777777" w:rsidR="007C3BF8" w:rsidRPr="007C3BF8" w:rsidRDefault="007C3BF8">
            <w:pPr>
              <w:rPr>
                <w:rFonts w:cstheme="minorHAnsi"/>
                <w:sz w:val="18"/>
                <w:szCs w:val="18"/>
              </w:rPr>
            </w:pPr>
            <w:r w:rsidRPr="007C3BF8">
              <w:rPr>
                <w:rFonts w:cstheme="minorHAnsi"/>
                <w:sz w:val="18"/>
                <w:szCs w:val="18"/>
              </w:rPr>
              <w:t>Do 31. prosinca 2025. obraditi postupkom recikliranja barem sljedeće mase materijala u otpadnoj ambalaži:</w:t>
            </w:r>
          </w:p>
          <w:p w14:paraId="7660A4E8" w14:textId="77777777" w:rsidR="007C3BF8" w:rsidRPr="007C3BF8" w:rsidRDefault="007C3BF8">
            <w:pPr>
              <w:numPr>
                <w:ilvl w:val="0"/>
                <w:numId w:val="33"/>
              </w:numPr>
              <w:contextualSpacing/>
              <w:rPr>
                <w:rFonts w:cstheme="minorHAnsi"/>
                <w:sz w:val="18"/>
                <w:szCs w:val="18"/>
              </w:rPr>
            </w:pPr>
            <w:r w:rsidRPr="007C3BF8">
              <w:rPr>
                <w:rFonts w:cstheme="minorHAnsi"/>
                <w:sz w:val="18"/>
                <w:szCs w:val="18"/>
              </w:rPr>
              <w:t>50 % plastike;</w:t>
            </w:r>
          </w:p>
          <w:p w14:paraId="74A34766" w14:textId="77777777" w:rsidR="007C3BF8" w:rsidRPr="007C3BF8" w:rsidRDefault="007C3BF8">
            <w:pPr>
              <w:numPr>
                <w:ilvl w:val="0"/>
                <w:numId w:val="33"/>
              </w:numPr>
              <w:contextualSpacing/>
              <w:rPr>
                <w:rFonts w:cstheme="minorHAnsi"/>
                <w:sz w:val="18"/>
                <w:szCs w:val="18"/>
              </w:rPr>
            </w:pPr>
            <w:r w:rsidRPr="007C3BF8">
              <w:rPr>
                <w:rFonts w:cstheme="minorHAnsi"/>
                <w:sz w:val="18"/>
                <w:szCs w:val="18"/>
              </w:rPr>
              <w:t>25 % drva;</w:t>
            </w:r>
          </w:p>
          <w:p w14:paraId="36F6FC48" w14:textId="77777777" w:rsidR="007C3BF8" w:rsidRPr="007C3BF8" w:rsidRDefault="007C3BF8">
            <w:pPr>
              <w:numPr>
                <w:ilvl w:val="0"/>
                <w:numId w:val="33"/>
              </w:numPr>
              <w:contextualSpacing/>
              <w:rPr>
                <w:rFonts w:cstheme="minorHAnsi"/>
                <w:sz w:val="18"/>
                <w:szCs w:val="18"/>
              </w:rPr>
            </w:pPr>
            <w:r w:rsidRPr="007C3BF8">
              <w:rPr>
                <w:rFonts w:cstheme="minorHAnsi"/>
                <w:sz w:val="18"/>
                <w:szCs w:val="18"/>
              </w:rPr>
              <w:t>70 % neobojenih metala;</w:t>
            </w:r>
          </w:p>
          <w:p w14:paraId="3C39231C" w14:textId="77777777" w:rsidR="007C3BF8" w:rsidRPr="007C3BF8" w:rsidRDefault="007C3BF8">
            <w:pPr>
              <w:numPr>
                <w:ilvl w:val="0"/>
                <w:numId w:val="33"/>
              </w:numPr>
              <w:contextualSpacing/>
              <w:rPr>
                <w:rFonts w:cstheme="minorHAnsi"/>
                <w:sz w:val="18"/>
                <w:szCs w:val="18"/>
              </w:rPr>
            </w:pPr>
            <w:r w:rsidRPr="007C3BF8">
              <w:rPr>
                <w:rFonts w:cstheme="minorHAnsi"/>
                <w:sz w:val="18"/>
                <w:szCs w:val="18"/>
              </w:rPr>
              <w:t>50 % aluminija;</w:t>
            </w:r>
          </w:p>
          <w:p w14:paraId="7704B18D" w14:textId="77777777" w:rsidR="007C3BF8" w:rsidRPr="007C3BF8" w:rsidRDefault="007C3BF8">
            <w:pPr>
              <w:numPr>
                <w:ilvl w:val="0"/>
                <w:numId w:val="33"/>
              </w:numPr>
              <w:contextualSpacing/>
              <w:rPr>
                <w:rFonts w:cstheme="minorHAnsi"/>
                <w:sz w:val="18"/>
                <w:szCs w:val="18"/>
              </w:rPr>
            </w:pPr>
            <w:r w:rsidRPr="007C3BF8">
              <w:rPr>
                <w:rFonts w:cstheme="minorHAnsi"/>
                <w:sz w:val="18"/>
                <w:szCs w:val="18"/>
              </w:rPr>
              <w:t>70 % stakla;</w:t>
            </w:r>
          </w:p>
          <w:p w14:paraId="0A1C59E6" w14:textId="77777777" w:rsidR="007C3BF8" w:rsidRPr="007C3BF8" w:rsidRDefault="007C3BF8">
            <w:pPr>
              <w:numPr>
                <w:ilvl w:val="0"/>
                <w:numId w:val="33"/>
              </w:numPr>
              <w:contextualSpacing/>
              <w:rPr>
                <w:rFonts w:cstheme="minorHAnsi"/>
                <w:sz w:val="18"/>
                <w:szCs w:val="18"/>
              </w:rPr>
            </w:pPr>
            <w:r w:rsidRPr="007C3BF8">
              <w:rPr>
                <w:rFonts w:cstheme="minorHAnsi"/>
                <w:sz w:val="18"/>
                <w:szCs w:val="18"/>
              </w:rPr>
              <w:t>75 % papira i kartona;</w:t>
            </w:r>
          </w:p>
          <w:p w14:paraId="7CB180C7" w14:textId="77777777" w:rsidR="007C3BF8" w:rsidRPr="007C3BF8" w:rsidRDefault="007C3BF8">
            <w:pPr>
              <w:rPr>
                <w:rFonts w:cstheme="minorHAnsi"/>
                <w:sz w:val="18"/>
                <w:szCs w:val="18"/>
              </w:rPr>
            </w:pPr>
          </w:p>
          <w:p w14:paraId="40A64349" w14:textId="77777777" w:rsidR="007C3BF8" w:rsidRPr="007C3BF8" w:rsidRDefault="007C3BF8">
            <w:pPr>
              <w:numPr>
                <w:ilvl w:val="0"/>
                <w:numId w:val="32"/>
              </w:numPr>
              <w:ind w:left="317"/>
              <w:contextualSpacing/>
              <w:rPr>
                <w:rFonts w:cstheme="minorHAnsi"/>
                <w:b/>
                <w:bCs/>
                <w:sz w:val="18"/>
                <w:szCs w:val="18"/>
              </w:rPr>
            </w:pPr>
            <w:r w:rsidRPr="007C3BF8">
              <w:rPr>
                <w:rFonts w:cstheme="minorHAnsi"/>
                <w:sz w:val="18"/>
                <w:szCs w:val="18"/>
              </w:rPr>
              <w:t xml:space="preserve">Reciklirati najmanje 70 mase ukupne otpadne ambalaže, najkasnije do </w:t>
            </w:r>
            <w:r w:rsidRPr="007C3BF8">
              <w:rPr>
                <w:rFonts w:cstheme="minorHAnsi"/>
                <w:b/>
                <w:bCs/>
                <w:sz w:val="18"/>
                <w:szCs w:val="18"/>
              </w:rPr>
              <w:t>31. prosinca 2030.</w:t>
            </w:r>
          </w:p>
          <w:p w14:paraId="45701E10" w14:textId="77777777" w:rsidR="007C3BF8" w:rsidRPr="007C3BF8" w:rsidRDefault="007C3BF8">
            <w:pPr>
              <w:rPr>
                <w:rFonts w:cstheme="minorHAnsi"/>
                <w:sz w:val="18"/>
                <w:szCs w:val="18"/>
              </w:rPr>
            </w:pPr>
          </w:p>
          <w:p w14:paraId="793E1DC8" w14:textId="77777777" w:rsidR="007C3BF8" w:rsidRPr="007C3BF8" w:rsidRDefault="007C3BF8">
            <w:pPr>
              <w:rPr>
                <w:rFonts w:cstheme="minorHAnsi"/>
                <w:sz w:val="18"/>
                <w:szCs w:val="18"/>
              </w:rPr>
            </w:pPr>
            <w:r w:rsidRPr="007C3BF8">
              <w:rPr>
                <w:rFonts w:cstheme="minorHAnsi"/>
                <w:sz w:val="18"/>
                <w:szCs w:val="18"/>
              </w:rPr>
              <w:lastRenderedPageBreak/>
              <w:t>Do 31. prosinca 2030. obraditi postupkom recikliranja barem sljedeće mase materijala u otpadnoj ambalaži:</w:t>
            </w:r>
          </w:p>
          <w:p w14:paraId="5F0976EB" w14:textId="77777777" w:rsidR="007C3BF8" w:rsidRPr="007C3BF8" w:rsidRDefault="007C3BF8">
            <w:pPr>
              <w:numPr>
                <w:ilvl w:val="0"/>
                <w:numId w:val="34"/>
              </w:numPr>
              <w:contextualSpacing/>
              <w:rPr>
                <w:rFonts w:cstheme="minorHAnsi"/>
                <w:sz w:val="18"/>
                <w:szCs w:val="18"/>
              </w:rPr>
            </w:pPr>
            <w:r w:rsidRPr="007C3BF8">
              <w:rPr>
                <w:rFonts w:cstheme="minorHAnsi"/>
                <w:sz w:val="18"/>
                <w:szCs w:val="18"/>
              </w:rPr>
              <w:t>55 % plastike;</w:t>
            </w:r>
          </w:p>
          <w:p w14:paraId="0923F98E" w14:textId="77777777" w:rsidR="007C3BF8" w:rsidRPr="007C3BF8" w:rsidRDefault="007C3BF8">
            <w:pPr>
              <w:numPr>
                <w:ilvl w:val="0"/>
                <w:numId w:val="34"/>
              </w:numPr>
              <w:contextualSpacing/>
              <w:rPr>
                <w:rFonts w:cstheme="minorHAnsi"/>
                <w:sz w:val="18"/>
                <w:szCs w:val="18"/>
              </w:rPr>
            </w:pPr>
            <w:r w:rsidRPr="007C3BF8">
              <w:rPr>
                <w:rFonts w:cstheme="minorHAnsi"/>
                <w:sz w:val="18"/>
                <w:szCs w:val="18"/>
              </w:rPr>
              <w:t>30 % drva;</w:t>
            </w:r>
          </w:p>
          <w:p w14:paraId="44296A71" w14:textId="77777777" w:rsidR="007C3BF8" w:rsidRPr="007C3BF8" w:rsidRDefault="007C3BF8">
            <w:pPr>
              <w:numPr>
                <w:ilvl w:val="0"/>
                <w:numId w:val="34"/>
              </w:numPr>
              <w:contextualSpacing/>
              <w:rPr>
                <w:rFonts w:cstheme="minorHAnsi"/>
                <w:sz w:val="18"/>
                <w:szCs w:val="18"/>
              </w:rPr>
            </w:pPr>
            <w:r w:rsidRPr="007C3BF8">
              <w:rPr>
                <w:rFonts w:cstheme="minorHAnsi"/>
                <w:sz w:val="18"/>
                <w:szCs w:val="18"/>
              </w:rPr>
              <w:t>80 % neobojenih metala;</w:t>
            </w:r>
          </w:p>
          <w:p w14:paraId="03E55130" w14:textId="77777777" w:rsidR="007C3BF8" w:rsidRPr="007C3BF8" w:rsidRDefault="007C3BF8">
            <w:pPr>
              <w:numPr>
                <w:ilvl w:val="0"/>
                <w:numId w:val="34"/>
              </w:numPr>
              <w:contextualSpacing/>
              <w:rPr>
                <w:rFonts w:cstheme="minorHAnsi"/>
                <w:sz w:val="18"/>
                <w:szCs w:val="18"/>
              </w:rPr>
            </w:pPr>
            <w:r w:rsidRPr="007C3BF8">
              <w:rPr>
                <w:rFonts w:cstheme="minorHAnsi"/>
                <w:sz w:val="18"/>
                <w:szCs w:val="18"/>
              </w:rPr>
              <w:t>60 % aluminija;</w:t>
            </w:r>
          </w:p>
          <w:p w14:paraId="0F6853A4" w14:textId="77777777" w:rsidR="007C3BF8" w:rsidRPr="007C3BF8" w:rsidRDefault="007C3BF8">
            <w:pPr>
              <w:numPr>
                <w:ilvl w:val="0"/>
                <w:numId w:val="34"/>
              </w:numPr>
              <w:contextualSpacing/>
              <w:rPr>
                <w:rFonts w:eastAsia="Calibri" w:cstheme="minorHAnsi"/>
                <w:sz w:val="18"/>
                <w:szCs w:val="18"/>
              </w:rPr>
            </w:pPr>
            <w:r w:rsidRPr="007C3BF8">
              <w:rPr>
                <w:rFonts w:cstheme="minorHAnsi"/>
                <w:sz w:val="18"/>
                <w:szCs w:val="18"/>
              </w:rPr>
              <w:t>75 % stakla;</w:t>
            </w:r>
          </w:p>
          <w:p w14:paraId="305D6CB5" w14:textId="77777777" w:rsidR="007C3BF8" w:rsidRPr="007C3BF8" w:rsidRDefault="007C3BF8">
            <w:pPr>
              <w:ind w:left="720"/>
              <w:contextualSpacing/>
              <w:rPr>
                <w:rFonts w:eastAsiaTheme="minorEastAsia" w:cstheme="minorHAnsi"/>
                <w:sz w:val="18"/>
                <w:szCs w:val="18"/>
              </w:rPr>
            </w:pPr>
            <w:r w:rsidRPr="007C3BF8">
              <w:rPr>
                <w:rFonts w:cstheme="minorHAnsi"/>
                <w:sz w:val="18"/>
                <w:szCs w:val="18"/>
              </w:rPr>
              <w:t>85 % papira i kartona.</w:t>
            </w:r>
          </w:p>
        </w:tc>
        <w:tc>
          <w:tcPr>
            <w:tcW w:w="1312"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0B202317" w14:textId="77777777" w:rsidR="007C3BF8" w:rsidRPr="007C3BF8" w:rsidRDefault="007C3BF8">
            <w:pPr>
              <w:rPr>
                <w:rFonts w:eastAsia="Calibri" w:cstheme="minorHAnsi"/>
                <w:sz w:val="18"/>
                <w:szCs w:val="18"/>
              </w:rPr>
            </w:pPr>
            <w:r w:rsidRPr="007C3BF8">
              <w:rPr>
                <w:rFonts w:eastAsia="Calibri" w:cstheme="minorHAnsi"/>
                <w:sz w:val="18"/>
                <w:szCs w:val="18"/>
              </w:rPr>
              <w:lastRenderedPageBreak/>
              <w:t xml:space="preserve">Akcijski plan za kružno gospodarstvo - Za čišću i konkurentniju Europu (Bruxelles, 11.3.2020., COM(2020) 98 </w:t>
            </w:r>
            <w:proofErr w:type="spellStart"/>
            <w:r w:rsidRPr="007C3BF8">
              <w:rPr>
                <w:rFonts w:eastAsia="Calibri" w:cstheme="minorHAnsi"/>
                <w:sz w:val="18"/>
                <w:szCs w:val="18"/>
              </w:rPr>
              <w:t>final</w:t>
            </w:r>
            <w:proofErr w:type="spellEnd"/>
            <w:r w:rsidRPr="007C3BF8">
              <w:rPr>
                <w:rFonts w:eastAsia="Calibri" w:cstheme="minorHAnsi"/>
                <w:sz w:val="18"/>
                <w:szCs w:val="18"/>
              </w:rPr>
              <w:t>)</w:t>
            </w:r>
          </w:p>
          <w:p w14:paraId="6AEED9D5" w14:textId="77777777" w:rsidR="007C3BF8" w:rsidRPr="007C3BF8" w:rsidRDefault="007C3BF8">
            <w:pPr>
              <w:rPr>
                <w:rFonts w:eastAsia="Calibri" w:cstheme="minorHAnsi"/>
                <w:sz w:val="18"/>
                <w:szCs w:val="18"/>
              </w:rPr>
            </w:pPr>
          </w:p>
          <w:p w14:paraId="6827AE39" w14:textId="77777777" w:rsidR="007C3BF8" w:rsidRPr="007C3BF8" w:rsidRDefault="007C3BF8">
            <w:pPr>
              <w:rPr>
                <w:rFonts w:eastAsia="Calibri" w:cstheme="minorHAnsi"/>
                <w:sz w:val="18"/>
                <w:szCs w:val="18"/>
              </w:rPr>
            </w:pPr>
            <w:r w:rsidRPr="007C3BF8">
              <w:rPr>
                <w:rFonts w:eastAsia="Calibri" w:cstheme="minorHAnsi"/>
                <w:sz w:val="18"/>
                <w:szCs w:val="18"/>
              </w:rPr>
              <w:lastRenderedPageBreak/>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p w14:paraId="05062B65" w14:textId="77777777" w:rsidR="007C3BF8" w:rsidRPr="007C3BF8" w:rsidRDefault="007C3BF8">
            <w:pPr>
              <w:rPr>
                <w:rFonts w:eastAsiaTheme="minorEastAsia" w:cstheme="minorHAnsi"/>
                <w:sz w:val="18"/>
                <w:szCs w:val="18"/>
              </w:rPr>
            </w:pPr>
          </w:p>
          <w:p w14:paraId="58BB789D" w14:textId="77777777" w:rsidR="007C3BF8" w:rsidRPr="007C3BF8" w:rsidRDefault="007C3BF8">
            <w:pPr>
              <w:rPr>
                <w:rFonts w:eastAsiaTheme="minorEastAsia" w:cstheme="minorHAnsi"/>
                <w:sz w:val="18"/>
                <w:szCs w:val="18"/>
              </w:rPr>
            </w:pPr>
            <w:r w:rsidRPr="007C3BF8">
              <w:rPr>
                <w:rFonts w:eastAsiaTheme="minorEastAsia" w:cstheme="minorHAnsi"/>
                <w:sz w:val="18"/>
                <w:szCs w:val="18"/>
              </w:rPr>
              <w:t>Direktiva Europskog parlamenta i Vijeća 94/62/EZ od 20. prosinca 1994. o ambalaži i ambalažnom otpadu (SL L 365, 31. 12. 1994.) kako je posljednji put izmijenjena Direktivom (EU) 2018/852 Europskog parlamenta i Vijeća od 30. svibnja 2018. o izmjeni Direktive 94/62/EZ o ambalaži i ambalažnom otpadu (SL L 150, 14. 6. 2018.)</w:t>
            </w:r>
          </w:p>
        </w:tc>
      </w:tr>
      <w:tr w:rsidR="00C262BD" w:rsidRPr="007C3BF8" w14:paraId="338786C5" w14:textId="77777777" w:rsidTr="007C3BF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7940519A" w14:textId="77777777" w:rsidR="007C3BF8" w:rsidRPr="007C3BF8" w:rsidRDefault="007C3BF8">
            <w:pPr>
              <w:ind w:left="720"/>
              <w:jc w:val="center"/>
              <w:rPr>
                <w:rFonts w:eastAsiaTheme="minorEastAsia" w:cstheme="minorHAnsi"/>
                <w:b/>
                <w:bCs/>
                <w:color w:val="000000"/>
                <w:sz w:val="18"/>
                <w:szCs w:val="18"/>
              </w:rPr>
            </w:pPr>
            <w:r w:rsidRPr="007C3BF8">
              <w:rPr>
                <w:rFonts w:eastAsia="Calibri" w:cstheme="minorHAnsi"/>
                <w:b/>
                <w:bCs/>
                <w:sz w:val="18"/>
                <w:szCs w:val="18"/>
              </w:rPr>
              <w:lastRenderedPageBreak/>
              <w:t>Cilj 3. - Otpadni plastični proizvodi za jednokratnu uporabu</w:t>
            </w:r>
          </w:p>
        </w:tc>
      </w:tr>
      <w:tr w:rsidR="008B146A" w:rsidRPr="007C3BF8" w14:paraId="44DE7B56" w14:textId="77777777" w:rsidTr="009008E5">
        <w:trPr>
          <w:trHeight w:val="20"/>
        </w:trPr>
        <w:tc>
          <w:tcPr>
            <w:tcW w:w="1064" w:type="pct"/>
            <w:tcBorders>
              <w:top w:val="single" w:sz="4" w:space="0" w:color="auto"/>
              <w:left w:val="single" w:sz="4" w:space="0" w:color="auto"/>
              <w:bottom w:val="single" w:sz="4" w:space="0" w:color="auto"/>
              <w:right w:val="single" w:sz="4" w:space="0" w:color="auto"/>
            </w:tcBorders>
            <w:vAlign w:val="center"/>
            <w:hideMark/>
          </w:tcPr>
          <w:p w14:paraId="7149F6ED" w14:textId="77777777" w:rsidR="007C3BF8" w:rsidRPr="007C3BF8" w:rsidRDefault="007C3BF8">
            <w:pPr>
              <w:numPr>
                <w:ilvl w:val="0"/>
                <w:numId w:val="35"/>
              </w:numPr>
              <w:ind w:left="317"/>
              <w:rPr>
                <w:rFonts w:eastAsiaTheme="minorEastAsia" w:cstheme="minorHAnsi"/>
                <w:b/>
                <w:bCs/>
                <w:color w:val="000000"/>
                <w:sz w:val="18"/>
                <w:szCs w:val="18"/>
              </w:rPr>
            </w:pPr>
            <w:r w:rsidRPr="007C3BF8">
              <w:rPr>
                <w:rFonts w:eastAsiaTheme="minorEastAsia" w:cstheme="minorHAnsi"/>
                <w:b/>
                <w:bCs/>
                <w:color w:val="000000"/>
                <w:sz w:val="18"/>
                <w:szCs w:val="18"/>
              </w:rPr>
              <w:t>Do 2025. godine</w:t>
            </w:r>
            <w:r w:rsidRPr="007C3BF8">
              <w:rPr>
                <w:rFonts w:eastAsiaTheme="minorEastAsia" w:cstheme="minorHAnsi"/>
                <w:color w:val="000000"/>
                <w:sz w:val="18"/>
                <w:szCs w:val="18"/>
              </w:rPr>
              <w:t xml:space="preserve"> osigurati</w:t>
            </w:r>
            <w:r w:rsidRPr="007C3BF8">
              <w:rPr>
                <w:rFonts w:eastAsiaTheme="minorEastAsia" w:cstheme="minorHAnsi"/>
                <w:b/>
                <w:bCs/>
                <w:color w:val="000000"/>
                <w:sz w:val="18"/>
                <w:szCs w:val="18"/>
              </w:rPr>
              <w:t xml:space="preserve"> odvojeno sakupljanje </w:t>
            </w:r>
            <w:r w:rsidRPr="007C3BF8">
              <w:rPr>
                <w:rFonts w:eastAsiaTheme="minorEastAsia" w:cstheme="minorHAnsi"/>
                <w:color w:val="000000"/>
                <w:sz w:val="18"/>
                <w:szCs w:val="18"/>
              </w:rPr>
              <w:t xml:space="preserve">radi recikliranja, količine boca za piće (do 3L, uključujući njihove čepove i poklopce) koje su izrađene od polietilen </w:t>
            </w:r>
            <w:proofErr w:type="spellStart"/>
            <w:r w:rsidRPr="007C3BF8">
              <w:rPr>
                <w:rFonts w:eastAsiaTheme="minorEastAsia" w:cstheme="minorHAnsi"/>
                <w:color w:val="000000"/>
                <w:sz w:val="18"/>
                <w:szCs w:val="18"/>
              </w:rPr>
              <w:t>tereftalata</w:t>
            </w:r>
            <w:proofErr w:type="spellEnd"/>
            <w:r w:rsidRPr="007C3BF8">
              <w:rPr>
                <w:rFonts w:eastAsiaTheme="minorEastAsia" w:cstheme="minorHAnsi"/>
                <w:color w:val="000000"/>
                <w:sz w:val="18"/>
                <w:szCs w:val="18"/>
              </w:rPr>
              <w:t xml:space="preserve"> kao glavne komponente („PET boce“), </w:t>
            </w:r>
            <w:r w:rsidRPr="007C3BF8">
              <w:rPr>
                <w:rFonts w:eastAsiaTheme="minorEastAsia" w:cstheme="minorHAnsi"/>
                <w:b/>
                <w:bCs/>
                <w:color w:val="000000"/>
                <w:sz w:val="18"/>
                <w:szCs w:val="18"/>
              </w:rPr>
              <w:t xml:space="preserve">77 % </w:t>
            </w:r>
            <w:r w:rsidRPr="007C3BF8">
              <w:rPr>
                <w:rFonts w:eastAsiaTheme="minorEastAsia" w:cstheme="minorHAnsi"/>
                <w:color w:val="000000"/>
                <w:sz w:val="18"/>
                <w:szCs w:val="18"/>
              </w:rPr>
              <w:t xml:space="preserve">mase stavljenih na tržište u godini, a do 2029. godine </w:t>
            </w:r>
            <w:r w:rsidRPr="007C3BF8">
              <w:rPr>
                <w:rFonts w:eastAsiaTheme="minorEastAsia" w:cstheme="minorHAnsi"/>
                <w:b/>
                <w:bCs/>
                <w:color w:val="000000"/>
                <w:sz w:val="18"/>
                <w:szCs w:val="18"/>
              </w:rPr>
              <w:t xml:space="preserve">90 %. </w:t>
            </w:r>
          </w:p>
          <w:p w14:paraId="3D92C740" w14:textId="77777777" w:rsidR="007C3BF8" w:rsidRPr="007C3BF8" w:rsidRDefault="007C3BF8">
            <w:pPr>
              <w:numPr>
                <w:ilvl w:val="0"/>
                <w:numId w:val="35"/>
              </w:numPr>
              <w:ind w:left="317"/>
              <w:rPr>
                <w:rFonts w:eastAsiaTheme="minorEastAsia" w:cstheme="minorHAnsi"/>
                <w:sz w:val="18"/>
                <w:szCs w:val="18"/>
                <w:lang w:eastAsia="hr-HR"/>
              </w:rPr>
            </w:pPr>
            <w:r w:rsidRPr="007C3BF8">
              <w:rPr>
                <w:rFonts w:eastAsiaTheme="minorEastAsia" w:cstheme="minorHAnsi"/>
                <w:b/>
                <w:bCs/>
                <w:color w:val="000000"/>
                <w:sz w:val="18"/>
                <w:szCs w:val="18"/>
              </w:rPr>
              <w:t>Od 2025. godine</w:t>
            </w:r>
            <w:r w:rsidRPr="007C3BF8">
              <w:rPr>
                <w:rFonts w:eastAsiaTheme="minorEastAsia" w:cstheme="minorHAnsi"/>
                <w:color w:val="000000"/>
                <w:sz w:val="18"/>
                <w:szCs w:val="18"/>
              </w:rPr>
              <w:t xml:space="preserve"> osigurati da “PET boce” sadrže najmanje 25 % reciklirane plastike, izračunate kao prosjek za sve PET boce stavljene na u RH; a od 2030. godine udio reciklirane plastike od najmanje 30 %</w:t>
            </w:r>
          </w:p>
        </w:tc>
        <w:tc>
          <w:tcPr>
            <w:tcW w:w="742" w:type="pct"/>
            <w:tcBorders>
              <w:top w:val="single" w:sz="4" w:space="0" w:color="auto"/>
              <w:left w:val="single" w:sz="4" w:space="0" w:color="auto"/>
              <w:bottom w:val="single" w:sz="4" w:space="0" w:color="auto"/>
              <w:right w:val="single" w:sz="4" w:space="0" w:color="auto"/>
            </w:tcBorders>
            <w:vAlign w:val="center"/>
          </w:tcPr>
          <w:p w14:paraId="068A06CE" w14:textId="06B8CD14" w:rsidR="005C164B" w:rsidRDefault="007A0053">
            <w:pPr>
              <w:ind w:left="85"/>
              <w:rPr>
                <w:rFonts w:eastAsia="Calibri" w:cstheme="minorHAnsi"/>
                <w:sz w:val="18"/>
                <w:szCs w:val="18"/>
              </w:rPr>
            </w:pPr>
            <w:r w:rsidRPr="007A0053">
              <w:rPr>
                <w:rFonts w:eastAsia="Calibri" w:cstheme="minorHAnsi"/>
                <w:sz w:val="18"/>
                <w:szCs w:val="18"/>
              </w:rPr>
              <w:t>Mjere i aktivnosti definirane Programom sprječavanja nastanka otpada RH</w:t>
            </w:r>
          </w:p>
          <w:p w14:paraId="70B618D5" w14:textId="77777777" w:rsidR="005C164B" w:rsidRDefault="005C164B">
            <w:pPr>
              <w:ind w:left="85"/>
              <w:rPr>
                <w:rFonts w:eastAsia="Calibri" w:cstheme="minorHAnsi"/>
                <w:sz w:val="18"/>
                <w:szCs w:val="18"/>
              </w:rPr>
            </w:pPr>
          </w:p>
          <w:p w14:paraId="5EBC1035" w14:textId="6204E445" w:rsidR="006A3B25" w:rsidRDefault="006A3B25">
            <w:pPr>
              <w:ind w:left="85"/>
              <w:rPr>
                <w:rFonts w:eastAsia="Calibri" w:cstheme="minorHAnsi"/>
                <w:sz w:val="18"/>
                <w:szCs w:val="18"/>
              </w:rPr>
            </w:pPr>
            <w:r w:rsidRPr="006A3B25">
              <w:rPr>
                <w:rFonts w:eastAsia="Calibri" w:cstheme="minorHAnsi"/>
                <w:sz w:val="18"/>
                <w:szCs w:val="18"/>
              </w:rPr>
              <w:t>Mjera 1.  Unaprjeđenje sustava za odvojeno sakupljanje komunalnog otpada i infrastrukture (kapaciteta i tehnologije) za recikliranje i druge postupke oporabe komunalnog otpada</w:t>
            </w:r>
          </w:p>
          <w:p w14:paraId="0D7E3A10" w14:textId="77777777" w:rsidR="006A3B25" w:rsidRDefault="006A3B25">
            <w:pPr>
              <w:ind w:left="85"/>
              <w:rPr>
                <w:rFonts w:eastAsia="Calibri" w:cstheme="minorHAnsi"/>
                <w:sz w:val="18"/>
                <w:szCs w:val="18"/>
              </w:rPr>
            </w:pPr>
          </w:p>
          <w:p w14:paraId="42F2C47B" w14:textId="0D7865B3" w:rsidR="007C3BF8" w:rsidRPr="007C3BF8" w:rsidRDefault="007C3BF8">
            <w:pPr>
              <w:ind w:left="85"/>
              <w:rPr>
                <w:rFonts w:eastAsiaTheme="minorEastAsia" w:cstheme="minorHAnsi"/>
                <w:color w:val="000000"/>
                <w:sz w:val="18"/>
                <w:szCs w:val="18"/>
              </w:rPr>
            </w:pPr>
            <w:bookmarkStart w:id="319" w:name="_Hlk121081390"/>
            <w:r w:rsidRPr="007C3BF8">
              <w:rPr>
                <w:rFonts w:eastAsia="Calibri" w:cstheme="minorHAnsi"/>
                <w:sz w:val="18"/>
                <w:szCs w:val="18"/>
              </w:rPr>
              <w:t>Mjera 2. Jačanje svijesti, informiranja i edukacije o gospodarenju otpadom</w:t>
            </w:r>
            <w:r w:rsidR="007A0053">
              <w:rPr>
                <w:rFonts w:eastAsia="Calibri" w:cstheme="minorHAnsi"/>
                <w:sz w:val="18"/>
                <w:szCs w:val="18"/>
              </w:rPr>
              <w:t xml:space="preserve"> i proizvodima</w:t>
            </w:r>
          </w:p>
          <w:bookmarkEnd w:id="319"/>
          <w:p w14:paraId="7668818A" w14:textId="77777777" w:rsidR="007C3BF8" w:rsidRPr="007C3BF8" w:rsidRDefault="007C3BF8">
            <w:pPr>
              <w:ind w:left="85"/>
              <w:rPr>
                <w:rFonts w:eastAsiaTheme="minorEastAsia" w:cstheme="minorHAnsi"/>
                <w:color w:val="000000"/>
                <w:sz w:val="18"/>
                <w:szCs w:val="18"/>
              </w:rPr>
            </w:pPr>
          </w:p>
          <w:p w14:paraId="223E89B0" w14:textId="3BBD4D2F" w:rsidR="007C3BF8" w:rsidRPr="007C3BF8" w:rsidRDefault="007C3BF8">
            <w:pPr>
              <w:ind w:left="85"/>
              <w:rPr>
                <w:rFonts w:eastAsiaTheme="minorEastAsia" w:cstheme="minorHAnsi"/>
                <w:color w:val="000000"/>
                <w:sz w:val="18"/>
                <w:szCs w:val="18"/>
              </w:rPr>
            </w:pPr>
            <w:bookmarkStart w:id="320" w:name="_Hlk121081474"/>
            <w:r w:rsidRPr="007C3BF8">
              <w:rPr>
                <w:rFonts w:eastAsiaTheme="minorEastAsia" w:cstheme="minorHAnsi"/>
                <w:color w:val="000000"/>
                <w:sz w:val="18"/>
                <w:szCs w:val="18"/>
              </w:rPr>
              <w:t xml:space="preserve">Mjera 6. Analiza </w:t>
            </w:r>
            <w:r w:rsidR="008B146A">
              <w:rPr>
                <w:rFonts w:eastAsiaTheme="minorEastAsia" w:cstheme="minorHAnsi"/>
                <w:color w:val="000000"/>
                <w:sz w:val="18"/>
                <w:szCs w:val="18"/>
              </w:rPr>
              <w:t xml:space="preserve">učinkovitosti </w:t>
            </w:r>
            <w:r w:rsidRPr="007C3BF8">
              <w:rPr>
                <w:rFonts w:eastAsiaTheme="minorEastAsia" w:cstheme="minorHAnsi"/>
                <w:color w:val="000000"/>
                <w:sz w:val="18"/>
                <w:szCs w:val="18"/>
              </w:rPr>
              <w:t xml:space="preserve">sustava za gospodarenje posebnim </w:t>
            </w:r>
            <w:r w:rsidRPr="007C3BF8">
              <w:rPr>
                <w:rFonts w:eastAsiaTheme="minorEastAsia" w:cstheme="minorHAnsi"/>
                <w:color w:val="000000"/>
                <w:sz w:val="18"/>
                <w:szCs w:val="18"/>
              </w:rPr>
              <w:lastRenderedPageBreak/>
              <w:t>kategorijama otpada</w:t>
            </w:r>
            <w:r w:rsidR="00916512">
              <w:rPr>
                <w:rFonts w:eastAsiaTheme="minorEastAsia" w:cstheme="minorHAnsi"/>
                <w:color w:val="000000"/>
                <w:sz w:val="18"/>
                <w:szCs w:val="18"/>
              </w:rPr>
              <w:t xml:space="preserve"> s prijedlozima za </w:t>
            </w:r>
            <w:proofErr w:type="spellStart"/>
            <w:r w:rsidR="00916512">
              <w:rPr>
                <w:rFonts w:eastAsiaTheme="minorEastAsia" w:cstheme="minorHAnsi"/>
                <w:color w:val="000000"/>
                <w:sz w:val="18"/>
                <w:szCs w:val="18"/>
              </w:rPr>
              <w:t>unaprijeđenje</w:t>
            </w:r>
            <w:proofErr w:type="spellEnd"/>
          </w:p>
          <w:bookmarkEnd w:id="320"/>
          <w:p w14:paraId="5434F6D5" w14:textId="77777777" w:rsidR="007C3BF8" w:rsidRPr="007C3BF8" w:rsidRDefault="007C3BF8">
            <w:pPr>
              <w:ind w:left="85"/>
              <w:rPr>
                <w:rFonts w:eastAsiaTheme="minorEastAsia" w:cstheme="minorHAnsi"/>
                <w:color w:val="000000"/>
                <w:sz w:val="18"/>
                <w:szCs w:val="18"/>
              </w:rPr>
            </w:pPr>
          </w:p>
          <w:p w14:paraId="0EEE37AD" w14:textId="118ADB80" w:rsidR="007C3BF8" w:rsidRPr="007C3BF8" w:rsidRDefault="007C3BF8">
            <w:pPr>
              <w:ind w:left="85"/>
              <w:rPr>
                <w:rFonts w:eastAsiaTheme="minorEastAsia" w:cstheme="minorHAnsi"/>
                <w:color w:val="000000"/>
                <w:sz w:val="18"/>
                <w:szCs w:val="18"/>
              </w:rPr>
            </w:pPr>
            <w:r w:rsidRPr="007C3BF8">
              <w:rPr>
                <w:rFonts w:eastAsia="Calibri" w:cstheme="minorHAnsi"/>
                <w:sz w:val="18"/>
                <w:szCs w:val="18"/>
              </w:rPr>
              <w:t xml:space="preserve">Mjera 7. </w:t>
            </w:r>
            <w:r w:rsidR="000A2891" w:rsidRPr="000A2891">
              <w:rPr>
                <w:rFonts w:eastAsia="Calibri" w:cstheme="minorHAnsi"/>
                <w:sz w:val="18"/>
                <w:szCs w:val="18"/>
              </w:rPr>
              <w:t>Unaprjeđenje sustava za gospodarenje otpadnom ambalažom i uspostava sustava za gospodarenje otpadnim plastičnim proizvodima za jednokratnu uporabu i ribolovnim alatima koji sadrže plastiku</w:t>
            </w:r>
          </w:p>
        </w:tc>
        <w:tc>
          <w:tcPr>
            <w:tcW w:w="633" w:type="pct"/>
            <w:tcBorders>
              <w:top w:val="single" w:sz="4" w:space="0" w:color="auto"/>
              <w:left w:val="single" w:sz="4" w:space="0" w:color="auto"/>
              <w:bottom w:val="single" w:sz="4" w:space="0" w:color="auto"/>
              <w:right w:val="single" w:sz="4" w:space="0" w:color="auto"/>
            </w:tcBorders>
            <w:vAlign w:val="center"/>
          </w:tcPr>
          <w:p w14:paraId="5A061723" w14:textId="77777777" w:rsidR="006A3B25" w:rsidRDefault="007C3BF8">
            <w:pPr>
              <w:rPr>
                <w:rFonts w:eastAsiaTheme="minorEastAsia" w:cstheme="minorHAnsi"/>
                <w:sz w:val="18"/>
                <w:szCs w:val="18"/>
              </w:rPr>
            </w:pPr>
            <w:r w:rsidRPr="007C3BF8">
              <w:rPr>
                <w:rFonts w:eastAsiaTheme="minorEastAsia" w:cstheme="minorHAnsi"/>
                <w:sz w:val="18"/>
                <w:szCs w:val="18"/>
              </w:rPr>
              <w:lastRenderedPageBreak/>
              <w:t>Aktivnosti iz PSNO</w:t>
            </w:r>
            <w:r w:rsidR="006A3B25">
              <w:rPr>
                <w:rFonts w:eastAsiaTheme="minorEastAsia" w:cstheme="minorHAnsi"/>
                <w:sz w:val="18"/>
                <w:szCs w:val="18"/>
              </w:rPr>
              <w:t>:</w:t>
            </w:r>
          </w:p>
          <w:p w14:paraId="63DAA9B5" w14:textId="734F9483" w:rsidR="007C3BF8" w:rsidRPr="007C3BF8" w:rsidRDefault="00192B3B">
            <w:pPr>
              <w:rPr>
                <w:rFonts w:eastAsia="Calibri" w:cstheme="minorHAnsi"/>
                <w:sz w:val="18"/>
                <w:szCs w:val="18"/>
              </w:rPr>
            </w:pPr>
            <w:r>
              <w:rPr>
                <w:rFonts w:eastAsiaTheme="minorEastAsia" w:cstheme="minorHAnsi"/>
                <w:sz w:val="18"/>
                <w:szCs w:val="18"/>
              </w:rPr>
              <w:t xml:space="preserve">PSNO </w:t>
            </w:r>
            <w:r w:rsidR="007C3BF8" w:rsidRPr="007C3BF8">
              <w:rPr>
                <w:rFonts w:eastAsia="Calibri" w:cstheme="minorHAnsi"/>
                <w:sz w:val="18"/>
                <w:szCs w:val="18"/>
              </w:rPr>
              <w:t>A 5.1. -</w:t>
            </w:r>
            <w:r>
              <w:rPr>
                <w:rFonts w:eastAsia="Calibri" w:cstheme="minorHAnsi"/>
                <w:sz w:val="18"/>
                <w:szCs w:val="18"/>
              </w:rPr>
              <w:t xml:space="preserve">PSNO </w:t>
            </w:r>
            <w:r w:rsidR="007C3BF8" w:rsidRPr="007C3BF8">
              <w:rPr>
                <w:rFonts w:eastAsia="Calibri" w:cstheme="minorHAnsi"/>
                <w:sz w:val="18"/>
                <w:szCs w:val="18"/>
              </w:rPr>
              <w:t xml:space="preserve">A 5.4.; </w:t>
            </w:r>
            <w:r>
              <w:rPr>
                <w:rFonts w:eastAsia="Calibri" w:cstheme="minorHAnsi"/>
                <w:sz w:val="18"/>
                <w:szCs w:val="18"/>
              </w:rPr>
              <w:t xml:space="preserve">PSNO </w:t>
            </w:r>
            <w:r w:rsidR="006061BC" w:rsidRPr="006061BC">
              <w:rPr>
                <w:rFonts w:eastAsia="Calibri" w:cstheme="minorHAnsi"/>
                <w:sz w:val="18"/>
                <w:szCs w:val="18"/>
              </w:rPr>
              <w:t xml:space="preserve">A 6.1., </w:t>
            </w:r>
            <w:r>
              <w:rPr>
                <w:rFonts w:eastAsia="Calibri" w:cstheme="minorHAnsi"/>
                <w:sz w:val="18"/>
                <w:szCs w:val="18"/>
              </w:rPr>
              <w:t xml:space="preserve">PSNO </w:t>
            </w:r>
            <w:r w:rsidR="006061BC" w:rsidRPr="006061BC">
              <w:rPr>
                <w:rFonts w:eastAsia="Calibri" w:cstheme="minorHAnsi"/>
                <w:sz w:val="18"/>
                <w:szCs w:val="18"/>
              </w:rPr>
              <w:t xml:space="preserve">A 6.2., </w:t>
            </w:r>
            <w:r>
              <w:rPr>
                <w:rFonts w:eastAsia="Calibri" w:cstheme="minorHAnsi"/>
                <w:sz w:val="18"/>
                <w:szCs w:val="18"/>
              </w:rPr>
              <w:t xml:space="preserve">PSNO </w:t>
            </w:r>
            <w:r w:rsidR="006061BC" w:rsidRPr="006061BC">
              <w:rPr>
                <w:rFonts w:eastAsia="Calibri" w:cstheme="minorHAnsi"/>
                <w:sz w:val="18"/>
                <w:szCs w:val="18"/>
              </w:rPr>
              <w:t>A 6.4. – 6.6.;</w:t>
            </w:r>
            <w:r w:rsidR="007C3BF8" w:rsidRPr="007C3BF8">
              <w:rPr>
                <w:rFonts w:eastAsia="Calibri" w:cstheme="minorHAnsi"/>
                <w:sz w:val="18"/>
                <w:szCs w:val="18"/>
              </w:rPr>
              <w:t xml:space="preserve"> </w:t>
            </w:r>
            <w:r>
              <w:rPr>
                <w:rFonts w:eastAsia="Calibri" w:cstheme="minorHAnsi"/>
                <w:sz w:val="18"/>
                <w:szCs w:val="18"/>
              </w:rPr>
              <w:t xml:space="preserve">PSNO </w:t>
            </w:r>
            <w:r w:rsidR="007C3BF8" w:rsidRPr="007C3BF8">
              <w:rPr>
                <w:rFonts w:eastAsia="Calibri" w:cstheme="minorHAnsi"/>
                <w:sz w:val="18"/>
                <w:szCs w:val="18"/>
              </w:rPr>
              <w:t xml:space="preserve">A 8.1. – </w:t>
            </w:r>
            <w:r>
              <w:rPr>
                <w:rFonts w:eastAsia="Calibri" w:cstheme="minorHAnsi"/>
                <w:sz w:val="18"/>
                <w:szCs w:val="18"/>
              </w:rPr>
              <w:t xml:space="preserve">PSNO </w:t>
            </w:r>
            <w:r w:rsidR="007C3BF8" w:rsidRPr="007C3BF8">
              <w:rPr>
                <w:rFonts w:eastAsia="Calibri" w:cstheme="minorHAnsi"/>
                <w:sz w:val="18"/>
                <w:szCs w:val="18"/>
              </w:rPr>
              <w:t xml:space="preserve">A 8.5., </w:t>
            </w:r>
            <w:r>
              <w:rPr>
                <w:rFonts w:eastAsia="Calibri" w:cstheme="minorHAnsi"/>
                <w:sz w:val="18"/>
                <w:szCs w:val="18"/>
              </w:rPr>
              <w:t xml:space="preserve">PSNO </w:t>
            </w:r>
            <w:r w:rsidR="007C3BF8" w:rsidRPr="007C3BF8">
              <w:rPr>
                <w:rFonts w:eastAsia="Calibri" w:cstheme="minorHAnsi"/>
                <w:sz w:val="18"/>
                <w:szCs w:val="18"/>
              </w:rPr>
              <w:t>A 9.1</w:t>
            </w:r>
          </w:p>
          <w:p w14:paraId="56AD77FE" w14:textId="08A7E629" w:rsidR="007C3BF8" w:rsidRDefault="007C3BF8">
            <w:pPr>
              <w:rPr>
                <w:rFonts w:eastAsiaTheme="minorEastAsia" w:cstheme="minorHAnsi"/>
                <w:sz w:val="18"/>
                <w:szCs w:val="18"/>
              </w:rPr>
            </w:pPr>
          </w:p>
          <w:p w14:paraId="2C3561BA" w14:textId="77777777" w:rsidR="00192B3B" w:rsidRPr="007C3BF8" w:rsidRDefault="00192B3B">
            <w:pPr>
              <w:rPr>
                <w:rFonts w:eastAsiaTheme="minorEastAsia" w:cstheme="minorHAnsi"/>
                <w:sz w:val="18"/>
                <w:szCs w:val="18"/>
              </w:rPr>
            </w:pPr>
          </w:p>
          <w:p w14:paraId="75704326" w14:textId="4F016797" w:rsidR="007C3BF8" w:rsidRPr="007C3BF8" w:rsidRDefault="00C77206">
            <w:pPr>
              <w:rPr>
                <w:rFonts w:eastAsiaTheme="minorEastAsia" w:cstheme="minorHAnsi"/>
                <w:sz w:val="18"/>
                <w:szCs w:val="18"/>
              </w:rPr>
            </w:pPr>
            <w:r>
              <w:rPr>
                <w:rFonts w:eastAsiaTheme="minorEastAsia" w:cstheme="minorHAnsi"/>
                <w:sz w:val="18"/>
                <w:szCs w:val="18"/>
              </w:rPr>
              <w:t xml:space="preserve">A 1.1. -A 1.4.; </w:t>
            </w:r>
            <w:r w:rsidR="007C3BF8" w:rsidRPr="007C3BF8">
              <w:rPr>
                <w:rFonts w:eastAsiaTheme="minorEastAsia" w:cstheme="minorHAnsi"/>
                <w:sz w:val="18"/>
                <w:szCs w:val="18"/>
              </w:rPr>
              <w:t>A 2.1. – A</w:t>
            </w:r>
            <w:r>
              <w:rPr>
                <w:rFonts w:eastAsiaTheme="minorEastAsia" w:cstheme="minorHAnsi"/>
                <w:sz w:val="18"/>
                <w:szCs w:val="18"/>
              </w:rPr>
              <w:t xml:space="preserve"> </w:t>
            </w:r>
            <w:r w:rsidR="007C3BF8" w:rsidRPr="007C3BF8">
              <w:rPr>
                <w:rFonts w:eastAsiaTheme="minorEastAsia" w:cstheme="minorHAnsi"/>
                <w:sz w:val="18"/>
                <w:szCs w:val="18"/>
              </w:rPr>
              <w:t>2.3.; A 6.1., A 6.3.; A 7.3.</w:t>
            </w:r>
          </w:p>
        </w:tc>
        <w:tc>
          <w:tcPr>
            <w:tcW w:w="1249" w:type="pct"/>
            <w:tcBorders>
              <w:top w:val="single" w:sz="4" w:space="0" w:color="auto"/>
              <w:left w:val="single" w:sz="4" w:space="0" w:color="auto"/>
              <w:bottom w:val="single" w:sz="4" w:space="0" w:color="auto"/>
              <w:right w:val="single" w:sz="4" w:space="0" w:color="auto"/>
            </w:tcBorders>
            <w:vAlign w:val="center"/>
          </w:tcPr>
          <w:p w14:paraId="6ECD094E" w14:textId="77777777" w:rsidR="007C3BF8" w:rsidRPr="007C3BF8" w:rsidRDefault="007C3BF8" w:rsidP="007C3BF8">
            <w:pPr>
              <w:rPr>
                <w:rFonts w:eastAsiaTheme="minorEastAsia" w:cstheme="minorHAnsi"/>
                <w:sz w:val="18"/>
                <w:szCs w:val="18"/>
              </w:rPr>
            </w:pPr>
            <w:r w:rsidRPr="007C3BF8">
              <w:rPr>
                <w:rFonts w:eastAsiaTheme="minorEastAsia" w:cstheme="minorHAnsi"/>
                <w:sz w:val="18"/>
                <w:szCs w:val="18"/>
              </w:rPr>
              <w:t>Poduzeti odgovarajuće mjere kako bi potakle dizajn proizvoda i sastavnih dijelova proizvoda koji umanjuju učinak proizvoda na okoliš i nastanak otpada u tijeku proizvodnje i daljnje uporabe proizvoda te kako bi osigurale da se oporaba i zbrinjavanje proizvoda koji su postali otpad provode u skladu s člancima 4. i 13. Direktive 2008/98/EZ.</w:t>
            </w:r>
          </w:p>
          <w:p w14:paraId="3011A0F4" w14:textId="77777777" w:rsidR="007C3BF8" w:rsidRPr="007C3BF8" w:rsidRDefault="007C3BF8" w:rsidP="007C3BF8">
            <w:pPr>
              <w:rPr>
                <w:rFonts w:eastAsiaTheme="minorEastAsia" w:cstheme="minorHAnsi"/>
                <w:sz w:val="18"/>
                <w:szCs w:val="18"/>
              </w:rPr>
            </w:pPr>
          </w:p>
          <w:p w14:paraId="2F588337" w14:textId="77777777" w:rsidR="007C3BF8" w:rsidRPr="007C3BF8" w:rsidRDefault="007C3BF8" w:rsidP="007C3BF8">
            <w:pPr>
              <w:rPr>
                <w:rFonts w:eastAsiaTheme="minorEastAsia" w:cstheme="minorHAnsi"/>
                <w:sz w:val="18"/>
                <w:szCs w:val="18"/>
              </w:rPr>
            </w:pPr>
            <w:r w:rsidRPr="007C3BF8">
              <w:rPr>
                <w:rFonts w:eastAsiaTheme="minorEastAsia" w:cstheme="minorHAnsi"/>
                <w:sz w:val="18"/>
                <w:szCs w:val="18"/>
              </w:rPr>
              <w:t xml:space="preserve">Do 2025. osigurati odvojeno prikupljanje za recikliranje, količine boca za piće (do 3L, uključujući njihove poklopce i poklopce) koje su izrađene od polietilen </w:t>
            </w:r>
            <w:proofErr w:type="spellStart"/>
            <w:r w:rsidRPr="007C3BF8">
              <w:rPr>
                <w:rFonts w:eastAsiaTheme="minorEastAsia" w:cstheme="minorHAnsi"/>
                <w:sz w:val="18"/>
                <w:szCs w:val="18"/>
              </w:rPr>
              <w:t>tereftalata</w:t>
            </w:r>
            <w:proofErr w:type="spellEnd"/>
            <w:r w:rsidRPr="007C3BF8">
              <w:rPr>
                <w:rFonts w:eastAsiaTheme="minorEastAsia" w:cstheme="minorHAnsi"/>
                <w:sz w:val="18"/>
                <w:szCs w:val="18"/>
              </w:rPr>
              <w:t xml:space="preserve"> kao glavne komponente (»PET boce«) 77 % takvih pojedinačnih – koristiti proizvode od plastike koji su stavljeni na tržište u određenoj godini po težini, a do 2029. godine 90%. </w:t>
            </w:r>
          </w:p>
          <w:p w14:paraId="71AE8EE6" w14:textId="77777777" w:rsidR="007C3BF8" w:rsidRPr="007C3BF8" w:rsidRDefault="007C3BF8" w:rsidP="007C3BF8">
            <w:pPr>
              <w:rPr>
                <w:rFonts w:eastAsiaTheme="minorEastAsia" w:cstheme="minorHAnsi"/>
                <w:sz w:val="18"/>
                <w:szCs w:val="18"/>
              </w:rPr>
            </w:pPr>
          </w:p>
          <w:p w14:paraId="50ACF70E" w14:textId="77777777" w:rsidR="007C3BF8" w:rsidRPr="007C3BF8" w:rsidRDefault="007C3BF8" w:rsidP="007C3BF8">
            <w:pPr>
              <w:rPr>
                <w:rFonts w:eastAsiaTheme="minorEastAsia" w:cstheme="minorHAnsi"/>
                <w:sz w:val="18"/>
                <w:szCs w:val="18"/>
              </w:rPr>
            </w:pPr>
            <w:r w:rsidRPr="007C3BF8">
              <w:rPr>
                <w:rFonts w:eastAsiaTheme="minorEastAsia" w:cstheme="minorHAnsi"/>
                <w:sz w:val="18"/>
                <w:szCs w:val="18"/>
              </w:rPr>
              <w:t>Od 2025. osigurati da »PET boce« sadrže najmanje 25% reciklirane plastike, izračunate kao prosjek za sve PET boce stavljene na tržište na teritoriju države članice; i od 2030. udio reciklirane plastike od najmanje 30%</w:t>
            </w:r>
          </w:p>
        </w:tc>
        <w:tc>
          <w:tcPr>
            <w:tcW w:w="1312" w:type="pct"/>
            <w:tcBorders>
              <w:top w:val="single" w:sz="4" w:space="0" w:color="auto"/>
              <w:left w:val="single" w:sz="4" w:space="0" w:color="auto"/>
              <w:bottom w:val="single" w:sz="4" w:space="0" w:color="auto"/>
              <w:right w:val="single" w:sz="4" w:space="0" w:color="auto"/>
            </w:tcBorders>
            <w:vAlign w:val="center"/>
          </w:tcPr>
          <w:p w14:paraId="168EA456" w14:textId="77777777" w:rsidR="007C3BF8" w:rsidRPr="007C3BF8" w:rsidRDefault="007C3BF8">
            <w:pPr>
              <w:rPr>
                <w:rFonts w:eastAsia="Calibri" w:cstheme="minorHAnsi"/>
                <w:sz w:val="18"/>
                <w:szCs w:val="18"/>
              </w:rPr>
            </w:pPr>
            <w:r w:rsidRPr="007C3BF8">
              <w:rPr>
                <w:rFonts w:eastAsia="Calibri" w:cstheme="minorHAnsi"/>
                <w:sz w:val="18"/>
                <w:szCs w:val="18"/>
              </w:rPr>
              <w:t xml:space="preserve">Akcijski plan za kružno gospodarstvo - Za čišću i konkurentniju Europu (Bruxelles, 11.3.2020., COM(2020) 98 </w:t>
            </w:r>
            <w:proofErr w:type="spellStart"/>
            <w:r w:rsidRPr="007C3BF8">
              <w:rPr>
                <w:rFonts w:eastAsia="Calibri" w:cstheme="minorHAnsi"/>
                <w:sz w:val="18"/>
                <w:szCs w:val="18"/>
              </w:rPr>
              <w:t>final</w:t>
            </w:r>
            <w:proofErr w:type="spellEnd"/>
            <w:r w:rsidRPr="007C3BF8">
              <w:rPr>
                <w:rFonts w:eastAsia="Calibri" w:cstheme="minorHAnsi"/>
                <w:sz w:val="18"/>
                <w:szCs w:val="18"/>
              </w:rPr>
              <w:t>)</w:t>
            </w:r>
          </w:p>
          <w:p w14:paraId="79433F52" w14:textId="77777777" w:rsidR="007C3BF8" w:rsidRPr="007C3BF8" w:rsidRDefault="007C3BF8">
            <w:pPr>
              <w:rPr>
                <w:rFonts w:eastAsia="Calibri" w:cstheme="minorHAnsi"/>
                <w:sz w:val="18"/>
                <w:szCs w:val="18"/>
              </w:rPr>
            </w:pPr>
          </w:p>
          <w:p w14:paraId="23E122F4" w14:textId="77777777" w:rsidR="007C3BF8" w:rsidRPr="007C3BF8" w:rsidRDefault="007C3BF8">
            <w:pPr>
              <w:rPr>
                <w:rFonts w:eastAsiaTheme="minorEastAsia"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p w14:paraId="0F06AF5A" w14:textId="77777777" w:rsidR="007C3BF8" w:rsidRPr="007C3BF8" w:rsidRDefault="007C3BF8">
            <w:pPr>
              <w:ind w:left="53"/>
              <w:rPr>
                <w:rFonts w:eastAsiaTheme="minorEastAsia" w:cstheme="minorHAnsi"/>
                <w:sz w:val="18"/>
                <w:szCs w:val="18"/>
              </w:rPr>
            </w:pPr>
          </w:p>
          <w:p w14:paraId="259AF610" w14:textId="77777777" w:rsidR="007C3BF8" w:rsidRPr="007C3BF8" w:rsidRDefault="007C3BF8" w:rsidP="007C3BF8">
            <w:pPr>
              <w:rPr>
                <w:rFonts w:eastAsiaTheme="minorEastAsia" w:cstheme="minorHAnsi"/>
                <w:sz w:val="18"/>
                <w:szCs w:val="18"/>
              </w:rPr>
            </w:pPr>
            <w:r w:rsidRPr="007C3BF8">
              <w:rPr>
                <w:rFonts w:eastAsiaTheme="minorEastAsia" w:cstheme="minorHAnsi"/>
                <w:sz w:val="18"/>
                <w:szCs w:val="18"/>
              </w:rPr>
              <w:t>Direktiva (EU) 2019/904 Europskog parlamenta i Vijeća od 5. lipnja 2019. o smanjenju utjecaja određenih plastičnih proizvoda na okoliš (SL L 155, 12. 6. 2019.)</w:t>
            </w:r>
          </w:p>
        </w:tc>
      </w:tr>
      <w:tr w:rsidR="008B146A" w:rsidRPr="007C3BF8" w14:paraId="09F81C4B" w14:textId="77777777" w:rsidTr="009008E5">
        <w:trPr>
          <w:trHeight w:val="20"/>
        </w:trPr>
        <w:tc>
          <w:tcPr>
            <w:tcW w:w="1064" w:type="pct"/>
            <w:tcBorders>
              <w:top w:val="single" w:sz="4" w:space="0" w:color="auto"/>
              <w:left w:val="single" w:sz="4" w:space="0" w:color="auto"/>
              <w:bottom w:val="single" w:sz="4" w:space="0" w:color="auto"/>
              <w:right w:val="single" w:sz="4" w:space="0" w:color="auto"/>
            </w:tcBorders>
            <w:vAlign w:val="center"/>
            <w:hideMark/>
          </w:tcPr>
          <w:p w14:paraId="262E5C93" w14:textId="77777777" w:rsidR="007C3BF8" w:rsidRPr="007C3BF8" w:rsidRDefault="007C3BF8">
            <w:pPr>
              <w:rPr>
                <w:rFonts w:eastAsia="Calibri" w:cstheme="minorHAnsi"/>
                <w:sz w:val="18"/>
                <w:szCs w:val="18"/>
              </w:rPr>
            </w:pPr>
            <w:r w:rsidRPr="007C3BF8">
              <w:rPr>
                <w:rFonts w:eastAsia="Calibri" w:cstheme="minorHAnsi"/>
                <w:sz w:val="18"/>
                <w:szCs w:val="18"/>
              </w:rPr>
              <w:t>Postići mjerljivo kvantitativno smanjenje potrošnje plastičnih proizvoda za jednokratnu uporabu (čaše za napitke, uključujući njihove čepove i poklopce, spremnici za hranu, tj. posude kao što su kutije, s poklopcem ili bez njega, koji se upotrebljavaju za držanje hrane) do 2026. godine u usporedbi s 2022. godinom.</w:t>
            </w:r>
          </w:p>
        </w:tc>
        <w:tc>
          <w:tcPr>
            <w:tcW w:w="742" w:type="pct"/>
            <w:tcBorders>
              <w:top w:val="single" w:sz="4" w:space="0" w:color="auto"/>
              <w:left w:val="single" w:sz="4" w:space="0" w:color="auto"/>
              <w:bottom w:val="single" w:sz="4" w:space="0" w:color="auto"/>
              <w:right w:val="single" w:sz="4" w:space="0" w:color="auto"/>
            </w:tcBorders>
            <w:vAlign w:val="center"/>
          </w:tcPr>
          <w:p w14:paraId="5BC73EFD" w14:textId="492716C9" w:rsidR="005C164B" w:rsidRDefault="007A0053" w:rsidP="006A3B25">
            <w:pPr>
              <w:rPr>
                <w:rFonts w:eastAsia="Calibri" w:cstheme="minorHAnsi"/>
                <w:sz w:val="18"/>
                <w:szCs w:val="18"/>
              </w:rPr>
            </w:pPr>
            <w:r w:rsidRPr="007A0053">
              <w:rPr>
                <w:rFonts w:eastAsia="Calibri" w:cstheme="minorHAnsi"/>
                <w:sz w:val="18"/>
                <w:szCs w:val="18"/>
              </w:rPr>
              <w:t>Mjere i aktivnosti definirane Programom sprječavanja nastanka otpada RH</w:t>
            </w:r>
          </w:p>
          <w:p w14:paraId="63F88603" w14:textId="77777777" w:rsidR="007A0053" w:rsidRDefault="007A0053" w:rsidP="006A3B25">
            <w:pPr>
              <w:rPr>
                <w:rFonts w:eastAsiaTheme="minorEastAsia" w:cstheme="minorHAnsi"/>
                <w:sz w:val="18"/>
                <w:szCs w:val="18"/>
              </w:rPr>
            </w:pPr>
          </w:p>
          <w:p w14:paraId="1B3A6ABC" w14:textId="1F214E58" w:rsidR="006A3B25" w:rsidRPr="007C3BF8" w:rsidRDefault="006A3B25" w:rsidP="006A3B25">
            <w:pPr>
              <w:rPr>
                <w:rFonts w:eastAsiaTheme="minorEastAsia" w:cstheme="minorHAnsi"/>
                <w:sz w:val="18"/>
                <w:szCs w:val="18"/>
              </w:rPr>
            </w:pPr>
            <w:r w:rsidRPr="007C3BF8">
              <w:rPr>
                <w:rFonts w:eastAsiaTheme="minorEastAsia" w:cstheme="minorHAnsi"/>
                <w:sz w:val="18"/>
                <w:szCs w:val="18"/>
              </w:rPr>
              <w:t xml:space="preserve">Mjera 1.  Unaprjeđenje sustava za </w:t>
            </w:r>
            <w:r>
              <w:rPr>
                <w:rFonts w:eastAsiaTheme="minorEastAsia" w:cstheme="minorHAnsi"/>
                <w:sz w:val="18"/>
                <w:szCs w:val="18"/>
              </w:rPr>
              <w:t xml:space="preserve">odvojeno </w:t>
            </w:r>
            <w:r w:rsidRPr="007C3BF8">
              <w:rPr>
                <w:rFonts w:eastAsiaTheme="minorEastAsia" w:cstheme="minorHAnsi"/>
                <w:sz w:val="18"/>
                <w:szCs w:val="18"/>
              </w:rPr>
              <w:t>sakupljanje komunalnog otpada i infrastrukture (kapaciteta i tehnologije) za recikliranje i druge postupke oporabe komunalnog otpada</w:t>
            </w:r>
          </w:p>
          <w:p w14:paraId="726CD560" w14:textId="77777777" w:rsidR="006A3B25" w:rsidRDefault="006A3B25">
            <w:pPr>
              <w:rPr>
                <w:rFonts w:eastAsia="Calibri" w:cstheme="minorHAnsi"/>
                <w:sz w:val="18"/>
                <w:szCs w:val="18"/>
              </w:rPr>
            </w:pPr>
          </w:p>
          <w:p w14:paraId="5BA22E12" w14:textId="2A3A0D93" w:rsidR="007C3BF8" w:rsidRPr="007C3BF8" w:rsidRDefault="007C3BF8">
            <w:pPr>
              <w:rPr>
                <w:rFonts w:eastAsiaTheme="minorEastAsia" w:cstheme="minorHAnsi"/>
                <w:color w:val="000000"/>
                <w:sz w:val="18"/>
                <w:szCs w:val="18"/>
              </w:rPr>
            </w:pPr>
            <w:r w:rsidRPr="007C3BF8">
              <w:rPr>
                <w:rFonts w:eastAsia="Calibri" w:cstheme="minorHAnsi"/>
                <w:sz w:val="18"/>
                <w:szCs w:val="18"/>
              </w:rPr>
              <w:t>Mjera 2. Jačanje svijesti, informiranja i edukacije o gospodarenju otpadom</w:t>
            </w:r>
            <w:r w:rsidR="007A0053">
              <w:rPr>
                <w:rFonts w:eastAsia="Calibri" w:cstheme="minorHAnsi"/>
                <w:sz w:val="18"/>
                <w:szCs w:val="18"/>
              </w:rPr>
              <w:t xml:space="preserve"> i proizvodima</w:t>
            </w:r>
          </w:p>
          <w:p w14:paraId="77CE4AFE" w14:textId="77777777" w:rsidR="007C3BF8" w:rsidRPr="007C3BF8" w:rsidRDefault="007C3BF8">
            <w:pPr>
              <w:ind w:left="85"/>
              <w:rPr>
                <w:rFonts w:eastAsiaTheme="minorEastAsia" w:cstheme="minorHAnsi"/>
                <w:color w:val="000000"/>
                <w:sz w:val="18"/>
                <w:szCs w:val="18"/>
              </w:rPr>
            </w:pPr>
          </w:p>
          <w:p w14:paraId="401FE60A" w14:textId="043B2B0A" w:rsidR="007C3BF8" w:rsidRPr="007C3BF8" w:rsidRDefault="007C3BF8">
            <w:pPr>
              <w:rPr>
                <w:rFonts w:eastAsiaTheme="minorEastAsia" w:cstheme="minorHAnsi"/>
                <w:color w:val="000000"/>
                <w:sz w:val="18"/>
                <w:szCs w:val="18"/>
              </w:rPr>
            </w:pPr>
            <w:r w:rsidRPr="007C3BF8">
              <w:rPr>
                <w:rFonts w:eastAsiaTheme="minorEastAsia" w:cstheme="minorHAnsi"/>
                <w:color w:val="000000"/>
                <w:sz w:val="18"/>
                <w:szCs w:val="18"/>
              </w:rPr>
              <w:t xml:space="preserve">Mjera 6. Analiza </w:t>
            </w:r>
            <w:r w:rsidR="008B146A">
              <w:rPr>
                <w:rFonts w:eastAsiaTheme="minorEastAsia" w:cstheme="minorHAnsi"/>
                <w:color w:val="000000"/>
                <w:sz w:val="18"/>
                <w:szCs w:val="18"/>
              </w:rPr>
              <w:t xml:space="preserve">učinkovitosti </w:t>
            </w:r>
            <w:r w:rsidRPr="007C3BF8">
              <w:rPr>
                <w:rFonts w:eastAsiaTheme="minorEastAsia" w:cstheme="minorHAnsi"/>
                <w:color w:val="000000"/>
                <w:sz w:val="18"/>
                <w:szCs w:val="18"/>
              </w:rPr>
              <w:t xml:space="preserve">sustava za gospodarenje </w:t>
            </w:r>
            <w:r w:rsidRPr="007C3BF8">
              <w:rPr>
                <w:rFonts w:eastAsiaTheme="minorEastAsia" w:cstheme="minorHAnsi"/>
                <w:color w:val="000000"/>
                <w:sz w:val="18"/>
                <w:szCs w:val="18"/>
              </w:rPr>
              <w:lastRenderedPageBreak/>
              <w:t>posebnim kategorijama otpada</w:t>
            </w:r>
            <w:r w:rsidR="007A0053">
              <w:rPr>
                <w:rFonts w:eastAsiaTheme="minorEastAsia" w:cstheme="minorHAnsi"/>
                <w:color w:val="000000"/>
                <w:sz w:val="18"/>
                <w:szCs w:val="18"/>
              </w:rPr>
              <w:t xml:space="preserve"> s prijedlozima za </w:t>
            </w:r>
            <w:proofErr w:type="spellStart"/>
            <w:r w:rsidR="007A0053">
              <w:rPr>
                <w:rFonts w:eastAsiaTheme="minorEastAsia" w:cstheme="minorHAnsi"/>
                <w:color w:val="000000"/>
                <w:sz w:val="18"/>
                <w:szCs w:val="18"/>
              </w:rPr>
              <w:t>unaprijeđenje</w:t>
            </w:r>
            <w:proofErr w:type="spellEnd"/>
          </w:p>
          <w:p w14:paraId="22C8D98A" w14:textId="77777777" w:rsidR="007C3BF8" w:rsidRPr="007C3BF8" w:rsidRDefault="007C3BF8">
            <w:pPr>
              <w:rPr>
                <w:rFonts w:eastAsiaTheme="minorEastAsia" w:cstheme="minorHAnsi"/>
                <w:color w:val="000000"/>
                <w:sz w:val="18"/>
                <w:szCs w:val="18"/>
              </w:rPr>
            </w:pPr>
          </w:p>
          <w:p w14:paraId="0E4E36B0" w14:textId="17136D88" w:rsidR="007C3BF8" w:rsidRPr="007C3BF8" w:rsidRDefault="007C3BF8">
            <w:pPr>
              <w:rPr>
                <w:rFonts w:eastAsia="Calibri" w:cstheme="minorHAnsi"/>
                <w:sz w:val="18"/>
                <w:szCs w:val="18"/>
              </w:rPr>
            </w:pPr>
            <w:r w:rsidRPr="007C3BF8">
              <w:rPr>
                <w:rFonts w:eastAsia="Calibri" w:cstheme="minorHAnsi"/>
                <w:sz w:val="18"/>
                <w:szCs w:val="18"/>
              </w:rPr>
              <w:t xml:space="preserve">Mjera 7. </w:t>
            </w:r>
            <w:r w:rsidR="000A2891" w:rsidRPr="000A2891">
              <w:rPr>
                <w:rFonts w:eastAsia="Calibri" w:cstheme="minorHAnsi"/>
                <w:sz w:val="18"/>
                <w:szCs w:val="18"/>
              </w:rPr>
              <w:t>Unaprjeđenje sustava za gospodarenje otpadnom ambalažom i uspostava sustava za gospodarenje otpadnim plastičnim proizvodima za jednokratnu uporabu i ribolovnim alatima koji sadrže plastiku.</w:t>
            </w:r>
          </w:p>
        </w:tc>
        <w:tc>
          <w:tcPr>
            <w:tcW w:w="633" w:type="pct"/>
            <w:tcBorders>
              <w:top w:val="single" w:sz="4" w:space="0" w:color="auto"/>
              <w:left w:val="single" w:sz="4" w:space="0" w:color="auto"/>
              <w:bottom w:val="single" w:sz="4" w:space="0" w:color="auto"/>
              <w:right w:val="single" w:sz="4" w:space="0" w:color="auto"/>
            </w:tcBorders>
            <w:vAlign w:val="center"/>
          </w:tcPr>
          <w:p w14:paraId="6994B036" w14:textId="0C042F18" w:rsidR="007C3BF8" w:rsidRPr="007C3BF8" w:rsidRDefault="007C3BF8">
            <w:pPr>
              <w:rPr>
                <w:rFonts w:eastAsia="Calibri" w:cstheme="minorHAnsi"/>
                <w:sz w:val="18"/>
                <w:szCs w:val="18"/>
              </w:rPr>
            </w:pPr>
            <w:r w:rsidRPr="007C3BF8">
              <w:rPr>
                <w:rFonts w:eastAsiaTheme="minorEastAsia" w:cstheme="minorHAnsi"/>
                <w:sz w:val="18"/>
                <w:szCs w:val="18"/>
              </w:rPr>
              <w:lastRenderedPageBreak/>
              <w:t xml:space="preserve">Aktivnosti iz PSNO: </w:t>
            </w:r>
            <w:r w:rsidR="00192B3B">
              <w:rPr>
                <w:rFonts w:eastAsiaTheme="minorEastAsia" w:cstheme="minorHAnsi"/>
                <w:sz w:val="18"/>
                <w:szCs w:val="18"/>
              </w:rPr>
              <w:t xml:space="preserve">PSNO </w:t>
            </w:r>
            <w:r w:rsidRPr="007C3BF8">
              <w:rPr>
                <w:rFonts w:eastAsia="Calibri" w:cstheme="minorHAnsi"/>
                <w:sz w:val="18"/>
                <w:szCs w:val="18"/>
              </w:rPr>
              <w:t>A 5.1. -</w:t>
            </w:r>
            <w:r w:rsidR="00192B3B">
              <w:rPr>
                <w:rFonts w:eastAsia="Calibri" w:cstheme="minorHAnsi"/>
                <w:sz w:val="18"/>
                <w:szCs w:val="18"/>
              </w:rPr>
              <w:t xml:space="preserve">PSNO </w:t>
            </w:r>
            <w:r w:rsidRPr="007C3BF8">
              <w:rPr>
                <w:rFonts w:eastAsia="Calibri" w:cstheme="minorHAnsi"/>
                <w:sz w:val="18"/>
                <w:szCs w:val="18"/>
              </w:rPr>
              <w:t xml:space="preserve">A 5.4.; </w:t>
            </w:r>
            <w:r w:rsidR="00192B3B">
              <w:rPr>
                <w:rFonts w:eastAsia="Calibri" w:cstheme="minorHAnsi"/>
                <w:sz w:val="18"/>
                <w:szCs w:val="18"/>
              </w:rPr>
              <w:t xml:space="preserve">PSNO </w:t>
            </w:r>
            <w:r w:rsidR="006061BC" w:rsidRPr="006061BC">
              <w:rPr>
                <w:rFonts w:eastAsia="Calibri" w:cstheme="minorHAnsi"/>
                <w:sz w:val="18"/>
                <w:szCs w:val="18"/>
              </w:rPr>
              <w:t xml:space="preserve">A 6.1., </w:t>
            </w:r>
            <w:r w:rsidR="00192B3B">
              <w:rPr>
                <w:rFonts w:eastAsia="Calibri" w:cstheme="minorHAnsi"/>
                <w:sz w:val="18"/>
                <w:szCs w:val="18"/>
              </w:rPr>
              <w:t xml:space="preserve">PSNO </w:t>
            </w:r>
            <w:r w:rsidR="006061BC" w:rsidRPr="006061BC">
              <w:rPr>
                <w:rFonts w:eastAsia="Calibri" w:cstheme="minorHAnsi"/>
                <w:sz w:val="18"/>
                <w:szCs w:val="18"/>
              </w:rPr>
              <w:t xml:space="preserve">A 6.2., </w:t>
            </w:r>
            <w:r w:rsidR="00192B3B">
              <w:rPr>
                <w:rFonts w:eastAsia="Calibri" w:cstheme="minorHAnsi"/>
                <w:sz w:val="18"/>
                <w:szCs w:val="18"/>
              </w:rPr>
              <w:t xml:space="preserve">PSNO </w:t>
            </w:r>
            <w:r w:rsidR="006061BC" w:rsidRPr="006061BC">
              <w:rPr>
                <w:rFonts w:eastAsia="Calibri" w:cstheme="minorHAnsi"/>
                <w:sz w:val="18"/>
                <w:szCs w:val="18"/>
              </w:rPr>
              <w:t xml:space="preserve">A 6.4. – 6.6.; </w:t>
            </w:r>
            <w:r w:rsidR="00192B3B">
              <w:rPr>
                <w:rFonts w:eastAsia="Calibri" w:cstheme="minorHAnsi"/>
                <w:sz w:val="18"/>
                <w:szCs w:val="18"/>
              </w:rPr>
              <w:t>PSNO</w:t>
            </w:r>
            <w:r w:rsidRPr="007C3BF8">
              <w:rPr>
                <w:rFonts w:eastAsia="Calibri" w:cstheme="minorHAnsi"/>
                <w:sz w:val="18"/>
                <w:szCs w:val="18"/>
              </w:rPr>
              <w:t>A 7.1</w:t>
            </w:r>
            <w:r w:rsidR="00C77206">
              <w:rPr>
                <w:rFonts w:eastAsia="Calibri" w:cstheme="minorHAnsi"/>
                <w:sz w:val="18"/>
                <w:szCs w:val="18"/>
              </w:rPr>
              <w:t>.</w:t>
            </w:r>
            <w:r w:rsidRPr="007C3BF8">
              <w:rPr>
                <w:rFonts w:eastAsia="Calibri" w:cstheme="minorHAnsi"/>
                <w:sz w:val="18"/>
                <w:szCs w:val="18"/>
              </w:rPr>
              <w:t xml:space="preserve">; </w:t>
            </w:r>
            <w:r w:rsidR="00192B3B">
              <w:rPr>
                <w:rFonts w:eastAsia="Calibri" w:cstheme="minorHAnsi"/>
                <w:sz w:val="18"/>
                <w:szCs w:val="18"/>
              </w:rPr>
              <w:t xml:space="preserve">PSNO </w:t>
            </w:r>
            <w:r w:rsidRPr="007C3BF8">
              <w:rPr>
                <w:rFonts w:eastAsia="Calibri" w:cstheme="minorHAnsi"/>
                <w:sz w:val="18"/>
                <w:szCs w:val="18"/>
              </w:rPr>
              <w:t xml:space="preserve">A 8.1. – </w:t>
            </w:r>
            <w:r w:rsidR="00192B3B">
              <w:rPr>
                <w:rFonts w:eastAsia="Calibri" w:cstheme="minorHAnsi"/>
                <w:sz w:val="18"/>
                <w:szCs w:val="18"/>
              </w:rPr>
              <w:t xml:space="preserve">PSNO </w:t>
            </w:r>
            <w:r w:rsidRPr="007C3BF8">
              <w:rPr>
                <w:rFonts w:eastAsia="Calibri" w:cstheme="minorHAnsi"/>
                <w:sz w:val="18"/>
                <w:szCs w:val="18"/>
              </w:rPr>
              <w:t xml:space="preserve">A 8.5., </w:t>
            </w:r>
            <w:r w:rsidR="00192B3B">
              <w:rPr>
                <w:rFonts w:eastAsia="Calibri" w:cstheme="minorHAnsi"/>
                <w:sz w:val="18"/>
                <w:szCs w:val="18"/>
              </w:rPr>
              <w:t xml:space="preserve">PSNO </w:t>
            </w:r>
            <w:r w:rsidRPr="007C3BF8">
              <w:rPr>
                <w:rFonts w:eastAsia="Calibri" w:cstheme="minorHAnsi"/>
                <w:sz w:val="18"/>
                <w:szCs w:val="18"/>
              </w:rPr>
              <w:t>A 9.1</w:t>
            </w:r>
          </w:p>
          <w:p w14:paraId="08390341" w14:textId="77777777" w:rsidR="007C3BF8" w:rsidRPr="007C3BF8" w:rsidRDefault="007C3BF8">
            <w:pPr>
              <w:rPr>
                <w:rFonts w:eastAsiaTheme="minorEastAsia" w:cstheme="minorHAnsi"/>
                <w:sz w:val="18"/>
                <w:szCs w:val="18"/>
              </w:rPr>
            </w:pPr>
          </w:p>
          <w:p w14:paraId="0E3E7CDA" w14:textId="77777777" w:rsidR="007C3BF8" w:rsidRPr="007C3BF8" w:rsidRDefault="007C3BF8">
            <w:pPr>
              <w:ind w:left="-23"/>
              <w:rPr>
                <w:rFonts w:eastAsiaTheme="minorEastAsia" w:cstheme="minorHAnsi"/>
                <w:sz w:val="18"/>
                <w:szCs w:val="18"/>
              </w:rPr>
            </w:pPr>
          </w:p>
          <w:p w14:paraId="0E487F6E" w14:textId="77777777" w:rsidR="007C3BF8" w:rsidRPr="007C3BF8" w:rsidRDefault="007C3BF8">
            <w:pPr>
              <w:rPr>
                <w:rFonts w:eastAsiaTheme="minorEastAsia" w:cstheme="minorHAnsi"/>
                <w:sz w:val="18"/>
                <w:szCs w:val="18"/>
              </w:rPr>
            </w:pPr>
            <w:r w:rsidRPr="007C3BF8">
              <w:rPr>
                <w:rFonts w:eastAsiaTheme="minorEastAsia" w:cstheme="minorHAnsi"/>
                <w:sz w:val="18"/>
                <w:szCs w:val="18"/>
              </w:rPr>
              <w:t>A 2.1. – A2.3; A 6..3.; A 7.3.</w:t>
            </w:r>
          </w:p>
          <w:p w14:paraId="0E4D5656" w14:textId="77777777" w:rsidR="007C3BF8" w:rsidRPr="007C3BF8" w:rsidRDefault="007C3BF8">
            <w:pPr>
              <w:ind w:left="-23"/>
              <w:rPr>
                <w:rFonts w:eastAsiaTheme="minorEastAsia" w:cstheme="minorHAnsi"/>
                <w:sz w:val="18"/>
                <w:szCs w:val="18"/>
              </w:rPr>
            </w:pPr>
          </w:p>
          <w:p w14:paraId="47F5DDA2" w14:textId="77777777" w:rsidR="007C3BF8" w:rsidRPr="007C3BF8" w:rsidRDefault="007C3BF8">
            <w:pPr>
              <w:rPr>
                <w:rFonts w:eastAsia="Calibri" w:cstheme="minorHAnsi"/>
                <w:sz w:val="18"/>
                <w:szCs w:val="18"/>
              </w:rPr>
            </w:pPr>
          </w:p>
        </w:tc>
        <w:tc>
          <w:tcPr>
            <w:tcW w:w="1249" w:type="pct"/>
            <w:tcBorders>
              <w:top w:val="single" w:sz="4" w:space="0" w:color="auto"/>
              <w:left w:val="single" w:sz="4" w:space="0" w:color="auto"/>
              <w:bottom w:val="single" w:sz="4" w:space="0" w:color="auto"/>
              <w:right w:val="single" w:sz="4" w:space="0" w:color="auto"/>
            </w:tcBorders>
            <w:vAlign w:val="center"/>
          </w:tcPr>
          <w:p w14:paraId="63E7A254" w14:textId="4220DF39" w:rsidR="007C3BF8" w:rsidRPr="007C3BF8" w:rsidRDefault="007C3BF8">
            <w:pPr>
              <w:rPr>
                <w:rFonts w:eastAsiaTheme="minorEastAsia" w:cstheme="minorHAnsi"/>
                <w:sz w:val="18"/>
                <w:szCs w:val="18"/>
              </w:rPr>
            </w:pPr>
            <w:r w:rsidRPr="007C3BF8">
              <w:rPr>
                <w:rFonts w:eastAsiaTheme="minorEastAsia" w:cstheme="minorHAnsi"/>
                <w:sz w:val="18"/>
                <w:szCs w:val="18"/>
              </w:rPr>
              <w:t>Poduzeti odgovarajuće mjere kako bi potakle dizajn proizvoda i sastavnih dijelova proizvoda koji umanjuju učinak proizvoda na okoliš i nastanak otpada u tijeku proizvodnje i daljnje uporabe proizvoda te kako bi osigurale da se oporaba i zbrinjavanje proizvoda koji su postali otpad provode u skladu s člancima 4. i 13. Direktive 2008/98/EZ.</w:t>
            </w:r>
          </w:p>
          <w:p w14:paraId="484B6B53" w14:textId="77777777" w:rsidR="007C3BF8" w:rsidRPr="007C3BF8" w:rsidRDefault="007C3BF8">
            <w:pPr>
              <w:rPr>
                <w:rFonts w:eastAsia="Calibri" w:cstheme="minorHAnsi"/>
                <w:sz w:val="18"/>
                <w:szCs w:val="18"/>
              </w:rPr>
            </w:pPr>
          </w:p>
          <w:p w14:paraId="10611DD5" w14:textId="77777777" w:rsidR="007C3BF8" w:rsidRPr="007C3BF8" w:rsidRDefault="007C3BF8">
            <w:pPr>
              <w:rPr>
                <w:rFonts w:eastAsia="Calibri" w:cstheme="minorHAnsi"/>
                <w:sz w:val="18"/>
                <w:szCs w:val="18"/>
              </w:rPr>
            </w:pPr>
            <w:r w:rsidRPr="007C3BF8">
              <w:rPr>
                <w:rFonts w:eastAsia="Calibri" w:cstheme="minorHAnsi"/>
                <w:sz w:val="18"/>
                <w:szCs w:val="18"/>
              </w:rPr>
              <w:t xml:space="preserve">Države članice poduzimaju mjere potrebne za postizanje ambicioznog i trajnog smanjenja potrošnje plastičnih proizvoda za jednokratnu uporabu navedenih u dijelu A Priloga Direktive (EU) 2019/904, u skladu s općim ciljevima politike Unije o otpadu, a posebno sprečavanjem nastanka otpada, kako bi se ostvario znatan preokret trendova rasta potrošnje. Tim se mjerama na državnom području države članice do 2026. u usporedbi s 2022. postiže mjerljivo kvantitativno smanjenje potrošnje plastičnih proizvoda za jednokratnu </w:t>
            </w:r>
            <w:r w:rsidRPr="007C3BF8">
              <w:rPr>
                <w:rFonts w:eastAsia="Calibri" w:cstheme="minorHAnsi"/>
                <w:sz w:val="18"/>
                <w:szCs w:val="18"/>
              </w:rPr>
              <w:lastRenderedPageBreak/>
              <w:t>uporabu navedenih u dijelu A Priloga</w:t>
            </w:r>
            <w:r w:rsidRPr="007C3BF8">
              <w:rPr>
                <w:rFonts w:cstheme="minorHAnsi"/>
                <w:sz w:val="18"/>
                <w:szCs w:val="18"/>
              </w:rPr>
              <w:t xml:space="preserve"> </w:t>
            </w:r>
            <w:r w:rsidRPr="007C3BF8">
              <w:rPr>
                <w:rFonts w:eastAsia="Calibri" w:cstheme="minorHAnsi"/>
                <w:sz w:val="18"/>
                <w:szCs w:val="18"/>
              </w:rPr>
              <w:t>Direktive (EU) 2019/904.</w:t>
            </w:r>
          </w:p>
        </w:tc>
        <w:tc>
          <w:tcPr>
            <w:tcW w:w="1312" w:type="pct"/>
            <w:tcBorders>
              <w:top w:val="single" w:sz="4" w:space="0" w:color="auto"/>
              <w:left w:val="single" w:sz="4" w:space="0" w:color="auto"/>
              <w:bottom w:val="single" w:sz="4" w:space="0" w:color="auto"/>
              <w:right w:val="single" w:sz="4" w:space="0" w:color="auto"/>
            </w:tcBorders>
            <w:vAlign w:val="center"/>
          </w:tcPr>
          <w:p w14:paraId="78C21D36" w14:textId="77777777" w:rsidR="007C3BF8" w:rsidRPr="007C3BF8" w:rsidRDefault="007C3BF8">
            <w:pPr>
              <w:rPr>
                <w:rFonts w:eastAsia="Calibri" w:cstheme="minorHAnsi"/>
                <w:sz w:val="18"/>
                <w:szCs w:val="18"/>
              </w:rPr>
            </w:pPr>
            <w:r w:rsidRPr="007C3BF8">
              <w:rPr>
                <w:rFonts w:eastAsia="Calibri" w:cstheme="minorHAnsi"/>
                <w:sz w:val="18"/>
                <w:szCs w:val="18"/>
              </w:rPr>
              <w:lastRenderedPageBreak/>
              <w:t xml:space="preserve">Akcijski plan za kružno gospodarstvo - Za čišću i konkurentniju Europu (Bruxelles, 11.3.2020., COM(2020) 98 </w:t>
            </w:r>
            <w:proofErr w:type="spellStart"/>
            <w:r w:rsidRPr="007C3BF8">
              <w:rPr>
                <w:rFonts w:eastAsia="Calibri" w:cstheme="minorHAnsi"/>
                <w:sz w:val="18"/>
                <w:szCs w:val="18"/>
              </w:rPr>
              <w:t>final</w:t>
            </w:r>
            <w:proofErr w:type="spellEnd"/>
            <w:r w:rsidRPr="007C3BF8">
              <w:rPr>
                <w:rFonts w:eastAsia="Calibri" w:cstheme="minorHAnsi"/>
                <w:sz w:val="18"/>
                <w:szCs w:val="18"/>
              </w:rPr>
              <w:t>)</w:t>
            </w:r>
          </w:p>
          <w:p w14:paraId="49E7A098" w14:textId="77777777" w:rsidR="007C3BF8" w:rsidRPr="007C3BF8" w:rsidRDefault="007C3BF8">
            <w:pPr>
              <w:rPr>
                <w:rFonts w:eastAsia="Calibri" w:cstheme="minorHAnsi"/>
                <w:sz w:val="18"/>
                <w:szCs w:val="18"/>
              </w:rPr>
            </w:pPr>
          </w:p>
          <w:p w14:paraId="18887F19" w14:textId="02206D3F" w:rsidR="007C3BF8" w:rsidRPr="007C3BF8" w:rsidRDefault="007C3BF8">
            <w:pPr>
              <w:rPr>
                <w:rFonts w:eastAsiaTheme="minorEastAsia"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p w14:paraId="47809209" w14:textId="77777777" w:rsidR="007C3BF8" w:rsidRPr="007C3BF8" w:rsidRDefault="007C3BF8">
            <w:pPr>
              <w:ind w:left="53"/>
              <w:rPr>
                <w:rFonts w:eastAsiaTheme="minorEastAsia" w:cstheme="minorHAnsi"/>
                <w:sz w:val="18"/>
                <w:szCs w:val="18"/>
              </w:rPr>
            </w:pPr>
          </w:p>
          <w:p w14:paraId="2A6F46B3" w14:textId="77777777" w:rsidR="007C3BF8" w:rsidRPr="007C3BF8" w:rsidRDefault="007C3BF8" w:rsidP="007C3BF8">
            <w:pPr>
              <w:rPr>
                <w:rFonts w:eastAsiaTheme="minorEastAsia" w:cstheme="minorHAnsi"/>
                <w:sz w:val="18"/>
                <w:szCs w:val="18"/>
              </w:rPr>
            </w:pPr>
            <w:r w:rsidRPr="007C3BF8">
              <w:rPr>
                <w:rFonts w:eastAsiaTheme="minorEastAsia" w:cstheme="minorHAnsi"/>
                <w:sz w:val="18"/>
                <w:szCs w:val="18"/>
              </w:rPr>
              <w:t>Direktiva (EU) 2019/904 Europskog parlamenta i Vijeća od 5. lipnja 2019. o smanjenju utjecaja određenih plastičnih proizvoda na okoliš (SL L 155, 12. 6. 2019.)</w:t>
            </w:r>
          </w:p>
        </w:tc>
      </w:tr>
      <w:tr w:rsidR="008B146A" w:rsidRPr="007C3BF8" w14:paraId="27D51496" w14:textId="77777777" w:rsidTr="009008E5">
        <w:trPr>
          <w:trHeight w:val="20"/>
        </w:trPr>
        <w:tc>
          <w:tcPr>
            <w:tcW w:w="1064" w:type="pct"/>
            <w:tcBorders>
              <w:top w:val="single" w:sz="4" w:space="0" w:color="auto"/>
              <w:left w:val="single" w:sz="4" w:space="0" w:color="auto"/>
              <w:bottom w:val="single" w:sz="4" w:space="0" w:color="auto"/>
              <w:right w:val="single" w:sz="4" w:space="0" w:color="auto"/>
            </w:tcBorders>
            <w:vAlign w:val="center"/>
            <w:hideMark/>
          </w:tcPr>
          <w:p w14:paraId="0E6225DE" w14:textId="77777777" w:rsidR="007C3BF8" w:rsidRPr="007C3BF8" w:rsidRDefault="007C3BF8">
            <w:pPr>
              <w:rPr>
                <w:rFonts w:eastAsia="Calibri" w:cstheme="minorHAnsi"/>
                <w:sz w:val="18"/>
                <w:szCs w:val="18"/>
              </w:rPr>
            </w:pPr>
            <w:r w:rsidRPr="007C3BF8">
              <w:rPr>
                <w:rFonts w:eastAsia="Calibri" w:cstheme="minorHAnsi"/>
                <w:sz w:val="18"/>
                <w:szCs w:val="18"/>
              </w:rPr>
              <w:t>Postići minimalnu godišnju stopu sakupljanja ribolovnog alata koji sadrži plastiku i koji je namijenjen recikliranju</w:t>
            </w:r>
            <w:r w:rsidRPr="007C3BF8">
              <w:rPr>
                <w:rFonts w:cstheme="minorHAnsi"/>
                <w:sz w:val="18"/>
                <w:szCs w:val="18"/>
                <w:vertAlign w:val="superscript"/>
              </w:rPr>
              <w:footnoteReference w:id="35"/>
            </w:r>
          </w:p>
        </w:tc>
        <w:tc>
          <w:tcPr>
            <w:tcW w:w="742" w:type="pct"/>
            <w:tcBorders>
              <w:top w:val="single" w:sz="4" w:space="0" w:color="auto"/>
              <w:left w:val="single" w:sz="4" w:space="0" w:color="auto"/>
              <w:bottom w:val="single" w:sz="4" w:space="0" w:color="auto"/>
              <w:right w:val="single" w:sz="4" w:space="0" w:color="auto"/>
            </w:tcBorders>
            <w:vAlign w:val="center"/>
          </w:tcPr>
          <w:p w14:paraId="1ECCE090" w14:textId="7402B8D8" w:rsidR="005C164B" w:rsidRDefault="007A0053" w:rsidP="006A3B25">
            <w:pPr>
              <w:rPr>
                <w:rFonts w:eastAsiaTheme="minorEastAsia" w:cstheme="minorHAnsi"/>
                <w:sz w:val="18"/>
                <w:szCs w:val="18"/>
              </w:rPr>
            </w:pPr>
            <w:r w:rsidRPr="007A0053">
              <w:rPr>
                <w:rFonts w:eastAsiaTheme="minorEastAsia" w:cstheme="minorHAnsi"/>
                <w:sz w:val="18"/>
                <w:szCs w:val="18"/>
              </w:rPr>
              <w:t>Mjere i aktivnosti definirane Programom sprječavanja nastanka otpada RH</w:t>
            </w:r>
          </w:p>
          <w:p w14:paraId="08A50744" w14:textId="77777777" w:rsidR="005C164B" w:rsidRDefault="005C164B" w:rsidP="006A3B25">
            <w:pPr>
              <w:rPr>
                <w:rFonts w:eastAsiaTheme="minorEastAsia" w:cstheme="minorHAnsi"/>
                <w:sz w:val="18"/>
                <w:szCs w:val="18"/>
              </w:rPr>
            </w:pPr>
          </w:p>
          <w:p w14:paraId="0C2FEA05" w14:textId="77777777" w:rsidR="006A3B25" w:rsidRDefault="006A3B25">
            <w:pPr>
              <w:rPr>
                <w:rFonts w:eastAsia="Calibri" w:cstheme="minorHAnsi"/>
                <w:sz w:val="18"/>
                <w:szCs w:val="18"/>
              </w:rPr>
            </w:pPr>
          </w:p>
          <w:p w14:paraId="66536719" w14:textId="20ECD200" w:rsidR="007C3BF8" w:rsidRPr="007C3BF8" w:rsidRDefault="007C3BF8">
            <w:pPr>
              <w:rPr>
                <w:rFonts w:eastAsia="Calibri" w:cstheme="minorHAnsi"/>
                <w:sz w:val="18"/>
                <w:szCs w:val="18"/>
              </w:rPr>
            </w:pPr>
            <w:r w:rsidRPr="007C3BF8">
              <w:rPr>
                <w:rFonts w:eastAsia="Calibri" w:cstheme="minorHAnsi"/>
                <w:sz w:val="18"/>
                <w:szCs w:val="18"/>
              </w:rPr>
              <w:t>Mjera 2. Jačanje svijesti, informiranja i edukacije o gospodarenju otpadom</w:t>
            </w:r>
            <w:r w:rsidR="007A0053">
              <w:rPr>
                <w:rFonts w:eastAsia="Calibri" w:cstheme="minorHAnsi"/>
                <w:sz w:val="18"/>
                <w:szCs w:val="18"/>
              </w:rPr>
              <w:t xml:space="preserve"> i proizvodima</w:t>
            </w:r>
          </w:p>
          <w:p w14:paraId="28A725CA" w14:textId="77777777" w:rsidR="007C3BF8" w:rsidRPr="007C3BF8" w:rsidRDefault="007C3BF8">
            <w:pPr>
              <w:rPr>
                <w:rFonts w:eastAsia="Calibri" w:cstheme="minorHAnsi"/>
                <w:sz w:val="18"/>
                <w:szCs w:val="18"/>
              </w:rPr>
            </w:pPr>
          </w:p>
          <w:p w14:paraId="2F618BF4" w14:textId="457C4397" w:rsidR="007C3BF8" w:rsidRPr="007C3BF8" w:rsidRDefault="007C3BF8">
            <w:pPr>
              <w:rPr>
                <w:rFonts w:eastAsiaTheme="minorEastAsia" w:cstheme="minorHAnsi"/>
                <w:color w:val="000000"/>
                <w:sz w:val="18"/>
                <w:szCs w:val="18"/>
              </w:rPr>
            </w:pPr>
            <w:r w:rsidRPr="007C3BF8">
              <w:rPr>
                <w:rFonts w:eastAsiaTheme="minorEastAsia" w:cstheme="minorHAnsi"/>
                <w:color w:val="000000"/>
                <w:sz w:val="18"/>
                <w:szCs w:val="18"/>
              </w:rPr>
              <w:t xml:space="preserve">Mjera 6. Analiza </w:t>
            </w:r>
            <w:r w:rsidR="008B146A">
              <w:rPr>
                <w:rFonts w:eastAsiaTheme="minorEastAsia" w:cstheme="minorHAnsi"/>
                <w:color w:val="000000"/>
                <w:sz w:val="18"/>
                <w:szCs w:val="18"/>
              </w:rPr>
              <w:t xml:space="preserve">učinkovitosti </w:t>
            </w:r>
            <w:r w:rsidRPr="007C3BF8">
              <w:rPr>
                <w:rFonts w:eastAsiaTheme="minorEastAsia" w:cstheme="minorHAnsi"/>
                <w:color w:val="000000"/>
                <w:sz w:val="18"/>
                <w:szCs w:val="18"/>
              </w:rPr>
              <w:t>sustava za gospodarenje posebnim kategorijama otpada</w:t>
            </w:r>
            <w:r w:rsidR="007A0053">
              <w:rPr>
                <w:rFonts w:eastAsiaTheme="minorEastAsia" w:cstheme="minorHAnsi"/>
                <w:color w:val="000000"/>
                <w:sz w:val="18"/>
                <w:szCs w:val="18"/>
              </w:rPr>
              <w:t xml:space="preserve"> s prijedlozima za </w:t>
            </w:r>
            <w:proofErr w:type="spellStart"/>
            <w:r w:rsidR="007A0053">
              <w:rPr>
                <w:rFonts w:eastAsiaTheme="minorEastAsia" w:cstheme="minorHAnsi"/>
                <w:color w:val="000000"/>
                <w:sz w:val="18"/>
                <w:szCs w:val="18"/>
              </w:rPr>
              <w:t>unaprijeđenje</w:t>
            </w:r>
            <w:proofErr w:type="spellEnd"/>
          </w:p>
          <w:p w14:paraId="4C42D3C0" w14:textId="77777777" w:rsidR="007C3BF8" w:rsidRPr="007C3BF8" w:rsidRDefault="007C3BF8">
            <w:pPr>
              <w:rPr>
                <w:rFonts w:eastAsiaTheme="minorEastAsia" w:cstheme="minorHAnsi"/>
                <w:color w:val="000000"/>
                <w:sz w:val="18"/>
                <w:szCs w:val="18"/>
              </w:rPr>
            </w:pPr>
          </w:p>
          <w:p w14:paraId="3AC24ADC" w14:textId="5F5DBE71" w:rsidR="007C3BF8" w:rsidRPr="007C3BF8" w:rsidRDefault="007C3BF8">
            <w:pPr>
              <w:rPr>
                <w:rFonts w:eastAsia="Calibri" w:cstheme="minorHAnsi"/>
                <w:sz w:val="18"/>
                <w:szCs w:val="18"/>
              </w:rPr>
            </w:pPr>
            <w:r w:rsidRPr="007C3BF8">
              <w:rPr>
                <w:rFonts w:eastAsia="Calibri" w:cstheme="minorHAnsi"/>
                <w:sz w:val="18"/>
                <w:szCs w:val="18"/>
              </w:rPr>
              <w:t xml:space="preserve">Mjera 7. </w:t>
            </w:r>
            <w:r w:rsidR="000A2891" w:rsidRPr="000A2891">
              <w:rPr>
                <w:rFonts w:eastAsia="Calibri" w:cstheme="minorHAnsi"/>
                <w:sz w:val="18"/>
                <w:szCs w:val="18"/>
              </w:rPr>
              <w:t xml:space="preserve">Unaprjeđenje sustava za gospodarenje otpadnom ambalažom i uspostava sustava za </w:t>
            </w:r>
            <w:r w:rsidR="000A2891" w:rsidRPr="000A2891">
              <w:rPr>
                <w:rFonts w:eastAsia="Calibri" w:cstheme="minorHAnsi"/>
                <w:sz w:val="18"/>
                <w:szCs w:val="18"/>
              </w:rPr>
              <w:lastRenderedPageBreak/>
              <w:t>gospodarenje otpadnim plastičnim proizvodima za jednokratnu uporabu i ribolovnim alatima koji sadrže plastiku.</w:t>
            </w:r>
          </w:p>
        </w:tc>
        <w:tc>
          <w:tcPr>
            <w:tcW w:w="633" w:type="pct"/>
            <w:tcBorders>
              <w:top w:val="single" w:sz="4" w:space="0" w:color="auto"/>
              <w:left w:val="single" w:sz="4" w:space="0" w:color="auto"/>
              <w:bottom w:val="single" w:sz="4" w:space="0" w:color="auto"/>
              <w:right w:val="single" w:sz="4" w:space="0" w:color="auto"/>
            </w:tcBorders>
            <w:vAlign w:val="center"/>
          </w:tcPr>
          <w:p w14:paraId="4ABEB928" w14:textId="1FB03F1E" w:rsidR="007C3BF8" w:rsidRPr="007C3BF8" w:rsidRDefault="007C3BF8">
            <w:pPr>
              <w:rPr>
                <w:rFonts w:eastAsia="Calibri" w:cstheme="minorHAnsi"/>
                <w:sz w:val="18"/>
                <w:szCs w:val="18"/>
              </w:rPr>
            </w:pPr>
            <w:r w:rsidRPr="007C3BF8">
              <w:rPr>
                <w:rFonts w:eastAsiaTheme="minorEastAsia" w:cstheme="minorHAnsi"/>
                <w:sz w:val="18"/>
                <w:szCs w:val="18"/>
              </w:rPr>
              <w:lastRenderedPageBreak/>
              <w:t xml:space="preserve">Aktivnosti iz PSNO: </w:t>
            </w:r>
            <w:r w:rsidR="00192B3B">
              <w:rPr>
                <w:rFonts w:eastAsiaTheme="minorEastAsia" w:cstheme="minorHAnsi"/>
                <w:sz w:val="18"/>
                <w:szCs w:val="18"/>
              </w:rPr>
              <w:t xml:space="preserve">PSNO </w:t>
            </w:r>
            <w:r w:rsidRPr="007C3BF8">
              <w:rPr>
                <w:rFonts w:eastAsia="Calibri" w:cstheme="minorHAnsi"/>
                <w:sz w:val="18"/>
                <w:szCs w:val="18"/>
              </w:rPr>
              <w:t>A 5.1. -</w:t>
            </w:r>
            <w:r w:rsidR="00192B3B">
              <w:rPr>
                <w:rFonts w:eastAsia="Calibri" w:cstheme="minorHAnsi"/>
                <w:sz w:val="18"/>
                <w:szCs w:val="18"/>
              </w:rPr>
              <w:t xml:space="preserve">PSNO </w:t>
            </w:r>
            <w:r w:rsidRPr="007C3BF8">
              <w:rPr>
                <w:rFonts w:eastAsia="Calibri" w:cstheme="minorHAnsi"/>
                <w:sz w:val="18"/>
                <w:szCs w:val="18"/>
              </w:rPr>
              <w:t>A 5.4.;</w:t>
            </w:r>
            <w:r w:rsidRPr="007C3BF8">
              <w:rPr>
                <w:rFonts w:cstheme="minorHAnsi"/>
                <w:sz w:val="18"/>
                <w:szCs w:val="18"/>
              </w:rPr>
              <w:t xml:space="preserve"> </w:t>
            </w:r>
            <w:r w:rsidR="00192B3B">
              <w:rPr>
                <w:rFonts w:cstheme="minorHAnsi"/>
                <w:sz w:val="18"/>
                <w:szCs w:val="18"/>
              </w:rPr>
              <w:t xml:space="preserve">PSNO </w:t>
            </w:r>
            <w:r w:rsidR="006061BC" w:rsidRPr="006061BC">
              <w:rPr>
                <w:rFonts w:eastAsia="Calibri" w:cstheme="minorHAnsi"/>
                <w:sz w:val="18"/>
                <w:szCs w:val="18"/>
              </w:rPr>
              <w:t xml:space="preserve">A 6.1., </w:t>
            </w:r>
            <w:r w:rsidR="00192B3B">
              <w:rPr>
                <w:rFonts w:eastAsia="Calibri" w:cstheme="minorHAnsi"/>
                <w:sz w:val="18"/>
                <w:szCs w:val="18"/>
              </w:rPr>
              <w:t xml:space="preserve">PSNO </w:t>
            </w:r>
            <w:r w:rsidR="006061BC" w:rsidRPr="006061BC">
              <w:rPr>
                <w:rFonts w:eastAsia="Calibri" w:cstheme="minorHAnsi"/>
                <w:sz w:val="18"/>
                <w:szCs w:val="18"/>
              </w:rPr>
              <w:t xml:space="preserve">A 6.2., </w:t>
            </w:r>
            <w:r w:rsidR="00192B3B">
              <w:rPr>
                <w:rFonts w:eastAsia="Calibri" w:cstheme="minorHAnsi"/>
                <w:sz w:val="18"/>
                <w:szCs w:val="18"/>
              </w:rPr>
              <w:t xml:space="preserve">PSNO </w:t>
            </w:r>
            <w:r w:rsidR="006061BC" w:rsidRPr="006061BC">
              <w:rPr>
                <w:rFonts w:eastAsia="Calibri" w:cstheme="minorHAnsi"/>
                <w:sz w:val="18"/>
                <w:szCs w:val="18"/>
              </w:rPr>
              <w:t xml:space="preserve">A 6.4. – 6.6.; </w:t>
            </w:r>
            <w:r w:rsidR="00192B3B">
              <w:rPr>
                <w:rFonts w:eastAsia="Calibri" w:cstheme="minorHAnsi"/>
                <w:sz w:val="18"/>
                <w:szCs w:val="18"/>
              </w:rPr>
              <w:t xml:space="preserve">PSNO </w:t>
            </w:r>
            <w:r w:rsidRPr="007C3BF8">
              <w:rPr>
                <w:rFonts w:eastAsia="Calibri" w:cstheme="minorHAnsi"/>
                <w:sz w:val="18"/>
                <w:szCs w:val="18"/>
              </w:rPr>
              <w:t xml:space="preserve">A 8.1. – </w:t>
            </w:r>
            <w:r w:rsidR="00192B3B">
              <w:rPr>
                <w:rFonts w:eastAsia="Calibri" w:cstheme="minorHAnsi"/>
                <w:sz w:val="18"/>
                <w:szCs w:val="18"/>
              </w:rPr>
              <w:t xml:space="preserve">PSNO </w:t>
            </w:r>
            <w:r w:rsidRPr="007C3BF8">
              <w:rPr>
                <w:rFonts w:eastAsia="Calibri" w:cstheme="minorHAnsi"/>
                <w:sz w:val="18"/>
                <w:szCs w:val="18"/>
              </w:rPr>
              <w:t xml:space="preserve">A 8.5., </w:t>
            </w:r>
            <w:r w:rsidR="00192B3B">
              <w:rPr>
                <w:rFonts w:eastAsia="Calibri" w:cstheme="minorHAnsi"/>
                <w:sz w:val="18"/>
                <w:szCs w:val="18"/>
              </w:rPr>
              <w:t xml:space="preserve">PSNO </w:t>
            </w:r>
            <w:r w:rsidRPr="007C3BF8">
              <w:rPr>
                <w:rFonts w:eastAsia="Calibri" w:cstheme="minorHAnsi"/>
                <w:sz w:val="18"/>
                <w:szCs w:val="18"/>
              </w:rPr>
              <w:t>A 9.1</w:t>
            </w:r>
          </w:p>
          <w:p w14:paraId="11D20834" w14:textId="77777777" w:rsidR="007C3BF8" w:rsidRPr="007C3BF8" w:rsidRDefault="007C3BF8">
            <w:pPr>
              <w:rPr>
                <w:rFonts w:eastAsiaTheme="minorEastAsia" w:cstheme="minorHAnsi"/>
                <w:sz w:val="18"/>
                <w:szCs w:val="18"/>
              </w:rPr>
            </w:pPr>
          </w:p>
          <w:p w14:paraId="4191701B" w14:textId="77777777" w:rsidR="007C3BF8" w:rsidRPr="007C3BF8" w:rsidRDefault="007C3BF8">
            <w:pPr>
              <w:ind w:left="-23"/>
              <w:rPr>
                <w:rFonts w:eastAsiaTheme="minorEastAsia" w:cstheme="minorHAnsi"/>
                <w:sz w:val="18"/>
                <w:szCs w:val="18"/>
              </w:rPr>
            </w:pPr>
          </w:p>
          <w:p w14:paraId="0386A503" w14:textId="15BC2096" w:rsidR="007C3BF8" w:rsidRPr="007C3BF8" w:rsidRDefault="007C3BF8">
            <w:pPr>
              <w:rPr>
                <w:rFonts w:eastAsiaTheme="minorEastAsia" w:cstheme="minorHAnsi"/>
                <w:sz w:val="18"/>
                <w:szCs w:val="18"/>
              </w:rPr>
            </w:pPr>
            <w:r w:rsidRPr="007C3BF8">
              <w:rPr>
                <w:rFonts w:eastAsiaTheme="minorEastAsia" w:cstheme="minorHAnsi"/>
                <w:sz w:val="18"/>
                <w:szCs w:val="18"/>
              </w:rPr>
              <w:t>A 2.1. – A2.3; A 6.4.; A 7.3.</w:t>
            </w:r>
          </w:p>
        </w:tc>
        <w:tc>
          <w:tcPr>
            <w:tcW w:w="1249" w:type="pct"/>
            <w:tcBorders>
              <w:top w:val="single" w:sz="4" w:space="0" w:color="auto"/>
              <w:left w:val="single" w:sz="4" w:space="0" w:color="auto"/>
              <w:bottom w:val="single" w:sz="4" w:space="0" w:color="auto"/>
              <w:right w:val="single" w:sz="4" w:space="0" w:color="auto"/>
            </w:tcBorders>
            <w:vAlign w:val="center"/>
          </w:tcPr>
          <w:p w14:paraId="5F751877" w14:textId="77777777" w:rsidR="007C3BF8" w:rsidRPr="007C3BF8" w:rsidRDefault="007C3BF8" w:rsidP="007C3BF8">
            <w:pPr>
              <w:rPr>
                <w:rFonts w:eastAsiaTheme="minorEastAsia" w:cstheme="minorHAnsi"/>
                <w:sz w:val="18"/>
                <w:szCs w:val="18"/>
              </w:rPr>
            </w:pPr>
            <w:r w:rsidRPr="007C3BF8">
              <w:rPr>
                <w:rFonts w:eastAsiaTheme="minorEastAsia" w:cstheme="minorHAnsi"/>
                <w:sz w:val="18"/>
                <w:szCs w:val="18"/>
              </w:rPr>
              <w:t>Poduzeti odgovarajuće mjere kako bi potakle dizajn proizvoda i sastavnih dijelova proizvoda koji umanjuju učinak proizvoda na okoliš i nastanak otpada u tijeku proizvodnje i daljnje uporabe proizvoda te kako bi osigurale da se oporaba i zbrinjavanje proizvoda koji su postali otpad provode u skladu s člancima 4. i 13. Direktive 2008/98/EZ.</w:t>
            </w:r>
          </w:p>
          <w:p w14:paraId="2A3865CC" w14:textId="77777777" w:rsidR="007C3BF8" w:rsidRPr="007C3BF8" w:rsidRDefault="007C3BF8">
            <w:pPr>
              <w:rPr>
                <w:rFonts w:eastAsia="Calibri" w:cstheme="minorHAnsi"/>
                <w:sz w:val="18"/>
                <w:szCs w:val="18"/>
              </w:rPr>
            </w:pPr>
          </w:p>
          <w:p w14:paraId="0DF6BBDE" w14:textId="77777777" w:rsidR="007C3BF8" w:rsidRPr="007C3BF8" w:rsidRDefault="007C3BF8">
            <w:pPr>
              <w:rPr>
                <w:rFonts w:eastAsia="Calibri" w:cstheme="minorHAnsi"/>
                <w:sz w:val="18"/>
                <w:szCs w:val="18"/>
              </w:rPr>
            </w:pPr>
            <w:r w:rsidRPr="007C3BF8">
              <w:rPr>
                <w:rFonts w:eastAsia="Calibri" w:cstheme="minorHAnsi"/>
                <w:sz w:val="18"/>
                <w:szCs w:val="18"/>
              </w:rPr>
              <w:t>Države članice koje imaju morske vode kako su definirane u članku 3. točki 1. Direktive 2008/56/EZ uspostavljaju nacionalnu minimalnu godišnju stopu skupljanja otpadnog ribolovnog alata koji sadržava plastiku namijenjenu recikliranju.</w:t>
            </w:r>
          </w:p>
        </w:tc>
        <w:tc>
          <w:tcPr>
            <w:tcW w:w="1312" w:type="pct"/>
            <w:tcBorders>
              <w:top w:val="single" w:sz="4" w:space="0" w:color="auto"/>
              <w:left w:val="single" w:sz="4" w:space="0" w:color="auto"/>
              <w:bottom w:val="single" w:sz="4" w:space="0" w:color="auto"/>
              <w:right w:val="single" w:sz="4" w:space="0" w:color="auto"/>
            </w:tcBorders>
            <w:vAlign w:val="center"/>
          </w:tcPr>
          <w:p w14:paraId="4D91FB81" w14:textId="77777777" w:rsidR="007C3BF8" w:rsidRPr="007C3BF8" w:rsidRDefault="007C3BF8">
            <w:pPr>
              <w:rPr>
                <w:rFonts w:eastAsia="Calibri" w:cstheme="minorHAnsi"/>
                <w:sz w:val="18"/>
                <w:szCs w:val="18"/>
              </w:rPr>
            </w:pPr>
            <w:r w:rsidRPr="007C3BF8">
              <w:rPr>
                <w:rFonts w:eastAsia="Calibri" w:cstheme="minorHAnsi"/>
                <w:sz w:val="18"/>
                <w:szCs w:val="18"/>
              </w:rPr>
              <w:t xml:space="preserve">Akcijski plan za kružno gospodarstvo - Za čišću i konkurentniju Europu (Bruxelles, 11.3.2020., COM(2020) 98 </w:t>
            </w:r>
            <w:proofErr w:type="spellStart"/>
            <w:r w:rsidRPr="007C3BF8">
              <w:rPr>
                <w:rFonts w:eastAsia="Calibri" w:cstheme="minorHAnsi"/>
                <w:sz w:val="18"/>
                <w:szCs w:val="18"/>
              </w:rPr>
              <w:t>final</w:t>
            </w:r>
            <w:proofErr w:type="spellEnd"/>
            <w:r w:rsidRPr="007C3BF8">
              <w:rPr>
                <w:rFonts w:eastAsia="Calibri" w:cstheme="minorHAnsi"/>
                <w:sz w:val="18"/>
                <w:szCs w:val="18"/>
              </w:rPr>
              <w:t>)</w:t>
            </w:r>
          </w:p>
          <w:p w14:paraId="746A651E" w14:textId="77777777" w:rsidR="007C3BF8" w:rsidRPr="007C3BF8" w:rsidRDefault="007C3BF8">
            <w:pPr>
              <w:rPr>
                <w:rFonts w:eastAsia="Calibri" w:cstheme="minorHAnsi"/>
                <w:sz w:val="18"/>
                <w:szCs w:val="18"/>
              </w:rPr>
            </w:pPr>
          </w:p>
          <w:p w14:paraId="30B62743" w14:textId="77777777" w:rsidR="007C3BF8" w:rsidRPr="007C3BF8" w:rsidRDefault="007C3BF8">
            <w:pPr>
              <w:rPr>
                <w:rFonts w:eastAsiaTheme="minorEastAsia"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p w14:paraId="27579410" w14:textId="77777777" w:rsidR="007C3BF8" w:rsidRPr="007C3BF8" w:rsidRDefault="007C3BF8" w:rsidP="007C3BF8">
            <w:pPr>
              <w:rPr>
                <w:rFonts w:eastAsiaTheme="minorEastAsia" w:cstheme="minorHAnsi"/>
                <w:sz w:val="18"/>
                <w:szCs w:val="18"/>
              </w:rPr>
            </w:pPr>
          </w:p>
          <w:p w14:paraId="65D7EE12" w14:textId="77777777" w:rsidR="007C3BF8" w:rsidRPr="007C3BF8" w:rsidRDefault="007C3BF8" w:rsidP="007C3BF8">
            <w:pPr>
              <w:rPr>
                <w:rFonts w:eastAsiaTheme="minorEastAsia" w:cstheme="minorHAnsi"/>
                <w:sz w:val="18"/>
                <w:szCs w:val="18"/>
              </w:rPr>
            </w:pPr>
            <w:r w:rsidRPr="007C3BF8">
              <w:rPr>
                <w:rFonts w:eastAsiaTheme="minorEastAsia" w:cstheme="minorHAnsi"/>
                <w:sz w:val="18"/>
                <w:szCs w:val="18"/>
              </w:rPr>
              <w:t>Direktiva (EU) 2019/904 Europskog parlamenta i Vijeća od 5. lipnja 2019. o smanjenju utjecaja određenih plastičnih proizvoda na okoliš (SL L 155, 12. 6. 2019.)</w:t>
            </w:r>
          </w:p>
        </w:tc>
      </w:tr>
      <w:tr w:rsidR="00C262BD" w:rsidRPr="007C3BF8" w14:paraId="370A8B77" w14:textId="77777777" w:rsidTr="007C3BF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3483957C" w14:textId="77777777" w:rsidR="007C3BF8" w:rsidRPr="007C3BF8" w:rsidRDefault="007C3BF8">
            <w:pPr>
              <w:jc w:val="center"/>
              <w:rPr>
                <w:rFonts w:eastAsia="Calibri" w:cstheme="minorHAnsi"/>
                <w:sz w:val="18"/>
                <w:szCs w:val="18"/>
              </w:rPr>
            </w:pPr>
            <w:r w:rsidRPr="007C3BF8">
              <w:rPr>
                <w:rFonts w:eastAsia="Calibri" w:cstheme="minorHAnsi"/>
                <w:b/>
                <w:bCs/>
                <w:sz w:val="18"/>
                <w:szCs w:val="18"/>
              </w:rPr>
              <w:t>Cilj 4. - Građevni otpad</w:t>
            </w:r>
          </w:p>
        </w:tc>
      </w:tr>
      <w:tr w:rsidR="008B146A" w:rsidRPr="007C3BF8" w14:paraId="5AEE3185" w14:textId="77777777" w:rsidTr="009008E5">
        <w:trPr>
          <w:trHeight w:val="20"/>
        </w:trPr>
        <w:tc>
          <w:tcPr>
            <w:tcW w:w="1064" w:type="pct"/>
            <w:tcBorders>
              <w:top w:val="single" w:sz="4" w:space="0" w:color="auto"/>
              <w:left w:val="single" w:sz="4" w:space="0" w:color="auto"/>
              <w:bottom w:val="single" w:sz="4" w:space="0" w:color="auto"/>
              <w:right w:val="single" w:sz="4" w:space="0" w:color="auto"/>
            </w:tcBorders>
            <w:vAlign w:val="center"/>
            <w:hideMark/>
          </w:tcPr>
          <w:p w14:paraId="2A9530C5" w14:textId="77777777" w:rsidR="007C3BF8" w:rsidRPr="007C3BF8" w:rsidRDefault="007C3BF8">
            <w:pPr>
              <w:rPr>
                <w:rFonts w:eastAsia="Calibri" w:cstheme="minorHAnsi"/>
                <w:sz w:val="18"/>
                <w:szCs w:val="18"/>
              </w:rPr>
            </w:pPr>
            <w:proofErr w:type="spellStart"/>
            <w:r w:rsidRPr="007C3BF8">
              <w:rPr>
                <w:rFonts w:eastAsia="Calibri" w:cstheme="minorHAnsi"/>
                <w:sz w:val="18"/>
                <w:szCs w:val="18"/>
              </w:rPr>
              <w:t>Oporabiti</w:t>
            </w:r>
            <w:proofErr w:type="spellEnd"/>
            <w:r w:rsidRPr="007C3BF8">
              <w:rPr>
                <w:rFonts w:eastAsia="Calibri" w:cstheme="minorHAnsi"/>
                <w:sz w:val="18"/>
                <w:szCs w:val="18"/>
              </w:rPr>
              <w:t xml:space="preserve"> recikliranjem, pripremom za ponovnu uporabu i drugim postupcima materijalne oporabe, uključujući postupak nasipavanja, kod kojih se otpad koristi kao zamjena za druge materijale, najmanje 70% mase neopasnog građevnog otpada, osim materijala iz prirode određenog ključnim brojem otpada 17 05 04 – zemlja i kamenje koji nisu navedeni pod 17 05 03, </w:t>
            </w:r>
          </w:p>
        </w:tc>
        <w:tc>
          <w:tcPr>
            <w:tcW w:w="742" w:type="pct"/>
            <w:tcBorders>
              <w:top w:val="single" w:sz="4" w:space="0" w:color="auto"/>
              <w:left w:val="single" w:sz="4" w:space="0" w:color="auto"/>
              <w:bottom w:val="single" w:sz="4" w:space="0" w:color="auto"/>
              <w:right w:val="single" w:sz="4" w:space="0" w:color="auto"/>
            </w:tcBorders>
            <w:vAlign w:val="center"/>
          </w:tcPr>
          <w:p w14:paraId="3667D077" w14:textId="015FD85F" w:rsidR="005C164B" w:rsidRDefault="007A0053" w:rsidP="006A3B25">
            <w:pPr>
              <w:rPr>
                <w:rFonts w:eastAsia="Calibri" w:cstheme="minorHAnsi"/>
                <w:sz w:val="18"/>
                <w:szCs w:val="18"/>
              </w:rPr>
            </w:pPr>
            <w:r w:rsidRPr="007A0053">
              <w:rPr>
                <w:rFonts w:eastAsia="Calibri" w:cstheme="minorHAnsi"/>
                <w:sz w:val="18"/>
                <w:szCs w:val="18"/>
              </w:rPr>
              <w:t>Mjere i aktivnosti definirane Programom sprječavanja nastanka otpada RH</w:t>
            </w:r>
          </w:p>
          <w:p w14:paraId="26C8FCB2" w14:textId="77777777" w:rsidR="007A0053" w:rsidRDefault="007A0053" w:rsidP="006A3B25">
            <w:pPr>
              <w:rPr>
                <w:rFonts w:eastAsiaTheme="minorEastAsia" w:cstheme="minorHAnsi"/>
                <w:sz w:val="18"/>
                <w:szCs w:val="18"/>
              </w:rPr>
            </w:pPr>
          </w:p>
          <w:p w14:paraId="1FD29853" w14:textId="77777777" w:rsidR="006A3B25" w:rsidRDefault="006A3B25">
            <w:pPr>
              <w:rPr>
                <w:rFonts w:eastAsia="Calibri" w:cstheme="minorHAnsi"/>
                <w:sz w:val="18"/>
                <w:szCs w:val="18"/>
              </w:rPr>
            </w:pPr>
          </w:p>
          <w:p w14:paraId="234DE713" w14:textId="1981434A" w:rsidR="007C3BF8" w:rsidRPr="007C3BF8" w:rsidRDefault="007C3BF8">
            <w:pPr>
              <w:rPr>
                <w:rFonts w:eastAsia="Calibri" w:cstheme="minorHAnsi"/>
                <w:sz w:val="18"/>
                <w:szCs w:val="18"/>
              </w:rPr>
            </w:pPr>
            <w:r w:rsidRPr="007C3BF8">
              <w:rPr>
                <w:rFonts w:eastAsia="Calibri" w:cstheme="minorHAnsi"/>
                <w:sz w:val="18"/>
                <w:szCs w:val="18"/>
              </w:rPr>
              <w:t>Mjera 2. Jačanje svijesti, informiranja i edukacije o gospodarenju otpadom</w:t>
            </w:r>
            <w:r w:rsidR="007A0053">
              <w:rPr>
                <w:rFonts w:eastAsia="Calibri" w:cstheme="minorHAnsi"/>
                <w:sz w:val="18"/>
                <w:szCs w:val="18"/>
              </w:rPr>
              <w:t xml:space="preserve"> i proizvodima</w:t>
            </w:r>
          </w:p>
          <w:p w14:paraId="7EA6793F" w14:textId="77777777" w:rsidR="007C3BF8" w:rsidRPr="007C3BF8" w:rsidRDefault="007C3BF8">
            <w:pPr>
              <w:rPr>
                <w:rFonts w:eastAsia="Calibri" w:cstheme="minorHAnsi"/>
                <w:sz w:val="18"/>
                <w:szCs w:val="18"/>
              </w:rPr>
            </w:pPr>
          </w:p>
          <w:p w14:paraId="538672AD" w14:textId="4475D152" w:rsidR="007C3BF8" w:rsidRPr="007C3BF8" w:rsidRDefault="007C3BF8">
            <w:pPr>
              <w:rPr>
                <w:rFonts w:eastAsiaTheme="minorEastAsia" w:cstheme="minorHAnsi"/>
                <w:color w:val="000000"/>
                <w:sz w:val="18"/>
                <w:szCs w:val="18"/>
              </w:rPr>
            </w:pPr>
            <w:r w:rsidRPr="007C3BF8">
              <w:rPr>
                <w:rFonts w:eastAsiaTheme="minorEastAsia" w:cstheme="minorHAnsi"/>
                <w:color w:val="000000"/>
                <w:sz w:val="18"/>
                <w:szCs w:val="18"/>
              </w:rPr>
              <w:t xml:space="preserve">Mjera 6. Analiza </w:t>
            </w:r>
            <w:r w:rsidR="008B146A">
              <w:rPr>
                <w:rFonts w:eastAsiaTheme="minorEastAsia" w:cstheme="minorHAnsi"/>
                <w:color w:val="000000"/>
                <w:sz w:val="18"/>
                <w:szCs w:val="18"/>
              </w:rPr>
              <w:t xml:space="preserve">učinkovitosti </w:t>
            </w:r>
            <w:r w:rsidRPr="007C3BF8">
              <w:rPr>
                <w:rFonts w:eastAsiaTheme="minorEastAsia" w:cstheme="minorHAnsi"/>
                <w:color w:val="000000"/>
                <w:sz w:val="18"/>
                <w:szCs w:val="18"/>
              </w:rPr>
              <w:t>sustava za gospodarenje posebnim kategorijama otpada</w:t>
            </w:r>
            <w:r w:rsidR="007A0053">
              <w:rPr>
                <w:rFonts w:eastAsiaTheme="minorEastAsia" w:cstheme="minorHAnsi"/>
                <w:color w:val="000000"/>
                <w:sz w:val="18"/>
                <w:szCs w:val="18"/>
              </w:rPr>
              <w:t xml:space="preserve"> s prijedlozima za </w:t>
            </w:r>
            <w:proofErr w:type="spellStart"/>
            <w:r w:rsidR="007A0053">
              <w:rPr>
                <w:rFonts w:eastAsiaTheme="minorEastAsia" w:cstheme="minorHAnsi"/>
                <w:color w:val="000000"/>
                <w:sz w:val="18"/>
                <w:szCs w:val="18"/>
              </w:rPr>
              <w:t>unaprijeđenje</w:t>
            </w:r>
            <w:proofErr w:type="spellEnd"/>
          </w:p>
          <w:p w14:paraId="67EA3C60" w14:textId="77777777" w:rsidR="007C3BF8" w:rsidRPr="007C3BF8" w:rsidRDefault="007C3BF8">
            <w:pPr>
              <w:rPr>
                <w:rFonts w:eastAsiaTheme="minorEastAsia" w:cstheme="minorHAnsi"/>
                <w:color w:val="000000"/>
                <w:sz w:val="18"/>
                <w:szCs w:val="18"/>
              </w:rPr>
            </w:pPr>
          </w:p>
          <w:p w14:paraId="31955BC4" w14:textId="77777777" w:rsidR="007C3BF8" w:rsidRDefault="007C3BF8">
            <w:pPr>
              <w:rPr>
                <w:rFonts w:eastAsiaTheme="minorEastAsia" w:cstheme="minorHAnsi"/>
                <w:color w:val="000000"/>
                <w:sz w:val="18"/>
                <w:szCs w:val="18"/>
              </w:rPr>
            </w:pPr>
            <w:r w:rsidRPr="007C3BF8">
              <w:rPr>
                <w:rFonts w:eastAsiaTheme="minorEastAsia" w:cstheme="minorHAnsi"/>
                <w:color w:val="000000"/>
                <w:sz w:val="18"/>
                <w:szCs w:val="18"/>
              </w:rPr>
              <w:t>Mjera 8. Unaprjeđenje sustava za gospodarenje građevnim otpadom i otpadom koji sadrži azbest</w:t>
            </w:r>
          </w:p>
          <w:p w14:paraId="4A12FB38" w14:textId="77777777" w:rsidR="005C164B" w:rsidRDefault="005C164B">
            <w:pPr>
              <w:rPr>
                <w:rFonts w:eastAsiaTheme="minorEastAsia" w:cstheme="minorHAnsi"/>
                <w:color w:val="000000"/>
                <w:sz w:val="18"/>
                <w:szCs w:val="18"/>
              </w:rPr>
            </w:pPr>
          </w:p>
          <w:p w14:paraId="45E7AE52" w14:textId="77777777" w:rsidR="005C164B" w:rsidRDefault="005C164B">
            <w:pPr>
              <w:rPr>
                <w:rFonts w:eastAsiaTheme="minorEastAsia" w:cstheme="minorHAnsi"/>
                <w:color w:val="000000"/>
                <w:sz w:val="18"/>
                <w:szCs w:val="18"/>
              </w:rPr>
            </w:pPr>
            <w:r>
              <w:rPr>
                <w:rFonts w:eastAsiaTheme="minorEastAsia" w:cstheme="minorHAnsi"/>
                <w:color w:val="000000"/>
                <w:sz w:val="18"/>
                <w:szCs w:val="18"/>
              </w:rPr>
              <w:t xml:space="preserve">Mjera 13. </w:t>
            </w:r>
            <w:r w:rsidRPr="005C164B">
              <w:rPr>
                <w:rFonts w:eastAsiaTheme="minorEastAsia" w:cstheme="minorHAnsi"/>
                <w:color w:val="000000"/>
                <w:sz w:val="18"/>
                <w:szCs w:val="18"/>
              </w:rPr>
              <w:t>Sanacija lokacija onečišćenih otpadom odbačenim u okoliš</w:t>
            </w:r>
          </w:p>
          <w:p w14:paraId="0D24333F" w14:textId="77777777" w:rsidR="005C164B" w:rsidRDefault="005C164B">
            <w:pPr>
              <w:rPr>
                <w:rFonts w:eastAsiaTheme="minorEastAsia" w:cstheme="minorHAnsi"/>
                <w:color w:val="000000"/>
                <w:sz w:val="18"/>
                <w:szCs w:val="18"/>
              </w:rPr>
            </w:pPr>
          </w:p>
          <w:p w14:paraId="201B0D70" w14:textId="43594CAB" w:rsidR="005C164B" w:rsidRPr="007C3BF8" w:rsidRDefault="005C164B">
            <w:pPr>
              <w:rPr>
                <w:rFonts w:eastAsiaTheme="minorEastAsia" w:cstheme="minorHAnsi"/>
                <w:color w:val="000000"/>
                <w:sz w:val="18"/>
                <w:szCs w:val="18"/>
              </w:rPr>
            </w:pPr>
            <w:r>
              <w:rPr>
                <w:rFonts w:eastAsiaTheme="minorEastAsia" w:cstheme="minorHAnsi"/>
                <w:color w:val="000000"/>
                <w:sz w:val="18"/>
                <w:szCs w:val="18"/>
              </w:rPr>
              <w:t xml:space="preserve">Mjera 14. </w:t>
            </w:r>
            <w:r w:rsidRPr="005C164B">
              <w:rPr>
                <w:rFonts w:eastAsiaTheme="minorEastAsia" w:cstheme="minorHAnsi"/>
                <w:color w:val="000000"/>
                <w:sz w:val="18"/>
                <w:szCs w:val="18"/>
              </w:rPr>
              <w:t xml:space="preserve">Izrada i/ili unaprjeđenje aplikacija koje su dio informacijskog </w:t>
            </w:r>
            <w:r w:rsidRPr="005C164B">
              <w:rPr>
                <w:rFonts w:eastAsiaTheme="minorEastAsia" w:cstheme="minorHAnsi"/>
                <w:color w:val="000000"/>
                <w:sz w:val="18"/>
                <w:szCs w:val="18"/>
              </w:rPr>
              <w:lastRenderedPageBreak/>
              <w:t>sustava gospodarenja otpadom</w:t>
            </w:r>
          </w:p>
        </w:tc>
        <w:tc>
          <w:tcPr>
            <w:tcW w:w="633" w:type="pct"/>
            <w:tcBorders>
              <w:top w:val="single" w:sz="4" w:space="0" w:color="auto"/>
              <w:left w:val="single" w:sz="4" w:space="0" w:color="auto"/>
              <w:bottom w:val="single" w:sz="4" w:space="0" w:color="auto"/>
              <w:right w:val="single" w:sz="4" w:space="0" w:color="auto"/>
            </w:tcBorders>
            <w:vAlign w:val="center"/>
          </w:tcPr>
          <w:p w14:paraId="48DF3E01" w14:textId="03F45240" w:rsidR="007C3BF8" w:rsidRPr="007C3BF8" w:rsidRDefault="007C3BF8">
            <w:pPr>
              <w:rPr>
                <w:rFonts w:eastAsiaTheme="minorEastAsia" w:cstheme="minorHAnsi"/>
                <w:sz w:val="18"/>
                <w:szCs w:val="18"/>
              </w:rPr>
            </w:pPr>
            <w:r w:rsidRPr="007C3BF8">
              <w:rPr>
                <w:rFonts w:eastAsiaTheme="minorEastAsia" w:cstheme="minorHAnsi"/>
                <w:sz w:val="18"/>
                <w:szCs w:val="18"/>
              </w:rPr>
              <w:lastRenderedPageBreak/>
              <w:t>Aktivnosti iz PSNO:</w:t>
            </w:r>
            <w:r w:rsidR="00192B3B">
              <w:rPr>
                <w:rFonts w:eastAsiaTheme="minorEastAsia" w:cstheme="minorHAnsi"/>
                <w:sz w:val="18"/>
                <w:szCs w:val="18"/>
              </w:rPr>
              <w:t xml:space="preserve"> PSNO</w:t>
            </w:r>
            <w:r w:rsidRPr="007C3BF8">
              <w:rPr>
                <w:rFonts w:eastAsiaTheme="minorEastAsia" w:cstheme="minorHAnsi"/>
                <w:sz w:val="18"/>
                <w:szCs w:val="18"/>
              </w:rPr>
              <w:t xml:space="preserve"> A 1.1. </w:t>
            </w:r>
            <w:r w:rsidR="00192B3B">
              <w:rPr>
                <w:rFonts w:eastAsiaTheme="minorEastAsia" w:cstheme="minorHAnsi"/>
                <w:sz w:val="18"/>
                <w:szCs w:val="18"/>
              </w:rPr>
              <w:t>–</w:t>
            </w:r>
            <w:r w:rsidRPr="007C3BF8">
              <w:rPr>
                <w:rFonts w:eastAsiaTheme="minorEastAsia" w:cstheme="minorHAnsi"/>
                <w:sz w:val="18"/>
                <w:szCs w:val="18"/>
              </w:rPr>
              <w:t xml:space="preserve"> </w:t>
            </w:r>
            <w:r w:rsidR="00192B3B">
              <w:rPr>
                <w:rFonts w:eastAsiaTheme="minorEastAsia" w:cstheme="minorHAnsi"/>
                <w:sz w:val="18"/>
                <w:szCs w:val="18"/>
              </w:rPr>
              <w:t xml:space="preserve">PSNO </w:t>
            </w:r>
            <w:r w:rsidRPr="007C3BF8">
              <w:rPr>
                <w:rFonts w:eastAsiaTheme="minorEastAsia" w:cstheme="minorHAnsi"/>
                <w:sz w:val="18"/>
                <w:szCs w:val="18"/>
              </w:rPr>
              <w:t xml:space="preserve">A 1.3; </w:t>
            </w:r>
            <w:r w:rsidR="00192B3B">
              <w:rPr>
                <w:rFonts w:eastAsiaTheme="minorEastAsia" w:cstheme="minorHAnsi"/>
                <w:sz w:val="18"/>
                <w:szCs w:val="18"/>
              </w:rPr>
              <w:t xml:space="preserve">PSNO </w:t>
            </w:r>
            <w:r w:rsidRPr="007C3BF8">
              <w:rPr>
                <w:rFonts w:eastAsia="Calibri" w:cstheme="minorHAnsi"/>
                <w:sz w:val="18"/>
                <w:szCs w:val="18"/>
              </w:rPr>
              <w:t>A 6.1. – 6.</w:t>
            </w:r>
            <w:r w:rsidR="005C164B">
              <w:rPr>
                <w:rFonts w:eastAsia="Calibri" w:cstheme="minorHAnsi"/>
                <w:sz w:val="18"/>
                <w:szCs w:val="18"/>
              </w:rPr>
              <w:t>6</w:t>
            </w:r>
            <w:r w:rsidRPr="007C3BF8">
              <w:rPr>
                <w:rFonts w:eastAsia="Calibri" w:cstheme="minorHAnsi"/>
                <w:sz w:val="18"/>
                <w:szCs w:val="18"/>
              </w:rPr>
              <w:t xml:space="preserve">.; </w:t>
            </w:r>
            <w:r w:rsidR="00192B3B">
              <w:rPr>
                <w:rFonts w:eastAsia="Calibri" w:cstheme="minorHAnsi"/>
                <w:sz w:val="18"/>
                <w:szCs w:val="18"/>
              </w:rPr>
              <w:t xml:space="preserve">PSNO </w:t>
            </w:r>
            <w:r w:rsidRPr="007C3BF8">
              <w:rPr>
                <w:rFonts w:eastAsia="Calibri" w:cstheme="minorHAnsi"/>
                <w:sz w:val="18"/>
                <w:szCs w:val="18"/>
              </w:rPr>
              <w:t xml:space="preserve">A 7.1 </w:t>
            </w:r>
            <w:r w:rsidR="00192B3B">
              <w:rPr>
                <w:rFonts w:eastAsia="Calibri" w:cstheme="minorHAnsi"/>
                <w:sz w:val="18"/>
                <w:szCs w:val="18"/>
              </w:rPr>
              <w:t xml:space="preserve">PSNO </w:t>
            </w:r>
            <w:r w:rsidRPr="007C3BF8">
              <w:rPr>
                <w:rFonts w:eastAsia="Calibri" w:cstheme="minorHAnsi"/>
                <w:sz w:val="18"/>
                <w:szCs w:val="18"/>
              </w:rPr>
              <w:t xml:space="preserve">A 8.1. – </w:t>
            </w:r>
            <w:r w:rsidR="00192B3B">
              <w:rPr>
                <w:rFonts w:eastAsia="Calibri" w:cstheme="minorHAnsi"/>
                <w:sz w:val="18"/>
                <w:szCs w:val="18"/>
              </w:rPr>
              <w:t xml:space="preserve">PSNO </w:t>
            </w:r>
            <w:r w:rsidRPr="007C3BF8">
              <w:rPr>
                <w:rFonts w:eastAsia="Calibri" w:cstheme="minorHAnsi"/>
                <w:sz w:val="18"/>
                <w:szCs w:val="18"/>
              </w:rPr>
              <w:t xml:space="preserve">A 8.5., </w:t>
            </w:r>
            <w:r w:rsidR="00192B3B">
              <w:rPr>
                <w:rFonts w:eastAsia="Calibri" w:cstheme="minorHAnsi"/>
                <w:sz w:val="18"/>
                <w:szCs w:val="18"/>
              </w:rPr>
              <w:t xml:space="preserve">PSNO </w:t>
            </w:r>
            <w:r w:rsidRPr="007C3BF8">
              <w:rPr>
                <w:rFonts w:eastAsia="Calibri" w:cstheme="minorHAnsi"/>
                <w:sz w:val="18"/>
                <w:szCs w:val="18"/>
              </w:rPr>
              <w:t>A 9.1</w:t>
            </w:r>
          </w:p>
          <w:p w14:paraId="375A8EAC" w14:textId="699B27B2" w:rsidR="007C3BF8" w:rsidRDefault="007C3BF8">
            <w:pPr>
              <w:ind w:left="-23"/>
              <w:rPr>
                <w:rFonts w:eastAsiaTheme="minorEastAsia" w:cstheme="minorHAnsi"/>
                <w:sz w:val="18"/>
                <w:szCs w:val="18"/>
              </w:rPr>
            </w:pPr>
          </w:p>
          <w:p w14:paraId="28201BF3" w14:textId="4F042284" w:rsidR="007C3BF8" w:rsidRPr="007C3BF8" w:rsidRDefault="007C3BF8">
            <w:pPr>
              <w:rPr>
                <w:rFonts w:eastAsia="Calibri" w:cstheme="minorHAnsi"/>
                <w:sz w:val="18"/>
                <w:szCs w:val="18"/>
              </w:rPr>
            </w:pPr>
            <w:r w:rsidRPr="007C3BF8">
              <w:rPr>
                <w:rFonts w:eastAsiaTheme="minorEastAsia" w:cstheme="minorHAnsi"/>
                <w:sz w:val="18"/>
                <w:szCs w:val="18"/>
              </w:rPr>
              <w:t>A 6.6.; A 6.7.; A</w:t>
            </w:r>
            <w:r w:rsidR="00C77206">
              <w:rPr>
                <w:rFonts w:eastAsiaTheme="minorEastAsia" w:cstheme="minorHAnsi"/>
                <w:sz w:val="18"/>
                <w:szCs w:val="18"/>
              </w:rPr>
              <w:t xml:space="preserve"> </w:t>
            </w:r>
            <w:r w:rsidRPr="007C3BF8">
              <w:rPr>
                <w:rFonts w:eastAsiaTheme="minorEastAsia" w:cstheme="minorHAnsi"/>
                <w:sz w:val="18"/>
                <w:szCs w:val="18"/>
              </w:rPr>
              <w:t>8.1.</w:t>
            </w:r>
            <w:r w:rsidR="00C77206">
              <w:rPr>
                <w:rFonts w:eastAsiaTheme="minorEastAsia" w:cstheme="minorHAnsi"/>
                <w:sz w:val="18"/>
                <w:szCs w:val="18"/>
              </w:rPr>
              <w:t xml:space="preserve"> – A 8.3.</w:t>
            </w:r>
            <w:r w:rsidR="005C164B">
              <w:rPr>
                <w:rFonts w:eastAsiaTheme="minorEastAsia" w:cstheme="minorHAnsi"/>
                <w:sz w:val="18"/>
                <w:szCs w:val="18"/>
              </w:rPr>
              <w:t>; A 13.2.; A 13 3.; A 14.8; A 14.11</w:t>
            </w:r>
            <w:r w:rsidR="00A60F7A">
              <w:rPr>
                <w:rFonts w:eastAsiaTheme="minorEastAsia" w:cstheme="minorHAnsi"/>
                <w:sz w:val="18"/>
                <w:szCs w:val="18"/>
              </w:rPr>
              <w:t>;</w:t>
            </w:r>
            <w:r w:rsidR="005C164B">
              <w:rPr>
                <w:rFonts w:eastAsiaTheme="minorEastAsia" w:cstheme="minorHAnsi"/>
                <w:sz w:val="18"/>
                <w:szCs w:val="18"/>
              </w:rPr>
              <w:t>.</w:t>
            </w:r>
          </w:p>
        </w:tc>
        <w:tc>
          <w:tcPr>
            <w:tcW w:w="1249" w:type="pct"/>
            <w:tcBorders>
              <w:top w:val="single" w:sz="4" w:space="0" w:color="auto"/>
              <w:left w:val="single" w:sz="4" w:space="0" w:color="auto"/>
              <w:bottom w:val="single" w:sz="4" w:space="0" w:color="auto"/>
              <w:right w:val="single" w:sz="4" w:space="0" w:color="auto"/>
            </w:tcBorders>
            <w:vAlign w:val="center"/>
          </w:tcPr>
          <w:p w14:paraId="72DD0D58" w14:textId="77777777" w:rsidR="007C3BF8" w:rsidRPr="007C3BF8" w:rsidRDefault="007C3BF8" w:rsidP="007C3BF8">
            <w:pPr>
              <w:rPr>
                <w:rFonts w:eastAsiaTheme="minorEastAsia" w:cstheme="minorHAnsi"/>
                <w:sz w:val="18"/>
                <w:szCs w:val="18"/>
              </w:rPr>
            </w:pPr>
            <w:r w:rsidRPr="007C3BF8">
              <w:rPr>
                <w:rFonts w:eastAsiaTheme="minorEastAsia" w:cstheme="minorHAnsi"/>
                <w:sz w:val="18"/>
                <w:szCs w:val="18"/>
              </w:rPr>
              <w:t>Poduzeti odgovarajuće mjere kako bi potakle dizajn proizvoda i sastavnih dijelova proizvoda koji umanjuju učinak proizvoda na okoliš i nastanak otpada u tijeku proizvodnje i daljnje uporabe proizvoda te kako bi osigurale da se oporaba i zbrinjavanje proizvoda koji su postali otpad provode u skladu s člancima 4. i 13. Direktive 2008/98/EZ.</w:t>
            </w:r>
          </w:p>
          <w:p w14:paraId="2555E188" w14:textId="77777777" w:rsidR="007C3BF8" w:rsidRPr="007C3BF8" w:rsidRDefault="007C3BF8">
            <w:pPr>
              <w:rPr>
                <w:rFonts w:eastAsia="Calibri" w:cstheme="minorHAnsi"/>
                <w:sz w:val="18"/>
                <w:szCs w:val="18"/>
              </w:rPr>
            </w:pPr>
          </w:p>
          <w:p w14:paraId="6AB9DBEC" w14:textId="77777777" w:rsidR="007C3BF8" w:rsidRPr="007C3BF8" w:rsidRDefault="007C3BF8">
            <w:pPr>
              <w:rPr>
                <w:rFonts w:eastAsia="Calibri" w:cstheme="minorHAnsi"/>
                <w:sz w:val="18"/>
                <w:szCs w:val="18"/>
              </w:rPr>
            </w:pPr>
            <w:r w:rsidRPr="007C3BF8">
              <w:rPr>
                <w:rFonts w:eastAsia="Calibri" w:cstheme="minorHAnsi"/>
                <w:sz w:val="18"/>
                <w:szCs w:val="18"/>
              </w:rPr>
              <w:t>Pripremiti se za ponovnu uporabu, recikliranje i oporabu drugog materijala, uključujući nasipavanje, 70% neopasnog građevinskog otpada i otpada za rušenje, isključujući prirodni materijal ključnog broja otpada 17 05 04.</w:t>
            </w:r>
          </w:p>
        </w:tc>
        <w:tc>
          <w:tcPr>
            <w:tcW w:w="1312" w:type="pct"/>
            <w:tcBorders>
              <w:top w:val="single" w:sz="4" w:space="0" w:color="auto"/>
              <w:left w:val="single" w:sz="4" w:space="0" w:color="auto"/>
              <w:bottom w:val="single" w:sz="4" w:space="0" w:color="auto"/>
              <w:right w:val="single" w:sz="4" w:space="0" w:color="auto"/>
            </w:tcBorders>
            <w:vAlign w:val="center"/>
          </w:tcPr>
          <w:p w14:paraId="7736CB71" w14:textId="77777777" w:rsidR="007C3BF8" w:rsidRPr="007C3BF8" w:rsidRDefault="007C3BF8">
            <w:pPr>
              <w:rPr>
                <w:rFonts w:eastAsia="Calibri" w:cstheme="minorHAnsi"/>
                <w:sz w:val="18"/>
                <w:szCs w:val="18"/>
              </w:rPr>
            </w:pPr>
            <w:r w:rsidRPr="007C3BF8">
              <w:rPr>
                <w:rFonts w:eastAsia="Calibri" w:cstheme="minorHAnsi"/>
                <w:sz w:val="18"/>
                <w:szCs w:val="18"/>
              </w:rPr>
              <w:t xml:space="preserve">Akcijski plan za kružno gospodarstvo - Za čišću i konkurentniju Europu (Bruxelles, 11.3.2020., COM(2020) 98 </w:t>
            </w:r>
            <w:proofErr w:type="spellStart"/>
            <w:r w:rsidRPr="007C3BF8">
              <w:rPr>
                <w:rFonts w:eastAsia="Calibri" w:cstheme="minorHAnsi"/>
                <w:sz w:val="18"/>
                <w:szCs w:val="18"/>
              </w:rPr>
              <w:t>final</w:t>
            </w:r>
            <w:proofErr w:type="spellEnd"/>
            <w:r w:rsidRPr="007C3BF8">
              <w:rPr>
                <w:rFonts w:eastAsia="Calibri" w:cstheme="minorHAnsi"/>
                <w:sz w:val="18"/>
                <w:szCs w:val="18"/>
              </w:rPr>
              <w:t>)</w:t>
            </w:r>
          </w:p>
          <w:p w14:paraId="0C279EAC" w14:textId="77777777" w:rsidR="007C3BF8" w:rsidRPr="007C3BF8" w:rsidRDefault="007C3BF8">
            <w:pPr>
              <w:rPr>
                <w:rFonts w:eastAsia="Calibri" w:cstheme="minorHAnsi"/>
                <w:sz w:val="18"/>
                <w:szCs w:val="18"/>
              </w:rPr>
            </w:pPr>
          </w:p>
          <w:p w14:paraId="66FEE042" w14:textId="77777777" w:rsidR="007C3BF8" w:rsidRPr="007C3BF8" w:rsidRDefault="007C3BF8">
            <w:pPr>
              <w:rPr>
                <w:rFonts w:eastAsia="Calibri"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tc>
      </w:tr>
      <w:tr w:rsidR="00C262BD" w:rsidRPr="007C3BF8" w14:paraId="25130C38" w14:textId="77777777" w:rsidTr="007C3BF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7EEEAA95" w14:textId="77777777" w:rsidR="007C3BF8" w:rsidRPr="007C3BF8" w:rsidRDefault="007C3BF8">
            <w:pPr>
              <w:jc w:val="center"/>
              <w:rPr>
                <w:rFonts w:eastAsia="Calibri" w:cstheme="minorHAnsi"/>
                <w:sz w:val="18"/>
                <w:szCs w:val="18"/>
              </w:rPr>
            </w:pPr>
            <w:r w:rsidRPr="007C3BF8">
              <w:rPr>
                <w:rFonts w:eastAsia="Calibri" w:cstheme="minorHAnsi"/>
                <w:b/>
                <w:bCs/>
                <w:sz w:val="18"/>
                <w:szCs w:val="18"/>
              </w:rPr>
              <w:t>Cilj 5. - Otpadna vozila</w:t>
            </w:r>
          </w:p>
        </w:tc>
      </w:tr>
      <w:tr w:rsidR="008B146A" w:rsidRPr="007C3BF8" w14:paraId="4893F579" w14:textId="77777777" w:rsidTr="009008E5">
        <w:trPr>
          <w:trHeight w:val="20"/>
        </w:trPr>
        <w:tc>
          <w:tcPr>
            <w:tcW w:w="1064" w:type="pct"/>
            <w:tcBorders>
              <w:top w:val="single" w:sz="4" w:space="0" w:color="auto"/>
              <w:left w:val="single" w:sz="4" w:space="0" w:color="auto"/>
              <w:bottom w:val="single" w:sz="4" w:space="0" w:color="auto"/>
              <w:right w:val="single" w:sz="4" w:space="0" w:color="auto"/>
            </w:tcBorders>
            <w:vAlign w:val="center"/>
            <w:hideMark/>
          </w:tcPr>
          <w:p w14:paraId="66C87E02" w14:textId="77777777" w:rsidR="007C3BF8" w:rsidRPr="007C3BF8" w:rsidRDefault="007C3BF8">
            <w:pPr>
              <w:rPr>
                <w:rFonts w:eastAsia="Calibri" w:cstheme="minorHAnsi"/>
                <w:sz w:val="18"/>
                <w:szCs w:val="18"/>
              </w:rPr>
            </w:pPr>
            <w:r w:rsidRPr="007C3BF8">
              <w:rPr>
                <w:rFonts w:eastAsia="Calibri" w:cstheme="minorHAnsi"/>
                <w:sz w:val="18"/>
                <w:szCs w:val="18"/>
              </w:rPr>
              <w:t>Na godišnjoj razini postići:</w:t>
            </w:r>
          </w:p>
          <w:p w14:paraId="3496FF60" w14:textId="77777777" w:rsidR="007C3BF8" w:rsidRPr="007C3BF8" w:rsidRDefault="007C3BF8">
            <w:pPr>
              <w:numPr>
                <w:ilvl w:val="0"/>
                <w:numId w:val="36"/>
              </w:numPr>
              <w:ind w:left="317" w:hanging="295"/>
              <w:contextualSpacing/>
              <w:rPr>
                <w:rFonts w:eastAsia="Calibri" w:cstheme="minorHAnsi"/>
                <w:sz w:val="18"/>
                <w:szCs w:val="18"/>
              </w:rPr>
            </w:pPr>
            <w:r w:rsidRPr="007C3BF8">
              <w:rPr>
                <w:rFonts w:eastAsia="Calibri" w:cstheme="minorHAnsi"/>
                <w:sz w:val="18"/>
                <w:szCs w:val="18"/>
              </w:rPr>
              <w:t>Stopu ponovne uporabe i oporabe otpadnih vozila predanih na obradu od najmanje 95% prosječne mase otpadnog vozila</w:t>
            </w:r>
          </w:p>
          <w:p w14:paraId="1FCFC7E4" w14:textId="77777777" w:rsidR="007C3BF8" w:rsidRPr="007C3BF8" w:rsidRDefault="007C3BF8">
            <w:pPr>
              <w:numPr>
                <w:ilvl w:val="0"/>
                <w:numId w:val="37"/>
              </w:numPr>
              <w:ind w:left="317" w:hanging="295"/>
              <w:contextualSpacing/>
              <w:rPr>
                <w:rFonts w:eastAsia="Calibri" w:cstheme="minorHAnsi"/>
                <w:sz w:val="18"/>
                <w:szCs w:val="18"/>
              </w:rPr>
            </w:pPr>
            <w:r w:rsidRPr="007C3BF8">
              <w:rPr>
                <w:rFonts w:eastAsia="Calibri" w:cstheme="minorHAnsi"/>
                <w:sz w:val="18"/>
                <w:szCs w:val="18"/>
              </w:rPr>
              <w:t xml:space="preserve">Stopu ponovne uporabe i recikliranja otpadnih vozila predanih na obradu od najmanje 85% prosječne mase otpadnog vozila </w:t>
            </w:r>
          </w:p>
        </w:tc>
        <w:tc>
          <w:tcPr>
            <w:tcW w:w="742" w:type="pct"/>
            <w:tcBorders>
              <w:top w:val="single" w:sz="4" w:space="0" w:color="auto"/>
              <w:left w:val="single" w:sz="4" w:space="0" w:color="auto"/>
              <w:bottom w:val="single" w:sz="4" w:space="0" w:color="auto"/>
              <w:right w:val="single" w:sz="4" w:space="0" w:color="auto"/>
            </w:tcBorders>
            <w:vAlign w:val="center"/>
            <w:hideMark/>
          </w:tcPr>
          <w:p w14:paraId="2CB8193E" w14:textId="0B3CBF09" w:rsidR="005C164B" w:rsidRDefault="007A0053" w:rsidP="002559F7">
            <w:pPr>
              <w:rPr>
                <w:rFonts w:eastAsia="Calibri" w:cstheme="minorHAnsi"/>
                <w:sz w:val="18"/>
                <w:szCs w:val="18"/>
              </w:rPr>
            </w:pPr>
            <w:r w:rsidRPr="007A0053">
              <w:rPr>
                <w:rFonts w:eastAsia="Calibri" w:cstheme="minorHAnsi"/>
                <w:sz w:val="18"/>
                <w:szCs w:val="18"/>
              </w:rPr>
              <w:t>Mjere i aktivnosti definirane Programom sprječavanja nastanka otpada RH</w:t>
            </w:r>
          </w:p>
          <w:p w14:paraId="1239A748" w14:textId="77777777" w:rsidR="007A0053" w:rsidRDefault="007A0053" w:rsidP="002559F7">
            <w:pPr>
              <w:rPr>
                <w:rFonts w:eastAsiaTheme="minorEastAsia" w:cstheme="minorHAnsi"/>
                <w:sz w:val="18"/>
                <w:szCs w:val="18"/>
              </w:rPr>
            </w:pPr>
          </w:p>
          <w:p w14:paraId="092639B1" w14:textId="77777777" w:rsidR="002559F7" w:rsidRDefault="002559F7">
            <w:pPr>
              <w:rPr>
                <w:rFonts w:eastAsia="Calibri" w:cstheme="minorHAnsi"/>
                <w:sz w:val="18"/>
                <w:szCs w:val="18"/>
              </w:rPr>
            </w:pPr>
          </w:p>
          <w:p w14:paraId="1DC418D6" w14:textId="6CACF470" w:rsidR="007C3BF8" w:rsidRDefault="007C3BF8">
            <w:pPr>
              <w:rPr>
                <w:rFonts w:eastAsia="Calibri" w:cstheme="minorHAnsi"/>
                <w:sz w:val="18"/>
                <w:szCs w:val="18"/>
              </w:rPr>
            </w:pPr>
            <w:r w:rsidRPr="007C3BF8">
              <w:rPr>
                <w:rFonts w:eastAsia="Calibri" w:cstheme="minorHAnsi"/>
                <w:sz w:val="18"/>
                <w:szCs w:val="18"/>
              </w:rPr>
              <w:t xml:space="preserve">Mjera 6. Analiza </w:t>
            </w:r>
            <w:r w:rsidR="008B146A">
              <w:rPr>
                <w:rFonts w:eastAsia="Calibri" w:cstheme="minorHAnsi"/>
                <w:sz w:val="18"/>
                <w:szCs w:val="18"/>
              </w:rPr>
              <w:t xml:space="preserve">učinkovitosti </w:t>
            </w:r>
            <w:r w:rsidRPr="007C3BF8">
              <w:rPr>
                <w:rFonts w:eastAsia="Calibri" w:cstheme="minorHAnsi"/>
                <w:sz w:val="18"/>
                <w:szCs w:val="18"/>
              </w:rPr>
              <w:t>sustava za gospodarenje posebnim kategorijama otpada</w:t>
            </w:r>
            <w:r w:rsidR="007A0053">
              <w:rPr>
                <w:rFonts w:eastAsia="Calibri" w:cstheme="minorHAnsi"/>
                <w:sz w:val="18"/>
                <w:szCs w:val="18"/>
              </w:rPr>
              <w:t xml:space="preserve"> s prijedlozima za </w:t>
            </w:r>
            <w:r w:rsidR="001636FD">
              <w:rPr>
                <w:rFonts w:eastAsia="Calibri" w:cstheme="minorHAnsi"/>
                <w:sz w:val="18"/>
                <w:szCs w:val="18"/>
              </w:rPr>
              <w:t>unaprjeđenje</w:t>
            </w:r>
          </w:p>
          <w:p w14:paraId="0C882327" w14:textId="77777777" w:rsidR="001636FD" w:rsidRDefault="001636FD">
            <w:pPr>
              <w:rPr>
                <w:rFonts w:eastAsia="Calibri" w:cstheme="minorHAnsi"/>
                <w:sz w:val="18"/>
                <w:szCs w:val="18"/>
              </w:rPr>
            </w:pPr>
          </w:p>
          <w:p w14:paraId="29946AB7" w14:textId="77777777" w:rsidR="001636FD" w:rsidRDefault="001636FD">
            <w:pPr>
              <w:rPr>
                <w:rFonts w:eastAsia="Calibri" w:cstheme="minorHAnsi"/>
                <w:sz w:val="18"/>
                <w:szCs w:val="18"/>
              </w:rPr>
            </w:pPr>
          </w:p>
          <w:p w14:paraId="01342A48" w14:textId="5DB9523A" w:rsidR="001636FD" w:rsidRPr="007C3BF8" w:rsidRDefault="001636FD">
            <w:pPr>
              <w:rPr>
                <w:rFonts w:eastAsia="Calibri" w:cstheme="minorHAnsi"/>
                <w:sz w:val="18"/>
                <w:szCs w:val="18"/>
              </w:rPr>
            </w:pPr>
          </w:p>
        </w:tc>
        <w:tc>
          <w:tcPr>
            <w:tcW w:w="633" w:type="pct"/>
            <w:tcBorders>
              <w:top w:val="single" w:sz="4" w:space="0" w:color="auto"/>
              <w:left w:val="single" w:sz="4" w:space="0" w:color="auto"/>
              <w:bottom w:val="single" w:sz="4" w:space="0" w:color="auto"/>
              <w:right w:val="single" w:sz="4" w:space="0" w:color="auto"/>
            </w:tcBorders>
            <w:vAlign w:val="center"/>
          </w:tcPr>
          <w:p w14:paraId="4946C554" w14:textId="699B18F5" w:rsidR="007C3BF8" w:rsidRPr="007C3BF8" w:rsidRDefault="007C3BF8">
            <w:pPr>
              <w:rPr>
                <w:rFonts w:eastAsia="Calibri" w:cstheme="minorHAnsi"/>
                <w:sz w:val="18"/>
                <w:szCs w:val="18"/>
              </w:rPr>
            </w:pPr>
            <w:r w:rsidRPr="007C3BF8">
              <w:rPr>
                <w:rFonts w:eastAsiaTheme="minorEastAsia" w:cstheme="minorHAnsi"/>
                <w:sz w:val="18"/>
                <w:szCs w:val="18"/>
              </w:rPr>
              <w:t xml:space="preserve">Aktivnosti iz PSNO </w:t>
            </w:r>
            <w:proofErr w:type="spellStart"/>
            <w:r w:rsidR="00192B3B">
              <w:rPr>
                <w:rFonts w:eastAsiaTheme="minorEastAsia" w:cstheme="minorHAnsi"/>
                <w:sz w:val="18"/>
                <w:szCs w:val="18"/>
              </w:rPr>
              <w:t>PSNO</w:t>
            </w:r>
            <w:proofErr w:type="spellEnd"/>
            <w:r w:rsidR="00192B3B">
              <w:rPr>
                <w:rFonts w:eastAsiaTheme="minorEastAsia" w:cstheme="minorHAnsi"/>
                <w:sz w:val="18"/>
                <w:szCs w:val="18"/>
              </w:rPr>
              <w:t xml:space="preserve"> </w:t>
            </w:r>
            <w:r w:rsidR="006061BC" w:rsidRPr="006061BC">
              <w:rPr>
                <w:rFonts w:eastAsia="Calibri" w:cstheme="minorHAnsi"/>
                <w:sz w:val="18"/>
                <w:szCs w:val="18"/>
              </w:rPr>
              <w:t xml:space="preserve">A 6.1., </w:t>
            </w:r>
            <w:r w:rsidR="00192B3B">
              <w:rPr>
                <w:rFonts w:eastAsia="Calibri" w:cstheme="minorHAnsi"/>
                <w:sz w:val="18"/>
                <w:szCs w:val="18"/>
              </w:rPr>
              <w:t xml:space="preserve">PSNO </w:t>
            </w:r>
            <w:r w:rsidR="006061BC" w:rsidRPr="006061BC">
              <w:rPr>
                <w:rFonts w:eastAsia="Calibri" w:cstheme="minorHAnsi"/>
                <w:sz w:val="18"/>
                <w:szCs w:val="18"/>
              </w:rPr>
              <w:t xml:space="preserve">A 6.2., </w:t>
            </w:r>
            <w:r w:rsidR="00192B3B">
              <w:rPr>
                <w:rFonts w:eastAsia="Calibri" w:cstheme="minorHAnsi"/>
                <w:sz w:val="18"/>
                <w:szCs w:val="18"/>
              </w:rPr>
              <w:t xml:space="preserve">PSNO </w:t>
            </w:r>
            <w:r w:rsidR="006061BC" w:rsidRPr="006061BC">
              <w:rPr>
                <w:rFonts w:eastAsia="Calibri" w:cstheme="minorHAnsi"/>
                <w:sz w:val="18"/>
                <w:szCs w:val="18"/>
              </w:rPr>
              <w:t xml:space="preserve">A 6.4. – 6.6.; </w:t>
            </w:r>
            <w:r w:rsidR="00192B3B">
              <w:rPr>
                <w:rFonts w:eastAsia="Calibri" w:cstheme="minorHAnsi"/>
                <w:sz w:val="18"/>
                <w:szCs w:val="18"/>
              </w:rPr>
              <w:t xml:space="preserve">PSNO </w:t>
            </w:r>
            <w:r w:rsidRPr="007C3BF8">
              <w:rPr>
                <w:rFonts w:eastAsia="Calibri" w:cstheme="minorHAnsi"/>
                <w:sz w:val="18"/>
                <w:szCs w:val="18"/>
              </w:rPr>
              <w:t xml:space="preserve">A 8.1. – </w:t>
            </w:r>
            <w:r w:rsidR="00192B3B">
              <w:rPr>
                <w:rFonts w:eastAsia="Calibri" w:cstheme="minorHAnsi"/>
                <w:sz w:val="18"/>
                <w:szCs w:val="18"/>
              </w:rPr>
              <w:t xml:space="preserve">PSNO </w:t>
            </w:r>
            <w:r w:rsidRPr="007C3BF8">
              <w:rPr>
                <w:rFonts w:eastAsia="Calibri" w:cstheme="minorHAnsi"/>
                <w:sz w:val="18"/>
                <w:szCs w:val="18"/>
              </w:rPr>
              <w:t xml:space="preserve">A 8.5., </w:t>
            </w:r>
            <w:r w:rsidR="00192B3B">
              <w:rPr>
                <w:rFonts w:eastAsia="Calibri" w:cstheme="minorHAnsi"/>
                <w:sz w:val="18"/>
                <w:szCs w:val="18"/>
              </w:rPr>
              <w:t xml:space="preserve">PSNO </w:t>
            </w:r>
            <w:r w:rsidRPr="007C3BF8">
              <w:rPr>
                <w:rFonts w:eastAsia="Calibri" w:cstheme="minorHAnsi"/>
                <w:sz w:val="18"/>
                <w:szCs w:val="18"/>
              </w:rPr>
              <w:t>A 9.1</w:t>
            </w:r>
          </w:p>
          <w:p w14:paraId="3B0CF1B2" w14:textId="4CFBA217" w:rsidR="007C3BF8" w:rsidRDefault="007C3BF8">
            <w:pPr>
              <w:rPr>
                <w:rFonts w:eastAsia="Calibri" w:cstheme="minorHAnsi"/>
                <w:sz w:val="18"/>
                <w:szCs w:val="18"/>
              </w:rPr>
            </w:pPr>
          </w:p>
          <w:p w14:paraId="71EAC632" w14:textId="22551330" w:rsidR="002559F7" w:rsidRDefault="002559F7">
            <w:pPr>
              <w:rPr>
                <w:rFonts w:eastAsia="Calibri" w:cstheme="minorHAnsi"/>
                <w:sz w:val="18"/>
                <w:szCs w:val="18"/>
              </w:rPr>
            </w:pPr>
          </w:p>
          <w:p w14:paraId="34CDCD6A" w14:textId="77777777" w:rsidR="00192B3B" w:rsidRPr="007C3BF8" w:rsidRDefault="00192B3B">
            <w:pPr>
              <w:rPr>
                <w:rFonts w:eastAsia="Calibri" w:cstheme="minorHAnsi"/>
                <w:sz w:val="18"/>
                <w:szCs w:val="18"/>
              </w:rPr>
            </w:pPr>
          </w:p>
          <w:p w14:paraId="7AA11838" w14:textId="1B6E62E4" w:rsidR="007C3BF8" w:rsidRPr="007C3BF8" w:rsidRDefault="007C3BF8">
            <w:pPr>
              <w:rPr>
                <w:rFonts w:eastAsia="Calibri" w:cstheme="minorHAnsi"/>
                <w:sz w:val="18"/>
                <w:szCs w:val="18"/>
              </w:rPr>
            </w:pPr>
            <w:r w:rsidRPr="007C3BF8">
              <w:rPr>
                <w:rFonts w:eastAsia="Calibri" w:cstheme="minorHAnsi"/>
                <w:sz w:val="18"/>
                <w:szCs w:val="18"/>
              </w:rPr>
              <w:t>A 6.1.</w:t>
            </w:r>
            <w:r w:rsidR="00C77206">
              <w:rPr>
                <w:rFonts w:eastAsia="Calibri" w:cstheme="minorHAnsi"/>
                <w:sz w:val="18"/>
                <w:szCs w:val="18"/>
              </w:rPr>
              <w:t>, A 9.1.</w:t>
            </w:r>
          </w:p>
        </w:tc>
        <w:tc>
          <w:tcPr>
            <w:tcW w:w="1249" w:type="pct"/>
            <w:tcBorders>
              <w:top w:val="single" w:sz="4" w:space="0" w:color="auto"/>
              <w:left w:val="single" w:sz="4" w:space="0" w:color="auto"/>
              <w:bottom w:val="single" w:sz="4" w:space="0" w:color="auto"/>
              <w:right w:val="single" w:sz="4" w:space="0" w:color="auto"/>
            </w:tcBorders>
            <w:vAlign w:val="center"/>
          </w:tcPr>
          <w:p w14:paraId="3F462959" w14:textId="310BADB4" w:rsidR="007C3BF8" w:rsidRPr="007C3BF8" w:rsidRDefault="007C3BF8">
            <w:pPr>
              <w:rPr>
                <w:rFonts w:eastAsiaTheme="minorEastAsia" w:cstheme="minorHAnsi"/>
                <w:sz w:val="18"/>
                <w:szCs w:val="18"/>
              </w:rPr>
            </w:pPr>
            <w:r w:rsidRPr="007C3BF8">
              <w:rPr>
                <w:rFonts w:eastAsiaTheme="minorEastAsia" w:cstheme="minorHAnsi"/>
                <w:sz w:val="18"/>
                <w:szCs w:val="18"/>
              </w:rPr>
              <w:t>Poduzeti odgovarajuće mjere kako bi potakle dizajn proizvoda i sastavnih dijelova proizvoda koji umanjuju učinak proizvoda na okoliš i nastanak otpada u tijeku proizvodnje i daljnje uporabe proizvoda te kako bi osigurale da se oporaba i zbrinjavanje proizvoda koji su postali otpad provode u skladu s člancima 4. i 13. Direktive 2008/98/EZ.</w:t>
            </w:r>
          </w:p>
          <w:p w14:paraId="14C087C0" w14:textId="77777777" w:rsidR="007C3BF8" w:rsidRDefault="007C3BF8">
            <w:pPr>
              <w:rPr>
                <w:rFonts w:eastAsia="Calibri" w:cstheme="minorHAnsi"/>
                <w:sz w:val="18"/>
                <w:szCs w:val="18"/>
              </w:rPr>
            </w:pPr>
          </w:p>
          <w:p w14:paraId="65298C26" w14:textId="2813A57D" w:rsidR="007C3BF8" w:rsidRPr="007C3BF8" w:rsidRDefault="007C3BF8">
            <w:pPr>
              <w:rPr>
                <w:rFonts w:eastAsia="Calibri" w:cstheme="minorHAnsi"/>
                <w:sz w:val="18"/>
                <w:szCs w:val="18"/>
              </w:rPr>
            </w:pPr>
            <w:r w:rsidRPr="007C3BF8">
              <w:rPr>
                <w:rFonts w:eastAsia="Calibri" w:cstheme="minorHAnsi"/>
                <w:sz w:val="18"/>
                <w:szCs w:val="18"/>
              </w:rPr>
              <w:t>Na godišnjoj razini postići:</w:t>
            </w:r>
          </w:p>
          <w:p w14:paraId="05F286BF" w14:textId="77777777" w:rsidR="007C3BF8" w:rsidRPr="007C3BF8" w:rsidRDefault="007C3BF8">
            <w:pPr>
              <w:numPr>
                <w:ilvl w:val="0"/>
                <w:numId w:val="36"/>
              </w:numPr>
              <w:ind w:left="317" w:hanging="270"/>
              <w:contextualSpacing/>
              <w:rPr>
                <w:rFonts w:eastAsia="Calibri" w:cstheme="minorHAnsi"/>
                <w:sz w:val="18"/>
                <w:szCs w:val="18"/>
              </w:rPr>
            </w:pPr>
            <w:r w:rsidRPr="007C3BF8">
              <w:rPr>
                <w:rFonts w:eastAsia="Calibri" w:cstheme="minorHAnsi"/>
                <w:sz w:val="18"/>
                <w:szCs w:val="18"/>
              </w:rPr>
              <w:t>Stopu ponovne uporabe i oporabe otpadnih vozila predanih na obradu od najmanje 95% prosječne mase otpadnog vozila</w:t>
            </w:r>
          </w:p>
          <w:p w14:paraId="4427F7F2" w14:textId="77777777" w:rsidR="007C3BF8" w:rsidRPr="007C3BF8" w:rsidRDefault="007C3BF8">
            <w:pPr>
              <w:rPr>
                <w:rFonts w:eastAsia="Calibri" w:cstheme="minorHAnsi"/>
                <w:sz w:val="18"/>
                <w:szCs w:val="18"/>
              </w:rPr>
            </w:pPr>
            <w:r w:rsidRPr="007C3BF8">
              <w:rPr>
                <w:rFonts w:eastAsia="Calibri" w:cstheme="minorHAnsi"/>
                <w:sz w:val="18"/>
                <w:szCs w:val="18"/>
              </w:rPr>
              <w:t xml:space="preserve">Stopu ponovne uporabe i recikliranja otpadnih vozila predanih na obradu od najmanje 85% prosječne mase otpadnog vozila </w:t>
            </w:r>
          </w:p>
          <w:p w14:paraId="4C5FDF59" w14:textId="77777777" w:rsidR="007C3BF8" w:rsidRPr="007C3BF8" w:rsidRDefault="007C3BF8">
            <w:pPr>
              <w:rPr>
                <w:rFonts w:eastAsia="Calibri" w:cstheme="minorHAnsi"/>
                <w:sz w:val="18"/>
                <w:szCs w:val="18"/>
              </w:rPr>
            </w:pPr>
          </w:p>
        </w:tc>
        <w:tc>
          <w:tcPr>
            <w:tcW w:w="1312" w:type="pct"/>
            <w:tcBorders>
              <w:top w:val="single" w:sz="4" w:space="0" w:color="auto"/>
              <w:left w:val="single" w:sz="4" w:space="0" w:color="auto"/>
              <w:bottom w:val="single" w:sz="4" w:space="0" w:color="auto"/>
              <w:right w:val="single" w:sz="4" w:space="0" w:color="auto"/>
            </w:tcBorders>
            <w:vAlign w:val="center"/>
          </w:tcPr>
          <w:p w14:paraId="15082A68" w14:textId="77777777" w:rsidR="007C3BF8" w:rsidRPr="007C3BF8" w:rsidRDefault="007C3BF8">
            <w:pPr>
              <w:rPr>
                <w:rFonts w:eastAsia="Calibri" w:cstheme="minorHAnsi"/>
                <w:sz w:val="18"/>
                <w:szCs w:val="18"/>
              </w:rPr>
            </w:pPr>
            <w:r w:rsidRPr="007C3BF8">
              <w:rPr>
                <w:rFonts w:eastAsia="Calibri" w:cstheme="minorHAnsi"/>
                <w:sz w:val="18"/>
                <w:szCs w:val="18"/>
              </w:rPr>
              <w:t xml:space="preserve">Akcijski plan za kružno gospodarstvo - Za čišću i konkurentniju Europu (Bruxelles, 11.3.2020., COM(2020) 98 </w:t>
            </w:r>
            <w:proofErr w:type="spellStart"/>
            <w:r w:rsidRPr="007C3BF8">
              <w:rPr>
                <w:rFonts w:eastAsia="Calibri" w:cstheme="minorHAnsi"/>
                <w:sz w:val="18"/>
                <w:szCs w:val="18"/>
              </w:rPr>
              <w:t>final</w:t>
            </w:r>
            <w:proofErr w:type="spellEnd"/>
            <w:r w:rsidRPr="007C3BF8">
              <w:rPr>
                <w:rFonts w:eastAsia="Calibri" w:cstheme="minorHAnsi"/>
                <w:sz w:val="18"/>
                <w:szCs w:val="18"/>
              </w:rPr>
              <w:t>)</w:t>
            </w:r>
          </w:p>
          <w:p w14:paraId="754F9FC9" w14:textId="77777777" w:rsidR="007C3BF8" w:rsidRPr="007C3BF8" w:rsidRDefault="007C3BF8">
            <w:pPr>
              <w:rPr>
                <w:rFonts w:eastAsia="Calibri" w:cstheme="minorHAnsi"/>
                <w:sz w:val="18"/>
                <w:szCs w:val="18"/>
              </w:rPr>
            </w:pPr>
          </w:p>
          <w:p w14:paraId="0AB1D137" w14:textId="77777777" w:rsidR="007C3BF8" w:rsidRPr="007C3BF8" w:rsidRDefault="007C3BF8">
            <w:pPr>
              <w:rPr>
                <w:rFonts w:eastAsiaTheme="minorEastAsia"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p w14:paraId="2C9A5B73" w14:textId="77777777" w:rsidR="007C3BF8" w:rsidRPr="007C3BF8" w:rsidRDefault="007C3BF8">
            <w:pPr>
              <w:rPr>
                <w:rFonts w:eastAsia="Calibri" w:cstheme="minorHAnsi"/>
                <w:sz w:val="18"/>
                <w:szCs w:val="18"/>
              </w:rPr>
            </w:pPr>
          </w:p>
          <w:p w14:paraId="38B310B0" w14:textId="77777777" w:rsidR="007C3BF8" w:rsidRPr="007C3BF8" w:rsidRDefault="007C3BF8">
            <w:pPr>
              <w:rPr>
                <w:rFonts w:eastAsia="Calibri" w:cstheme="minorHAnsi"/>
                <w:sz w:val="18"/>
                <w:szCs w:val="18"/>
              </w:rPr>
            </w:pPr>
            <w:r w:rsidRPr="007C3BF8">
              <w:rPr>
                <w:rFonts w:eastAsia="Calibri" w:cstheme="minorHAnsi"/>
                <w:sz w:val="18"/>
                <w:szCs w:val="18"/>
              </w:rPr>
              <w:t>Direktiva 2000/53/EZ Europskoga parlamenta i Vijeća od 18. rujna 2000. o otpadnim vozilima (SL L 269, 21. 10. 2000.) kako je posljednji put izmijenjena Direktivom (EU) 2018/849 Europskog parlamenta i Vijeća od 30. svibnja 2018. o izmjeni direktiva 2000/53/EZ o otpadnim vozilima, 2006/66/EZ o baterijama i akumulatorima i o otpadnim baterijama i akumulatorima te 2012/19/EU o otpadnoj električnoj i elektroničkoj opremi (SL L 150, 14. 6. 2018.)</w:t>
            </w:r>
          </w:p>
        </w:tc>
      </w:tr>
      <w:tr w:rsidR="00C262BD" w:rsidRPr="007C3BF8" w14:paraId="0F370CC1" w14:textId="77777777" w:rsidTr="007C3BF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6F3CEC02" w14:textId="77777777" w:rsidR="007C3BF8" w:rsidRPr="007C3BF8" w:rsidRDefault="007C3BF8">
            <w:pPr>
              <w:jc w:val="center"/>
              <w:rPr>
                <w:rFonts w:eastAsia="Calibri" w:cstheme="minorHAnsi"/>
                <w:sz w:val="18"/>
                <w:szCs w:val="18"/>
              </w:rPr>
            </w:pPr>
            <w:r w:rsidRPr="007C3BF8">
              <w:rPr>
                <w:rFonts w:eastAsia="Calibri" w:cstheme="minorHAnsi"/>
                <w:b/>
                <w:bCs/>
                <w:sz w:val="18"/>
                <w:szCs w:val="18"/>
              </w:rPr>
              <w:t>Cilj 6. - Otpadne baterije i akumulatori</w:t>
            </w:r>
          </w:p>
        </w:tc>
      </w:tr>
      <w:tr w:rsidR="008B146A" w:rsidRPr="007C3BF8" w14:paraId="447D37E7" w14:textId="77777777" w:rsidTr="009008E5">
        <w:trPr>
          <w:trHeight w:val="20"/>
        </w:trPr>
        <w:tc>
          <w:tcPr>
            <w:tcW w:w="1064" w:type="pct"/>
            <w:tcBorders>
              <w:top w:val="single" w:sz="4" w:space="0" w:color="auto"/>
              <w:left w:val="single" w:sz="4" w:space="0" w:color="auto"/>
              <w:bottom w:val="single" w:sz="4" w:space="0" w:color="auto"/>
              <w:right w:val="single" w:sz="4" w:space="0" w:color="auto"/>
            </w:tcBorders>
            <w:vAlign w:val="center"/>
          </w:tcPr>
          <w:p w14:paraId="4DF0FDB0" w14:textId="77777777" w:rsidR="007C3BF8" w:rsidRPr="007C3BF8" w:rsidRDefault="007C3BF8">
            <w:pPr>
              <w:rPr>
                <w:rFonts w:eastAsia="Calibri" w:cstheme="minorHAnsi"/>
                <w:sz w:val="18"/>
                <w:szCs w:val="18"/>
              </w:rPr>
            </w:pPr>
            <w:r w:rsidRPr="007C3BF8">
              <w:rPr>
                <w:rFonts w:eastAsia="Calibri" w:cstheme="minorHAnsi"/>
                <w:sz w:val="18"/>
                <w:szCs w:val="18"/>
              </w:rPr>
              <w:t>Postići godišnju stopa odvojenog sakupljanja otpadnih baterija i akumulatora najmanje 45% od prosječne godišnje količine stavljene na tržište u protekle tri godine.</w:t>
            </w:r>
          </w:p>
          <w:p w14:paraId="2A25265F" w14:textId="77777777" w:rsidR="007C3BF8" w:rsidRPr="007C3BF8" w:rsidRDefault="007C3BF8">
            <w:pPr>
              <w:rPr>
                <w:rFonts w:eastAsia="Calibri" w:cstheme="minorHAnsi"/>
                <w:sz w:val="18"/>
                <w:szCs w:val="18"/>
              </w:rPr>
            </w:pPr>
          </w:p>
          <w:p w14:paraId="6E3DE339" w14:textId="77777777" w:rsidR="007C3BF8" w:rsidRPr="007C3BF8" w:rsidRDefault="007C3BF8">
            <w:pPr>
              <w:rPr>
                <w:rFonts w:eastAsia="Calibri" w:cstheme="minorHAnsi"/>
                <w:sz w:val="18"/>
                <w:szCs w:val="18"/>
              </w:rPr>
            </w:pPr>
            <w:r w:rsidRPr="007C3BF8">
              <w:rPr>
                <w:rFonts w:eastAsia="Calibri" w:cstheme="minorHAnsi"/>
                <w:sz w:val="18"/>
                <w:szCs w:val="18"/>
              </w:rPr>
              <w:t>Postići minimalnu učinkovitost recikliranja:</w:t>
            </w:r>
          </w:p>
          <w:p w14:paraId="5743044E" w14:textId="77777777" w:rsidR="007C3BF8" w:rsidRPr="007C3BF8" w:rsidRDefault="007C3BF8">
            <w:pPr>
              <w:rPr>
                <w:rFonts w:eastAsia="Calibri" w:cstheme="minorHAnsi"/>
                <w:sz w:val="18"/>
                <w:szCs w:val="18"/>
              </w:rPr>
            </w:pPr>
          </w:p>
          <w:p w14:paraId="41091541" w14:textId="77777777" w:rsidR="007C3BF8" w:rsidRPr="007C3BF8" w:rsidRDefault="007C3BF8">
            <w:pPr>
              <w:pStyle w:val="Odlomakpopisa"/>
              <w:numPr>
                <w:ilvl w:val="0"/>
                <w:numId w:val="38"/>
              </w:numPr>
              <w:ind w:left="401"/>
              <w:rPr>
                <w:rFonts w:eastAsia="Calibri" w:cstheme="minorHAnsi"/>
                <w:sz w:val="18"/>
                <w:szCs w:val="18"/>
              </w:rPr>
            </w:pPr>
            <w:r w:rsidRPr="007C3BF8">
              <w:rPr>
                <w:rFonts w:eastAsia="Calibri" w:cstheme="minorHAnsi"/>
                <w:sz w:val="18"/>
                <w:szCs w:val="18"/>
              </w:rPr>
              <w:t xml:space="preserve">recikliranje 65 % prosječne mase olovno-kiselih </w:t>
            </w:r>
            <w:r w:rsidRPr="007C3BF8">
              <w:rPr>
                <w:rFonts w:eastAsia="Calibri" w:cstheme="minorHAnsi"/>
                <w:sz w:val="18"/>
                <w:szCs w:val="18"/>
              </w:rPr>
              <w:lastRenderedPageBreak/>
              <w:t>baterija i akumulatora, uključujući recikliranje sadržaja olova u najvećoj tehnički izvedivoj mjeri uz izbjegavanje prekomjernih troškova;</w:t>
            </w:r>
          </w:p>
          <w:p w14:paraId="14812E31" w14:textId="77777777" w:rsidR="007C3BF8" w:rsidRPr="007C3BF8" w:rsidRDefault="007C3BF8">
            <w:pPr>
              <w:pStyle w:val="Odlomakpopisa"/>
              <w:numPr>
                <w:ilvl w:val="0"/>
                <w:numId w:val="38"/>
              </w:numPr>
              <w:ind w:left="401"/>
              <w:rPr>
                <w:rFonts w:eastAsia="Calibri" w:cstheme="minorHAnsi"/>
                <w:sz w:val="18"/>
                <w:szCs w:val="18"/>
              </w:rPr>
            </w:pPr>
            <w:r w:rsidRPr="007C3BF8">
              <w:rPr>
                <w:rFonts w:eastAsia="Calibri" w:cstheme="minorHAnsi"/>
                <w:sz w:val="18"/>
                <w:szCs w:val="18"/>
              </w:rPr>
              <w:t>recikliranje 75 % prosječne mase nikal-</w:t>
            </w:r>
            <w:proofErr w:type="spellStart"/>
            <w:r w:rsidRPr="007C3BF8">
              <w:rPr>
                <w:rFonts w:eastAsia="Calibri" w:cstheme="minorHAnsi"/>
                <w:sz w:val="18"/>
                <w:szCs w:val="18"/>
              </w:rPr>
              <w:t>kadmijskih</w:t>
            </w:r>
            <w:proofErr w:type="spellEnd"/>
            <w:r w:rsidRPr="007C3BF8">
              <w:rPr>
                <w:rFonts w:eastAsia="Calibri" w:cstheme="minorHAnsi"/>
                <w:sz w:val="18"/>
                <w:szCs w:val="18"/>
              </w:rPr>
              <w:t xml:space="preserve"> baterija i akumulatora, uključujući recikliranje sadržaja kadmija u najvećoj tehnički izvedivoj mjeri uz izbjegavanje prekomjernih troškova; i</w:t>
            </w:r>
          </w:p>
          <w:p w14:paraId="3AD5BD88" w14:textId="77777777" w:rsidR="007C3BF8" w:rsidRPr="007C3BF8" w:rsidRDefault="007C3BF8">
            <w:pPr>
              <w:pStyle w:val="Odlomakpopisa"/>
              <w:numPr>
                <w:ilvl w:val="0"/>
                <w:numId w:val="38"/>
              </w:numPr>
              <w:ind w:left="401"/>
              <w:rPr>
                <w:rFonts w:eastAsia="Calibri" w:cstheme="minorHAnsi"/>
                <w:sz w:val="18"/>
                <w:szCs w:val="18"/>
              </w:rPr>
            </w:pPr>
            <w:r w:rsidRPr="007C3BF8">
              <w:rPr>
                <w:rFonts w:eastAsia="Calibri" w:cstheme="minorHAnsi"/>
                <w:sz w:val="18"/>
                <w:szCs w:val="18"/>
              </w:rPr>
              <w:t>recikliranje 50 % prosječne mase ostalih otpadnih baterija i akumulatora.</w:t>
            </w:r>
          </w:p>
        </w:tc>
        <w:tc>
          <w:tcPr>
            <w:tcW w:w="742" w:type="pct"/>
            <w:tcBorders>
              <w:top w:val="single" w:sz="4" w:space="0" w:color="auto"/>
              <w:left w:val="single" w:sz="4" w:space="0" w:color="auto"/>
              <w:bottom w:val="single" w:sz="4" w:space="0" w:color="auto"/>
              <w:right w:val="single" w:sz="4" w:space="0" w:color="auto"/>
            </w:tcBorders>
            <w:vAlign w:val="center"/>
          </w:tcPr>
          <w:p w14:paraId="34D4D8EF" w14:textId="0026386A" w:rsidR="007C3BF8" w:rsidRDefault="007A0053">
            <w:pPr>
              <w:rPr>
                <w:rFonts w:eastAsia="Calibri" w:cstheme="minorHAnsi"/>
                <w:sz w:val="18"/>
                <w:szCs w:val="18"/>
              </w:rPr>
            </w:pPr>
            <w:r w:rsidRPr="007A0053">
              <w:rPr>
                <w:rFonts w:eastAsia="Calibri" w:cstheme="minorHAnsi"/>
                <w:sz w:val="18"/>
                <w:szCs w:val="18"/>
              </w:rPr>
              <w:lastRenderedPageBreak/>
              <w:t>Mjere i aktivnosti definirane Programom sprječavanja nastanka otpada RH</w:t>
            </w:r>
          </w:p>
          <w:p w14:paraId="47EF3F32" w14:textId="77777777" w:rsidR="007A0053" w:rsidRPr="007C3BF8" w:rsidRDefault="007A0053">
            <w:pPr>
              <w:rPr>
                <w:rFonts w:eastAsia="Calibri" w:cstheme="minorHAnsi"/>
                <w:sz w:val="18"/>
                <w:szCs w:val="18"/>
              </w:rPr>
            </w:pPr>
          </w:p>
          <w:p w14:paraId="13EDBAA8" w14:textId="77777777" w:rsidR="002559F7" w:rsidRDefault="002559F7">
            <w:pPr>
              <w:rPr>
                <w:rFonts w:eastAsia="Calibri" w:cstheme="minorHAnsi"/>
                <w:sz w:val="18"/>
                <w:szCs w:val="18"/>
              </w:rPr>
            </w:pPr>
          </w:p>
          <w:p w14:paraId="5880B51F" w14:textId="7E19616A" w:rsidR="007C3BF8" w:rsidRDefault="007C3BF8">
            <w:pPr>
              <w:rPr>
                <w:rFonts w:eastAsia="Calibri" w:cstheme="minorHAnsi"/>
                <w:sz w:val="18"/>
                <w:szCs w:val="18"/>
              </w:rPr>
            </w:pPr>
            <w:r w:rsidRPr="007C3BF8">
              <w:rPr>
                <w:rFonts w:eastAsia="Calibri" w:cstheme="minorHAnsi"/>
                <w:sz w:val="18"/>
                <w:szCs w:val="18"/>
              </w:rPr>
              <w:t xml:space="preserve">Mjera 6. Analiza </w:t>
            </w:r>
            <w:r w:rsidR="008B146A">
              <w:rPr>
                <w:rFonts w:eastAsia="Calibri" w:cstheme="minorHAnsi"/>
                <w:sz w:val="18"/>
                <w:szCs w:val="18"/>
              </w:rPr>
              <w:t xml:space="preserve">učinkovitosti </w:t>
            </w:r>
            <w:r w:rsidRPr="007C3BF8">
              <w:rPr>
                <w:rFonts w:eastAsia="Calibri" w:cstheme="minorHAnsi"/>
                <w:sz w:val="18"/>
                <w:szCs w:val="18"/>
              </w:rPr>
              <w:t>sustava za gospodarenje posebnim kategorijama otpada</w:t>
            </w:r>
            <w:r w:rsidR="007A0053">
              <w:rPr>
                <w:rFonts w:eastAsia="Calibri" w:cstheme="minorHAnsi"/>
                <w:sz w:val="18"/>
                <w:szCs w:val="18"/>
              </w:rPr>
              <w:t xml:space="preserve"> s </w:t>
            </w:r>
            <w:r w:rsidR="007A0053">
              <w:rPr>
                <w:rFonts w:eastAsia="Calibri" w:cstheme="minorHAnsi"/>
                <w:sz w:val="18"/>
                <w:szCs w:val="18"/>
              </w:rPr>
              <w:lastRenderedPageBreak/>
              <w:t xml:space="preserve">prijedlozima za </w:t>
            </w:r>
            <w:r w:rsidR="001636FD">
              <w:rPr>
                <w:rFonts w:eastAsia="Calibri" w:cstheme="minorHAnsi"/>
                <w:sz w:val="18"/>
                <w:szCs w:val="18"/>
              </w:rPr>
              <w:t>unaprjeđenje</w:t>
            </w:r>
          </w:p>
          <w:p w14:paraId="2EAFE845" w14:textId="77777777" w:rsidR="001636FD" w:rsidRDefault="001636FD">
            <w:pPr>
              <w:rPr>
                <w:rFonts w:eastAsia="Calibri" w:cstheme="minorHAnsi"/>
                <w:sz w:val="18"/>
                <w:szCs w:val="18"/>
              </w:rPr>
            </w:pPr>
          </w:p>
          <w:p w14:paraId="64930A16" w14:textId="7BAE5F03" w:rsidR="001636FD" w:rsidRPr="007C3BF8" w:rsidRDefault="001636FD">
            <w:pPr>
              <w:rPr>
                <w:rFonts w:eastAsia="Calibri" w:cstheme="minorHAnsi"/>
                <w:sz w:val="18"/>
                <w:szCs w:val="18"/>
              </w:rPr>
            </w:pPr>
            <w:r w:rsidRPr="001636FD">
              <w:rPr>
                <w:rFonts w:eastAsia="Calibri" w:cstheme="minorHAnsi"/>
                <w:sz w:val="18"/>
                <w:szCs w:val="18"/>
              </w:rPr>
              <w:t>Mjera 9. Unaprjeđenje sustava za gospodarenje otpadnim vozilima, otpadnim baterijama i akumulatorima, otpadnom električnom i elektroničkom opremom i otpadnim gumama</w:t>
            </w:r>
          </w:p>
        </w:tc>
        <w:tc>
          <w:tcPr>
            <w:tcW w:w="633" w:type="pct"/>
            <w:tcBorders>
              <w:top w:val="single" w:sz="4" w:space="0" w:color="auto"/>
              <w:left w:val="single" w:sz="4" w:space="0" w:color="auto"/>
              <w:bottom w:val="single" w:sz="4" w:space="0" w:color="auto"/>
              <w:right w:val="single" w:sz="4" w:space="0" w:color="auto"/>
            </w:tcBorders>
            <w:vAlign w:val="center"/>
          </w:tcPr>
          <w:p w14:paraId="77F6CFD8" w14:textId="7168EA11" w:rsidR="007C3BF8" w:rsidRPr="007C3BF8" w:rsidRDefault="007C3BF8">
            <w:pPr>
              <w:rPr>
                <w:rFonts w:eastAsia="Calibri" w:cstheme="minorHAnsi"/>
                <w:sz w:val="18"/>
                <w:szCs w:val="18"/>
              </w:rPr>
            </w:pPr>
            <w:r w:rsidRPr="007C3BF8">
              <w:rPr>
                <w:rFonts w:eastAsiaTheme="minorEastAsia" w:cstheme="minorHAnsi"/>
                <w:sz w:val="18"/>
                <w:szCs w:val="18"/>
              </w:rPr>
              <w:lastRenderedPageBreak/>
              <w:t xml:space="preserve">Aktivnosti iz PSNO: </w:t>
            </w:r>
            <w:r w:rsidR="00192B3B">
              <w:rPr>
                <w:rFonts w:eastAsiaTheme="minorEastAsia" w:cstheme="minorHAnsi"/>
                <w:sz w:val="18"/>
                <w:szCs w:val="18"/>
              </w:rPr>
              <w:t xml:space="preserve">PSNO </w:t>
            </w:r>
            <w:r w:rsidR="006061BC" w:rsidRPr="006061BC">
              <w:rPr>
                <w:rFonts w:eastAsia="Calibri" w:cstheme="minorHAnsi"/>
                <w:sz w:val="18"/>
                <w:szCs w:val="18"/>
              </w:rPr>
              <w:t xml:space="preserve">A 6.1., </w:t>
            </w:r>
            <w:r w:rsidR="00192B3B">
              <w:rPr>
                <w:rFonts w:eastAsia="Calibri" w:cstheme="minorHAnsi"/>
                <w:sz w:val="18"/>
                <w:szCs w:val="18"/>
              </w:rPr>
              <w:t xml:space="preserve">PSNO </w:t>
            </w:r>
            <w:r w:rsidR="006061BC" w:rsidRPr="006061BC">
              <w:rPr>
                <w:rFonts w:eastAsia="Calibri" w:cstheme="minorHAnsi"/>
                <w:sz w:val="18"/>
                <w:szCs w:val="18"/>
              </w:rPr>
              <w:t xml:space="preserve">A 6.2., </w:t>
            </w:r>
            <w:r w:rsidR="00192B3B">
              <w:rPr>
                <w:rFonts w:eastAsia="Calibri" w:cstheme="minorHAnsi"/>
                <w:sz w:val="18"/>
                <w:szCs w:val="18"/>
              </w:rPr>
              <w:t xml:space="preserve">PSNO </w:t>
            </w:r>
            <w:r w:rsidR="006061BC" w:rsidRPr="006061BC">
              <w:rPr>
                <w:rFonts w:eastAsia="Calibri" w:cstheme="minorHAnsi"/>
                <w:sz w:val="18"/>
                <w:szCs w:val="18"/>
              </w:rPr>
              <w:t xml:space="preserve">A 6.4. – 6.6.; </w:t>
            </w:r>
            <w:r w:rsidR="00192B3B">
              <w:rPr>
                <w:rFonts w:eastAsia="Calibri" w:cstheme="minorHAnsi"/>
                <w:sz w:val="18"/>
                <w:szCs w:val="18"/>
              </w:rPr>
              <w:t xml:space="preserve">PSNO </w:t>
            </w:r>
            <w:r w:rsidRPr="007C3BF8">
              <w:rPr>
                <w:rFonts w:eastAsia="Calibri" w:cstheme="minorHAnsi"/>
                <w:sz w:val="18"/>
                <w:szCs w:val="18"/>
              </w:rPr>
              <w:t xml:space="preserve">A 8.1. – </w:t>
            </w:r>
            <w:r w:rsidR="00192B3B">
              <w:rPr>
                <w:rFonts w:eastAsia="Calibri" w:cstheme="minorHAnsi"/>
                <w:sz w:val="18"/>
                <w:szCs w:val="18"/>
              </w:rPr>
              <w:t xml:space="preserve">PSNO </w:t>
            </w:r>
            <w:r w:rsidRPr="007C3BF8">
              <w:rPr>
                <w:rFonts w:eastAsia="Calibri" w:cstheme="minorHAnsi"/>
                <w:sz w:val="18"/>
                <w:szCs w:val="18"/>
              </w:rPr>
              <w:t xml:space="preserve">A 8.5., </w:t>
            </w:r>
            <w:r w:rsidR="00192B3B">
              <w:rPr>
                <w:rFonts w:eastAsia="Calibri" w:cstheme="minorHAnsi"/>
                <w:sz w:val="18"/>
                <w:szCs w:val="18"/>
              </w:rPr>
              <w:t xml:space="preserve">PSNO </w:t>
            </w:r>
            <w:r w:rsidRPr="007C3BF8">
              <w:rPr>
                <w:rFonts w:eastAsia="Calibri" w:cstheme="minorHAnsi"/>
                <w:sz w:val="18"/>
                <w:szCs w:val="18"/>
              </w:rPr>
              <w:t>A 9.1</w:t>
            </w:r>
          </w:p>
          <w:p w14:paraId="52909A36" w14:textId="034B0C8B" w:rsidR="007C3BF8" w:rsidRDefault="007C3BF8">
            <w:pPr>
              <w:rPr>
                <w:rFonts w:eastAsia="Calibri" w:cstheme="minorHAnsi"/>
                <w:sz w:val="18"/>
                <w:szCs w:val="18"/>
              </w:rPr>
            </w:pPr>
          </w:p>
          <w:p w14:paraId="712CD775" w14:textId="60528EBA" w:rsidR="00192B3B" w:rsidRDefault="00192B3B">
            <w:pPr>
              <w:rPr>
                <w:rFonts w:eastAsia="Calibri" w:cstheme="minorHAnsi"/>
                <w:sz w:val="18"/>
                <w:szCs w:val="18"/>
              </w:rPr>
            </w:pPr>
          </w:p>
          <w:p w14:paraId="5A3A63A4" w14:textId="77777777" w:rsidR="00192B3B" w:rsidRPr="007C3BF8" w:rsidRDefault="00192B3B">
            <w:pPr>
              <w:rPr>
                <w:rFonts w:eastAsia="Calibri" w:cstheme="minorHAnsi"/>
                <w:sz w:val="18"/>
                <w:szCs w:val="18"/>
              </w:rPr>
            </w:pPr>
          </w:p>
          <w:p w14:paraId="0B94F055" w14:textId="4AE5A0E6" w:rsidR="007C3BF8" w:rsidRPr="007C3BF8" w:rsidRDefault="007C3BF8">
            <w:pPr>
              <w:rPr>
                <w:rFonts w:eastAsia="Calibri" w:cstheme="minorHAnsi"/>
                <w:sz w:val="18"/>
                <w:szCs w:val="18"/>
              </w:rPr>
            </w:pPr>
            <w:r w:rsidRPr="007C3BF8">
              <w:rPr>
                <w:rFonts w:eastAsia="Calibri" w:cstheme="minorHAnsi"/>
                <w:sz w:val="18"/>
                <w:szCs w:val="18"/>
              </w:rPr>
              <w:t>A 6.1.</w:t>
            </w:r>
            <w:r w:rsidR="00C77206">
              <w:rPr>
                <w:rFonts w:eastAsia="Calibri" w:cstheme="minorHAnsi"/>
                <w:sz w:val="18"/>
                <w:szCs w:val="18"/>
              </w:rPr>
              <w:t>, A 9.1.</w:t>
            </w:r>
          </w:p>
        </w:tc>
        <w:tc>
          <w:tcPr>
            <w:tcW w:w="1249" w:type="pct"/>
            <w:tcBorders>
              <w:top w:val="single" w:sz="4" w:space="0" w:color="auto"/>
              <w:left w:val="single" w:sz="4" w:space="0" w:color="auto"/>
              <w:bottom w:val="single" w:sz="4" w:space="0" w:color="auto"/>
              <w:right w:val="single" w:sz="4" w:space="0" w:color="auto"/>
            </w:tcBorders>
            <w:vAlign w:val="center"/>
          </w:tcPr>
          <w:p w14:paraId="6BD494F7" w14:textId="77777777" w:rsidR="007C3BF8" w:rsidRPr="007C3BF8" w:rsidRDefault="007C3BF8">
            <w:pPr>
              <w:ind w:left="118"/>
              <w:rPr>
                <w:rFonts w:eastAsiaTheme="minorEastAsia" w:cstheme="minorHAnsi"/>
                <w:sz w:val="18"/>
                <w:szCs w:val="18"/>
              </w:rPr>
            </w:pPr>
            <w:r w:rsidRPr="007C3BF8">
              <w:rPr>
                <w:rFonts w:eastAsiaTheme="minorEastAsia" w:cstheme="minorHAnsi"/>
                <w:sz w:val="18"/>
                <w:szCs w:val="18"/>
              </w:rPr>
              <w:t>Poduzeti odgovarajuće mjere kako bi potakle dizajn proizvoda i sastavnih dijelova proizvoda koji umanjuju učinak proizvoda na okoliš i nastanak otpada u tijeku proizvodnje i daljnje uporabe proizvoda te kako bi osigurale da se oporaba i zbrinjavanje proizvoda koji su postali otpad provode u skladu s člancima 4. i 13. Direktive 2008/98/EZ.</w:t>
            </w:r>
          </w:p>
          <w:p w14:paraId="5563A863" w14:textId="77777777" w:rsidR="007C3BF8" w:rsidRPr="007C3BF8" w:rsidRDefault="007C3BF8">
            <w:pPr>
              <w:rPr>
                <w:rFonts w:eastAsia="Calibri" w:cstheme="minorHAnsi"/>
                <w:sz w:val="18"/>
                <w:szCs w:val="18"/>
              </w:rPr>
            </w:pPr>
          </w:p>
          <w:p w14:paraId="635CC9D5" w14:textId="77777777" w:rsidR="007C3BF8" w:rsidRPr="007C3BF8" w:rsidRDefault="007C3BF8">
            <w:pPr>
              <w:rPr>
                <w:rFonts w:eastAsia="Calibri" w:cstheme="minorHAnsi"/>
                <w:sz w:val="18"/>
                <w:szCs w:val="18"/>
              </w:rPr>
            </w:pPr>
            <w:r w:rsidRPr="007C3BF8">
              <w:rPr>
                <w:rFonts w:eastAsia="Calibri" w:cstheme="minorHAnsi"/>
                <w:sz w:val="18"/>
                <w:szCs w:val="18"/>
              </w:rPr>
              <w:lastRenderedPageBreak/>
              <w:t>Minimalna stopa prikupljanja iznosi 45%</w:t>
            </w:r>
          </w:p>
          <w:p w14:paraId="79B7E39E" w14:textId="77777777" w:rsidR="007C3BF8" w:rsidRPr="007C3BF8" w:rsidRDefault="007C3BF8">
            <w:pPr>
              <w:rPr>
                <w:rFonts w:eastAsia="Calibri" w:cstheme="minorHAnsi"/>
                <w:sz w:val="18"/>
                <w:szCs w:val="18"/>
              </w:rPr>
            </w:pPr>
          </w:p>
          <w:p w14:paraId="1EA40C2D" w14:textId="77777777" w:rsidR="007C3BF8" w:rsidRPr="007C3BF8" w:rsidRDefault="007C3BF8">
            <w:pPr>
              <w:rPr>
                <w:rFonts w:eastAsia="Calibri" w:cstheme="minorHAnsi"/>
                <w:sz w:val="18"/>
                <w:szCs w:val="18"/>
              </w:rPr>
            </w:pPr>
            <w:r w:rsidRPr="007C3BF8">
              <w:rPr>
                <w:rFonts w:eastAsia="Calibri" w:cstheme="minorHAnsi"/>
                <w:sz w:val="18"/>
                <w:szCs w:val="18"/>
              </w:rPr>
              <w:t>Procesi recikliranja postižu sljedeću minimalnu učinkovitost recikliranja:</w:t>
            </w:r>
          </w:p>
          <w:p w14:paraId="1673E3DB" w14:textId="77777777" w:rsidR="007C3BF8" w:rsidRPr="007C3BF8" w:rsidRDefault="007C3BF8">
            <w:pPr>
              <w:rPr>
                <w:rFonts w:eastAsia="Calibri" w:cstheme="minorHAnsi"/>
                <w:sz w:val="18"/>
                <w:szCs w:val="18"/>
              </w:rPr>
            </w:pPr>
          </w:p>
          <w:p w14:paraId="76F9034D" w14:textId="77777777" w:rsidR="007C3BF8" w:rsidRPr="007C3BF8" w:rsidRDefault="007C3BF8">
            <w:pPr>
              <w:pStyle w:val="Odlomakpopisa"/>
              <w:numPr>
                <w:ilvl w:val="0"/>
                <w:numId w:val="38"/>
              </w:numPr>
              <w:ind w:left="401"/>
              <w:rPr>
                <w:rFonts w:eastAsia="Calibri" w:cstheme="minorHAnsi"/>
                <w:sz w:val="18"/>
                <w:szCs w:val="18"/>
              </w:rPr>
            </w:pPr>
            <w:r w:rsidRPr="007C3BF8">
              <w:rPr>
                <w:rFonts w:eastAsia="Calibri" w:cstheme="minorHAnsi"/>
                <w:sz w:val="18"/>
                <w:szCs w:val="18"/>
              </w:rPr>
              <w:t>recikliranje 65 % prosječne mase olovno-kiselih baterija i akumulatora, uključujući recikliranje sadržaja olova u najvećoj tehnički izvedivoj mjeri uz izbjegavanje prekomjernih troškova;</w:t>
            </w:r>
          </w:p>
          <w:p w14:paraId="4A008A65" w14:textId="77777777" w:rsidR="007C3BF8" w:rsidRPr="007C3BF8" w:rsidRDefault="007C3BF8">
            <w:pPr>
              <w:pStyle w:val="Odlomakpopisa"/>
              <w:numPr>
                <w:ilvl w:val="0"/>
                <w:numId w:val="38"/>
              </w:numPr>
              <w:ind w:left="401"/>
              <w:rPr>
                <w:rFonts w:eastAsia="Calibri" w:cstheme="minorHAnsi"/>
                <w:sz w:val="18"/>
                <w:szCs w:val="18"/>
              </w:rPr>
            </w:pPr>
            <w:r w:rsidRPr="007C3BF8">
              <w:rPr>
                <w:rFonts w:eastAsia="Calibri" w:cstheme="minorHAnsi"/>
                <w:sz w:val="18"/>
                <w:szCs w:val="18"/>
              </w:rPr>
              <w:t>recikliranje 75 % prosječne mase nikal-</w:t>
            </w:r>
            <w:proofErr w:type="spellStart"/>
            <w:r w:rsidRPr="007C3BF8">
              <w:rPr>
                <w:rFonts w:eastAsia="Calibri" w:cstheme="minorHAnsi"/>
                <w:sz w:val="18"/>
                <w:szCs w:val="18"/>
              </w:rPr>
              <w:t>kadmijskih</w:t>
            </w:r>
            <w:proofErr w:type="spellEnd"/>
            <w:r w:rsidRPr="007C3BF8">
              <w:rPr>
                <w:rFonts w:eastAsia="Calibri" w:cstheme="minorHAnsi"/>
                <w:sz w:val="18"/>
                <w:szCs w:val="18"/>
              </w:rPr>
              <w:t xml:space="preserve"> baterija i akumulatora, uključujući recikliranje sadržaja kadmija u najvećoj tehnički izvedivoj mjeri uz izbjegavanje prekomjernih troškova; i</w:t>
            </w:r>
          </w:p>
          <w:p w14:paraId="15497351" w14:textId="18EE782C" w:rsidR="007C3BF8" w:rsidRPr="007C3BF8" w:rsidRDefault="007C3BF8">
            <w:pPr>
              <w:pStyle w:val="Odlomakpopisa"/>
              <w:numPr>
                <w:ilvl w:val="0"/>
                <w:numId w:val="38"/>
              </w:numPr>
              <w:ind w:left="401"/>
              <w:rPr>
                <w:rFonts w:eastAsia="Calibri" w:cstheme="minorHAnsi"/>
                <w:sz w:val="18"/>
                <w:szCs w:val="18"/>
              </w:rPr>
            </w:pPr>
            <w:r w:rsidRPr="007C3BF8">
              <w:rPr>
                <w:rFonts w:eastAsia="Calibri" w:cstheme="minorHAnsi"/>
                <w:sz w:val="18"/>
                <w:szCs w:val="18"/>
              </w:rPr>
              <w:t>recikliranje 50 % prosječne mase ostalih otpadnih baterija i akumulatora.</w:t>
            </w:r>
          </w:p>
        </w:tc>
        <w:tc>
          <w:tcPr>
            <w:tcW w:w="1312" w:type="pct"/>
            <w:tcBorders>
              <w:top w:val="single" w:sz="4" w:space="0" w:color="auto"/>
              <w:left w:val="single" w:sz="4" w:space="0" w:color="auto"/>
              <w:bottom w:val="single" w:sz="4" w:space="0" w:color="auto"/>
              <w:right w:val="single" w:sz="4" w:space="0" w:color="auto"/>
            </w:tcBorders>
            <w:vAlign w:val="center"/>
          </w:tcPr>
          <w:p w14:paraId="3DD9B5BB" w14:textId="77777777" w:rsidR="007C3BF8" w:rsidRPr="007C3BF8" w:rsidRDefault="007C3BF8">
            <w:pPr>
              <w:rPr>
                <w:rFonts w:eastAsia="Calibri" w:cstheme="minorHAnsi"/>
                <w:sz w:val="18"/>
                <w:szCs w:val="18"/>
              </w:rPr>
            </w:pPr>
            <w:r w:rsidRPr="007C3BF8">
              <w:rPr>
                <w:rFonts w:eastAsia="Calibri" w:cstheme="minorHAnsi"/>
                <w:sz w:val="18"/>
                <w:szCs w:val="18"/>
              </w:rPr>
              <w:lastRenderedPageBreak/>
              <w:t xml:space="preserve">Akcijski plan za kružno gospodarstvo - Za čišću i konkurentniju Europu (Bruxelles, 11.3.2020., COM(2020) 98 </w:t>
            </w:r>
            <w:proofErr w:type="spellStart"/>
            <w:r w:rsidRPr="007C3BF8">
              <w:rPr>
                <w:rFonts w:eastAsia="Calibri" w:cstheme="minorHAnsi"/>
                <w:sz w:val="18"/>
                <w:szCs w:val="18"/>
              </w:rPr>
              <w:t>final</w:t>
            </w:r>
            <w:proofErr w:type="spellEnd"/>
            <w:r w:rsidRPr="007C3BF8">
              <w:rPr>
                <w:rFonts w:eastAsia="Calibri" w:cstheme="minorHAnsi"/>
                <w:sz w:val="18"/>
                <w:szCs w:val="18"/>
              </w:rPr>
              <w:t>)</w:t>
            </w:r>
          </w:p>
          <w:p w14:paraId="641D8F76" w14:textId="77777777" w:rsidR="007C3BF8" w:rsidRPr="007C3BF8" w:rsidRDefault="007C3BF8">
            <w:pPr>
              <w:rPr>
                <w:rFonts w:eastAsia="Calibri" w:cstheme="minorHAnsi"/>
                <w:sz w:val="18"/>
                <w:szCs w:val="18"/>
              </w:rPr>
            </w:pPr>
          </w:p>
          <w:p w14:paraId="5D159B79" w14:textId="77777777" w:rsidR="007C3BF8" w:rsidRPr="007C3BF8" w:rsidRDefault="007C3BF8">
            <w:pPr>
              <w:rPr>
                <w:rFonts w:eastAsiaTheme="minorEastAsia" w:cstheme="minorHAnsi"/>
                <w:sz w:val="18"/>
                <w:szCs w:val="18"/>
              </w:rPr>
            </w:pPr>
            <w:r w:rsidRPr="007C3BF8">
              <w:rPr>
                <w:rFonts w:eastAsia="Calibri" w:cstheme="minorHAnsi"/>
                <w:sz w:val="18"/>
                <w:szCs w:val="18"/>
              </w:rPr>
              <w:t xml:space="preserve">Direktiva 2008/98/EZ Europskog parlamenta i Vijeća od 19. studenoga 2008. o otpadu i stavljanju izvan snage određenih direktiva (SL L 312, 22. 11. 2008.) kako je posljednji put izmijenjena Direktivom (EU) 2018/851 Europskog parlamenta i Vijeća od 30. </w:t>
            </w:r>
            <w:r w:rsidRPr="007C3BF8">
              <w:rPr>
                <w:rFonts w:eastAsia="Calibri" w:cstheme="minorHAnsi"/>
                <w:sz w:val="18"/>
                <w:szCs w:val="18"/>
              </w:rPr>
              <w:lastRenderedPageBreak/>
              <w:t>svibnja 2018. o izmjeni Direktive 2008/98/EZ o otpadu (SL L 150, 14. 6. 2018.)</w:t>
            </w:r>
          </w:p>
          <w:p w14:paraId="20FA6998" w14:textId="77777777" w:rsidR="007C3BF8" w:rsidRPr="007C3BF8" w:rsidRDefault="007C3BF8">
            <w:pPr>
              <w:rPr>
                <w:rFonts w:eastAsia="Calibri" w:cstheme="minorHAnsi"/>
                <w:sz w:val="18"/>
                <w:szCs w:val="18"/>
              </w:rPr>
            </w:pPr>
          </w:p>
          <w:p w14:paraId="0728D4ED" w14:textId="77777777" w:rsidR="007C3BF8" w:rsidRPr="007C3BF8" w:rsidRDefault="007C3BF8">
            <w:pPr>
              <w:rPr>
                <w:rFonts w:eastAsia="Calibri" w:cstheme="minorHAnsi"/>
                <w:sz w:val="18"/>
                <w:szCs w:val="18"/>
              </w:rPr>
            </w:pPr>
            <w:r w:rsidRPr="007C3BF8">
              <w:rPr>
                <w:rFonts w:eastAsia="Calibri" w:cstheme="minorHAnsi"/>
                <w:sz w:val="18"/>
                <w:szCs w:val="18"/>
              </w:rPr>
              <w:t>Direktiva 2006/66/EZ Europskog parlamenta i Vijeća od 6. rujna 2006. o baterijama i akumulatorima i otpadnim baterijama i akumulatorima te stavljanju izvan snage Direktive 91/157/EEZ (SL L 266, 26. 9. 2006.) kako je posljednji put izmijenjena Direktivom (EU) 2018/849 Europskog parlamenta i Vijeća od 30. svibnja 2018. o izmjeni direktiva 2000/53/EZ o otpadnim vozilima, 2006/66/EZ o baterijama i akumulatorima i o otpadnim baterijama i akumulatorima te 2012/19/EU o otpadnoj električnoj i elektroničkoj opremi (SL L 150, 14. 6. 2018.)</w:t>
            </w:r>
          </w:p>
        </w:tc>
      </w:tr>
      <w:tr w:rsidR="00C262BD" w:rsidRPr="007C3BF8" w14:paraId="475695A6" w14:textId="77777777" w:rsidTr="007C3BF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12D66E6A" w14:textId="77777777" w:rsidR="007C3BF8" w:rsidRPr="007C3BF8" w:rsidRDefault="007C3BF8">
            <w:pPr>
              <w:jc w:val="center"/>
              <w:rPr>
                <w:rFonts w:eastAsia="Calibri" w:cstheme="minorHAnsi"/>
                <w:sz w:val="18"/>
                <w:szCs w:val="18"/>
              </w:rPr>
            </w:pPr>
            <w:r w:rsidRPr="007C3BF8">
              <w:rPr>
                <w:rFonts w:eastAsia="Calibri" w:cstheme="minorHAnsi"/>
                <w:b/>
                <w:bCs/>
                <w:sz w:val="18"/>
                <w:szCs w:val="18"/>
              </w:rPr>
              <w:lastRenderedPageBreak/>
              <w:t>Cilj 7. - Otpadna električna i elektronička oprema</w:t>
            </w:r>
          </w:p>
        </w:tc>
      </w:tr>
      <w:tr w:rsidR="008B146A" w:rsidRPr="007C3BF8" w14:paraId="08D77061" w14:textId="77777777" w:rsidTr="009008E5">
        <w:trPr>
          <w:trHeight w:val="1550"/>
        </w:trPr>
        <w:tc>
          <w:tcPr>
            <w:tcW w:w="1064" w:type="pct"/>
            <w:tcBorders>
              <w:top w:val="single" w:sz="4" w:space="0" w:color="auto"/>
              <w:left w:val="single" w:sz="4" w:space="0" w:color="auto"/>
              <w:bottom w:val="single" w:sz="4" w:space="0" w:color="auto"/>
              <w:right w:val="single" w:sz="4" w:space="0" w:color="auto"/>
            </w:tcBorders>
            <w:vAlign w:val="center"/>
          </w:tcPr>
          <w:p w14:paraId="5FB7E389" w14:textId="77777777" w:rsidR="007C3BF8" w:rsidRPr="007C3BF8" w:rsidRDefault="007C3BF8">
            <w:pPr>
              <w:rPr>
                <w:rFonts w:eastAsia="Calibri" w:cstheme="minorHAnsi"/>
                <w:sz w:val="18"/>
                <w:szCs w:val="18"/>
              </w:rPr>
            </w:pPr>
            <w:r w:rsidRPr="007C3BF8">
              <w:rPr>
                <w:rFonts w:eastAsia="Calibri" w:cstheme="minorHAnsi"/>
                <w:sz w:val="18"/>
                <w:szCs w:val="18"/>
              </w:rPr>
              <w:t xml:space="preserve">Postići godišnja stopa odvojenog sakupljanja otpadne električne i elektroničke opreme najmanje 65% prosječne mase električne i elektroničke opreme stavljene na tržište u tri prethodne godine </w:t>
            </w:r>
          </w:p>
          <w:p w14:paraId="2CA0DDA1" w14:textId="77777777" w:rsidR="007C3BF8" w:rsidRPr="007C3BF8" w:rsidRDefault="007C3BF8">
            <w:pPr>
              <w:rPr>
                <w:rFonts w:eastAsia="Calibri" w:cstheme="minorHAnsi"/>
                <w:sz w:val="18"/>
                <w:szCs w:val="18"/>
              </w:rPr>
            </w:pPr>
            <w:r w:rsidRPr="007C3BF8">
              <w:rPr>
                <w:rFonts w:eastAsia="Calibri" w:cstheme="minorHAnsi"/>
                <w:sz w:val="18"/>
                <w:szCs w:val="18"/>
              </w:rPr>
              <w:t>ili 85% EE otpada proizvedenog na teritoriju RH.</w:t>
            </w:r>
          </w:p>
          <w:p w14:paraId="326341AE" w14:textId="77777777" w:rsidR="007C3BF8" w:rsidRPr="007C3BF8" w:rsidRDefault="007C3BF8">
            <w:pPr>
              <w:rPr>
                <w:rFonts w:eastAsia="Calibri" w:cstheme="minorHAnsi"/>
                <w:sz w:val="18"/>
                <w:szCs w:val="18"/>
              </w:rPr>
            </w:pPr>
          </w:p>
          <w:p w14:paraId="24DB8209" w14:textId="77777777" w:rsidR="007C3BF8" w:rsidRPr="007C3BF8" w:rsidRDefault="007C3BF8">
            <w:pPr>
              <w:rPr>
                <w:rFonts w:eastAsia="Calibri" w:cstheme="minorHAnsi"/>
                <w:sz w:val="18"/>
                <w:szCs w:val="18"/>
              </w:rPr>
            </w:pPr>
            <w:proofErr w:type="spellStart"/>
            <w:r w:rsidRPr="007C3BF8">
              <w:rPr>
                <w:rFonts w:eastAsia="Calibri" w:cstheme="minorHAnsi"/>
                <w:sz w:val="18"/>
                <w:szCs w:val="18"/>
              </w:rPr>
              <w:t>Oporabiti</w:t>
            </w:r>
            <w:proofErr w:type="spellEnd"/>
            <w:r w:rsidRPr="007C3BF8">
              <w:rPr>
                <w:rFonts w:eastAsia="Calibri" w:cstheme="minorHAnsi"/>
                <w:sz w:val="18"/>
                <w:szCs w:val="18"/>
              </w:rPr>
              <w:t xml:space="preserve"> EE otpada na godišnjoj razini najmanje:</w:t>
            </w:r>
          </w:p>
          <w:p w14:paraId="1418543C" w14:textId="77777777" w:rsidR="007C3BF8" w:rsidRPr="007C3BF8" w:rsidRDefault="007C3BF8">
            <w:pPr>
              <w:numPr>
                <w:ilvl w:val="0"/>
                <w:numId w:val="37"/>
              </w:numPr>
              <w:ind w:left="458"/>
              <w:contextualSpacing/>
              <w:rPr>
                <w:rFonts w:eastAsia="Calibri" w:cstheme="minorHAnsi"/>
                <w:sz w:val="18"/>
                <w:szCs w:val="18"/>
              </w:rPr>
            </w:pPr>
            <w:r w:rsidRPr="007C3BF8">
              <w:rPr>
                <w:rFonts w:eastAsia="Calibri" w:cstheme="minorHAnsi"/>
                <w:sz w:val="18"/>
                <w:szCs w:val="18"/>
              </w:rPr>
              <w:t xml:space="preserve">85% ili postupkom pripreme za ponovnu uporabu i postupkom recikliranja najmanje 80% </w:t>
            </w:r>
            <w:r w:rsidRPr="007C3BF8">
              <w:rPr>
                <w:rFonts w:eastAsia="Calibri" w:cstheme="minorHAnsi"/>
                <w:sz w:val="18"/>
                <w:szCs w:val="18"/>
              </w:rPr>
              <w:lastRenderedPageBreak/>
              <w:t>mase sakupljene opreme za izmjenu topline ili velike opreme čija vanjska dimenzija je veća od 50 cm</w:t>
            </w:r>
          </w:p>
          <w:p w14:paraId="046447C9" w14:textId="77777777" w:rsidR="007C3BF8" w:rsidRPr="007C3BF8" w:rsidRDefault="007C3BF8">
            <w:pPr>
              <w:numPr>
                <w:ilvl w:val="0"/>
                <w:numId w:val="37"/>
              </w:numPr>
              <w:ind w:left="458"/>
              <w:contextualSpacing/>
              <w:rPr>
                <w:rFonts w:eastAsia="Calibri" w:cstheme="minorHAnsi"/>
                <w:sz w:val="18"/>
                <w:szCs w:val="18"/>
              </w:rPr>
            </w:pPr>
            <w:r w:rsidRPr="007C3BF8">
              <w:rPr>
                <w:rFonts w:eastAsia="Calibri" w:cstheme="minorHAnsi"/>
                <w:sz w:val="18"/>
                <w:szCs w:val="18"/>
              </w:rPr>
              <w:t>80% ili postupkom pripreme za ponovnu uporabu i postupkom recikliranja najmanje 70% mase sakupljenih zaslona, monitora i oprema koja sadrži zaslone površine veće od 100 cm</w:t>
            </w:r>
            <w:r w:rsidRPr="007C3BF8">
              <w:rPr>
                <w:rFonts w:eastAsia="Calibri" w:cstheme="minorHAnsi"/>
                <w:sz w:val="18"/>
                <w:szCs w:val="18"/>
                <w:vertAlign w:val="superscript"/>
              </w:rPr>
              <w:t>2</w:t>
            </w:r>
          </w:p>
          <w:p w14:paraId="16229029" w14:textId="77777777" w:rsidR="007C3BF8" w:rsidRPr="007C3BF8" w:rsidRDefault="007C3BF8">
            <w:pPr>
              <w:numPr>
                <w:ilvl w:val="0"/>
                <w:numId w:val="37"/>
              </w:numPr>
              <w:ind w:left="458"/>
              <w:contextualSpacing/>
              <w:rPr>
                <w:rFonts w:eastAsia="Calibri" w:cstheme="minorHAnsi"/>
                <w:sz w:val="18"/>
                <w:szCs w:val="18"/>
              </w:rPr>
            </w:pPr>
            <w:r w:rsidRPr="007C3BF8">
              <w:rPr>
                <w:rFonts w:eastAsia="Calibri" w:cstheme="minorHAnsi"/>
                <w:sz w:val="18"/>
                <w:szCs w:val="18"/>
              </w:rPr>
              <w:t>75% ili postupkom pripreme za ponovnu uporabu i postupkom recikliranja najmanje 55% mase sakupljene male opreme čija nijedna vanjska dimenzija nije veća od 50 cm ili male opreme informatičke tehnike i opreme za telekomunikacije čija nijedna vanjska dimenzija nije veća od 50 cm</w:t>
            </w:r>
          </w:p>
          <w:p w14:paraId="470139D4" w14:textId="77777777" w:rsidR="007C3BF8" w:rsidRPr="007C3BF8" w:rsidRDefault="007C3BF8">
            <w:pPr>
              <w:numPr>
                <w:ilvl w:val="0"/>
                <w:numId w:val="37"/>
              </w:numPr>
              <w:ind w:left="458"/>
              <w:contextualSpacing/>
              <w:rPr>
                <w:rFonts w:eastAsia="Calibri" w:cstheme="minorHAnsi"/>
                <w:sz w:val="18"/>
                <w:szCs w:val="18"/>
              </w:rPr>
            </w:pPr>
            <w:r w:rsidRPr="007C3BF8">
              <w:rPr>
                <w:rFonts w:eastAsia="Calibri" w:cstheme="minorHAnsi"/>
                <w:sz w:val="18"/>
                <w:szCs w:val="18"/>
              </w:rPr>
              <w:t>80% mase sakupljenih žarulja postupkom recikliranja</w:t>
            </w:r>
          </w:p>
        </w:tc>
        <w:tc>
          <w:tcPr>
            <w:tcW w:w="742" w:type="pct"/>
            <w:tcBorders>
              <w:top w:val="single" w:sz="4" w:space="0" w:color="auto"/>
              <w:left w:val="single" w:sz="4" w:space="0" w:color="auto"/>
              <w:bottom w:val="single" w:sz="4" w:space="0" w:color="auto"/>
              <w:right w:val="single" w:sz="4" w:space="0" w:color="auto"/>
            </w:tcBorders>
            <w:vAlign w:val="center"/>
            <w:hideMark/>
          </w:tcPr>
          <w:p w14:paraId="11D929D7" w14:textId="376DA634" w:rsidR="005C164B" w:rsidRDefault="007A0053" w:rsidP="002559F7">
            <w:pPr>
              <w:rPr>
                <w:rFonts w:eastAsia="Calibri" w:cstheme="minorHAnsi"/>
                <w:sz w:val="18"/>
                <w:szCs w:val="18"/>
              </w:rPr>
            </w:pPr>
            <w:r w:rsidRPr="007A0053">
              <w:rPr>
                <w:rFonts w:eastAsia="Calibri" w:cstheme="minorHAnsi"/>
                <w:sz w:val="18"/>
                <w:szCs w:val="18"/>
              </w:rPr>
              <w:lastRenderedPageBreak/>
              <w:t>Mjere i aktivnosti definirane Programom sprječavanja nastanka otpada RH</w:t>
            </w:r>
          </w:p>
          <w:p w14:paraId="3C3B62E8" w14:textId="77777777" w:rsidR="007A0053" w:rsidRDefault="007A0053" w:rsidP="002559F7">
            <w:pPr>
              <w:rPr>
                <w:rFonts w:eastAsiaTheme="minorEastAsia" w:cstheme="minorHAnsi"/>
                <w:sz w:val="18"/>
                <w:szCs w:val="18"/>
              </w:rPr>
            </w:pPr>
          </w:p>
          <w:p w14:paraId="671B88E2" w14:textId="77777777" w:rsidR="002559F7" w:rsidRDefault="002559F7">
            <w:pPr>
              <w:rPr>
                <w:rFonts w:eastAsia="Calibri" w:cstheme="minorHAnsi"/>
                <w:sz w:val="18"/>
                <w:szCs w:val="18"/>
              </w:rPr>
            </w:pPr>
          </w:p>
          <w:p w14:paraId="57EFD1FE" w14:textId="60E873DA" w:rsidR="007C3BF8" w:rsidRDefault="007C3BF8">
            <w:pPr>
              <w:rPr>
                <w:rFonts w:eastAsia="Calibri" w:cstheme="minorHAnsi"/>
                <w:sz w:val="18"/>
                <w:szCs w:val="18"/>
              </w:rPr>
            </w:pPr>
            <w:r w:rsidRPr="007C3BF8">
              <w:rPr>
                <w:rFonts w:eastAsia="Calibri" w:cstheme="minorHAnsi"/>
                <w:sz w:val="18"/>
                <w:szCs w:val="18"/>
              </w:rPr>
              <w:t xml:space="preserve">Mjera 6. Analiza </w:t>
            </w:r>
            <w:r w:rsidR="008B146A">
              <w:rPr>
                <w:rFonts w:eastAsia="Calibri" w:cstheme="minorHAnsi"/>
                <w:sz w:val="18"/>
                <w:szCs w:val="18"/>
              </w:rPr>
              <w:t xml:space="preserve">učinkovitosti </w:t>
            </w:r>
            <w:r w:rsidRPr="007C3BF8">
              <w:rPr>
                <w:rFonts w:eastAsia="Calibri" w:cstheme="minorHAnsi"/>
                <w:sz w:val="18"/>
                <w:szCs w:val="18"/>
              </w:rPr>
              <w:t>sustava za gospodarenje posebnim kategorijama otpada</w:t>
            </w:r>
            <w:r w:rsidR="007A0053">
              <w:rPr>
                <w:rFonts w:eastAsia="Calibri" w:cstheme="minorHAnsi"/>
                <w:sz w:val="18"/>
                <w:szCs w:val="18"/>
              </w:rPr>
              <w:t xml:space="preserve"> s prijedlozima za </w:t>
            </w:r>
            <w:r w:rsidR="001636FD">
              <w:rPr>
                <w:rFonts w:eastAsia="Calibri" w:cstheme="minorHAnsi"/>
                <w:sz w:val="18"/>
                <w:szCs w:val="18"/>
              </w:rPr>
              <w:t>unaprjeđenje</w:t>
            </w:r>
          </w:p>
          <w:p w14:paraId="2B17D6E6" w14:textId="77777777" w:rsidR="001636FD" w:rsidRDefault="001636FD">
            <w:pPr>
              <w:rPr>
                <w:rFonts w:eastAsia="Calibri" w:cstheme="minorHAnsi"/>
                <w:sz w:val="18"/>
                <w:szCs w:val="18"/>
              </w:rPr>
            </w:pPr>
          </w:p>
          <w:p w14:paraId="1514580E" w14:textId="4AF6FA25" w:rsidR="001636FD" w:rsidRPr="007C3BF8" w:rsidRDefault="001636FD">
            <w:pPr>
              <w:rPr>
                <w:rFonts w:eastAsia="Calibri" w:cstheme="minorHAnsi"/>
                <w:sz w:val="18"/>
                <w:szCs w:val="18"/>
              </w:rPr>
            </w:pPr>
            <w:r w:rsidRPr="001636FD">
              <w:rPr>
                <w:rFonts w:eastAsia="Calibri" w:cstheme="minorHAnsi"/>
                <w:sz w:val="18"/>
                <w:szCs w:val="18"/>
              </w:rPr>
              <w:t xml:space="preserve">Mjera 9. Unaprjeđenje sustava za gospodarenje otpadnim vozilima, </w:t>
            </w:r>
            <w:r w:rsidRPr="001636FD">
              <w:rPr>
                <w:rFonts w:eastAsia="Calibri" w:cstheme="minorHAnsi"/>
                <w:sz w:val="18"/>
                <w:szCs w:val="18"/>
              </w:rPr>
              <w:lastRenderedPageBreak/>
              <w:t>otpadnim baterijama i akumulatorima, otpadnom električnom i elektroničkom opremom i otpadnim gumama</w:t>
            </w:r>
          </w:p>
        </w:tc>
        <w:tc>
          <w:tcPr>
            <w:tcW w:w="633" w:type="pct"/>
            <w:tcBorders>
              <w:top w:val="single" w:sz="4" w:space="0" w:color="auto"/>
              <w:left w:val="single" w:sz="4" w:space="0" w:color="auto"/>
              <w:bottom w:val="single" w:sz="4" w:space="0" w:color="auto"/>
              <w:right w:val="single" w:sz="4" w:space="0" w:color="auto"/>
            </w:tcBorders>
            <w:vAlign w:val="center"/>
          </w:tcPr>
          <w:p w14:paraId="34E0CFEA" w14:textId="77777777" w:rsidR="002559F7" w:rsidRDefault="007C3BF8">
            <w:pPr>
              <w:rPr>
                <w:rFonts w:eastAsiaTheme="minorEastAsia" w:cstheme="minorHAnsi"/>
                <w:sz w:val="18"/>
                <w:szCs w:val="18"/>
              </w:rPr>
            </w:pPr>
            <w:r w:rsidRPr="007C3BF8">
              <w:rPr>
                <w:rFonts w:eastAsiaTheme="minorEastAsia" w:cstheme="minorHAnsi"/>
                <w:sz w:val="18"/>
                <w:szCs w:val="18"/>
              </w:rPr>
              <w:lastRenderedPageBreak/>
              <w:t xml:space="preserve">Aktivnosti iz PSNO: </w:t>
            </w:r>
          </w:p>
          <w:p w14:paraId="4882C2FD" w14:textId="70514BF2" w:rsidR="007C3BF8" w:rsidRPr="007C3BF8" w:rsidRDefault="00192B3B">
            <w:pPr>
              <w:rPr>
                <w:rFonts w:eastAsia="Calibri" w:cstheme="minorHAnsi"/>
                <w:sz w:val="18"/>
                <w:szCs w:val="18"/>
              </w:rPr>
            </w:pPr>
            <w:r>
              <w:rPr>
                <w:rFonts w:eastAsia="Calibri" w:cstheme="minorHAnsi"/>
                <w:sz w:val="18"/>
                <w:szCs w:val="18"/>
              </w:rPr>
              <w:t xml:space="preserve">PSNO </w:t>
            </w:r>
            <w:r w:rsidR="007C3BF8" w:rsidRPr="007C3BF8">
              <w:rPr>
                <w:rFonts w:eastAsia="Calibri" w:cstheme="minorHAnsi"/>
                <w:sz w:val="18"/>
                <w:szCs w:val="18"/>
              </w:rPr>
              <w:t>A 7.1</w:t>
            </w:r>
            <w:r w:rsidR="00C77206">
              <w:rPr>
                <w:rFonts w:eastAsia="Calibri" w:cstheme="minorHAnsi"/>
                <w:sz w:val="18"/>
                <w:szCs w:val="18"/>
              </w:rPr>
              <w:t>;</w:t>
            </w:r>
            <w:r w:rsidR="007C3BF8" w:rsidRPr="007C3BF8">
              <w:rPr>
                <w:rFonts w:eastAsia="Calibri" w:cstheme="minorHAnsi"/>
                <w:sz w:val="18"/>
                <w:szCs w:val="18"/>
              </w:rPr>
              <w:t xml:space="preserve"> </w:t>
            </w:r>
            <w:r>
              <w:rPr>
                <w:rFonts w:eastAsiaTheme="minorEastAsia" w:cstheme="minorHAnsi"/>
                <w:sz w:val="18"/>
                <w:szCs w:val="18"/>
              </w:rPr>
              <w:t xml:space="preserve">PSNO </w:t>
            </w:r>
            <w:r w:rsidR="006061BC" w:rsidRPr="006061BC">
              <w:rPr>
                <w:rFonts w:eastAsia="Calibri" w:cstheme="minorHAnsi"/>
                <w:sz w:val="18"/>
                <w:szCs w:val="18"/>
              </w:rPr>
              <w:t xml:space="preserve">A 6.1., </w:t>
            </w:r>
            <w:r>
              <w:rPr>
                <w:rFonts w:eastAsia="Calibri" w:cstheme="minorHAnsi"/>
                <w:sz w:val="18"/>
                <w:szCs w:val="18"/>
              </w:rPr>
              <w:t xml:space="preserve">PSNO </w:t>
            </w:r>
            <w:r w:rsidR="006061BC" w:rsidRPr="006061BC">
              <w:rPr>
                <w:rFonts w:eastAsia="Calibri" w:cstheme="minorHAnsi"/>
                <w:sz w:val="18"/>
                <w:szCs w:val="18"/>
              </w:rPr>
              <w:t xml:space="preserve">A 6.2., </w:t>
            </w:r>
            <w:r>
              <w:rPr>
                <w:rFonts w:eastAsia="Calibri" w:cstheme="minorHAnsi"/>
                <w:sz w:val="18"/>
                <w:szCs w:val="18"/>
              </w:rPr>
              <w:t xml:space="preserve">PSNO </w:t>
            </w:r>
            <w:r w:rsidR="006061BC" w:rsidRPr="006061BC">
              <w:rPr>
                <w:rFonts w:eastAsia="Calibri" w:cstheme="minorHAnsi"/>
                <w:sz w:val="18"/>
                <w:szCs w:val="18"/>
              </w:rPr>
              <w:t xml:space="preserve">A 6.4. – 6.6.; </w:t>
            </w:r>
            <w:r>
              <w:rPr>
                <w:rFonts w:eastAsia="Calibri" w:cstheme="minorHAnsi"/>
                <w:sz w:val="18"/>
                <w:szCs w:val="18"/>
              </w:rPr>
              <w:t xml:space="preserve">PSNO </w:t>
            </w:r>
            <w:r w:rsidR="007C3BF8" w:rsidRPr="007C3BF8">
              <w:rPr>
                <w:rFonts w:eastAsia="Calibri" w:cstheme="minorHAnsi"/>
                <w:sz w:val="18"/>
                <w:szCs w:val="18"/>
              </w:rPr>
              <w:t xml:space="preserve">A 8.1. – </w:t>
            </w:r>
            <w:r>
              <w:rPr>
                <w:rFonts w:eastAsia="Calibri" w:cstheme="minorHAnsi"/>
                <w:sz w:val="18"/>
                <w:szCs w:val="18"/>
              </w:rPr>
              <w:t xml:space="preserve">PSNO </w:t>
            </w:r>
            <w:r w:rsidR="007C3BF8" w:rsidRPr="007C3BF8">
              <w:rPr>
                <w:rFonts w:eastAsia="Calibri" w:cstheme="minorHAnsi"/>
                <w:sz w:val="18"/>
                <w:szCs w:val="18"/>
              </w:rPr>
              <w:t xml:space="preserve">A 8.5., </w:t>
            </w:r>
            <w:r>
              <w:rPr>
                <w:rFonts w:eastAsia="Calibri" w:cstheme="minorHAnsi"/>
                <w:sz w:val="18"/>
                <w:szCs w:val="18"/>
              </w:rPr>
              <w:t xml:space="preserve">PSNO </w:t>
            </w:r>
            <w:r w:rsidR="007C3BF8" w:rsidRPr="007C3BF8">
              <w:rPr>
                <w:rFonts w:eastAsia="Calibri" w:cstheme="minorHAnsi"/>
                <w:sz w:val="18"/>
                <w:szCs w:val="18"/>
              </w:rPr>
              <w:t xml:space="preserve">A 9.1; </w:t>
            </w:r>
          </w:p>
          <w:p w14:paraId="5B7F3CB3" w14:textId="77777777" w:rsidR="007C3BF8" w:rsidRPr="007C3BF8" w:rsidRDefault="007C3BF8">
            <w:pPr>
              <w:rPr>
                <w:rFonts w:eastAsiaTheme="minorEastAsia" w:cstheme="minorHAnsi"/>
                <w:sz w:val="18"/>
                <w:szCs w:val="18"/>
              </w:rPr>
            </w:pPr>
          </w:p>
          <w:p w14:paraId="67B8FE27" w14:textId="5130D434" w:rsidR="007C3BF8" w:rsidRPr="007C3BF8" w:rsidRDefault="007C3BF8">
            <w:pPr>
              <w:rPr>
                <w:rFonts w:eastAsia="Calibri" w:cstheme="minorHAnsi"/>
                <w:sz w:val="18"/>
                <w:szCs w:val="18"/>
              </w:rPr>
            </w:pPr>
            <w:r w:rsidRPr="007C3BF8">
              <w:rPr>
                <w:rFonts w:eastAsiaTheme="minorEastAsia" w:cstheme="minorHAnsi"/>
                <w:sz w:val="18"/>
                <w:szCs w:val="18"/>
              </w:rPr>
              <w:t>A 6.1.</w:t>
            </w:r>
            <w:r w:rsidR="00C77206">
              <w:rPr>
                <w:rFonts w:eastAsiaTheme="minorEastAsia" w:cstheme="minorHAnsi"/>
                <w:sz w:val="18"/>
                <w:szCs w:val="18"/>
              </w:rPr>
              <w:t xml:space="preserve">; </w:t>
            </w:r>
            <w:r w:rsidR="00C77206">
              <w:rPr>
                <w:rFonts w:eastAsia="Calibri" w:cstheme="minorHAnsi"/>
                <w:sz w:val="18"/>
                <w:szCs w:val="18"/>
              </w:rPr>
              <w:t>A 9.1.</w:t>
            </w:r>
          </w:p>
        </w:tc>
        <w:tc>
          <w:tcPr>
            <w:tcW w:w="1249" w:type="pct"/>
            <w:tcBorders>
              <w:top w:val="single" w:sz="4" w:space="0" w:color="auto"/>
              <w:left w:val="single" w:sz="4" w:space="0" w:color="auto"/>
              <w:bottom w:val="single" w:sz="4" w:space="0" w:color="auto"/>
              <w:right w:val="single" w:sz="4" w:space="0" w:color="auto"/>
            </w:tcBorders>
            <w:vAlign w:val="center"/>
          </w:tcPr>
          <w:p w14:paraId="3EFB0D83" w14:textId="77777777" w:rsidR="007C3BF8" w:rsidRPr="007C3BF8" w:rsidRDefault="007C3BF8" w:rsidP="007C3BF8">
            <w:pPr>
              <w:rPr>
                <w:rFonts w:eastAsiaTheme="minorEastAsia" w:cstheme="minorHAnsi"/>
                <w:sz w:val="18"/>
                <w:szCs w:val="18"/>
              </w:rPr>
            </w:pPr>
            <w:r w:rsidRPr="007C3BF8">
              <w:rPr>
                <w:rFonts w:eastAsiaTheme="minorEastAsia" w:cstheme="minorHAnsi"/>
                <w:sz w:val="18"/>
                <w:szCs w:val="18"/>
              </w:rPr>
              <w:t>Poduzeti odgovarajuće mjere kako bi potakle dizajn proizvoda i sastavnih dijelova proizvoda koji umanjuju učinak proizvoda na okoliš i nastanak otpada u tijeku proizvodnje i daljnje uporabe proizvoda te kako bi osigurale da se oporaba i zbrinjavanje proizvoda koji su postali otpad provode u skladu s člancima 4. i 13. Direktive 2008/98/EZ.</w:t>
            </w:r>
          </w:p>
          <w:p w14:paraId="40423148" w14:textId="77777777" w:rsidR="007C3BF8" w:rsidRPr="007C3BF8" w:rsidRDefault="007C3BF8">
            <w:pPr>
              <w:rPr>
                <w:rFonts w:eastAsia="Calibri" w:cstheme="minorHAnsi"/>
                <w:sz w:val="18"/>
                <w:szCs w:val="18"/>
              </w:rPr>
            </w:pPr>
          </w:p>
          <w:p w14:paraId="46697710" w14:textId="77777777" w:rsidR="007C3BF8" w:rsidRPr="007C3BF8" w:rsidRDefault="007C3BF8">
            <w:pPr>
              <w:rPr>
                <w:rFonts w:eastAsia="Calibri" w:cstheme="minorHAnsi"/>
                <w:sz w:val="18"/>
                <w:szCs w:val="18"/>
              </w:rPr>
            </w:pPr>
            <w:r w:rsidRPr="007C3BF8">
              <w:rPr>
                <w:rFonts w:eastAsia="Calibri" w:cstheme="minorHAnsi"/>
                <w:sz w:val="18"/>
                <w:szCs w:val="18"/>
              </w:rPr>
              <w:t xml:space="preserve">Postići godišnja stopa odvojenog sakupljanja otpadne električne i elektroničke opreme najmanje 65% prosječne mase električne i elektroničke opreme stavljene na tržište u tri prethodne godine </w:t>
            </w:r>
          </w:p>
          <w:p w14:paraId="57098DD5" w14:textId="77777777" w:rsidR="007C3BF8" w:rsidRPr="007C3BF8" w:rsidRDefault="007C3BF8">
            <w:pPr>
              <w:rPr>
                <w:rFonts w:eastAsia="Calibri" w:cstheme="minorHAnsi"/>
                <w:sz w:val="18"/>
                <w:szCs w:val="18"/>
              </w:rPr>
            </w:pPr>
            <w:r w:rsidRPr="007C3BF8">
              <w:rPr>
                <w:rFonts w:eastAsia="Calibri" w:cstheme="minorHAnsi"/>
                <w:sz w:val="18"/>
                <w:szCs w:val="18"/>
              </w:rPr>
              <w:lastRenderedPageBreak/>
              <w:t>ili 85% EE otpada proizvedenog na teritoriju RH.</w:t>
            </w:r>
          </w:p>
          <w:p w14:paraId="2493093C" w14:textId="77777777" w:rsidR="007C3BF8" w:rsidRPr="007C3BF8" w:rsidRDefault="007C3BF8">
            <w:pPr>
              <w:rPr>
                <w:rFonts w:eastAsia="Calibri" w:cstheme="minorHAnsi"/>
                <w:sz w:val="18"/>
                <w:szCs w:val="18"/>
              </w:rPr>
            </w:pPr>
          </w:p>
          <w:p w14:paraId="37D60901" w14:textId="77777777" w:rsidR="007C3BF8" w:rsidRPr="007C3BF8" w:rsidRDefault="007C3BF8">
            <w:pPr>
              <w:rPr>
                <w:rFonts w:eastAsia="Calibri" w:cstheme="minorHAnsi"/>
                <w:sz w:val="18"/>
                <w:szCs w:val="18"/>
              </w:rPr>
            </w:pPr>
            <w:proofErr w:type="spellStart"/>
            <w:r w:rsidRPr="007C3BF8">
              <w:rPr>
                <w:rFonts w:eastAsia="Calibri" w:cstheme="minorHAnsi"/>
                <w:sz w:val="18"/>
                <w:szCs w:val="18"/>
              </w:rPr>
              <w:t>Oporabiti</w:t>
            </w:r>
            <w:proofErr w:type="spellEnd"/>
            <w:r w:rsidRPr="007C3BF8">
              <w:rPr>
                <w:rFonts w:eastAsia="Calibri" w:cstheme="minorHAnsi"/>
                <w:sz w:val="18"/>
                <w:szCs w:val="18"/>
              </w:rPr>
              <w:t xml:space="preserve"> EE otpada na godišnjoj razini najmanje:</w:t>
            </w:r>
          </w:p>
          <w:p w14:paraId="70A2007F" w14:textId="77777777" w:rsidR="007C3BF8" w:rsidRPr="007C3BF8" w:rsidRDefault="007C3BF8">
            <w:pPr>
              <w:numPr>
                <w:ilvl w:val="0"/>
                <w:numId w:val="37"/>
              </w:numPr>
              <w:ind w:left="452"/>
              <w:contextualSpacing/>
              <w:rPr>
                <w:rFonts w:eastAsia="Calibri" w:cstheme="minorHAnsi"/>
                <w:sz w:val="18"/>
                <w:szCs w:val="18"/>
              </w:rPr>
            </w:pPr>
            <w:r w:rsidRPr="007C3BF8">
              <w:rPr>
                <w:rFonts w:eastAsia="Calibri" w:cstheme="minorHAnsi"/>
                <w:sz w:val="18"/>
                <w:szCs w:val="18"/>
              </w:rPr>
              <w:t>85% ili postupkom pripreme za ponovnu uporabu i postupkom recikliranja najmanje 80% mase sakupljene opreme za izmjenu topline ili velike opreme čija vanjska dimenzija je veća od 50 cm</w:t>
            </w:r>
          </w:p>
          <w:p w14:paraId="11FA0DA9" w14:textId="77777777" w:rsidR="007C3BF8" w:rsidRPr="007C3BF8" w:rsidRDefault="007C3BF8">
            <w:pPr>
              <w:numPr>
                <w:ilvl w:val="0"/>
                <w:numId w:val="37"/>
              </w:numPr>
              <w:ind w:left="452"/>
              <w:contextualSpacing/>
              <w:rPr>
                <w:rFonts w:eastAsia="Calibri" w:cstheme="minorHAnsi"/>
                <w:sz w:val="18"/>
                <w:szCs w:val="18"/>
              </w:rPr>
            </w:pPr>
            <w:r w:rsidRPr="007C3BF8">
              <w:rPr>
                <w:rFonts w:eastAsia="Calibri" w:cstheme="minorHAnsi"/>
                <w:sz w:val="18"/>
                <w:szCs w:val="18"/>
              </w:rPr>
              <w:t>80% ili postupkom pripreme za ponovnu uporabu i postupkom recikliranja najmanje 70% mase sakupljenih zaslona, monitora i oprema koja sadrži zaslone površine veće od 100 cm</w:t>
            </w:r>
            <w:r w:rsidRPr="007C3BF8">
              <w:rPr>
                <w:rFonts w:eastAsia="Calibri" w:cstheme="minorHAnsi"/>
                <w:sz w:val="18"/>
                <w:szCs w:val="18"/>
                <w:vertAlign w:val="superscript"/>
              </w:rPr>
              <w:t>2</w:t>
            </w:r>
          </w:p>
          <w:p w14:paraId="40EADA3F" w14:textId="77777777" w:rsidR="007C3BF8" w:rsidRPr="007C3BF8" w:rsidRDefault="007C3BF8">
            <w:pPr>
              <w:numPr>
                <w:ilvl w:val="0"/>
                <w:numId w:val="37"/>
              </w:numPr>
              <w:ind w:left="452"/>
              <w:contextualSpacing/>
              <w:rPr>
                <w:rFonts w:eastAsia="Calibri" w:cstheme="minorHAnsi"/>
                <w:sz w:val="18"/>
                <w:szCs w:val="18"/>
              </w:rPr>
            </w:pPr>
            <w:r w:rsidRPr="007C3BF8">
              <w:rPr>
                <w:rFonts w:eastAsia="Calibri" w:cstheme="minorHAnsi"/>
                <w:sz w:val="18"/>
                <w:szCs w:val="18"/>
              </w:rPr>
              <w:t xml:space="preserve">75% ili postupkom pripreme za ponovnu uporabu i postupkom recikliranja najmanje 55% mase sakupljene male opreme čija nijedna vanjska dimenzija nije veća od 50 cm ili male opreme informatičke tehnike i opreme za telekomunikacije čija nijedna vanjska dimenzija nije veća od 50 cm </w:t>
            </w:r>
          </w:p>
          <w:p w14:paraId="0CC3722A" w14:textId="77777777" w:rsidR="007C3BF8" w:rsidRPr="007C3BF8" w:rsidRDefault="007C3BF8">
            <w:pPr>
              <w:numPr>
                <w:ilvl w:val="0"/>
                <w:numId w:val="37"/>
              </w:numPr>
              <w:ind w:left="452"/>
              <w:contextualSpacing/>
              <w:rPr>
                <w:rFonts w:eastAsia="Calibri" w:cstheme="minorHAnsi"/>
                <w:sz w:val="18"/>
                <w:szCs w:val="18"/>
              </w:rPr>
            </w:pPr>
            <w:r w:rsidRPr="007C3BF8">
              <w:rPr>
                <w:rFonts w:eastAsia="Calibri" w:cstheme="minorHAnsi"/>
                <w:sz w:val="18"/>
                <w:szCs w:val="18"/>
              </w:rPr>
              <w:t>80% mase sakupljenih žarulja postupkom recikliranja</w:t>
            </w:r>
          </w:p>
        </w:tc>
        <w:tc>
          <w:tcPr>
            <w:tcW w:w="1312" w:type="pct"/>
            <w:tcBorders>
              <w:top w:val="single" w:sz="4" w:space="0" w:color="auto"/>
              <w:left w:val="single" w:sz="4" w:space="0" w:color="auto"/>
              <w:bottom w:val="single" w:sz="4" w:space="0" w:color="auto"/>
              <w:right w:val="single" w:sz="4" w:space="0" w:color="auto"/>
            </w:tcBorders>
            <w:vAlign w:val="center"/>
          </w:tcPr>
          <w:p w14:paraId="40FF6F7A" w14:textId="77777777" w:rsidR="007C3BF8" w:rsidRPr="007C3BF8" w:rsidRDefault="007C3BF8">
            <w:pPr>
              <w:rPr>
                <w:rFonts w:eastAsia="Calibri" w:cstheme="minorHAnsi"/>
                <w:sz w:val="18"/>
                <w:szCs w:val="18"/>
              </w:rPr>
            </w:pPr>
            <w:r w:rsidRPr="007C3BF8">
              <w:rPr>
                <w:rFonts w:eastAsia="Calibri" w:cstheme="minorHAnsi"/>
                <w:sz w:val="18"/>
                <w:szCs w:val="18"/>
              </w:rPr>
              <w:lastRenderedPageBreak/>
              <w:t xml:space="preserve">Akcijski plan za kružno gospodarstvo - Za čišću i konkurentniju Europu (Bruxelles, 11.3.2020., COM(2020) 98 </w:t>
            </w:r>
            <w:proofErr w:type="spellStart"/>
            <w:r w:rsidRPr="007C3BF8">
              <w:rPr>
                <w:rFonts w:eastAsia="Calibri" w:cstheme="minorHAnsi"/>
                <w:sz w:val="18"/>
                <w:szCs w:val="18"/>
              </w:rPr>
              <w:t>final</w:t>
            </w:r>
            <w:proofErr w:type="spellEnd"/>
            <w:r w:rsidRPr="007C3BF8">
              <w:rPr>
                <w:rFonts w:eastAsia="Calibri" w:cstheme="minorHAnsi"/>
                <w:sz w:val="18"/>
                <w:szCs w:val="18"/>
              </w:rPr>
              <w:t>)</w:t>
            </w:r>
          </w:p>
          <w:p w14:paraId="22647A55" w14:textId="77777777" w:rsidR="007C3BF8" w:rsidRPr="007C3BF8" w:rsidRDefault="007C3BF8">
            <w:pPr>
              <w:rPr>
                <w:rFonts w:eastAsia="Calibri" w:cstheme="minorHAnsi"/>
                <w:sz w:val="18"/>
                <w:szCs w:val="18"/>
              </w:rPr>
            </w:pPr>
          </w:p>
          <w:p w14:paraId="03B5CEA6" w14:textId="77777777" w:rsidR="007C3BF8" w:rsidRPr="007C3BF8" w:rsidRDefault="007C3BF8">
            <w:pPr>
              <w:rPr>
                <w:rFonts w:eastAsiaTheme="minorEastAsia"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p w14:paraId="70C55985" w14:textId="77777777" w:rsidR="007C3BF8" w:rsidRPr="007C3BF8" w:rsidRDefault="007C3BF8">
            <w:pPr>
              <w:rPr>
                <w:rFonts w:eastAsia="Calibri" w:cstheme="minorHAnsi"/>
                <w:sz w:val="18"/>
                <w:szCs w:val="18"/>
              </w:rPr>
            </w:pPr>
          </w:p>
          <w:p w14:paraId="5E082B64" w14:textId="77777777" w:rsidR="007C3BF8" w:rsidRPr="007C3BF8" w:rsidRDefault="007C3BF8">
            <w:pPr>
              <w:rPr>
                <w:rFonts w:eastAsia="Calibri" w:cstheme="minorHAnsi"/>
                <w:sz w:val="18"/>
                <w:szCs w:val="18"/>
              </w:rPr>
            </w:pPr>
          </w:p>
          <w:p w14:paraId="7A7580B4" w14:textId="77777777" w:rsidR="007C3BF8" w:rsidRPr="007C3BF8" w:rsidRDefault="007C3BF8">
            <w:pPr>
              <w:rPr>
                <w:rFonts w:eastAsia="Calibri" w:cstheme="minorHAnsi"/>
                <w:sz w:val="18"/>
                <w:szCs w:val="18"/>
              </w:rPr>
            </w:pPr>
            <w:r w:rsidRPr="007C3BF8">
              <w:rPr>
                <w:rFonts w:eastAsia="Calibri" w:cstheme="minorHAnsi"/>
                <w:sz w:val="18"/>
                <w:szCs w:val="18"/>
              </w:rPr>
              <w:t xml:space="preserve">Direktiva 2012/19/EU Europskog parlamenta i Vijeća od 4. srpnja 2012. o </w:t>
            </w:r>
            <w:r w:rsidRPr="007C3BF8">
              <w:rPr>
                <w:rFonts w:eastAsia="Calibri" w:cstheme="minorHAnsi"/>
                <w:sz w:val="18"/>
                <w:szCs w:val="18"/>
              </w:rPr>
              <w:lastRenderedPageBreak/>
              <w:t>otpadnoj električnoj i elektroničkoj opremi (OEEO) (SL L 197, 24. 7. 2012.) kako je zadnje izmijenjena Direktivom (EU) 2018/849 Europskog parlamenta i Vijeća od 30. svibnja 2018. o izmjeni direktiva 2000/53/EZ o otpadnim vozilima, 2006/66/EZ o baterijama i akumulatorima i o otpadnim baterijama i akumulatorima te 2012/19/EU o otpadnoj električnoj i elektroničkoj opremi (SL L 150, 14. 6. 2018.)</w:t>
            </w:r>
          </w:p>
        </w:tc>
      </w:tr>
      <w:tr w:rsidR="00C262BD" w:rsidRPr="007C3BF8" w14:paraId="105B5CAB" w14:textId="77777777" w:rsidTr="007C3BF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4BFEFDCC" w14:textId="77777777" w:rsidR="007C3BF8" w:rsidRPr="007C3BF8" w:rsidRDefault="007C3BF8">
            <w:pPr>
              <w:jc w:val="center"/>
              <w:rPr>
                <w:rFonts w:eastAsia="Calibri" w:cstheme="minorHAnsi"/>
                <w:sz w:val="18"/>
                <w:szCs w:val="18"/>
              </w:rPr>
            </w:pPr>
            <w:r w:rsidRPr="007C3BF8">
              <w:rPr>
                <w:rFonts w:eastAsia="Calibri" w:cstheme="minorHAnsi"/>
                <w:b/>
                <w:bCs/>
                <w:sz w:val="18"/>
                <w:szCs w:val="18"/>
              </w:rPr>
              <w:lastRenderedPageBreak/>
              <w:t>Cilj 8. - Otpadne gume</w:t>
            </w:r>
          </w:p>
        </w:tc>
      </w:tr>
      <w:tr w:rsidR="008B146A" w:rsidRPr="007C3BF8" w14:paraId="4A475C72" w14:textId="77777777" w:rsidTr="009008E5">
        <w:trPr>
          <w:trHeight w:val="20"/>
        </w:trPr>
        <w:tc>
          <w:tcPr>
            <w:tcW w:w="1064" w:type="pct"/>
            <w:tcBorders>
              <w:top w:val="single" w:sz="4" w:space="0" w:color="auto"/>
              <w:left w:val="single" w:sz="4" w:space="0" w:color="auto"/>
              <w:bottom w:val="single" w:sz="4" w:space="0" w:color="auto"/>
              <w:right w:val="single" w:sz="4" w:space="0" w:color="auto"/>
            </w:tcBorders>
            <w:vAlign w:val="center"/>
            <w:hideMark/>
          </w:tcPr>
          <w:p w14:paraId="1BFED2A2" w14:textId="77777777" w:rsidR="007C3BF8" w:rsidRPr="007C3BF8" w:rsidRDefault="007C3BF8">
            <w:pPr>
              <w:rPr>
                <w:rFonts w:eastAsia="Calibri" w:cstheme="minorHAnsi"/>
                <w:sz w:val="18"/>
                <w:szCs w:val="18"/>
              </w:rPr>
            </w:pPr>
            <w:r w:rsidRPr="007C3BF8">
              <w:rPr>
                <w:rFonts w:eastAsia="Calibri" w:cstheme="minorHAnsi"/>
                <w:sz w:val="18"/>
                <w:szCs w:val="18"/>
              </w:rPr>
              <w:t>Osigurati:</w:t>
            </w:r>
          </w:p>
          <w:p w14:paraId="19E34168" w14:textId="77777777" w:rsidR="007C3BF8" w:rsidRPr="007C3BF8" w:rsidRDefault="007C3BF8">
            <w:pPr>
              <w:numPr>
                <w:ilvl w:val="0"/>
                <w:numId w:val="39"/>
              </w:numPr>
              <w:ind w:left="317" w:hanging="295"/>
              <w:contextualSpacing/>
              <w:rPr>
                <w:rFonts w:eastAsia="Calibri" w:cstheme="minorHAnsi"/>
                <w:sz w:val="18"/>
                <w:szCs w:val="18"/>
              </w:rPr>
            </w:pPr>
            <w:r w:rsidRPr="007C3BF8">
              <w:rPr>
                <w:rFonts w:eastAsia="Calibri" w:cstheme="minorHAnsi"/>
                <w:sz w:val="18"/>
                <w:szCs w:val="18"/>
              </w:rPr>
              <w:t>Sustavno odvojeno sakupljanje otpadnih guma</w:t>
            </w:r>
          </w:p>
          <w:p w14:paraId="3E51013B" w14:textId="77777777" w:rsidR="007C3BF8" w:rsidRPr="007C3BF8" w:rsidRDefault="007C3BF8">
            <w:pPr>
              <w:numPr>
                <w:ilvl w:val="0"/>
                <w:numId w:val="39"/>
              </w:numPr>
              <w:ind w:left="317" w:hanging="295"/>
              <w:contextualSpacing/>
              <w:rPr>
                <w:rFonts w:eastAsia="Calibri" w:cstheme="minorHAnsi"/>
                <w:sz w:val="18"/>
                <w:szCs w:val="18"/>
              </w:rPr>
            </w:pPr>
            <w:r w:rsidRPr="007C3BF8">
              <w:rPr>
                <w:rFonts w:eastAsia="Calibri" w:cstheme="minorHAnsi"/>
                <w:sz w:val="18"/>
                <w:szCs w:val="18"/>
              </w:rPr>
              <w:t>Obradu svih odvojeno sakupljenih otpadnih guma</w:t>
            </w:r>
          </w:p>
          <w:p w14:paraId="44A91517" w14:textId="77777777" w:rsidR="007C3BF8" w:rsidRPr="007C3BF8" w:rsidRDefault="007C3BF8">
            <w:pPr>
              <w:numPr>
                <w:ilvl w:val="0"/>
                <w:numId w:val="39"/>
              </w:numPr>
              <w:ind w:left="317" w:hanging="295"/>
              <w:contextualSpacing/>
              <w:rPr>
                <w:rFonts w:eastAsia="Calibri" w:cstheme="minorHAnsi"/>
                <w:sz w:val="18"/>
                <w:szCs w:val="18"/>
              </w:rPr>
            </w:pPr>
            <w:r w:rsidRPr="007C3BF8">
              <w:rPr>
                <w:rFonts w:eastAsia="Calibri" w:cstheme="minorHAnsi"/>
                <w:sz w:val="18"/>
                <w:szCs w:val="18"/>
              </w:rPr>
              <w:lastRenderedPageBreak/>
              <w:t>Recikliranje najmanje 80% mase odvojeno sakupljenih otpadnih guma u kalendarskoj godini u RH</w:t>
            </w:r>
          </w:p>
        </w:tc>
        <w:tc>
          <w:tcPr>
            <w:tcW w:w="742" w:type="pct"/>
            <w:tcBorders>
              <w:top w:val="single" w:sz="4" w:space="0" w:color="auto"/>
              <w:left w:val="single" w:sz="4" w:space="0" w:color="auto"/>
              <w:bottom w:val="single" w:sz="4" w:space="0" w:color="auto"/>
              <w:right w:val="single" w:sz="4" w:space="0" w:color="auto"/>
            </w:tcBorders>
            <w:vAlign w:val="center"/>
            <w:hideMark/>
          </w:tcPr>
          <w:p w14:paraId="49166725" w14:textId="71C10FFE" w:rsidR="007C3BF8" w:rsidRDefault="007C3BF8">
            <w:pPr>
              <w:rPr>
                <w:rFonts w:eastAsia="Calibri" w:cstheme="minorHAnsi"/>
                <w:sz w:val="18"/>
                <w:szCs w:val="18"/>
              </w:rPr>
            </w:pPr>
            <w:r w:rsidRPr="007C3BF8">
              <w:rPr>
                <w:rFonts w:eastAsia="Calibri" w:cstheme="minorHAnsi"/>
                <w:sz w:val="18"/>
                <w:szCs w:val="18"/>
              </w:rPr>
              <w:lastRenderedPageBreak/>
              <w:t xml:space="preserve">Mjera 6. Analiza </w:t>
            </w:r>
            <w:r w:rsidR="008B146A">
              <w:rPr>
                <w:rFonts w:eastAsia="Calibri" w:cstheme="minorHAnsi"/>
                <w:sz w:val="18"/>
                <w:szCs w:val="18"/>
              </w:rPr>
              <w:t xml:space="preserve">učinkovitosti </w:t>
            </w:r>
            <w:r w:rsidRPr="007C3BF8">
              <w:rPr>
                <w:rFonts w:eastAsia="Calibri" w:cstheme="minorHAnsi"/>
                <w:sz w:val="18"/>
                <w:szCs w:val="18"/>
              </w:rPr>
              <w:t>sustava za gospodarenje posebnim kategorijama otpada</w:t>
            </w:r>
            <w:r w:rsidR="007A0053">
              <w:rPr>
                <w:rFonts w:eastAsia="Calibri" w:cstheme="minorHAnsi"/>
                <w:sz w:val="18"/>
                <w:szCs w:val="18"/>
              </w:rPr>
              <w:t xml:space="preserve"> s prijedlozima za </w:t>
            </w:r>
            <w:r w:rsidR="001636FD">
              <w:rPr>
                <w:rFonts w:eastAsia="Calibri" w:cstheme="minorHAnsi"/>
                <w:sz w:val="18"/>
                <w:szCs w:val="18"/>
              </w:rPr>
              <w:t>unaprjeđenje</w:t>
            </w:r>
          </w:p>
          <w:p w14:paraId="120EAFEF" w14:textId="77777777" w:rsidR="001636FD" w:rsidRDefault="001636FD">
            <w:pPr>
              <w:rPr>
                <w:rFonts w:eastAsia="Calibri" w:cstheme="minorHAnsi"/>
                <w:sz w:val="18"/>
                <w:szCs w:val="18"/>
              </w:rPr>
            </w:pPr>
          </w:p>
          <w:p w14:paraId="259AF956" w14:textId="672C950A" w:rsidR="001636FD" w:rsidRPr="007C3BF8" w:rsidRDefault="001636FD">
            <w:pPr>
              <w:rPr>
                <w:rFonts w:eastAsia="Calibri" w:cstheme="minorHAnsi"/>
                <w:sz w:val="18"/>
                <w:szCs w:val="18"/>
              </w:rPr>
            </w:pPr>
            <w:r w:rsidRPr="001636FD">
              <w:rPr>
                <w:rFonts w:eastAsia="Calibri" w:cstheme="minorHAnsi"/>
                <w:sz w:val="18"/>
                <w:szCs w:val="18"/>
              </w:rPr>
              <w:t>Mjera 9. Unaprjeđenje sustava za gospodarenje otpadnim vozilima, otpadnim baterijama i akumulatorima, otpadnom električnom i elektroničkom opremom i otpadnim gumama</w:t>
            </w:r>
          </w:p>
        </w:tc>
        <w:tc>
          <w:tcPr>
            <w:tcW w:w="633" w:type="pct"/>
            <w:tcBorders>
              <w:top w:val="single" w:sz="4" w:space="0" w:color="auto"/>
              <w:left w:val="single" w:sz="4" w:space="0" w:color="auto"/>
              <w:bottom w:val="single" w:sz="4" w:space="0" w:color="auto"/>
              <w:right w:val="single" w:sz="4" w:space="0" w:color="auto"/>
            </w:tcBorders>
            <w:vAlign w:val="center"/>
            <w:hideMark/>
          </w:tcPr>
          <w:p w14:paraId="455C13E3" w14:textId="687D0621" w:rsidR="007C3BF8" w:rsidRPr="007C3BF8" w:rsidRDefault="007C3BF8">
            <w:pPr>
              <w:rPr>
                <w:rFonts w:eastAsia="Calibri" w:cstheme="minorHAnsi"/>
                <w:sz w:val="18"/>
                <w:szCs w:val="18"/>
              </w:rPr>
            </w:pPr>
            <w:r w:rsidRPr="007C3BF8">
              <w:rPr>
                <w:rFonts w:eastAsia="Calibri" w:cstheme="minorHAnsi"/>
                <w:sz w:val="18"/>
                <w:szCs w:val="18"/>
              </w:rPr>
              <w:lastRenderedPageBreak/>
              <w:t>A 6.1.</w:t>
            </w:r>
            <w:r w:rsidR="00C77206">
              <w:rPr>
                <w:rFonts w:eastAsia="Calibri" w:cstheme="minorHAnsi"/>
                <w:sz w:val="18"/>
                <w:szCs w:val="18"/>
              </w:rPr>
              <w:t>; A 9.1.</w:t>
            </w:r>
          </w:p>
        </w:tc>
        <w:tc>
          <w:tcPr>
            <w:tcW w:w="1249" w:type="pct"/>
            <w:tcBorders>
              <w:top w:val="single" w:sz="4" w:space="0" w:color="auto"/>
              <w:left w:val="single" w:sz="4" w:space="0" w:color="auto"/>
              <w:bottom w:val="single" w:sz="4" w:space="0" w:color="auto"/>
              <w:right w:val="single" w:sz="4" w:space="0" w:color="auto"/>
            </w:tcBorders>
            <w:vAlign w:val="center"/>
            <w:hideMark/>
          </w:tcPr>
          <w:p w14:paraId="7873B56A" w14:textId="77777777" w:rsidR="007C3BF8" w:rsidRPr="007C3BF8" w:rsidRDefault="007C3BF8">
            <w:pPr>
              <w:rPr>
                <w:rFonts w:eastAsia="Calibri" w:cstheme="minorHAnsi"/>
                <w:sz w:val="18"/>
                <w:szCs w:val="18"/>
              </w:rPr>
            </w:pPr>
            <w:r w:rsidRPr="007C3BF8">
              <w:rPr>
                <w:rFonts w:eastAsia="Calibri" w:cstheme="minorHAnsi"/>
                <w:sz w:val="18"/>
                <w:szCs w:val="18"/>
              </w:rPr>
              <w:t>Zaštita zdravlja ljudi i okoliša</w:t>
            </w:r>
          </w:p>
        </w:tc>
        <w:tc>
          <w:tcPr>
            <w:tcW w:w="1312" w:type="pct"/>
            <w:tcBorders>
              <w:top w:val="single" w:sz="4" w:space="0" w:color="auto"/>
              <w:left w:val="single" w:sz="4" w:space="0" w:color="auto"/>
              <w:bottom w:val="single" w:sz="4" w:space="0" w:color="auto"/>
              <w:right w:val="single" w:sz="4" w:space="0" w:color="auto"/>
            </w:tcBorders>
            <w:vAlign w:val="center"/>
            <w:hideMark/>
          </w:tcPr>
          <w:p w14:paraId="0A03AE6E" w14:textId="77777777" w:rsidR="007C3BF8" w:rsidRPr="007C3BF8" w:rsidRDefault="007C3BF8">
            <w:pPr>
              <w:rPr>
                <w:rFonts w:eastAsia="Calibri" w:cstheme="minorHAnsi"/>
                <w:sz w:val="18"/>
                <w:szCs w:val="18"/>
              </w:rPr>
            </w:pPr>
            <w:r w:rsidRPr="007C3BF8">
              <w:rPr>
                <w:rFonts w:eastAsia="Calibri" w:cstheme="minorHAnsi"/>
                <w:sz w:val="18"/>
                <w:szCs w:val="18"/>
              </w:rPr>
              <w:t xml:space="preserve">Direktiva 2008/98/EZ Europskog parlamenta i Vijeća od 19. studenoga 2008. o otpadu i stavljanju izvan snage određenih direktiva (SL L 312, 22. 11. 2008.) kako je posljednji put izmijenjena Direktivom (EU) 2018/851 Europskog </w:t>
            </w:r>
            <w:r w:rsidRPr="007C3BF8">
              <w:rPr>
                <w:rFonts w:eastAsia="Calibri" w:cstheme="minorHAnsi"/>
                <w:sz w:val="18"/>
                <w:szCs w:val="18"/>
              </w:rPr>
              <w:lastRenderedPageBreak/>
              <w:t>parlamenta i Vijeća od 30. svibnja 2018. o izmjeni Direktive 2008/98/EZ o otpadu (SL L 150, 14. 6. 2018.)</w:t>
            </w:r>
          </w:p>
        </w:tc>
      </w:tr>
      <w:tr w:rsidR="008B146A" w:rsidRPr="007C3BF8" w14:paraId="5DD87006" w14:textId="77777777" w:rsidTr="009008E5">
        <w:trPr>
          <w:trHeight w:val="20"/>
        </w:trPr>
        <w:tc>
          <w:tcPr>
            <w:tcW w:w="106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EB25AE1" w14:textId="168F777D" w:rsidR="007C3BF8" w:rsidRPr="007C3BF8" w:rsidRDefault="007C3BF8">
            <w:pPr>
              <w:rPr>
                <w:rFonts w:eastAsia="Calibri" w:cstheme="minorHAnsi"/>
                <w:sz w:val="18"/>
                <w:szCs w:val="18"/>
              </w:rPr>
            </w:pPr>
            <w:r w:rsidRPr="007C3BF8">
              <w:rPr>
                <w:rFonts w:eastAsia="Calibri" w:cstheme="minorHAnsi"/>
                <w:sz w:val="18"/>
                <w:szCs w:val="18"/>
              </w:rPr>
              <w:lastRenderedPageBreak/>
              <w:t xml:space="preserve">Cilj 9. Unaprijediti sustav gospodarenja svim ostalim posebnim kategorijama otpada koji nisu obuhvaćeni ciljevima 1-8 </w:t>
            </w:r>
          </w:p>
        </w:tc>
        <w:tc>
          <w:tcPr>
            <w:tcW w:w="742" w:type="pct"/>
            <w:tcBorders>
              <w:top w:val="single" w:sz="4" w:space="0" w:color="auto"/>
              <w:left w:val="single" w:sz="4" w:space="0" w:color="auto"/>
              <w:bottom w:val="single" w:sz="4" w:space="0" w:color="auto"/>
              <w:right w:val="single" w:sz="4" w:space="0" w:color="auto"/>
            </w:tcBorders>
            <w:vAlign w:val="center"/>
          </w:tcPr>
          <w:p w14:paraId="16D08195" w14:textId="1CF45898" w:rsidR="005C164B" w:rsidRDefault="007A0053" w:rsidP="002559F7">
            <w:pPr>
              <w:rPr>
                <w:rFonts w:eastAsiaTheme="minorEastAsia" w:cstheme="minorHAnsi"/>
                <w:sz w:val="18"/>
                <w:szCs w:val="18"/>
              </w:rPr>
            </w:pPr>
            <w:r w:rsidRPr="007A0053">
              <w:rPr>
                <w:rFonts w:eastAsiaTheme="minorEastAsia" w:cstheme="minorHAnsi"/>
                <w:sz w:val="18"/>
                <w:szCs w:val="18"/>
              </w:rPr>
              <w:t>Mjere i aktivnosti definirane Programom sprječavanja nastanka otpada RH</w:t>
            </w:r>
          </w:p>
          <w:p w14:paraId="6E862AEC" w14:textId="2C2984AA" w:rsidR="007A0053" w:rsidRDefault="007A0053" w:rsidP="002559F7">
            <w:pPr>
              <w:rPr>
                <w:rFonts w:eastAsiaTheme="minorEastAsia" w:cstheme="minorHAnsi"/>
                <w:sz w:val="18"/>
                <w:szCs w:val="18"/>
              </w:rPr>
            </w:pPr>
          </w:p>
          <w:p w14:paraId="4FD33B02" w14:textId="77777777" w:rsidR="007A0053" w:rsidRDefault="007A0053" w:rsidP="002559F7">
            <w:pPr>
              <w:rPr>
                <w:rFonts w:eastAsiaTheme="minorEastAsia" w:cstheme="minorHAnsi"/>
                <w:sz w:val="18"/>
                <w:szCs w:val="18"/>
              </w:rPr>
            </w:pPr>
          </w:p>
          <w:p w14:paraId="65A26145" w14:textId="77777777" w:rsidR="002559F7" w:rsidRDefault="002559F7">
            <w:pPr>
              <w:rPr>
                <w:rFonts w:eastAsia="Calibri" w:cstheme="minorHAnsi"/>
                <w:sz w:val="18"/>
                <w:szCs w:val="18"/>
              </w:rPr>
            </w:pPr>
          </w:p>
          <w:p w14:paraId="605C1E74" w14:textId="77576E08" w:rsidR="007C3BF8" w:rsidRPr="007C3BF8" w:rsidRDefault="007C3BF8">
            <w:pPr>
              <w:rPr>
                <w:rFonts w:eastAsia="Calibri" w:cstheme="minorHAnsi"/>
                <w:sz w:val="18"/>
                <w:szCs w:val="18"/>
              </w:rPr>
            </w:pPr>
            <w:r w:rsidRPr="007C3BF8">
              <w:rPr>
                <w:rFonts w:eastAsia="Calibri" w:cstheme="minorHAnsi"/>
                <w:sz w:val="18"/>
                <w:szCs w:val="18"/>
              </w:rPr>
              <w:t xml:space="preserve">Mjera 6. Analiza </w:t>
            </w:r>
            <w:r w:rsidR="008B146A">
              <w:rPr>
                <w:rFonts w:eastAsia="Calibri" w:cstheme="minorHAnsi"/>
                <w:sz w:val="18"/>
                <w:szCs w:val="18"/>
              </w:rPr>
              <w:t xml:space="preserve">učinkovitosti </w:t>
            </w:r>
            <w:r w:rsidRPr="007C3BF8">
              <w:rPr>
                <w:rFonts w:eastAsia="Calibri" w:cstheme="minorHAnsi"/>
                <w:sz w:val="18"/>
                <w:szCs w:val="18"/>
              </w:rPr>
              <w:t>sustava za gospodarenje posebnim kategorijama otpada</w:t>
            </w:r>
            <w:r w:rsidR="007A0053">
              <w:rPr>
                <w:rFonts w:eastAsia="Calibri" w:cstheme="minorHAnsi"/>
                <w:sz w:val="18"/>
                <w:szCs w:val="18"/>
              </w:rPr>
              <w:t xml:space="preserve"> s prijedlozima za </w:t>
            </w:r>
            <w:proofErr w:type="spellStart"/>
            <w:r w:rsidR="007A0053">
              <w:rPr>
                <w:rFonts w:eastAsia="Calibri" w:cstheme="minorHAnsi"/>
                <w:sz w:val="18"/>
                <w:szCs w:val="18"/>
              </w:rPr>
              <w:t>unaprijeđenje</w:t>
            </w:r>
            <w:proofErr w:type="spellEnd"/>
          </w:p>
          <w:p w14:paraId="49093ADB" w14:textId="77777777" w:rsidR="007C3BF8" w:rsidRPr="007C3BF8" w:rsidRDefault="007C3BF8">
            <w:pPr>
              <w:rPr>
                <w:rFonts w:eastAsia="Calibri" w:cstheme="minorHAnsi"/>
                <w:sz w:val="18"/>
                <w:szCs w:val="18"/>
              </w:rPr>
            </w:pPr>
          </w:p>
          <w:p w14:paraId="0223C0EC" w14:textId="38295728" w:rsidR="007C3BF8" w:rsidRPr="007C3BF8" w:rsidRDefault="007C3BF8">
            <w:pPr>
              <w:rPr>
                <w:rFonts w:eastAsia="Calibri" w:cstheme="minorHAnsi"/>
                <w:sz w:val="18"/>
                <w:szCs w:val="18"/>
              </w:rPr>
            </w:pPr>
            <w:r w:rsidRPr="007C3BF8">
              <w:rPr>
                <w:rFonts w:eastAsia="Calibri" w:cstheme="minorHAnsi"/>
                <w:sz w:val="18"/>
                <w:szCs w:val="18"/>
              </w:rPr>
              <w:t xml:space="preserve">Mjera 7. </w:t>
            </w:r>
            <w:r w:rsidR="000A2891" w:rsidRPr="000A2891">
              <w:rPr>
                <w:rFonts w:eastAsia="Calibri" w:cstheme="minorHAnsi"/>
                <w:sz w:val="18"/>
                <w:szCs w:val="18"/>
              </w:rPr>
              <w:t>Unaprjeđenje sustava za gospodarenje otpadnom ambalažom i uspostava sustava za gospodarenje otpadnim plastičnim proizvodima za jednokratnu uporabu i ribolovnim alatima koji sadrže plastiku.</w:t>
            </w:r>
          </w:p>
          <w:p w14:paraId="30ACDDA6" w14:textId="77777777" w:rsidR="007C3BF8" w:rsidRPr="007C3BF8" w:rsidRDefault="007C3BF8">
            <w:pPr>
              <w:rPr>
                <w:rFonts w:eastAsia="Calibri" w:cstheme="minorHAnsi"/>
                <w:sz w:val="18"/>
                <w:szCs w:val="18"/>
              </w:rPr>
            </w:pPr>
          </w:p>
          <w:p w14:paraId="72C000D2" w14:textId="77777777" w:rsidR="007C3BF8" w:rsidRPr="007C3BF8" w:rsidRDefault="007C3BF8">
            <w:pPr>
              <w:rPr>
                <w:rFonts w:eastAsia="Calibri" w:cstheme="minorHAnsi"/>
                <w:sz w:val="18"/>
                <w:szCs w:val="18"/>
              </w:rPr>
            </w:pPr>
            <w:r w:rsidRPr="007C3BF8">
              <w:rPr>
                <w:rFonts w:eastAsia="Calibri" w:cstheme="minorHAnsi"/>
                <w:sz w:val="18"/>
                <w:szCs w:val="18"/>
              </w:rPr>
              <w:t xml:space="preserve">Mjera 8. Unaprjeđenje sustava za gospodarenje građevnim otpadom i </w:t>
            </w:r>
            <w:r w:rsidRPr="007C3BF8">
              <w:rPr>
                <w:rFonts w:eastAsia="Calibri" w:cstheme="minorHAnsi"/>
                <w:sz w:val="18"/>
                <w:szCs w:val="18"/>
              </w:rPr>
              <w:lastRenderedPageBreak/>
              <w:t>otpadom koji sadrži azbest</w:t>
            </w:r>
          </w:p>
          <w:p w14:paraId="4AEC6F20" w14:textId="77777777" w:rsidR="007C3BF8" w:rsidRPr="007C3BF8" w:rsidRDefault="007C3BF8">
            <w:pPr>
              <w:rPr>
                <w:rFonts w:eastAsia="Calibri" w:cstheme="minorHAnsi"/>
                <w:sz w:val="18"/>
                <w:szCs w:val="18"/>
              </w:rPr>
            </w:pPr>
          </w:p>
          <w:p w14:paraId="0311B0A7" w14:textId="18E7C5C3" w:rsidR="007C3BF8" w:rsidRPr="007C3BF8" w:rsidRDefault="007C3BF8">
            <w:pPr>
              <w:rPr>
                <w:rFonts w:eastAsia="Calibri" w:cstheme="minorHAnsi"/>
                <w:sz w:val="18"/>
                <w:szCs w:val="18"/>
              </w:rPr>
            </w:pPr>
          </w:p>
        </w:tc>
        <w:tc>
          <w:tcPr>
            <w:tcW w:w="633" w:type="pct"/>
            <w:tcBorders>
              <w:top w:val="single" w:sz="4" w:space="0" w:color="auto"/>
              <w:left w:val="single" w:sz="4" w:space="0" w:color="auto"/>
              <w:bottom w:val="single" w:sz="4" w:space="0" w:color="auto"/>
              <w:right w:val="single" w:sz="4" w:space="0" w:color="auto"/>
            </w:tcBorders>
            <w:vAlign w:val="center"/>
          </w:tcPr>
          <w:p w14:paraId="58B29696" w14:textId="42694B4A" w:rsidR="007C3BF8" w:rsidRPr="007C3BF8" w:rsidRDefault="007C3BF8">
            <w:pPr>
              <w:rPr>
                <w:rFonts w:eastAsia="Calibri" w:cstheme="minorHAnsi"/>
                <w:sz w:val="18"/>
                <w:szCs w:val="18"/>
              </w:rPr>
            </w:pPr>
            <w:r w:rsidRPr="007C3BF8">
              <w:rPr>
                <w:rFonts w:eastAsiaTheme="minorEastAsia" w:cstheme="minorHAnsi"/>
                <w:sz w:val="18"/>
                <w:szCs w:val="18"/>
              </w:rPr>
              <w:lastRenderedPageBreak/>
              <w:t xml:space="preserve">Aktivnosti iz PSNO: </w:t>
            </w:r>
            <w:r w:rsidR="00192B3B">
              <w:rPr>
                <w:rFonts w:eastAsiaTheme="minorEastAsia" w:cstheme="minorHAnsi"/>
                <w:sz w:val="18"/>
                <w:szCs w:val="18"/>
              </w:rPr>
              <w:t xml:space="preserve">PSNO </w:t>
            </w:r>
            <w:r w:rsidRPr="007C3BF8">
              <w:rPr>
                <w:rFonts w:eastAsiaTheme="minorEastAsia" w:cstheme="minorHAnsi"/>
                <w:sz w:val="18"/>
                <w:szCs w:val="18"/>
              </w:rPr>
              <w:t xml:space="preserve">A 1.1. – </w:t>
            </w:r>
            <w:r w:rsidR="00192B3B">
              <w:rPr>
                <w:rFonts w:eastAsiaTheme="minorEastAsia" w:cstheme="minorHAnsi"/>
                <w:sz w:val="18"/>
                <w:szCs w:val="18"/>
              </w:rPr>
              <w:t xml:space="preserve">PSNO </w:t>
            </w:r>
            <w:r w:rsidRPr="007C3BF8">
              <w:rPr>
                <w:rFonts w:eastAsiaTheme="minorEastAsia" w:cstheme="minorHAnsi"/>
                <w:sz w:val="18"/>
                <w:szCs w:val="18"/>
              </w:rPr>
              <w:t xml:space="preserve">A 1.2. (azbest); </w:t>
            </w:r>
            <w:r w:rsidR="00192B3B">
              <w:rPr>
                <w:rFonts w:eastAsiaTheme="minorEastAsia" w:cstheme="minorHAnsi"/>
                <w:sz w:val="18"/>
                <w:szCs w:val="18"/>
              </w:rPr>
              <w:t xml:space="preserve">PSNO </w:t>
            </w:r>
            <w:r w:rsidR="006061BC" w:rsidRPr="006061BC">
              <w:rPr>
                <w:rFonts w:eastAsiaTheme="minorEastAsia" w:cstheme="minorHAnsi"/>
                <w:sz w:val="18"/>
                <w:szCs w:val="18"/>
              </w:rPr>
              <w:t xml:space="preserve">A 6.1., </w:t>
            </w:r>
            <w:r w:rsidR="00192B3B">
              <w:rPr>
                <w:rFonts w:eastAsiaTheme="minorEastAsia" w:cstheme="minorHAnsi"/>
                <w:sz w:val="18"/>
                <w:szCs w:val="18"/>
              </w:rPr>
              <w:t xml:space="preserve">PSNO </w:t>
            </w:r>
            <w:r w:rsidR="006061BC" w:rsidRPr="006061BC">
              <w:rPr>
                <w:rFonts w:eastAsiaTheme="minorEastAsia" w:cstheme="minorHAnsi"/>
                <w:sz w:val="18"/>
                <w:szCs w:val="18"/>
              </w:rPr>
              <w:t xml:space="preserve">A 6.2., </w:t>
            </w:r>
            <w:r w:rsidR="00192B3B">
              <w:rPr>
                <w:rFonts w:eastAsiaTheme="minorEastAsia" w:cstheme="minorHAnsi"/>
                <w:sz w:val="18"/>
                <w:szCs w:val="18"/>
              </w:rPr>
              <w:t xml:space="preserve">PSNO </w:t>
            </w:r>
            <w:r w:rsidR="006061BC" w:rsidRPr="006061BC">
              <w:rPr>
                <w:rFonts w:eastAsiaTheme="minorEastAsia" w:cstheme="minorHAnsi"/>
                <w:sz w:val="18"/>
                <w:szCs w:val="18"/>
              </w:rPr>
              <w:t xml:space="preserve">A 6.4. – 6.6.; </w:t>
            </w:r>
            <w:r w:rsidRPr="007C3BF8">
              <w:rPr>
                <w:rFonts w:eastAsiaTheme="minorEastAsia" w:cstheme="minorHAnsi"/>
                <w:sz w:val="18"/>
                <w:szCs w:val="18"/>
              </w:rPr>
              <w:t xml:space="preserve"> </w:t>
            </w:r>
            <w:r w:rsidR="00192B3B">
              <w:rPr>
                <w:rFonts w:eastAsiaTheme="minorEastAsia" w:cstheme="minorHAnsi"/>
                <w:sz w:val="18"/>
                <w:szCs w:val="18"/>
              </w:rPr>
              <w:t xml:space="preserve">PSNO </w:t>
            </w:r>
            <w:r w:rsidRPr="007C3BF8">
              <w:rPr>
                <w:rFonts w:eastAsiaTheme="minorEastAsia" w:cstheme="minorHAnsi"/>
                <w:sz w:val="18"/>
                <w:szCs w:val="18"/>
              </w:rPr>
              <w:t xml:space="preserve">A 7.1.; </w:t>
            </w:r>
            <w:r w:rsidR="00192B3B">
              <w:rPr>
                <w:rFonts w:eastAsiaTheme="minorEastAsia" w:cstheme="minorHAnsi"/>
                <w:sz w:val="18"/>
                <w:szCs w:val="18"/>
              </w:rPr>
              <w:t xml:space="preserve">PSNO </w:t>
            </w:r>
            <w:r w:rsidRPr="007C3BF8">
              <w:rPr>
                <w:rFonts w:eastAsiaTheme="minorEastAsia" w:cstheme="minorHAnsi"/>
                <w:sz w:val="18"/>
                <w:szCs w:val="18"/>
              </w:rPr>
              <w:t xml:space="preserve">A 8.1. – </w:t>
            </w:r>
            <w:r w:rsidR="00192B3B">
              <w:rPr>
                <w:rFonts w:eastAsiaTheme="minorEastAsia" w:cstheme="minorHAnsi"/>
                <w:sz w:val="18"/>
                <w:szCs w:val="18"/>
              </w:rPr>
              <w:t xml:space="preserve">PSNO </w:t>
            </w:r>
            <w:r w:rsidRPr="007C3BF8">
              <w:rPr>
                <w:rFonts w:eastAsiaTheme="minorEastAsia" w:cstheme="minorHAnsi"/>
                <w:sz w:val="18"/>
                <w:szCs w:val="18"/>
              </w:rPr>
              <w:t xml:space="preserve">A 8.5., </w:t>
            </w:r>
            <w:r w:rsidR="00192B3B">
              <w:rPr>
                <w:rFonts w:eastAsiaTheme="minorEastAsia" w:cstheme="minorHAnsi"/>
                <w:sz w:val="18"/>
                <w:szCs w:val="18"/>
              </w:rPr>
              <w:t xml:space="preserve">PSNO </w:t>
            </w:r>
            <w:r w:rsidRPr="007C3BF8">
              <w:rPr>
                <w:rFonts w:eastAsiaTheme="minorEastAsia" w:cstheme="minorHAnsi"/>
                <w:sz w:val="18"/>
                <w:szCs w:val="18"/>
              </w:rPr>
              <w:t xml:space="preserve">A 9.1 </w:t>
            </w:r>
          </w:p>
          <w:p w14:paraId="5647E0DE" w14:textId="553589D9" w:rsidR="007C3BF8" w:rsidRDefault="007C3BF8">
            <w:pPr>
              <w:rPr>
                <w:rFonts w:eastAsia="Calibri" w:cstheme="minorHAnsi"/>
                <w:sz w:val="18"/>
                <w:szCs w:val="18"/>
              </w:rPr>
            </w:pPr>
          </w:p>
          <w:p w14:paraId="01F62792" w14:textId="5B58C86E" w:rsidR="00192B3B" w:rsidRDefault="00192B3B">
            <w:pPr>
              <w:rPr>
                <w:rFonts w:eastAsia="Calibri" w:cstheme="minorHAnsi"/>
                <w:sz w:val="18"/>
                <w:szCs w:val="18"/>
              </w:rPr>
            </w:pPr>
          </w:p>
          <w:p w14:paraId="780E0D3C" w14:textId="77777777" w:rsidR="00192B3B" w:rsidRDefault="00192B3B">
            <w:pPr>
              <w:rPr>
                <w:rFonts w:eastAsia="Calibri" w:cstheme="minorHAnsi"/>
                <w:sz w:val="18"/>
                <w:szCs w:val="18"/>
              </w:rPr>
            </w:pPr>
          </w:p>
          <w:p w14:paraId="1E8A9678" w14:textId="5C7A295A" w:rsidR="007C3BF8" w:rsidRPr="007C3BF8" w:rsidRDefault="00C77206">
            <w:pPr>
              <w:rPr>
                <w:rFonts w:eastAsia="Calibri" w:cstheme="minorHAnsi"/>
                <w:sz w:val="18"/>
                <w:szCs w:val="18"/>
              </w:rPr>
            </w:pPr>
            <w:r w:rsidRPr="007A0053">
              <w:rPr>
                <w:rFonts w:eastAsia="Calibri" w:cstheme="minorHAnsi"/>
                <w:sz w:val="18"/>
                <w:szCs w:val="18"/>
              </w:rPr>
              <w:t xml:space="preserve">A 6.2.; </w:t>
            </w:r>
            <w:r w:rsidR="007C3BF8" w:rsidRPr="007A0053">
              <w:rPr>
                <w:rFonts w:eastAsia="Calibri" w:cstheme="minorHAnsi"/>
                <w:sz w:val="18"/>
                <w:szCs w:val="18"/>
              </w:rPr>
              <w:t>A 6.5.; A 6.6.; A 7.2; A 8.1.;</w:t>
            </w:r>
          </w:p>
          <w:p w14:paraId="45BB29B3" w14:textId="77777777" w:rsidR="007C3BF8" w:rsidRPr="007C3BF8" w:rsidRDefault="007C3BF8">
            <w:pPr>
              <w:rPr>
                <w:rFonts w:eastAsia="Calibri" w:cstheme="minorHAnsi"/>
                <w:sz w:val="18"/>
                <w:szCs w:val="18"/>
              </w:rPr>
            </w:pPr>
          </w:p>
          <w:p w14:paraId="5E1E9CED" w14:textId="559148DF" w:rsidR="007C3BF8" w:rsidRPr="007C3BF8" w:rsidRDefault="007C3BF8">
            <w:pPr>
              <w:rPr>
                <w:rFonts w:eastAsia="Calibri" w:cstheme="minorHAnsi"/>
                <w:sz w:val="18"/>
                <w:szCs w:val="18"/>
              </w:rPr>
            </w:pPr>
          </w:p>
        </w:tc>
        <w:tc>
          <w:tcPr>
            <w:tcW w:w="1249" w:type="pct"/>
            <w:tcBorders>
              <w:top w:val="single" w:sz="4" w:space="0" w:color="auto"/>
              <w:left w:val="single" w:sz="4" w:space="0" w:color="auto"/>
              <w:bottom w:val="single" w:sz="4" w:space="0" w:color="auto"/>
              <w:right w:val="single" w:sz="4" w:space="0" w:color="auto"/>
            </w:tcBorders>
            <w:vAlign w:val="center"/>
          </w:tcPr>
          <w:p w14:paraId="577713D3" w14:textId="77777777" w:rsidR="007C3BF8" w:rsidRPr="007C3BF8" w:rsidRDefault="007C3BF8" w:rsidP="007C3BF8">
            <w:pPr>
              <w:rPr>
                <w:rFonts w:eastAsia="Calibri" w:cstheme="minorHAnsi"/>
                <w:sz w:val="18"/>
                <w:szCs w:val="18"/>
              </w:rPr>
            </w:pPr>
            <w:r w:rsidRPr="007C3BF8">
              <w:rPr>
                <w:rFonts w:eastAsia="Calibri" w:cstheme="minorHAnsi"/>
                <w:sz w:val="18"/>
                <w:szCs w:val="18"/>
              </w:rPr>
              <w:t>Poduzeti odgovarajuće mjere kako bi potakle dizajn proizvoda i sastavnih dijelova proizvoda koji umanjuju učinak proizvoda na okoliš i nastanak otpada u tijeku proizvodnje i daljnje uporabe proizvoda te kako bi osigurale da se oporaba i zbrinjavanje proizvoda koji su postali otpad provode u skladu s člancima 4. i 13. Direktive 2008/98/EZ.</w:t>
            </w:r>
          </w:p>
          <w:p w14:paraId="2F6D480E" w14:textId="77777777" w:rsidR="007C3BF8" w:rsidRPr="007C3BF8" w:rsidRDefault="007C3BF8">
            <w:pPr>
              <w:rPr>
                <w:rFonts w:eastAsia="Calibri" w:cstheme="minorHAnsi"/>
                <w:sz w:val="18"/>
                <w:szCs w:val="18"/>
              </w:rPr>
            </w:pPr>
          </w:p>
          <w:p w14:paraId="0E720859" w14:textId="77777777" w:rsidR="007C3BF8" w:rsidRPr="007C3BF8" w:rsidRDefault="007C3BF8">
            <w:pPr>
              <w:rPr>
                <w:rFonts w:eastAsia="Calibri" w:cstheme="minorHAnsi"/>
                <w:sz w:val="18"/>
                <w:szCs w:val="18"/>
              </w:rPr>
            </w:pPr>
            <w:r w:rsidRPr="007C3BF8">
              <w:rPr>
                <w:rFonts w:eastAsia="Calibri" w:cstheme="minorHAnsi"/>
                <w:sz w:val="18"/>
                <w:szCs w:val="18"/>
              </w:rPr>
              <w:t>Zaštita zdravlja ljudi i okoliša.</w:t>
            </w:r>
          </w:p>
          <w:p w14:paraId="47B6E7D8" w14:textId="77777777" w:rsidR="007C3BF8" w:rsidRPr="007C3BF8" w:rsidRDefault="007C3BF8">
            <w:pPr>
              <w:rPr>
                <w:rFonts w:eastAsia="Calibri" w:cstheme="minorHAnsi"/>
                <w:sz w:val="18"/>
                <w:szCs w:val="18"/>
              </w:rPr>
            </w:pPr>
          </w:p>
          <w:p w14:paraId="4EE91512" w14:textId="4AB9390B" w:rsidR="007C3BF8" w:rsidRDefault="007C3BF8">
            <w:pPr>
              <w:rPr>
                <w:rFonts w:eastAsia="Calibri" w:cstheme="minorHAnsi"/>
                <w:sz w:val="18"/>
                <w:szCs w:val="18"/>
              </w:rPr>
            </w:pPr>
            <w:r w:rsidRPr="007C3BF8">
              <w:rPr>
                <w:rFonts w:eastAsia="Calibri" w:cstheme="minorHAnsi"/>
                <w:sz w:val="18"/>
                <w:szCs w:val="18"/>
              </w:rPr>
              <w:t>Sprječavanje morskog otpada.</w:t>
            </w:r>
          </w:p>
          <w:p w14:paraId="3ECE447F" w14:textId="77777777" w:rsidR="00B83C2F" w:rsidRPr="007C3BF8" w:rsidRDefault="00B83C2F">
            <w:pPr>
              <w:rPr>
                <w:rFonts w:eastAsia="Calibri" w:cstheme="minorHAnsi"/>
                <w:sz w:val="18"/>
                <w:szCs w:val="18"/>
              </w:rPr>
            </w:pPr>
          </w:p>
          <w:p w14:paraId="5EDA37F1" w14:textId="41A5716C" w:rsidR="007C3BF8" w:rsidRPr="007C3BF8" w:rsidRDefault="007C3BF8">
            <w:pPr>
              <w:rPr>
                <w:rFonts w:eastAsia="Calibri" w:cstheme="minorHAnsi"/>
                <w:sz w:val="18"/>
                <w:szCs w:val="18"/>
              </w:rPr>
            </w:pPr>
            <w:r w:rsidRPr="007C3BF8">
              <w:rPr>
                <w:rFonts w:eastAsia="Calibri" w:cstheme="minorHAnsi"/>
                <w:sz w:val="18"/>
                <w:szCs w:val="18"/>
              </w:rPr>
              <w:t xml:space="preserve">Zaustaviti stvaranje morskog otpada kao doprinos UN Cilju održivog razvoja 14 (SDG 14 </w:t>
            </w:r>
            <w:r w:rsidR="005C164B">
              <w:rPr>
                <w:rFonts w:eastAsia="Calibri" w:cstheme="minorHAnsi"/>
                <w:sz w:val="18"/>
                <w:szCs w:val="18"/>
              </w:rPr>
              <w:t>–</w:t>
            </w:r>
            <w:r w:rsidRPr="007C3BF8">
              <w:rPr>
                <w:rFonts w:eastAsia="Calibri" w:cstheme="minorHAnsi"/>
                <w:sz w:val="18"/>
                <w:szCs w:val="18"/>
              </w:rPr>
              <w:t xml:space="preserve"> Očuvati i održivo koristiti oceane, mora i morske resurse za održivi razvoj).</w:t>
            </w:r>
          </w:p>
          <w:p w14:paraId="74A101AC" w14:textId="77777777" w:rsidR="007C3BF8" w:rsidRPr="007C3BF8" w:rsidRDefault="007C3BF8">
            <w:pPr>
              <w:rPr>
                <w:rFonts w:eastAsia="Calibri" w:cstheme="minorHAnsi"/>
                <w:sz w:val="18"/>
                <w:szCs w:val="18"/>
              </w:rPr>
            </w:pPr>
          </w:p>
          <w:p w14:paraId="5FCA1D9E" w14:textId="77777777" w:rsidR="007C3BF8" w:rsidRPr="007C3BF8" w:rsidRDefault="007C3BF8">
            <w:pPr>
              <w:rPr>
                <w:rFonts w:eastAsia="Calibri" w:cstheme="minorHAnsi"/>
                <w:sz w:val="18"/>
                <w:szCs w:val="18"/>
              </w:rPr>
            </w:pPr>
            <w:r w:rsidRPr="007C3BF8">
              <w:rPr>
                <w:rFonts w:eastAsia="Calibri" w:cstheme="minorHAnsi"/>
                <w:sz w:val="18"/>
                <w:szCs w:val="18"/>
              </w:rPr>
              <w:t>Uspostaviti program proširene odgovornosti proizvođača duhanskih proizvoda s filtrom te filtera koji se stavljaju na tržište za uporabu u kombinaciji s duhanskim proizvodima.</w:t>
            </w:r>
          </w:p>
          <w:p w14:paraId="67DF133C" w14:textId="77777777" w:rsidR="007C3BF8" w:rsidRPr="007C3BF8" w:rsidRDefault="007C3BF8">
            <w:pPr>
              <w:rPr>
                <w:rFonts w:eastAsia="Calibri" w:cstheme="minorHAnsi"/>
                <w:sz w:val="18"/>
                <w:szCs w:val="18"/>
              </w:rPr>
            </w:pPr>
          </w:p>
          <w:p w14:paraId="143DA222" w14:textId="7B756DC8" w:rsidR="007C3BF8" w:rsidRPr="007C3BF8" w:rsidRDefault="007C3BF8" w:rsidP="007C3BF8">
            <w:pPr>
              <w:rPr>
                <w:rFonts w:eastAsia="Calibri" w:cstheme="minorHAnsi"/>
                <w:sz w:val="18"/>
                <w:szCs w:val="18"/>
              </w:rPr>
            </w:pPr>
            <w:r w:rsidRPr="007C3BF8">
              <w:rPr>
                <w:rFonts w:eastAsia="Calibri" w:cstheme="minorHAnsi"/>
                <w:sz w:val="18"/>
                <w:szCs w:val="18"/>
              </w:rPr>
              <w:t>Poduze</w:t>
            </w:r>
            <w:r w:rsidR="00301158">
              <w:rPr>
                <w:rFonts w:eastAsia="Calibri" w:cstheme="minorHAnsi"/>
                <w:sz w:val="18"/>
                <w:szCs w:val="18"/>
              </w:rPr>
              <w:t>t</w:t>
            </w:r>
            <w:r w:rsidRPr="007C3BF8">
              <w:rPr>
                <w:rFonts w:eastAsia="Calibri" w:cstheme="minorHAnsi"/>
                <w:sz w:val="18"/>
                <w:szCs w:val="18"/>
              </w:rPr>
              <w:t xml:space="preserve">i mjere za obavješćivanje potrošača i poticanje odgovornog ponašanja potrošača kako bi se postiglo smanjenje odbacivanja otpada od duhanskih proizvoda s filtrom te filtera koji se </w:t>
            </w:r>
            <w:r w:rsidRPr="007C3BF8">
              <w:rPr>
                <w:rFonts w:eastAsia="Calibri" w:cstheme="minorHAnsi"/>
                <w:sz w:val="18"/>
                <w:szCs w:val="18"/>
              </w:rPr>
              <w:lastRenderedPageBreak/>
              <w:t>stavljaju na tržište za uporabu u kombinaciji s duhanskim proizvodima.</w:t>
            </w:r>
          </w:p>
        </w:tc>
        <w:tc>
          <w:tcPr>
            <w:tcW w:w="1312" w:type="pct"/>
            <w:tcBorders>
              <w:top w:val="single" w:sz="4" w:space="0" w:color="auto"/>
              <w:left w:val="single" w:sz="4" w:space="0" w:color="auto"/>
              <w:bottom w:val="single" w:sz="4" w:space="0" w:color="auto"/>
              <w:right w:val="single" w:sz="4" w:space="0" w:color="auto"/>
            </w:tcBorders>
            <w:vAlign w:val="center"/>
          </w:tcPr>
          <w:p w14:paraId="1B81A7A1" w14:textId="02FD10FB" w:rsidR="007C3BF8" w:rsidRPr="007C3BF8" w:rsidRDefault="007C3BF8">
            <w:pPr>
              <w:rPr>
                <w:rFonts w:eastAsia="Calibri" w:cstheme="minorHAnsi"/>
                <w:sz w:val="18"/>
                <w:szCs w:val="18"/>
              </w:rPr>
            </w:pPr>
            <w:r w:rsidRPr="007C3BF8">
              <w:rPr>
                <w:rFonts w:eastAsia="Calibri" w:cstheme="minorHAnsi"/>
                <w:sz w:val="18"/>
                <w:szCs w:val="18"/>
              </w:rPr>
              <w:lastRenderedPageBreak/>
              <w:t xml:space="preserve">Akcijski plan za kružno gospodarstvo </w:t>
            </w:r>
            <w:r w:rsidR="005C164B">
              <w:rPr>
                <w:rFonts w:eastAsia="Calibri" w:cstheme="minorHAnsi"/>
                <w:sz w:val="18"/>
                <w:szCs w:val="18"/>
              </w:rPr>
              <w:t>–</w:t>
            </w:r>
            <w:r w:rsidRPr="007C3BF8">
              <w:rPr>
                <w:rFonts w:eastAsia="Calibri" w:cstheme="minorHAnsi"/>
                <w:sz w:val="18"/>
                <w:szCs w:val="18"/>
              </w:rPr>
              <w:t xml:space="preserve"> Za čišću i konkurentniju Europu (Bruxelles, 11.3.2020., COM(2020) 98 </w:t>
            </w:r>
            <w:proofErr w:type="spellStart"/>
            <w:r w:rsidRPr="007C3BF8">
              <w:rPr>
                <w:rFonts w:eastAsia="Calibri" w:cstheme="minorHAnsi"/>
                <w:sz w:val="18"/>
                <w:szCs w:val="18"/>
              </w:rPr>
              <w:t>final</w:t>
            </w:r>
            <w:proofErr w:type="spellEnd"/>
            <w:r w:rsidRPr="007C3BF8">
              <w:rPr>
                <w:rFonts w:eastAsia="Calibri" w:cstheme="minorHAnsi"/>
                <w:sz w:val="18"/>
                <w:szCs w:val="18"/>
              </w:rPr>
              <w:t>)</w:t>
            </w:r>
          </w:p>
          <w:p w14:paraId="58088495" w14:textId="77777777" w:rsidR="007C3BF8" w:rsidRPr="007C3BF8" w:rsidRDefault="007C3BF8">
            <w:pPr>
              <w:rPr>
                <w:rFonts w:eastAsia="Calibri" w:cstheme="minorHAnsi"/>
                <w:sz w:val="18"/>
                <w:szCs w:val="18"/>
              </w:rPr>
            </w:pPr>
          </w:p>
          <w:p w14:paraId="59D331B4" w14:textId="77777777" w:rsidR="007C3BF8" w:rsidRPr="007C3BF8" w:rsidRDefault="007C3BF8">
            <w:pPr>
              <w:rPr>
                <w:rFonts w:eastAsia="Calibri"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p w14:paraId="16269D9C" w14:textId="77777777" w:rsidR="007C3BF8" w:rsidRPr="007C3BF8" w:rsidRDefault="007C3BF8">
            <w:pPr>
              <w:rPr>
                <w:rFonts w:eastAsia="Calibri" w:cstheme="minorHAnsi"/>
                <w:sz w:val="18"/>
                <w:szCs w:val="18"/>
              </w:rPr>
            </w:pPr>
          </w:p>
          <w:p w14:paraId="62792DA1" w14:textId="77777777" w:rsidR="007C3BF8" w:rsidRPr="007C3BF8" w:rsidRDefault="007C3BF8">
            <w:pPr>
              <w:rPr>
                <w:rFonts w:eastAsia="Calibri" w:cstheme="minorHAnsi"/>
                <w:sz w:val="18"/>
                <w:szCs w:val="18"/>
              </w:rPr>
            </w:pPr>
            <w:r w:rsidRPr="007C3BF8">
              <w:rPr>
                <w:rFonts w:eastAsiaTheme="minorEastAsia" w:cstheme="minorHAnsi"/>
                <w:sz w:val="18"/>
                <w:szCs w:val="18"/>
              </w:rPr>
              <w:t>Direktiva (EU) 2019/904 Europskog parlamenta i Vijeća od 5. lipnja 2019. o smanjenju utjecaja određenih plastičnih proizvoda na okoliš (SL L 155, 12. 6. 2019.).</w:t>
            </w:r>
          </w:p>
        </w:tc>
      </w:tr>
      <w:tr w:rsidR="008B146A" w:rsidRPr="007C3BF8" w14:paraId="38D9A4D9" w14:textId="77777777" w:rsidTr="009008E5">
        <w:trPr>
          <w:trHeight w:val="20"/>
        </w:trPr>
        <w:tc>
          <w:tcPr>
            <w:tcW w:w="106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4E7DA8" w14:textId="77777777" w:rsidR="007C3BF8" w:rsidRPr="007C3BF8" w:rsidRDefault="007C3BF8">
            <w:pPr>
              <w:rPr>
                <w:rFonts w:eastAsia="Calibri" w:cstheme="minorHAnsi"/>
                <w:sz w:val="18"/>
                <w:szCs w:val="18"/>
              </w:rPr>
            </w:pPr>
            <w:r w:rsidRPr="007C3BF8">
              <w:rPr>
                <w:rFonts w:eastAsia="Calibri" w:cstheme="minorHAnsi"/>
                <w:sz w:val="18"/>
                <w:szCs w:val="18"/>
              </w:rPr>
              <w:t>Cilj 10. Unaprijediti sustav gospodarenja opasnim otpadom</w:t>
            </w:r>
          </w:p>
        </w:tc>
        <w:tc>
          <w:tcPr>
            <w:tcW w:w="742" w:type="pct"/>
            <w:tcBorders>
              <w:top w:val="single" w:sz="4" w:space="0" w:color="auto"/>
              <w:left w:val="single" w:sz="4" w:space="0" w:color="auto"/>
              <w:bottom w:val="single" w:sz="4" w:space="0" w:color="auto"/>
              <w:right w:val="single" w:sz="4" w:space="0" w:color="auto"/>
            </w:tcBorders>
            <w:vAlign w:val="center"/>
            <w:hideMark/>
          </w:tcPr>
          <w:p w14:paraId="053769F4" w14:textId="4181315E" w:rsidR="007C3BF8" w:rsidRPr="007C3BF8" w:rsidRDefault="007C3BF8">
            <w:pPr>
              <w:rPr>
                <w:rFonts w:eastAsia="Calibri" w:cstheme="minorHAnsi"/>
                <w:sz w:val="18"/>
                <w:szCs w:val="18"/>
              </w:rPr>
            </w:pPr>
            <w:r w:rsidRPr="007C3BF8">
              <w:rPr>
                <w:rFonts w:eastAsia="Calibri" w:cstheme="minorHAnsi"/>
                <w:sz w:val="18"/>
                <w:szCs w:val="18"/>
              </w:rPr>
              <w:t xml:space="preserve">Mjera </w:t>
            </w:r>
            <w:r w:rsidR="00D13DC2" w:rsidRPr="007C3BF8">
              <w:rPr>
                <w:rFonts w:eastAsia="Calibri" w:cstheme="minorHAnsi"/>
                <w:sz w:val="18"/>
                <w:szCs w:val="18"/>
              </w:rPr>
              <w:t>1</w:t>
            </w:r>
            <w:r w:rsidR="00D13DC2">
              <w:rPr>
                <w:rFonts w:eastAsia="Calibri" w:cstheme="minorHAnsi"/>
                <w:sz w:val="18"/>
                <w:szCs w:val="18"/>
              </w:rPr>
              <w:t>0</w:t>
            </w:r>
            <w:r w:rsidRPr="007C3BF8">
              <w:rPr>
                <w:rFonts w:eastAsia="Calibri" w:cstheme="minorHAnsi"/>
                <w:sz w:val="18"/>
                <w:szCs w:val="18"/>
              </w:rPr>
              <w:t>. Provedba projekta „Studija izvedivosti postojećih i potrebnih kapaciteta za obradu opasnog otpada i studija za identifikaciju novih lokacija onečišćenih opasnim otpadom („crne točke“)“</w:t>
            </w:r>
          </w:p>
        </w:tc>
        <w:tc>
          <w:tcPr>
            <w:tcW w:w="633" w:type="pct"/>
            <w:tcBorders>
              <w:top w:val="single" w:sz="4" w:space="0" w:color="auto"/>
              <w:left w:val="single" w:sz="4" w:space="0" w:color="auto"/>
              <w:bottom w:val="single" w:sz="4" w:space="0" w:color="auto"/>
              <w:right w:val="single" w:sz="4" w:space="0" w:color="auto"/>
            </w:tcBorders>
            <w:vAlign w:val="center"/>
            <w:hideMark/>
          </w:tcPr>
          <w:p w14:paraId="4724C364" w14:textId="77777777" w:rsidR="00A52EB6" w:rsidRDefault="00A52EB6">
            <w:pPr>
              <w:rPr>
                <w:rFonts w:eastAsia="Calibri" w:cstheme="minorHAnsi"/>
                <w:sz w:val="18"/>
                <w:szCs w:val="18"/>
              </w:rPr>
            </w:pPr>
          </w:p>
          <w:p w14:paraId="39E879E7" w14:textId="53C14B2F" w:rsidR="007C3BF8" w:rsidRPr="007C3BF8" w:rsidRDefault="007C3BF8">
            <w:pPr>
              <w:rPr>
                <w:rFonts w:eastAsia="Calibri" w:cstheme="minorHAnsi"/>
                <w:sz w:val="18"/>
                <w:szCs w:val="18"/>
              </w:rPr>
            </w:pPr>
            <w:r w:rsidRPr="007C3BF8">
              <w:rPr>
                <w:rFonts w:eastAsia="Calibri" w:cstheme="minorHAnsi"/>
                <w:sz w:val="18"/>
                <w:szCs w:val="18"/>
              </w:rPr>
              <w:t xml:space="preserve">A </w:t>
            </w:r>
            <w:r w:rsidR="00D13DC2" w:rsidRPr="007C3BF8">
              <w:rPr>
                <w:rFonts w:eastAsia="Calibri" w:cstheme="minorHAnsi"/>
                <w:sz w:val="18"/>
                <w:szCs w:val="18"/>
              </w:rPr>
              <w:t>1</w:t>
            </w:r>
            <w:r w:rsidR="00D13DC2">
              <w:rPr>
                <w:rFonts w:eastAsia="Calibri" w:cstheme="minorHAnsi"/>
                <w:sz w:val="18"/>
                <w:szCs w:val="18"/>
              </w:rPr>
              <w:t>0</w:t>
            </w:r>
            <w:r w:rsidRPr="007C3BF8">
              <w:rPr>
                <w:rFonts w:eastAsia="Calibri" w:cstheme="minorHAnsi"/>
                <w:sz w:val="18"/>
                <w:szCs w:val="18"/>
              </w:rPr>
              <w:t xml:space="preserve">.1.; </w:t>
            </w:r>
            <w:r w:rsidR="00D13DC2" w:rsidRPr="007C3BF8">
              <w:rPr>
                <w:rFonts w:eastAsia="Calibri" w:cstheme="minorHAnsi"/>
                <w:sz w:val="18"/>
                <w:szCs w:val="18"/>
              </w:rPr>
              <w:t>A1</w:t>
            </w:r>
            <w:r w:rsidR="00D13DC2">
              <w:rPr>
                <w:rFonts w:eastAsia="Calibri" w:cstheme="minorHAnsi"/>
                <w:sz w:val="18"/>
                <w:szCs w:val="18"/>
              </w:rPr>
              <w:t>0</w:t>
            </w:r>
            <w:r w:rsidRPr="007C3BF8">
              <w:rPr>
                <w:rFonts w:eastAsia="Calibri" w:cstheme="minorHAnsi"/>
                <w:sz w:val="18"/>
                <w:szCs w:val="18"/>
              </w:rPr>
              <w:t>.2.</w:t>
            </w:r>
          </w:p>
        </w:tc>
        <w:tc>
          <w:tcPr>
            <w:tcW w:w="1249" w:type="pct"/>
            <w:tcBorders>
              <w:top w:val="single" w:sz="4" w:space="0" w:color="auto"/>
              <w:left w:val="single" w:sz="4" w:space="0" w:color="auto"/>
              <w:bottom w:val="single" w:sz="4" w:space="0" w:color="auto"/>
              <w:right w:val="single" w:sz="4" w:space="0" w:color="auto"/>
            </w:tcBorders>
            <w:vAlign w:val="center"/>
            <w:hideMark/>
          </w:tcPr>
          <w:p w14:paraId="2699589A" w14:textId="77777777" w:rsidR="007C3BF8" w:rsidRPr="007C3BF8" w:rsidRDefault="007C3BF8">
            <w:pPr>
              <w:rPr>
                <w:rFonts w:eastAsia="Calibri" w:cstheme="minorHAnsi"/>
                <w:sz w:val="18"/>
                <w:szCs w:val="18"/>
              </w:rPr>
            </w:pPr>
            <w:r w:rsidRPr="007C3BF8">
              <w:rPr>
                <w:rFonts w:eastAsia="Calibri" w:cstheme="minorHAnsi"/>
                <w:sz w:val="18"/>
                <w:szCs w:val="18"/>
              </w:rPr>
              <w:t>Zaštita zdravlja ljudi i okoliša.</w:t>
            </w:r>
          </w:p>
        </w:tc>
        <w:tc>
          <w:tcPr>
            <w:tcW w:w="1312" w:type="pct"/>
            <w:tcBorders>
              <w:top w:val="single" w:sz="4" w:space="0" w:color="auto"/>
              <w:left w:val="single" w:sz="4" w:space="0" w:color="auto"/>
              <w:bottom w:val="single" w:sz="4" w:space="0" w:color="auto"/>
              <w:right w:val="single" w:sz="4" w:space="0" w:color="auto"/>
            </w:tcBorders>
            <w:vAlign w:val="center"/>
          </w:tcPr>
          <w:p w14:paraId="7856E69A" w14:textId="549CBA81" w:rsidR="007C3BF8" w:rsidRPr="007C3BF8" w:rsidRDefault="007C3BF8" w:rsidP="007C3BF8">
            <w:pPr>
              <w:rPr>
                <w:rFonts w:eastAsia="Calibri"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tc>
      </w:tr>
      <w:tr w:rsidR="008B146A" w:rsidRPr="007C3BF8" w14:paraId="0008BD0F" w14:textId="77777777" w:rsidTr="009008E5">
        <w:trPr>
          <w:trHeight w:val="20"/>
        </w:trPr>
        <w:tc>
          <w:tcPr>
            <w:tcW w:w="106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95D8E6" w14:textId="77777777" w:rsidR="007C3BF8" w:rsidRPr="007C3BF8" w:rsidRDefault="007C3BF8">
            <w:pPr>
              <w:rPr>
                <w:rFonts w:eastAsia="Calibri" w:cstheme="minorHAnsi"/>
                <w:sz w:val="18"/>
                <w:szCs w:val="18"/>
              </w:rPr>
            </w:pPr>
            <w:r w:rsidRPr="007C3BF8">
              <w:rPr>
                <w:rFonts w:eastAsia="Calibri" w:cstheme="minorHAnsi"/>
                <w:sz w:val="18"/>
                <w:szCs w:val="18"/>
              </w:rPr>
              <w:t>Cilj 11. Sanirati lokacije onečišćene otpadom</w:t>
            </w:r>
          </w:p>
        </w:tc>
        <w:tc>
          <w:tcPr>
            <w:tcW w:w="742" w:type="pct"/>
            <w:tcBorders>
              <w:top w:val="single" w:sz="4" w:space="0" w:color="auto"/>
              <w:left w:val="single" w:sz="4" w:space="0" w:color="auto"/>
              <w:bottom w:val="single" w:sz="4" w:space="0" w:color="auto"/>
              <w:right w:val="single" w:sz="4" w:space="0" w:color="auto"/>
            </w:tcBorders>
            <w:vAlign w:val="center"/>
          </w:tcPr>
          <w:p w14:paraId="5FAEAEA5" w14:textId="396E3C6A" w:rsidR="007C3BF8" w:rsidRPr="007C3BF8" w:rsidRDefault="007C3BF8">
            <w:pPr>
              <w:rPr>
                <w:rFonts w:eastAsia="Calibri" w:cstheme="minorHAnsi"/>
                <w:sz w:val="18"/>
                <w:szCs w:val="18"/>
              </w:rPr>
            </w:pPr>
            <w:r w:rsidRPr="007C3BF8">
              <w:rPr>
                <w:rFonts w:eastAsia="Calibri" w:cstheme="minorHAnsi"/>
                <w:sz w:val="18"/>
                <w:szCs w:val="18"/>
              </w:rPr>
              <w:t xml:space="preserve">Mjera </w:t>
            </w:r>
            <w:r w:rsidR="00D172F2" w:rsidRPr="007C3BF8">
              <w:rPr>
                <w:rFonts w:eastAsia="Calibri" w:cstheme="minorHAnsi"/>
                <w:sz w:val="18"/>
                <w:szCs w:val="18"/>
              </w:rPr>
              <w:t>1</w:t>
            </w:r>
            <w:r w:rsidR="00D172F2">
              <w:rPr>
                <w:rFonts w:eastAsia="Calibri" w:cstheme="minorHAnsi"/>
                <w:sz w:val="18"/>
                <w:szCs w:val="18"/>
              </w:rPr>
              <w:t>1</w:t>
            </w:r>
            <w:r w:rsidRPr="007C3BF8">
              <w:rPr>
                <w:rFonts w:eastAsia="Calibri" w:cstheme="minorHAnsi"/>
                <w:sz w:val="18"/>
                <w:szCs w:val="18"/>
              </w:rPr>
              <w:t xml:space="preserve">. Sanacija </w:t>
            </w:r>
            <w:r w:rsidR="00575191">
              <w:rPr>
                <w:rFonts w:eastAsia="Calibri" w:cstheme="minorHAnsi"/>
                <w:sz w:val="18"/>
                <w:szCs w:val="18"/>
              </w:rPr>
              <w:t xml:space="preserve">i zatvaranje </w:t>
            </w:r>
            <w:r w:rsidRPr="007C3BF8">
              <w:rPr>
                <w:rFonts w:eastAsia="Calibri" w:cstheme="minorHAnsi"/>
                <w:sz w:val="18"/>
                <w:szCs w:val="18"/>
              </w:rPr>
              <w:t>odlagališta neopasnog otpada</w:t>
            </w:r>
          </w:p>
          <w:p w14:paraId="4B6EC788" w14:textId="77777777" w:rsidR="007C3BF8" w:rsidRPr="007C3BF8" w:rsidRDefault="007C3BF8">
            <w:pPr>
              <w:rPr>
                <w:rFonts w:eastAsia="Calibri" w:cstheme="minorHAnsi"/>
                <w:sz w:val="18"/>
                <w:szCs w:val="18"/>
              </w:rPr>
            </w:pPr>
          </w:p>
          <w:p w14:paraId="73E99334" w14:textId="55108F64" w:rsidR="007C3BF8" w:rsidRPr="007C3BF8" w:rsidRDefault="007C3BF8">
            <w:pPr>
              <w:rPr>
                <w:rFonts w:eastAsia="Calibri" w:cstheme="minorHAnsi"/>
                <w:sz w:val="18"/>
                <w:szCs w:val="18"/>
              </w:rPr>
            </w:pPr>
            <w:r w:rsidRPr="007C3BF8">
              <w:rPr>
                <w:rFonts w:eastAsia="Calibri" w:cstheme="minorHAnsi"/>
                <w:sz w:val="18"/>
                <w:szCs w:val="18"/>
              </w:rPr>
              <w:t xml:space="preserve">Mjera </w:t>
            </w:r>
            <w:r w:rsidR="00D172F2" w:rsidRPr="007C3BF8">
              <w:rPr>
                <w:rFonts w:eastAsia="Calibri" w:cstheme="minorHAnsi"/>
                <w:sz w:val="18"/>
                <w:szCs w:val="18"/>
              </w:rPr>
              <w:t>1</w:t>
            </w:r>
            <w:r w:rsidR="00D172F2">
              <w:rPr>
                <w:rFonts w:eastAsia="Calibri" w:cstheme="minorHAnsi"/>
                <w:sz w:val="18"/>
                <w:szCs w:val="18"/>
              </w:rPr>
              <w:t>2</w:t>
            </w:r>
            <w:r w:rsidRPr="007C3BF8">
              <w:rPr>
                <w:rFonts w:eastAsia="Calibri" w:cstheme="minorHAnsi"/>
                <w:sz w:val="18"/>
                <w:szCs w:val="18"/>
              </w:rPr>
              <w:t>. Sanacija lokacija onečišćenih opasnim otpadom (»crne točke«)</w:t>
            </w:r>
          </w:p>
          <w:p w14:paraId="62C13A2F" w14:textId="77777777" w:rsidR="007C3BF8" w:rsidRPr="007C3BF8" w:rsidRDefault="007C3BF8">
            <w:pPr>
              <w:rPr>
                <w:rFonts w:eastAsia="Calibri" w:cstheme="minorHAnsi"/>
                <w:sz w:val="18"/>
                <w:szCs w:val="18"/>
              </w:rPr>
            </w:pPr>
          </w:p>
          <w:p w14:paraId="29E20680" w14:textId="7759C3D8" w:rsidR="007C3BF8" w:rsidRPr="007C3BF8" w:rsidRDefault="007C3BF8">
            <w:pPr>
              <w:rPr>
                <w:rFonts w:eastAsia="Calibri" w:cstheme="minorHAnsi"/>
                <w:sz w:val="18"/>
                <w:szCs w:val="18"/>
              </w:rPr>
            </w:pPr>
            <w:r w:rsidRPr="007C3BF8">
              <w:rPr>
                <w:rFonts w:eastAsia="Calibri" w:cstheme="minorHAnsi"/>
                <w:sz w:val="18"/>
                <w:szCs w:val="18"/>
              </w:rPr>
              <w:t xml:space="preserve">Mjera </w:t>
            </w:r>
            <w:r w:rsidR="00D172F2" w:rsidRPr="007C3BF8">
              <w:rPr>
                <w:rFonts w:eastAsia="Calibri" w:cstheme="minorHAnsi"/>
                <w:sz w:val="18"/>
                <w:szCs w:val="18"/>
              </w:rPr>
              <w:t>1</w:t>
            </w:r>
            <w:r w:rsidR="00D172F2">
              <w:rPr>
                <w:rFonts w:eastAsia="Calibri" w:cstheme="minorHAnsi"/>
                <w:sz w:val="18"/>
                <w:szCs w:val="18"/>
              </w:rPr>
              <w:t>3</w:t>
            </w:r>
            <w:r w:rsidRPr="007C3BF8">
              <w:rPr>
                <w:rFonts w:eastAsia="Calibri" w:cstheme="minorHAnsi"/>
                <w:sz w:val="18"/>
                <w:szCs w:val="18"/>
              </w:rPr>
              <w:t>. Sanacija lokacija onečišćenih otpadom odbačenim u okoliš</w:t>
            </w:r>
          </w:p>
        </w:tc>
        <w:tc>
          <w:tcPr>
            <w:tcW w:w="633" w:type="pct"/>
            <w:tcBorders>
              <w:top w:val="single" w:sz="4" w:space="0" w:color="auto"/>
              <w:left w:val="single" w:sz="4" w:space="0" w:color="auto"/>
              <w:bottom w:val="single" w:sz="4" w:space="0" w:color="auto"/>
              <w:right w:val="single" w:sz="4" w:space="0" w:color="auto"/>
            </w:tcBorders>
            <w:vAlign w:val="center"/>
            <w:hideMark/>
          </w:tcPr>
          <w:p w14:paraId="0C1E703C" w14:textId="77777777" w:rsidR="00A52EB6" w:rsidRDefault="00A52EB6">
            <w:pPr>
              <w:rPr>
                <w:rFonts w:eastAsia="Calibri" w:cstheme="minorHAnsi"/>
                <w:sz w:val="18"/>
                <w:szCs w:val="18"/>
              </w:rPr>
            </w:pPr>
          </w:p>
          <w:p w14:paraId="5F2025C7" w14:textId="606087A8" w:rsidR="007C3BF8" w:rsidRPr="007C3BF8" w:rsidRDefault="007C3BF8">
            <w:pPr>
              <w:rPr>
                <w:rFonts w:eastAsia="Calibri" w:cstheme="minorHAnsi"/>
                <w:sz w:val="18"/>
                <w:szCs w:val="18"/>
              </w:rPr>
            </w:pPr>
            <w:r w:rsidRPr="007C3BF8">
              <w:rPr>
                <w:rFonts w:eastAsia="Calibri" w:cstheme="minorHAnsi"/>
                <w:sz w:val="18"/>
                <w:szCs w:val="18"/>
              </w:rPr>
              <w:t xml:space="preserve">A </w:t>
            </w:r>
            <w:r w:rsidR="00D172F2" w:rsidRPr="007C3BF8">
              <w:rPr>
                <w:rFonts w:eastAsia="Calibri" w:cstheme="minorHAnsi"/>
                <w:sz w:val="18"/>
                <w:szCs w:val="18"/>
              </w:rPr>
              <w:t>1</w:t>
            </w:r>
            <w:r w:rsidR="00D172F2">
              <w:rPr>
                <w:rFonts w:eastAsia="Calibri" w:cstheme="minorHAnsi"/>
                <w:sz w:val="18"/>
                <w:szCs w:val="18"/>
              </w:rPr>
              <w:t>1</w:t>
            </w:r>
            <w:r w:rsidRPr="007C3BF8">
              <w:rPr>
                <w:rFonts w:eastAsia="Calibri" w:cstheme="minorHAnsi"/>
                <w:sz w:val="18"/>
                <w:szCs w:val="18"/>
              </w:rPr>
              <w:t xml:space="preserve">.1.; A </w:t>
            </w:r>
            <w:r w:rsidR="00D172F2" w:rsidRPr="007C3BF8">
              <w:rPr>
                <w:rFonts w:eastAsia="Calibri" w:cstheme="minorHAnsi"/>
                <w:sz w:val="18"/>
                <w:szCs w:val="18"/>
              </w:rPr>
              <w:t>1</w:t>
            </w:r>
            <w:r w:rsidR="00D172F2">
              <w:rPr>
                <w:rFonts w:eastAsia="Calibri" w:cstheme="minorHAnsi"/>
                <w:sz w:val="18"/>
                <w:szCs w:val="18"/>
              </w:rPr>
              <w:t>2</w:t>
            </w:r>
            <w:r w:rsidRPr="007C3BF8">
              <w:rPr>
                <w:rFonts w:eastAsia="Calibri" w:cstheme="minorHAnsi"/>
                <w:sz w:val="18"/>
                <w:szCs w:val="18"/>
              </w:rPr>
              <w:t xml:space="preserve">.1.; A </w:t>
            </w:r>
            <w:r w:rsidR="00D172F2" w:rsidRPr="007C3BF8">
              <w:rPr>
                <w:rFonts w:eastAsia="Calibri" w:cstheme="minorHAnsi"/>
                <w:sz w:val="18"/>
                <w:szCs w:val="18"/>
              </w:rPr>
              <w:t>1</w:t>
            </w:r>
            <w:r w:rsidR="00D172F2">
              <w:rPr>
                <w:rFonts w:eastAsia="Calibri" w:cstheme="minorHAnsi"/>
                <w:sz w:val="18"/>
                <w:szCs w:val="18"/>
              </w:rPr>
              <w:t>3</w:t>
            </w:r>
            <w:r w:rsidRPr="007C3BF8">
              <w:rPr>
                <w:rFonts w:eastAsia="Calibri" w:cstheme="minorHAnsi"/>
                <w:sz w:val="18"/>
                <w:szCs w:val="18"/>
              </w:rPr>
              <w:t>.1.</w:t>
            </w:r>
            <w:r w:rsidR="00FF0377">
              <w:rPr>
                <w:rFonts w:eastAsia="Calibri" w:cstheme="minorHAnsi"/>
                <w:sz w:val="18"/>
                <w:szCs w:val="18"/>
              </w:rPr>
              <w:t>;</w:t>
            </w:r>
            <w:r w:rsidRPr="007C3BF8">
              <w:rPr>
                <w:rFonts w:eastAsia="Calibri" w:cstheme="minorHAnsi"/>
                <w:sz w:val="18"/>
                <w:szCs w:val="18"/>
              </w:rPr>
              <w:t xml:space="preserve"> A </w:t>
            </w:r>
            <w:r w:rsidR="00D13DC2" w:rsidRPr="007C3BF8">
              <w:rPr>
                <w:rFonts w:eastAsia="Calibri" w:cstheme="minorHAnsi"/>
                <w:sz w:val="18"/>
                <w:szCs w:val="18"/>
              </w:rPr>
              <w:t>1</w:t>
            </w:r>
            <w:r w:rsidR="00D13DC2">
              <w:rPr>
                <w:rFonts w:eastAsia="Calibri" w:cstheme="minorHAnsi"/>
                <w:sz w:val="18"/>
                <w:szCs w:val="18"/>
              </w:rPr>
              <w:t>3</w:t>
            </w:r>
            <w:r w:rsidRPr="007C3BF8">
              <w:rPr>
                <w:rFonts w:eastAsia="Calibri" w:cstheme="minorHAnsi"/>
                <w:sz w:val="18"/>
                <w:szCs w:val="18"/>
              </w:rPr>
              <w:t>.2.</w:t>
            </w:r>
          </w:p>
        </w:tc>
        <w:tc>
          <w:tcPr>
            <w:tcW w:w="1249" w:type="pct"/>
            <w:tcBorders>
              <w:top w:val="single" w:sz="4" w:space="0" w:color="auto"/>
              <w:left w:val="single" w:sz="4" w:space="0" w:color="auto"/>
              <w:bottom w:val="single" w:sz="4" w:space="0" w:color="auto"/>
              <w:right w:val="single" w:sz="4" w:space="0" w:color="auto"/>
            </w:tcBorders>
            <w:vAlign w:val="center"/>
          </w:tcPr>
          <w:p w14:paraId="6F5635DB" w14:textId="77777777" w:rsidR="007C3BF8" w:rsidRPr="007C3BF8" w:rsidRDefault="007C3BF8">
            <w:pPr>
              <w:rPr>
                <w:rFonts w:eastAsia="Calibri" w:cstheme="minorHAnsi"/>
                <w:sz w:val="18"/>
                <w:szCs w:val="18"/>
              </w:rPr>
            </w:pPr>
            <w:r w:rsidRPr="007C3BF8">
              <w:rPr>
                <w:rFonts w:eastAsia="Calibri" w:cstheme="minorHAnsi"/>
                <w:sz w:val="18"/>
                <w:szCs w:val="18"/>
              </w:rPr>
              <w:t>Zaštita zdravlja ljudi i okoliša.</w:t>
            </w:r>
          </w:p>
          <w:p w14:paraId="595D0858" w14:textId="77777777" w:rsidR="007C3BF8" w:rsidRPr="007C3BF8" w:rsidRDefault="007C3BF8">
            <w:pPr>
              <w:rPr>
                <w:rFonts w:eastAsia="Calibri" w:cstheme="minorHAnsi"/>
                <w:sz w:val="18"/>
                <w:szCs w:val="18"/>
              </w:rPr>
            </w:pPr>
          </w:p>
          <w:p w14:paraId="6116067C" w14:textId="77777777" w:rsidR="007C3BF8" w:rsidRPr="007C3BF8" w:rsidRDefault="007C3BF8">
            <w:pPr>
              <w:rPr>
                <w:rFonts w:eastAsia="Calibri" w:cstheme="minorHAnsi"/>
                <w:sz w:val="18"/>
                <w:szCs w:val="18"/>
              </w:rPr>
            </w:pPr>
            <w:r w:rsidRPr="007C3BF8">
              <w:rPr>
                <w:rFonts w:eastAsia="Calibri" w:cstheme="minorHAnsi"/>
                <w:sz w:val="18"/>
                <w:szCs w:val="18"/>
              </w:rPr>
              <w:t>Do 2020. odlagati na odlagališta manje od 35% biorazgradivog komunalnog otpada proizvedenog 1997.</w:t>
            </w:r>
          </w:p>
          <w:p w14:paraId="2503C02E" w14:textId="77777777" w:rsidR="007C3BF8" w:rsidRPr="007C3BF8" w:rsidRDefault="007C3BF8">
            <w:pPr>
              <w:rPr>
                <w:rFonts w:eastAsia="Calibri" w:cstheme="minorHAnsi"/>
                <w:sz w:val="18"/>
                <w:szCs w:val="18"/>
              </w:rPr>
            </w:pPr>
          </w:p>
          <w:p w14:paraId="1BF0653A" w14:textId="77777777" w:rsidR="007C3BF8" w:rsidRPr="007C3BF8" w:rsidRDefault="007C3BF8">
            <w:pPr>
              <w:rPr>
                <w:rFonts w:eastAsia="Calibri" w:cstheme="minorHAnsi"/>
                <w:sz w:val="18"/>
                <w:szCs w:val="18"/>
              </w:rPr>
            </w:pPr>
            <w:r w:rsidRPr="007C3BF8">
              <w:rPr>
                <w:rFonts w:eastAsia="Calibri" w:cstheme="minorHAnsi"/>
                <w:sz w:val="18"/>
                <w:szCs w:val="18"/>
              </w:rPr>
              <w:t>Do 2035. smanjiti odlaganje na najviše 10% nastalog komunalnog otpada (po težini)</w:t>
            </w:r>
          </w:p>
        </w:tc>
        <w:tc>
          <w:tcPr>
            <w:tcW w:w="1312" w:type="pct"/>
            <w:tcBorders>
              <w:top w:val="single" w:sz="4" w:space="0" w:color="auto"/>
              <w:left w:val="single" w:sz="4" w:space="0" w:color="auto"/>
              <w:bottom w:val="single" w:sz="4" w:space="0" w:color="auto"/>
              <w:right w:val="single" w:sz="4" w:space="0" w:color="auto"/>
            </w:tcBorders>
            <w:vAlign w:val="center"/>
          </w:tcPr>
          <w:p w14:paraId="7068249B" w14:textId="77777777" w:rsidR="007C3BF8" w:rsidRPr="007C3BF8" w:rsidRDefault="007C3BF8">
            <w:pPr>
              <w:rPr>
                <w:rFonts w:eastAsia="Calibri"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p w14:paraId="66513389" w14:textId="77777777" w:rsidR="007C3BF8" w:rsidRPr="007C3BF8" w:rsidRDefault="007C3BF8">
            <w:pPr>
              <w:rPr>
                <w:rFonts w:eastAsia="Calibri" w:cstheme="minorHAnsi"/>
                <w:sz w:val="18"/>
                <w:szCs w:val="18"/>
              </w:rPr>
            </w:pPr>
          </w:p>
          <w:p w14:paraId="425CDFF6" w14:textId="1BABDA1B" w:rsidR="007C3BF8" w:rsidRPr="007C3BF8" w:rsidRDefault="007C3BF8" w:rsidP="007C3BF8">
            <w:pPr>
              <w:rPr>
                <w:rFonts w:eastAsia="Calibri" w:cstheme="minorHAnsi"/>
                <w:sz w:val="18"/>
                <w:szCs w:val="18"/>
              </w:rPr>
            </w:pPr>
            <w:r w:rsidRPr="007C3BF8">
              <w:rPr>
                <w:rFonts w:eastAsia="Calibri" w:cstheme="minorHAnsi"/>
                <w:sz w:val="18"/>
                <w:szCs w:val="18"/>
              </w:rPr>
              <w:t>Direktiva Vijeća 1999/31/EZ od 26. travnja 1999. o odlagalištima otpada (SL L 182, 16. 7. 1999.) kako je posljednji put izmijenjena Direktivom (EU) 2018/850 Europskog parlamenta i Vijeća od 30. svibnja 2018. o izmjeni Direktive 1999/31/EZ o odlagalištima otpada (SL L 150, 14. 6. 2018.)</w:t>
            </w:r>
          </w:p>
        </w:tc>
      </w:tr>
      <w:tr w:rsidR="008B146A" w:rsidRPr="007C3BF8" w14:paraId="496E6EFC" w14:textId="77777777" w:rsidTr="009008E5">
        <w:trPr>
          <w:trHeight w:val="20"/>
        </w:trPr>
        <w:tc>
          <w:tcPr>
            <w:tcW w:w="106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499002" w14:textId="77777777" w:rsidR="007C3BF8" w:rsidRPr="007C3BF8" w:rsidRDefault="007C3BF8">
            <w:pPr>
              <w:rPr>
                <w:rFonts w:eastAsia="Calibri" w:cstheme="minorHAnsi"/>
                <w:sz w:val="18"/>
                <w:szCs w:val="18"/>
              </w:rPr>
            </w:pPr>
            <w:r w:rsidRPr="007C3BF8">
              <w:rPr>
                <w:rFonts w:eastAsia="Calibri" w:cstheme="minorHAnsi"/>
                <w:sz w:val="18"/>
                <w:szCs w:val="18"/>
              </w:rPr>
              <w:t>Cilj 12. Unaprijediti informacijski sustav gospodarenja otpadom</w:t>
            </w:r>
          </w:p>
        </w:tc>
        <w:tc>
          <w:tcPr>
            <w:tcW w:w="742" w:type="pct"/>
            <w:tcBorders>
              <w:top w:val="single" w:sz="4" w:space="0" w:color="auto"/>
              <w:left w:val="single" w:sz="4" w:space="0" w:color="auto"/>
              <w:bottom w:val="single" w:sz="4" w:space="0" w:color="auto"/>
              <w:right w:val="single" w:sz="4" w:space="0" w:color="auto"/>
            </w:tcBorders>
            <w:vAlign w:val="center"/>
          </w:tcPr>
          <w:p w14:paraId="23269956" w14:textId="724129D8" w:rsidR="007C3BF8" w:rsidRPr="007C3BF8" w:rsidRDefault="007C3BF8">
            <w:pPr>
              <w:rPr>
                <w:rFonts w:eastAsia="Calibri" w:cstheme="minorHAnsi"/>
                <w:sz w:val="18"/>
                <w:szCs w:val="18"/>
              </w:rPr>
            </w:pPr>
            <w:r w:rsidRPr="007C3BF8">
              <w:rPr>
                <w:rFonts w:eastAsia="Calibri" w:cstheme="minorHAnsi"/>
                <w:sz w:val="18"/>
                <w:szCs w:val="18"/>
              </w:rPr>
              <w:t xml:space="preserve">Mjera </w:t>
            </w:r>
            <w:r w:rsidR="00D172F2" w:rsidRPr="007C3BF8">
              <w:rPr>
                <w:rFonts w:eastAsia="Calibri" w:cstheme="minorHAnsi"/>
                <w:sz w:val="18"/>
                <w:szCs w:val="18"/>
              </w:rPr>
              <w:t>1</w:t>
            </w:r>
            <w:r w:rsidR="00D172F2">
              <w:rPr>
                <w:rFonts w:eastAsia="Calibri" w:cstheme="minorHAnsi"/>
                <w:sz w:val="18"/>
                <w:szCs w:val="18"/>
              </w:rPr>
              <w:t>4</w:t>
            </w:r>
            <w:r w:rsidRPr="007C3BF8">
              <w:rPr>
                <w:rFonts w:eastAsia="Calibri" w:cstheme="minorHAnsi"/>
                <w:sz w:val="18"/>
                <w:szCs w:val="18"/>
              </w:rPr>
              <w:t>. Izrada i/ili unaprjeđenje aplikacija koje su dio informacijskog sustava gospodarenja otpadom</w:t>
            </w:r>
          </w:p>
          <w:p w14:paraId="1AD53BFB" w14:textId="77777777" w:rsidR="007C3BF8" w:rsidRPr="007C3BF8" w:rsidRDefault="007C3BF8">
            <w:pPr>
              <w:rPr>
                <w:rFonts w:eastAsia="Calibri" w:cstheme="minorHAnsi"/>
                <w:sz w:val="18"/>
                <w:szCs w:val="18"/>
              </w:rPr>
            </w:pPr>
          </w:p>
          <w:p w14:paraId="016AC775" w14:textId="48EF404D" w:rsidR="007C3BF8" w:rsidRPr="007C3BF8" w:rsidRDefault="007C3BF8">
            <w:pPr>
              <w:rPr>
                <w:rFonts w:eastAsia="Calibri" w:cstheme="minorHAnsi"/>
                <w:sz w:val="18"/>
                <w:szCs w:val="18"/>
              </w:rPr>
            </w:pPr>
            <w:r w:rsidRPr="007C3BF8">
              <w:rPr>
                <w:rFonts w:eastAsia="Calibri" w:cstheme="minorHAnsi"/>
                <w:sz w:val="18"/>
                <w:szCs w:val="18"/>
              </w:rPr>
              <w:t xml:space="preserve">Mjera </w:t>
            </w:r>
            <w:r w:rsidR="00D172F2" w:rsidRPr="007C3BF8">
              <w:rPr>
                <w:rFonts w:eastAsia="Calibri" w:cstheme="minorHAnsi"/>
                <w:sz w:val="18"/>
                <w:szCs w:val="18"/>
              </w:rPr>
              <w:t>1</w:t>
            </w:r>
            <w:r w:rsidR="00D172F2">
              <w:rPr>
                <w:rFonts w:eastAsia="Calibri" w:cstheme="minorHAnsi"/>
                <w:sz w:val="18"/>
                <w:szCs w:val="18"/>
              </w:rPr>
              <w:t>5</w:t>
            </w:r>
            <w:r w:rsidRPr="007C3BF8">
              <w:rPr>
                <w:rFonts w:eastAsia="Calibri" w:cstheme="minorHAnsi"/>
                <w:sz w:val="18"/>
                <w:szCs w:val="18"/>
              </w:rPr>
              <w:t xml:space="preserve">. Izrada informacijskog </w:t>
            </w:r>
            <w:r w:rsidRPr="007C3BF8">
              <w:rPr>
                <w:rFonts w:eastAsia="Calibri" w:cstheme="minorHAnsi"/>
                <w:sz w:val="18"/>
                <w:szCs w:val="18"/>
              </w:rPr>
              <w:lastRenderedPageBreak/>
              <w:t>sustava FZOEU za pripremu i provedbu projekata</w:t>
            </w:r>
          </w:p>
          <w:p w14:paraId="78727A9D" w14:textId="77777777" w:rsidR="007C3BF8" w:rsidRPr="007C3BF8" w:rsidRDefault="007C3BF8">
            <w:pPr>
              <w:rPr>
                <w:rFonts w:eastAsia="Calibri" w:cstheme="minorHAnsi"/>
                <w:sz w:val="18"/>
                <w:szCs w:val="18"/>
              </w:rPr>
            </w:pPr>
          </w:p>
          <w:p w14:paraId="5AD6D232" w14:textId="1D829521" w:rsidR="007C3BF8" w:rsidRPr="007C3BF8" w:rsidRDefault="007C3BF8">
            <w:pPr>
              <w:rPr>
                <w:rFonts w:eastAsia="Calibri" w:cstheme="minorHAnsi"/>
                <w:sz w:val="18"/>
                <w:szCs w:val="18"/>
              </w:rPr>
            </w:pPr>
            <w:r w:rsidRPr="007C3BF8">
              <w:rPr>
                <w:rFonts w:eastAsia="Calibri" w:cstheme="minorHAnsi"/>
                <w:sz w:val="18"/>
                <w:szCs w:val="18"/>
              </w:rPr>
              <w:t xml:space="preserve">Mjera </w:t>
            </w:r>
            <w:r w:rsidR="00D172F2" w:rsidRPr="007C3BF8">
              <w:rPr>
                <w:rFonts w:eastAsia="Calibri" w:cstheme="minorHAnsi"/>
                <w:sz w:val="18"/>
                <w:szCs w:val="18"/>
              </w:rPr>
              <w:t>1</w:t>
            </w:r>
            <w:r w:rsidR="00D172F2">
              <w:rPr>
                <w:rFonts w:eastAsia="Calibri" w:cstheme="minorHAnsi"/>
                <w:sz w:val="18"/>
                <w:szCs w:val="18"/>
              </w:rPr>
              <w:t>6</w:t>
            </w:r>
            <w:r w:rsidRPr="007C3BF8">
              <w:rPr>
                <w:rFonts w:eastAsia="Calibri" w:cstheme="minorHAnsi"/>
                <w:sz w:val="18"/>
                <w:szCs w:val="18"/>
              </w:rPr>
              <w:t>. Izrada plana monitoringa provedbe Plana gospodarenja otpadom Republike Hrvatske</w:t>
            </w:r>
          </w:p>
        </w:tc>
        <w:tc>
          <w:tcPr>
            <w:tcW w:w="633" w:type="pct"/>
            <w:tcBorders>
              <w:top w:val="single" w:sz="4" w:space="0" w:color="auto"/>
              <w:left w:val="single" w:sz="4" w:space="0" w:color="auto"/>
              <w:bottom w:val="single" w:sz="4" w:space="0" w:color="auto"/>
              <w:right w:val="single" w:sz="4" w:space="0" w:color="auto"/>
            </w:tcBorders>
            <w:vAlign w:val="center"/>
            <w:hideMark/>
          </w:tcPr>
          <w:p w14:paraId="3E7876F1" w14:textId="77777777" w:rsidR="00A52EB6" w:rsidRDefault="00A52EB6">
            <w:pPr>
              <w:rPr>
                <w:rFonts w:eastAsia="Calibri" w:cstheme="minorHAnsi"/>
                <w:sz w:val="18"/>
                <w:szCs w:val="18"/>
              </w:rPr>
            </w:pPr>
          </w:p>
          <w:p w14:paraId="7E4AA299" w14:textId="58AF22E7" w:rsidR="007C3BF8" w:rsidRPr="007C3BF8" w:rsidRDefault="007C3BF8">
            <w:pPr>
              <w:rPr>
                <w:rFonts w:eastAsia="Calibri" w:cstheme="minorHAnsi"/>
                <w:sz w:val="18"/>
                <w:szCs w:val="18"/>
              </w:rPr>
            </w:pPr>
            <w:r w:rsidRPr="007C3BF8">
              <w:rPr>
                <w:rFonts w:eastAsia="Calibri" w:cstheme="minorHAnsi"/>
                <w:sz w:val="18"/>
                <w:szCs w:val="18"/>
              </w:rPr>
              <w:t xml:space="preserve">A </w:t>
            </w:r>
            <w:r w:rsidR="00D172F2" w:rsidRPr="007C3BF8">
              <w:rPr>
                <w:rFonts w:eastAsia="Calibri" w:cstheme="minorHAnsi"/>
                <w:sz w:val="18"/>
                <w:szCs w:val="18"/>
              </w:rPr>
              <w:t>1</w:t>
            </w:r>
            <w:r w:rsidR="00D172F2">
              <w:rPr>
                <w:rFonts w:eastAsia="Calibri" w:cstheme="minorHAnsi"/>
                <w:sz w:val="18"/>
                <w:szCs w:val="18"/>
              </w:rPr>
              <w:t>4</w:t>
            </w:r>
            <w:r w:rsidRPr="007C3BF8">
              <w:rPr>
                <w:rFonts w:eastAsia="Calibri" w:cstheme="minorHAnsi"/>
                <w:sz w:val="18"/>
                <w:szCs w:val="18"/>
              </w:rPr>
              <w:t xml:space="preserve">.1. – A </w:t>
            </w:r>
            <w:r w:rsidR="00D172F2" w:rsidRPr="007C3BF8">
              <w:rPr>
                <w:rFonts w:eastAsia="Calibri" w:cstheme="minorHAnsi"/>
                <w:sz w:val="18"/>
                <w:szCs w:val="18"/>
              </w:rPr>
              <w:t>1</w:t>
            </w:r>
            <w:r w:rsidR="00D172F2">
              <w:rPr>
                <w:rFonts w:eastAsia="Calibri" w:cstheme="minorHAnsi"/>
                <w:sz w:val="18"/>
                <w:szCs w:val="18"/>
              </w:rPr>
              <w:t>4</w:t>
            </w:r>
            <w:r w:rsidRPr="007C3BF8">
              <w:rPr>
                <w:rFonts w:eastAsia="Calibri" w:cstheme="minorHAnsi"/>
                <w:sz w:val="18"/>
                <w:szCs w:val="18"/>
              </w:rPr>
              <w:t>.1</w:t>
            </w:r>
            <w:r w:rsidR="00F9684C">
              <w:rPr>
                <w:rFonts w:eastAsia="Calibri" w:cstheme="minorHAnsi"/>
                <w:sz w:val="18"/>
                <w:szCs w:val="18"/>
              </w:rPr>
              <w:t>3</w:t>
            </w:r>
            <w:r w:rsidRPr="007C3BF8">
              <w:rPr>
                <w:rFonts w:eastAsia="Calibri" w:cstheme="minorHAnsi"/>
                <w:sz w:val="18"/>
                <w:szCs w:val="18"/>
              </w:rPr>
              <w:t xml:space="preserve">.; A </w:t>
            </w:r>
            <w:r w:rsidR="00D172F2" w:rsidRPr="007C3BF8">
              <w:rPr>
                <w:rFonts w:eastAsia="Calibri" w:cstheme="minorHAnsi"/>
                <w:sz w:val="18"/>
                <w:szCs w:val="18"/>
              </w:rPr>
              <w:t>1</w:t>
            </w:r>
            <w:r w:rsidR="00D172F2">
              <w:rPr>
                <w:rFonts w:eastAsia="Calibri" w:cstheme="minorHAnsi"/>
                <w:sz w:val="18"/>
                <w:szCs w:val="18"/>
              </w:rPr>
              <w:t>5</w:t>
            </w:r>
            <w:r w:rsidRPr="007C3BF8">
              <w:rPr>
                <w:rFonts w:eastAsia="Calibri" w:cstheme="minorHAnsi"/>
                <w:sz w:val="18"/>
                <w:szCs w:val="18"/>
              </w:rPr>
              <w:t xml:space="preserve">.1., A </w:t>
            </w:r>
            <w:r w:rsidR="00D172F2" w:rsidRPr="007C3BF8">
              <w:rPr>
                <w:rFonts w:eastAsia="Calibri" w:cstheme="minorHAnsi"/>
                <w:sz w:val="18"/>
                <w:szCs w:val="18"/>
              </w:rPr>
              <w:t>1</w:t>
            </w:r>
            <w:r w:rsidR="00D172F2">
              <w:rPr>
                <w:rFonts w:eastAsia="Calibri" w:cstheme="minorHAnsi"/>
                <w:sz w:val="18"/>
                <w:szCs w:val="18"/>
              </w:rPr>
              <w:t>6</w:t>
            </w:r>
            <w:r w:rsidRPr="007C3BF8">
              <w:rPr>
                <w:rFonts w:eastAsia="Calibri" w:cstheme="minorHAnsi"/>
                <w:sz w:val="18"/>
                <w:szCs w:val="18"/>
              </w:rPr>
              <w:t>.1</w:t>
            </w:r>
          </w:p>
        </w:tc>
        <w:tc>
          <w:tcPr>
            <w:tcW w:w="1249" w:type="pct"/>
            <w:tcBorders>
              <w:top w:val="single" w:sz="4" w:space="0" w:color="auto"/>
              <w:left w:val="single" w:sz="4" w:space="0" w:color="auto"/>
              <w:bottom w:val="single" w:sz="4" w:space="0" w:color="auto"/>
              <w:right w:val="single" w:sz="4" w:space="0" w:color="auto"/>
            </w:tcBorders>
            <w:vAlign w:val="center"/>
            <w:hideMark/>
          </w:tcPr>
          <w:p w14:paraId="104CD101" w14:textId="77777777" w:rsidR="007C3BF8" w:rsidRPr="007C3BF8" w:rsidRDefault="007C3BF8">
            <w:pPr>
              <w:rPr>
                <w:rFonts w:eastAsia="Calibri" w:cstheme="minorHAnsi"/>
                <w:sz w:val="18"/>
                <w:szCs w:val="18"/>
              </w:rPr>
            </w:pPr>
            <w:r w:rsidRPr="007C3BF8">
              <w:rPr>
                <w:rFonts w:eastAsia="Calibri" w:cstheme="minorHAnsi"/>
                <w:sz w:val="18"/>
                <w:szCs w:val="18"/>
              </w:rPr>
              <w:t>Praćenje i provjeravanje usklađenosti s EPR obvezama. Vođenje evidencije. Registracija.</w:t>
            </w:r>
          </w:p>
        </w:tc>
        <w:tc>
          <w:tcPr>
            <w:tcW w:w="1312" w:type="pct"/>
            <w:tcBorders>
              <w:top w:val="single" w:sz="4" w:space="0" w:color="auto"/>
              <w:left w:val="single" w:sz="4" w:space="0" w:color="auto"/>
              <w:bottom w:val="single" w:sz="4" w:space="0" w:color="auto"/>
              <w:right w:val="single" w:sz="4" w:space="0" w:color="auto"/>
            </w:tcBorders>
            <w:vAlign w:val="center"/>
            <w:hideMark/>
          </w:tcPr>
          <w:p w14:paraId="6DFACBEF" w14:textId="77777777" w:rsidR="007C3BF8" w:rsidRPr="007C3BF8" w:rsidRDefault="007C3BF8">
            <w:pPr>
              <w:rPr>
                <w:rFonts w:eastAsia="Calibri" w:cstheme="minorHAnsi"/>
                <w:sz w:val="18"/>
                <w:szCs w:val="18"/>
              </w:rPr>
            </w:pPr>
            <w:r w:rsidRPr="007C3BF8">
              <w:rPr>
                <w:rFonts w:eastAsia="Calibri" w:cstheme="minorHAnsi"/>
                <w:sz w:val="18"/>
                <w:szCs w:val="18"/>
              </w:rPr>
              <w:t xml:space="preserve">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w:t>
            </w:r>
            <w:r w:rsidRPr="007C3BF8">
              <w:rPr>
                <w:rFonts w:eastAsia="Calibri" w:cstheme="minorHAnsi"/>
                <w:sz w:val="18"/>
                <w:szCs w:val="18"/>
              </w:rPr>
              <w:lastRenderedPageBreak/>
              <w:t>otpadu (SL L 150, 14. 6. 2018.)</w:t>
            </w:r>
          </w:p>
        </w:tc>
      </w:tr>
      <w:tr w:rsidR="008B146A" w:rsidRPr="007C3BF8" w14:paraId="5E425E08" w14:textId="77777777" w:rsidTr="009008E5">
        <w:trPr>
          <w:trHeight w:val="20"/>
        </w:trPr>
        <w:tc>
          <w:tcPr>
            <w:tcW w:w="106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CA48766" w14:textId="77777777" w:rsidR="007C3BF8" w:rsidRPr="007C3BF8" w:rsidRDefault="007C3BF8">
            <w:pPr>
              <w:rPr>
                <w:rFonts w:eastAsia="Calibri" w:cstheme="minorHAnsi"/>
                <w:sz w:val="18"/>
                <w:szCs w:val="18"/>
              </w:rPr>
            </w:pPr>
            <w:r w:rsidRPr="007C3BF8">
              <w:rPr>
                <w:rFonts w:eastAsia="Calibri" w:cstheme="minorHAnsi"/>
                <w:sz w:val="18"/>
                <w:szCs w:val="18"/>
              </w:rPr>
              <w:lastRenderedPageBreak/>
              <w:t>Cilj 13. Unaprijediti nadzor nad gospodarenjem otpadom</w:t>
            </w:r>
          </w:p>
        </w:tc>
        <w:tc>
          <w:tcPr>
            <w:tcW w:w="742" w:type="pct"/>
            <w:tcBorders>
              <w:top w:val="single" w:sz="4" w:space="0" w:color="auto"/>
              <w:left w:val="single" w:sz="4" w:space="0" w:color="auto"/>
              <w:bottom w:val="single" w:sz="4" w:space="0" w:color="auto"/>
              <w:right w:val="single" w:sz="4" w:space="0" w:color="auto"/>
            </w:tcBorders>
            <w:vAlign w:val="center"/>
          </w:tcPr>
          <w:p w14:paraId="3CC8A6B2" w14:textId="77777777" w:rsidR="005C164B" w:rsidRDefault="005C164B" w:rsidP="002559F7">
            <w:pPr>
              <w:rPr>
                <w:rFonts w:eastAsiaTheme="minorEastAsia" w:cstheme="minorHAnsi"/>
                <w:sz w:val="18"/>
                <w:szCs w:val="18"/>
              </w:rPr>
            </w:pPr>
          </w:p>
          <w:p w14:paraId="5DB72E19" w14:textId="51DAE949" w:rsidR="007C3BF8" w:rsidRPr="007C3BF8" w:rsidRDefault="007C3BF8">
            <w:pPr>
              <w:rPr>
                <w:rFonts w:eastAsia="Calibri" w:cstheme="minorHAnsi"/>
                <w:sz w:val="18"/>
                <w:szCs w:val="18"/>
              </w:rPr>
            </w:pPr>
            <w:r w:rsidRPr="007C3BF8">
              <w:rPr>
                <w:rFonts w:eastAsia="Calibri" w:cstheme="minorHAnsi"/>
                <w:sz w:val="18"/>
                <w:szCs w:val="18"/>
              </w:rPr>
              <w:t xml:space="preserve">Mjera </w:t>
            </w:r>
            <w:r w:rsidR="00D172F2" w:rsidRPr="007C3BF8">
              <w:rPr>
                <w:rFonts w:eastAsia="Calibri" w:cstheme="minorHAnsi"/>
                <w:sz w:val="18"/>
                <w:szCs w:val="18"/>
              </w:rPr>
              <w:t>1</w:t>
            </w:r>
            <w:r w:rsidR="00D172F2">
              <w:rPr>
                <w:rFonts w:eastAsia="Calibri" w:cstheme="minorHAnsi"/>
                <w:sz w:val="18"/>
                <w:szCs w:val="18"/>
              </w:rPr>
              <w:t>7</w:t>
            </w:r>
            <w:r w:rsidRPr="007C3BF8">
              <w:rPr>
                <w:rFonts w:eastAsia="Calibri" w:cstheme="minorHAnsi"/>
                <w:sz w:val="18"/>
                <w:szCs w:val="18"/>
              </w:rPr>
              <w:t>. Izobrazba sudionika uključenih u nadzor gospodarenja otpadom</w:t>
            </w:r>
          </w:p>
        </w:tc>
        <w:tc>
          <w:tcPr>
            <w:tcW w:w="633" w:type="pct"/>
            <w:tcBorders>
              <w:top w:val="single" w:sz="4" w:space="0" w:color="auto"/>
              <w:left w:val="single" w:sz="4" w:space="0" w:color="auto"/>
              <w:bottom w:val="single" w:sz="4" w:space="0" w:color="auto"/>
              <w:right w:val="single" w:sz="4" w:space="0" w:color="auto"/>
            </w:tcBorders>
            <w:vAlign w:val="center"/>
          </w:tcPr>
          <w:p w14:paraId="0B56DC7C" w14:textId="2D58B51F" w:rsidR="007C3BF8" w:rsidRDefault="007C3BF8">
            <w:pPr>
              <w:rPr>
                <w:rFonts w:eastAsia="Calibri" w:cstheme="minorHAnsi"/>
                <w:sz w:val="18"/>
                <w:szCs w:val="18"/>
              </w:rPr>
            </w:pPr>
          </w:p>
          <w:p w14:paraId="3F293A68" w14:textId="77777777" w:rsidR="00A52EB6" w:rsidRPr="007C3BF8" w:rsidRDefault="00A52EB6">
            <w:pPr>
              <w:rPr>
                <w:rFonts w:eastAsia="Calibri" w:cstheme="minorHAnsi"/>
                <w:sz w:val="18"/>
                <w:szCs w:val="18"/>
              </w:rPr>
            </w:pPr>
          </w:p>
          <w:p w14:paraId="1E554AA1" w14:textId="5634688A" w:rsidR="007C3BF8" w:rsidRPr="007C3BF8" w:rsidRDefault="007C3BF8">
            <w:pPr>
              <w:rPr>
                <w:rFonts w:eastAsia="Calibri" w:cstheme="minorHAnsi"/>
                <w:sz w:val="18"/>
                <w:szCs w:val="18"/>
              </w:rPr>
            </w:pPr>
            <w:r w:rsidRPr="007C3BF8">
              <w:rPr>
                <w:rFonts w:eastAsia="Calibri" w:cstheme="minorHAnsi"/>
                <w:sz w:val="18"/>
                <w:szCs w:val="18"/>
              </w:rPr>
              <w:t xml:space="preserve">A </w:t>
            </w:r>
            <w:r w:rsidR="00D172F2" w:rsidRPr="007C3BF8">
              <w:rPr>
                <w:rFonts w:eastAsia="Calibri" w:cstheme="minorHAnsi"/>
                <w:sz w:val="18"/>
                <w:szCs w:val="18"/>
              </w:rPr>
              <w:t>1</w:t>
            </w:r>
            <w:r w:rsidR="00D172F2">
              <w:rPr>
                <w:rFonts w:eastAsia="Calibri" w:cstheme="minorHAnsi"/>
                <w:sz w:val="18"/>
                <w:szCs w:val="18"/>
              </w:rPr>
              <w:t>7</w:t>
            </w:r>
            <w:r w:rsidRPr="007C3BF8">
              <w:rPr>
                <w:rFonts w:eastAsia="Calibri" w:cstheme="minorHAnsi"/>
                <w:sz w:val="18"/>
                <w:szCs w:val="18"/>
              </w:rPr>
              <w:t>.1.</w:t>
            </w:r>
          </w:p>
        </w:tc>
        <w:tc>
          <w:tcPr>
            <w:tcW w:w="1249" w:type="pct"/>
            <w:tcBorders>
              <w:top w:val="single" w:sz="4" w:space="0" w:color="auto"/>
              <w:left w:val="single" w:sz="4" w:space="0" w:color="auto"/>
              <w:bottom w:val="single" w:sz="4" w:space="0" w:color="auto"/>
              <w:right w:val="single" w:sz="4" w:space="0" w:color="auto"/>
            </w:tcBorders>
            <w:vAlign w:val="center"/>
            <w:hideMark/>
          </w:tcPr>
          <w:p w14:paraId="491CC433" w14:textId="77777777" w:rsidR="007C3BF8" w:rsidRPr="007C3BF8" w:rsidRDefault="007C3BF8">
            <w:pPr>
              <w:rPr>
                <w:rFonts w:eastAsia="Calibri" w:cstheme="minorHAnsi"/>
                <w:sz w:val="18"/>
                <w:szCs w:val="18"/>
              </w:rPr>
            </w:pPr>
            <w:r w:rsidRPr="007C3BF8">
              <w:rPr>
                <w:rFonts w:eastAsia="Calibri" w:cstheme="minorHAnsi"/>
                <w:sz w:val="18"/>
                <w:szCs w:val="18"/>
              </w:rPr>
              <w:t>Inspekcija. Izdavanje dozvola i izuzeća od zahtjeva za dozvole.</w:t>
            </w:r>
          </w:p>
        </w:tc>
        <w:tc>
          <w:tcPr>
            <w:tcW w:w="1312" w:type="pct"/>
            <w:tcBorders>
              <w:top w:val="single" w:sz="4" w:space="0" w:color="auto"/>
              <w:left w:val="single" w:sz="4" w:space="0" w:color="auto"/>
              <w:bottom w:val="single" w:sz="4" w:space="0" w:color="auto"/>
              <w:right w:val="single" w:sz="4" w:space="0" w:color="auto"/>
            </w:tcBorders>
            <w:vAlign w:val="center"/>
            <w:hideMark/>
          </w:tcPr>
          <w:p w14:paraId="6F9FBDD4" w14:textId="77777777" w:rsidR="007C3BF8" w:rsidRPr="007C3BF8" w:rsidRDefault="007C3BF8">
            <w:pPr>
              <w:rPr>
                <w:rFonts w:eastAsia="Calibri"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tc>
      </w:tr>
    </w:tbl>
    <w:p w14:paraId="3BE95962" w14:textId="0216E02B" w:rsidR="007C3BF8" w:rsidRDefault="007C3BF8" w:rsidP="007C3BF8"/>
    <w:p w14:paraId="58469148" w14:textId="77777777" w:rsidR="007C3BF8" w:rsidRDefault="007C3BF8" w:rsidP="007C3BF8">
      <w:pPr>
        <w:sectPr w:rsidR="007C3BF8" w:rsidSect="00B25FB3">
          <w:pgSz w:w="11906" w:h="16838" w:code="9"/>
          <w:pgMar w:top="1440" w:right="1418" w:bottom="1440" w:left="1440" w:header="709" w:footer="709" w:gutter="0"/>
          <w:cols w:space="708"/>
          <w:docGrid w:linePitch="360"/>
        </w:sectPr>
      </w:pPr>
    </w:p>
    <w:p w14:paraId="37314C55" w14:textId="702913C0" w:rsidR="00596ABF" w:rsidRDefault="001649D4" w:rsidP="0018450E">
      <w:pPr>
        <w:pStyle w:val="IRNaslov2"/>
        <w:numPr>
          <w:ilvl w:val="1"/>
          <w:numId w:val="22"/>
        </w:numPr>
        <w:ind w:left="709"/>
      </w:pPr>
      <w:bookmarkStart w:id="321" w:name="_Toc123211694"/>
      <w:r>
        <w:lastRenderedPageBreak/>
        <w:t xml:space="preserve">Mjere unaprjeđenja </w:t>
      </w:r>
      <w:r w:rsidRPr="001649D4">
        <w:t>ponovne uporabe, recikliranja i drugih postupaka oporabe komunalnog otpada i smanjenja odlaganja na odlagališta otpada</w:t>
      </w:r>
      <w:bookmarkEnd w:id="321"/>
    </w:p>
    <w:p w14:paraId="0082022B" w14:textId="131B772D" w:rsidR="001649D4" w:rsidRDefault="001649D4" w:rsidP="001649D4">
      <w:pPr>
        <w:rPr>
          <w:rFonts w:cstheme="minorHAnsi"/>
        </w:rPr>
      </w:pPr>
      <w:bookmarkStart w:id="322" w:name="_Hlk112066749"/>
      <w:r>
        <w:rPr>
          <w:rFonts w:cstheme="minorHAnsi"/>
        </w:rPr>
        <w:t xml:space="preserve">Skupina mjera i aktivnosti u ovom </w:t>
      </w:r>
      <w:proofErr w:type="spellStart"/>
      <w:r>
        <w:rPr>
          <w:rFonts w:cstheme="minorHAnsi"/>
        </w:rPr>
        <w:t>podpoglavlju</w:t>
      </w:r>
      <w:proofErr w:type="spellEnd"/>
      <w:r>
        <w:rPr>
          <w:rFonts w:cstheme="minorHAnsi"/>
        </w:rPr>
        <w:t xml:space="preserve"> usmjerene su na ostvarenja </w:t>
      </w:r>
      <w:bookmarkEnd w:id="322"/>
      <w:r>
        <w:rPr>
          <w:rFonts w:cstheme="minorHAnsi"/>
          <w:b/>
          <w:bCs/>
        </w:rPr>
        <w:t>Cilja br. 1</w:t>
      </w:r>
      <w:r>
        <w:rPr>
          <w:rFonts w:cstheme="minorHAnsi"/>
        </w:rPr>
        <w:t xml:space="preserve"> kojim je potrebno povećati odvojeno sakupljanje komunalnog otpada njegovu oporabu recikliranjem i pripremom za ponovnu uporabu, te smanjiti količinu komunalnog otpada odloženog na odlagališta otpada, uz iznimku otpada za koji odlaganje daje najbolji učinak na okoliš u skladu s redom prvenstva gospodarenja otpadom.</w:t>
      </w:r>
    </w:p>
    <w:tbl>
      <w:tblPr>
        <w:tblStyle w:val="Reetkatablice"/>
        <w:tblW w:w="9067" w:type="dxa"/>
        <w:tblLook w:val="04A0" w:firstRow="1" w:lastRow="0" w:firstColumn="1" w:lastColumn="0" w:noHBand="0" w:noVBand="1"/>
      </w:tblPr>
      <w:tblGrid>
        <w:gridCol w:w="4508"/>
        <w:gridCol w:w="4559"/>
      </w:tblGrid>
      <w:tr w:rsidR="006B208F" w:rsidRPr="006B208F" w14:paraId="78C7CA33" w14:textId="77777777" w:rsidTr="006B208F">
        <w:trPr>
          <w:tblHeader/>
        </w:trPr>
        <w:tc>
          <w:tcPr>
            <w:tcW w:w="9067"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6BB423A1" w14:textId="77777777" w:rsidR="006B208F" w:rsidRPr="006B208F" w:rsidRDefault="006B208F">
            <w:pPr>
              <w:rPr>
                <w:rFonts w:eastAsia="Calibri" w:cstheme="minorHAnsi"/>
                <w:b/>
                <w:bCs/>
                <w:sz w:val="18"/>
                <w:szCs w:val="18"/>
              </w:rPr>
            </w:pPr>
            <w:r w:rsidRPr="006B208F">
              <w:rPr>
                <w:rFonts w:eastAsia="Calibri" w:cstheme="minorHAnsi"/>
                <w:b/>
                <w:bCs/>
                <w:sz w:val="18"/>
                <w:szCs w:val="18"/>
              </w:rPr>
              <w:t xml:space="preserve">Mjere za ostvarenja Cilja 1 – </w:t>
            </w:r>
            <w:bookmarkStart w:id="323" w:name="_Hlk116146802"/>
            <w:r w:rsidRPr="006B208F">
              <w:rPr>
                <w:rFonts w:eastAsia="Calibri" w:cstheme="minorHAnsi"/>
                <w:b/>
                <w:bCs/>
                <w:sz w:val="18"/>
                <w:szCs w:val="18"/>
              </w:rPr>
              <w:t>Komunalni otpad</w:t>
            </w:r>
            <w:bookmarkEnd w:id="323"/>
          </w:p>
        </w:tc>
      </w:tr>
      <w:tr w:rsidR="006B208F" w:rsidRPr="006B208F" w14:paraId="021A9F53" w14:textId="77777777" w:rsidTr="006B208F">
        <w:trPr>
          <w:tblHeader/>
        </w:trPr>
        <w:tc>
          <w:tcPr>
            <w:tcW w:w="4508" w:type="dxa"/>
            <w:tcBorders>
              <w:top w:val="single" w:sz="4" w:space="0" w:color="auto"/>
              <w:left w:val="single" w:sz="4" w:space="0" w:color="auto"/>
              <w:bottom w:val="single" w:sz="4" w:space="0" w:color="auto"/>
              <w:right w:val="single" w:sz="4" w:space="0" w:color="auto"/>
            </w:tcBorders>
            <w:shd w:val="clear" w:color="auto" w:fill="002060"/>
            <w:hideMark/>
          </w:tcPr>
          <w:p w14:paraId="23A50A54" w14:textId="77777777" w:rsidR="006B208F" w:rsidRPr="006B208F" w:rsidRDefault="006B208F">
            <w:pPr>
              <w:jc w:val="center"/>
              <w:rPr>
                <w:rFonts w:eastAsia="Calibri" w:cstheme="minorHAnsi"/>
                <w:b/>
                <w:bCs/>
                <w:sz w:val="18"/>
                <w:szCs w:val="18"/>
              </w:rPr>
            </w:pPr>
            <w:r w:rsidRPr="006B208F">
              <w:rPr>
                <w:rFonts w:eastAsia="Calibri" w:cstheme="minorHAnsi"/>
                <w:b/>
                <w:bCs/>
                <w:sz w:val="18"/>
                <w:szCs w:val="18"/>
              </w:rPr>
              <w:t>Mjera</w:t>
            </w:r>
          </w:p>
        </w:tc>
        <w:tc>
          <w:tcPr>
            <w:tcW w:w="455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D89FF7A" w14:textId="77777777" w:rsidR="006B208F" w:rsidRPr="006B208F" w:rsidRDefault="006B208F">
            <w:pPr>
              <w:jc w:val="center"/>
              <w:rPr>
                <w:rFonts w:eastAsia="Calibri" w:cstheme="minorHAnsi"/>
                <w:b/>
                <w:bCs/>
                <w:sz w:val="18"/>
                <w:szCs w:val="18"/>
              </w:rPr>
            </w:pPr>
            <w:r w:rsidRPr="006B208F">
              <w:rPr>
                <w:rFonts w:eastAsia="Calibri" w:cstheme="minorHAnsi"/>
                <w:b/>
                <w:bCs/>
                <w:sz w:val="18"/>
                <w:szCs w:val="18"/>
              </w:rPr>
              <w:t>Opis mjere</w:t>
            </w:r>
          </w:p>
        </w:tc>
      </w:tr>
      <w:tr w:rsidR="006B208F" w:rsidRPr="006B208F" w14:paraId="1CDD4796" w14:textId="77777777" w:rsidTr="006B208F">
        <w:tc>
          <w:tcPr>
            <w:tcW w:w="4508" w:type="dxa"/>
            <w:tcBorders>
              <w:top w:val="single" w:sz="4" w:space="0" w:color="auto"/>
              <w:left w:val="single" w:sz="4" w:space="0" w:color="auto"/>
              <w:bottom w:val="single" w:sz="4" w:space="0" w:color="auto"/>
              <w:right w:val="single" w:sz="4" w:space="0" w:color="auto"/>
            </w:tcBorders>
            <w:vAlign w:val="center"/>
            <w:hideMark/>
          </w:tcPr>
          <w:p w14:paraId="525EE8E0" w14:textId="123A5FAE" w:rsidR="006B208F" w:rsidRPr="006B208F" w:rsidRDefault="006B208F">
            <w:pPr>
              <w:rPr>
                <w:rFonts w:eastAsia="Calibri" w:cstheme="minorHAnsi"/>
                <w:b/>
                <w:bCs/>
                <w:sz w:val="18"/>
                <w:szCs w:val="18"/>
              </w:rPr>
            </w:pPr>
            <w:r w:rsidRPr="006B208F">
              <w:rPr>
                <w:rFonts w:eastAsia="Calibri" w:cstheme="minorHAnsi"/>
                <w:b/>
                <w:bCs/>
                <w:sz w:val="18"/>
                <w:szCs w:val="18"/>
              </w:rPr>
              <w:t xml:space="preserve">Mjera 1. </w:t>
            </w:r>
            <w:bookmarkStart w:id="324" w:name="_Hlk112942784"/>
            <w:r w:rsidRPr="006B208F">
              <w:rPr>
                <w:rFonts w:eastAsia="Calibri" w:cstheme="minorHAnsi"/>
                <w:b/>
                <w:bCs/>
                <w:sz w:val="18"/>
                <w:szCs w:val="18"/>
              </w:rPr>
              <w:t xml:space="preserve">Unaprjeđenje sustava za </w:t>
            </w:r>
            <w:r w:rsidR="0069517A">
              <w:rPr>
                <w:rFonts w:eastAsia="Calibri" w:cstheme="minorHAnsi"/>
                <w:b/>
                <w:bCs/>
                <w:sz w:val="18"/>
                <w:szCs w:val="18"/>
              </w:rPr>
              <w:t>odv</w:t>
            </w:r>
            <w:r w:rsidR="00776655">
              <w:rPr>
                <w:rFonts w:eastAsia="Calibri" w:cstheme="minorHAnsi"/>
                <w:b/>
                <w:bCs/>
                <w:sz w:val="18"/>
                <w:szCs w:val="18"/>
              </w:rPr>
              <w:t>ojeno</w:t>
            </w:r>
            <w:r w:rsidR="0069517A">
              <w:rPr>
                <w:rFonts w:eastAsia="Calibri" w:cstheme="minorHAnsi"/>
                <w:b/>
                <w:bCs/>
                <w:sz w:val="18"/>
                <w:szCs w:val="18"/>
              </w:rPr>
              <w:t xml:space="preserve"> </w:t>
            </w:r>
            <w:r w:rsidRPr="006B208F">
              <w:rPr>
                <w:rFonts w:eastAsia="Calibri" w:cstheme="minorHAnsi"/>
                <w:b/>
                <w:bCs/>
                <w:sz w:val="18"/>
                <w:szCs w:val="18"/>
              </w:rPr>
              <w:t>sakupljanje komunalnog otpada i infrastrukture (kapaciteta i tehnologije) za recikliranje i druge postupke oporabe komunalnog otpada</w:t>
            </w:r>
            <w:bookmarkEnd w:id="324"/>
          </w:p>
        </w:tc>
        <w:tc>
          <w:tcPr>
            <w:tcW w:w="4559" w:type="dxa"/>
            <w:tcBorders>
              <w:top w:val="single" w:sz="4" w:space="0" w:color="auto"/>
              <w:left w:val="single" w:sz="4" w:space="0" w:color="auto"/>
              <w:bottom w:val="single" w:sz="4" w:space="0" w:color="auto"/>
              <w:right w:val="single" w:sz="4" w:space="0" w:color="auto"/>
            </w:tcBorders>
            <w:hideMark/>
          </w:tcPr>
          <w:p w14:paraId="1E18BC49" w14:textId="77777777" w:rsidR="006B208F" w:rsidRPr="006B208F" w:rsidRDefault="006B208F">
            <w:pPr>
              <w:rPr>
                <w:rFonts w:eastAsia="Calibri" w:cstheme="minorHAnsi"/>
                <w:sz w:val="18"/>
                <w:szCs w:val="18"/>
              </w:rPr>
            </w:pPr>
            <w:r w:rsidRPr="006B208F">
              <w:rPr>
                <w:rFonts w:eastAsia="Calibri" w:cstheme="minorHAnsi"/>
                <w:sz w:val="18"/>
                <w:szCs w:val="18"/>
              </w:rPr>
              <w:t>Povećanje kapaciteta za sakupljanje i oporabu komunalnog otpada:</w:t>
            </w:r>
          </w:p>
          <w:p w14:paraId="35FBFE02" w14:textId="77777777" w:rsidR="006B208F" w:rsidRPr="006B208F" w:rsidRDefault="006B208F">
            <w:pPr>
              <w:numPr>
                <w:ilvl w:val="0"/>
                <w:numId w:val="40"/>
              </w:numPr>
              <w:contextualSpacing/>
              <w:rPr>
                <w:rFonts w:eastAsia="Calibri" w:cstheme="minorHAnsi"/>
                <w:sz w:val="18"/>
                <w:szCs w:val="18"/>
              </w:rPr>
            </w:pPr>
            <w:r w:rsidRPr="006B208F">
              <w:rPr>
                <w:rFonts w:eastAsia="Calibri" w:cstheme="minorHAnsi"/>
                <w:sz w:val="18"/>
                <w:szCs w:val="18"/>
              </w:rPr>
              <w:t>Nabavom opreme, vozila i plovila za odvojeno prikupljanje papira, metala, plastike, stakla, tekstila, biootpada;</w:t>
            </w:r>
          </w:p>
          <w:p w14:paraId="1F4C6320" w14:textId="77777777" w:rsidR="006B208F" w:rsidRPr="006B208F" w:rsidRDefault="006B208F">
            <w:pPr>
              <w:numPr>
                <w:ilvl w:val="0"/>
                <w:numId w:val="40"/>
              </w:numPr>
              <w:contextualSpacing/>
              <w:rPr>
                <w:rFonts w:eastAsia="Calibri" w:cstheme="minorHAnsi"/>
                <w:sz w:val="18"/>
                <w:szCs w:val="18"/>
              </w:rPr>
            </w:pPr>
            <w:r w:rsidRPr="006B208F">
              <w:rPr>
                <w:rFonts w:eastAsia="Calibri" w:cstheme="minorHAnsi"/>
                <w:sz w:val="18"/>
                <w:szCs w:val="18"/>
              </w:rPr>
              <w:t xml:space="preserve">Izgradnjom i opremanjem </w:t>
            </w:r>
            <w:proofErr w:type="spellStart"/>
            <w:r w:rsidRPr="006B208F">
              <w:rPr>
                <w:rFonts w:eastAsia="Calibri" w:cstheme="minorHAnsi"/>
                <w:sz w:val="18"/>
                <w:szCs w:val="18"/>
              </w:rPr>
              <w:t>reciklažnih</w:t>
            </w:r>
            <w:proofErr w:type="spellEnd"/>
            <w:r w:rsidRPr="006B208F">
              <w:rPr>
                <w:rFonts w:eastAsia="Calibri" w:cstheme="minorHAnsi"/>
                <w:sz w:val="18"/>
                <w:szCs w:val="18"/>
              </w:rPr>
              <w:t xml:space="preserve"> dvorišta</w:t>
            </w:r>
          </w:p>
          <w:p w14:paraId="508398A4" w14:textId="77777777" w:rsidR="006B208F" w:rsidRPr="006B208F" w:rsidRDefault="006B208F">
            <w:pPr>
              <w:numPr>
                <w:ilvl w:val="0"/>
                <w:numId w:val="40"/>
              </w:numPr>
              <w:contextualSpacing/>
              <w:rPr>
                <w:rFonts w:eastAsia="Calibri" w:cstheme="minorHAnsi"/>
                <w:sz w:val="18"/>
                <w:szCs w:val="18"/>
              </w:rPr>
            </w:pPr>
            <w:r w:rsidRPr="006B208F">
              <w:rPr>
                <w:rFonts w:eastAsia="Calibri" w:cstheme="minorHAnsi"/>
                <w:sz w:val="18"/>
                <w:szCs w:val="18"/>
              </w:rPr>
              <w:t xml:space="preserve">Izgradnjom i opremanjem novih, te po potrebi </w:t>
            </w:r>
            <w:bookmarkStart w:id="325" w:name="_Hlk112942863"/>
            <w:r w:rsidRPr="006B208F">
              <w:rPr>
                <w:rFonts w:eastAsia="Calibri" w:cstheme="minorHAnsi"/>
                <w:sz w:val="18"/>
                <w:szCs w:val="18"/>
              </w:rPr>
              <w:t>povećanjem kapaciteta i unaprjeđenjem tehnologije postojećih postrojenja za sortiranje odvojenih frakcija iz komunalnog otpada</w:t>
            </w:r>
            <w:bookmarkEnd w:id="325"/>
            <w:r w:rsidRPr="006B208F">
              <w:rPr>
                <w:rFonts w:eastAsia="Calibri" w:cstheme="minorHAnsi"/>
                <w:sz w:val="18"/>
                <w:szCs w:val="18"/>
              </w:rPr>
              <w:t xml:space="preserve"> (otpadnog papira, kartona, metala, stakla, plastike i dr.)</w:t>
            </w:r>
          </w:p>
          <w:p w14:paraId="6383B97F" w14:textId="77777777" w:rsidR="006B208F" w:rsidRPr="006B208F" w:rsidRDefault="006B208F">
            <w:pPr>
              <w:numPr>
                <w:ilvl w:val="0"/>
                <w:numId w:val="40"/>
              </w:numPr>
              <w:contextualSpacing/>
              <w:rPr>
                <w:rFonts w:eastAsia="Calibri" w:cstheme="minorHAnsi"/>
                <w:sz w:val="18"/>
                <w:szCs w:val="18"/>
              </w:rPr>
            </w:pPr>
            <w:r w:rsidRPr="006B208F">
              <w:rPr>
                <w:rFonts w:eastAsia="Calibri" w:cstheme="minorHAnsi"/>
                <w:sz w:val="18"/>
                <w:szCs w:val="18"/>
              </w:rPr>
              <w:t>Izgradnjom i opremanjem novih, i/ili povećanjem kapaciteta i unaprjeđenjem tehnologije postojećih postrojenja za recikliranje, uključujući postrojenja za biološku obradu odvojeno prikupljenog biootpada aerobnim ili anaerobnim postupcima.</w:t>
            </w:r>
          </w:p>
          <w:p w14:paraId="4F7028E2" w14:textId="77777777" w:rsidR="006B208F" w:rsidRPr="006B208F" w:rsidRDefault="006B208F">
            <w:pPr>
              <w:rPr>
                <w:rFonts w:eastAsia="Calibri" w:cstheme="minorHAnsi"/>
                <w:sz w:val="18"/>
                <w:szCs w:val="18"/>
              </w:rPr>
            </w:pPr>
            <w:r w:rsidRPr="00301158">
              <w:rPr>
                <w:rFonts w:eastAsia="Calibri" w:cstheme="minorHAnsi"/>
                <w:sz w:val="18"/>
                <w:szCs w:val="18"/>
              </w:rPr>
              <w:t>Preporuča se aktivnosti nabave vozila i opreme (A 1.1.), gdje je moguće, provoditi kao cjelovit projekt s aktivnostima povećanja i unaprjeđenja kapaciteta za sortiranje i oporabu (A 1.2., A 1.4., A 1.5.).</w:t>
            </w:r>
          </w:p>
        </w:tc>
      </w:tr>
      <w:tr w:rsidR="006B208F" w:rsidRPr="006B208F" w14:paraId="686828F5" w14:textId="77777777" w:rsidTr="006B208F">
        <w:tc>
          <w:tcPr>
            <w:tcW w:w="4508" w:type="dxa"/>
            <w:tcBorders>
              <w:top w:val="single" w:sz="4" w:space="0" w:color="auto"/>
              <w:left w:val="single" w:sz="4" w:space="0" w:color="auto"/>
              <w:bottom w:val="single" w:sz="4" w:space="0" w:color="auto"/>
              <w:right w:val="single" w:sz="4" w:space="0" w:color="auto"/>
            </w:tcBorders>
            <w:vAlign w:val="center"/>
            <w:hideMark/>
          </w:tcPr>
          <w:p w14:paraId="70100507" w14:textId="4F26A401" w:rsidR="006B208F" w:rsidRPr="006B208F" w:rsidRDefault="006B208F">
            <w:pPr>
              <w:rPr>
                <w:rFonts w:eastAsia="Calibri" w:cstheme="minorHAnsi"/>
                <w:b/>
                <w:bCs/>
                <w:sz w:val="18"/>
                <w:szCs w:val="18"/>
              </w:rPr>
            </w:pPr>
            <w:r w:rsidRPr="006B208F">
              <w:rPr>
                <w:rFonts w:eastAsia="Calibri" w:cstheme="minorHAnsi"/>
                <w:b/>
                <w:bCs/>
                <w:sz w:val="18"/>
                <w:szCs w:val="18"/>
              </w:rPr>
              <w:t>Mjera 2. Jačanje svijesti, informiranja i edukacije o gospodarenju otpadom</w:t>
            </w:r>
            <w:r w:rsidR="00713167">
              <w:rPr>
                <w:rFonts w:eastAsia="Calibri" w:cstheme="minorHAnsi"/>
                <w:b/>
                <w:bCs/>
                <w:sz w:val="18"/>
                <w:szCs w:val="18"/>
              </w:rPr>
              <w:t xml:space="preserve"> i proizvodima</w:t>
            </w:r>
          </w:p>
        </w:tc>
        <w:tc>
          <w:tcPr>
            <w:tcW w:w="4559" w:type="dxa"/>
            <w:tcBorders>
              <w:top w:val="single" w:sz="4" w:space="0" w:color="auto"/>
              <w:left w:val="single" w:sz="4" w:space="0" w:color="auto"/>
              <w:bottom w:val="single" w:sz="4" w:space="0" w:color="auto"/>
              <w:right w:val="single" w:sz="4" w:space="0" w:color="auto"/>
            </w:tcBorders>
            <w:hideMark/>
          </w:tcPr>
          <w:p w14:paraId="319DDEF2" w14:textId="77777777" w:rsidR="006B208F" w:rsidRPr="006B208F" w:rsidRDefault="006B208F">
            <w:pPr>
              <w:rPr>
                <w:rFonts w:eastAsia="Calibri" w:cstheme="minorHAnsi"/>
                <w:sz w:val="18"/>
                <w:szCs w:val="18"/>
              </w:rPr>
            </w:pPr>
            <w:r w:rsidRPr="006B208F">
              <w:rPr>
                <w:rFonts w:eastAsia="Calibri" w:cstheme="minorHAnsi"/>
                <w:sz w:val="18"/>
                <w:szCs w:val="18"/>
              </w:rPr>
              <w:t>Izrada edukacijsko-informativnih materijala, organizacija i provedba informacijsko-obrazovnih aktivnosti na nacionalnom i lokanom nivou.</w:t>
            </w:r>
          </w:p>
          <w:p w14:paraId="107EB811" w14:textId="77777777" w:rsidR="006B208F" w:rsidRPr="006B208F" w:rsidRDefault="006B208F">
            <w:pPr>
              <w:rPr>
                <w:rFonts w:eastAsia="Calibri" w:cstheme="minorHAnsi"/>
                <w:sz w:val="18"/>
                <w:szCs w:val="18"/>
              </w:rPr>
            </w:pPr>
            <w:r w:rsidRPr="006B208F">
              <w:rPr>
                <w:rFonts w:eastAsia="Calibri" w:cstheme="minorHAnsi"/>
                <w:sz w:val="18"/>
                <w:szCs w:val="18"/>
              </w:rPr>
              <w:t>Jačanje suradnje i kapaciteta lokalne i područne (regionalne) samouprave</w:t>
            </w:r>
          </w:p>
        </w:tc>
      </w:tr>
      <w:tr w:rsidR="006B208F" w:rsidRPr="006B208F" w14:paraId="7F3188B3" w14:textId="77777777" w:rsidTr="006B208F">
        <w:tc>
          <w:tcPr>
            <w:tcW w:w="4508" w:type="dxa"/>
            <w:tcBorders>
              <w:top w:val="single" w:sz="4" w:space="0" w:color="auto"/>
              <w:left w:val="single" w:sz="4" w:space="0" w:color="auto"/>
              <w:bottom w:val="single" w:sz="4" w:space="0" w:color="auto"/>
              <w:right w:val="single" w:sz="4" w:space="0" w:color="auto"/>
            </w:tcBorders>
            <w:vAlign w:val="center"/>
            <w:hideMark/>
          </w:tcPr>
          <w:p w14:paraId="7EF83576" w14:textId="77777777" w:rsidR="006B208F" w:rsidRPr="006B208F" w:rsidRDefault="006B208F">
            <w:pPr>
              <w:rPr>
                <w:rFonts w:eastAsia="Calibri" w:cstheme="minorHAnsi"/>
                <w:b/>
                <w:bCs/>
                <w:sz w:val="18"/>
                <w:szCs w:val="18"/>
              </w:rPr>
            </w:pPr>
            <w:r w:rsidRPr="006B208F">
              <w:rPr>
                <w:rFonts w:eastAsia="Calibri" w:cstheme="minorHAnsi"/>
                <w:b/>
                <w:bCs/>
                <w:sz w:val="18"/>
                <w:szCs w:val="18"/>
              </w:rPr>
              <w:t>Mjera 3. Određivanje nacionalnog sastava komunalnog otpada</w:t>
            </w:r>
          </w:p>
        </w:tc>
        <w:tc>
          <w:tcPr>
            <w:tcW w:w="4559" w:type="dxa"/>
            <w:tcBorders>
              <w:top w:val="single" w:sz="4" w:space="0" w:color="auto"/>
              <w:left w:val="single" w:sz="4" w:space="0" w:color="auto"/>
              <w:bottom w:val="single" w:sz="4" w:space="0" w:color="auto"/>
              <w:right w:val="single" w:sz="4" w:space="0" w:color="auto"/>
            </w:tcBorders>
            <w:hideMark/>
          </w:tcPr>
          <w:p w14:paraId="1327F6BE" w14:textId="77777777" w:rsidR="006B208F" w:rsidRPr="006B208F" w:rsidRDefault="006B208F">
            <w:pPr>
              <w:rPr>
                <w:rFonts w:eastAsia="Calibri" w:cstheme="minorHAnsi"/>
                <w:sz w:val="18"/>
                <w:szCs w:val="18"/>
              </w:rPr>
            </w:pPr>
            <w:r w:rsidRPr="006B208F">
              <w:rPr>
                <w:rFonts w:eastAsia="Calibri" w:cstheme="minorHAnsi"/>
                <w:sz w:val="18"/>
                <w:szCs w:val="18"/>
              </w:rPr>
              <w:t>Povremeno provođenje analize sastava komunalnog otpada primjenom regionalnog koncepta s ciljem utvrđivanja nacionalnog sastava komunalnog otpada – određivanje prosječnog sastava uzorkovanjem.</w:t>
            </w:r>
          </w:p>
        </w:tc>
      </w:tr>
      <w:tr w:rsidR="006B208F" w:rsidRPr="006B208F" w14:paraId="5EB72AF9" w14:textId="77777777" w:rsidTr="006B208F">
        <w:tc>
          <w:tcPr>
            <w:tcW w:w="4508" w:type="dxa"/>
            <w:tcBorders>
              <w:top w:val="single" w:sz="4" w:space="0" w:color="auto"/>
              <w:left w:val="single" w:sz="4" w:space="0" w:color="auto"/>
              <w:bottom w:val="single" w:sz="4" w:space="0" w:color="auto"/>
              <w:right w:val="single" w:sz="4" w:space="0" w:color="auto"/>
            </w:tcBorders>
            <w:vAlign w:val="center"/>
            <w:hideMark/>
          </w:tcPr>
          <w:p w14:paraId="2A562547" w14:textId="77777777" w:rsidR="006B208F" w:rsidRPr="006B208F" w:rsidRDefault="006B208F">
            <w:pPr>
              <w:rPr>
                <w:rFonts w:eastAsia="Calibri" w:cstheme="minorHAnsi"/>
                <w:b/>
                <w:bCs/>
                <w:sz w:val="18"/>
                <w:szCs w:val="18"/>
              </w:rPr>
            </w:pPr>
            <w:r w:rsidRPr="006B208F">
              <w:rPr>
                <w:rFonts w:eastAsia="Calibri" w:cstheme="minorHAnsi"/>
                <w:b/>
                <w:bCs/>
                <w:sz w:val="18"/>
                <w:szCs w:val="18"/>
              </w:rPr>
              <w:t xml:space="preserve">Mjera 4. Uvođenje naknade za odlaganje </w:t>
            </w:r>
          </w:p>
        </w:tc>
        <w:tc>
          <w:tcPr>
            <w:tcW w:w="4559" w:type="dxa"/>
            <w:tcBorders>
              <w:top w:val="single" w:sz="4" w:space="0" w:color="auto"/>
              <w:left w:val="single" w:sz="4" w:space="0" w:color="auto"/>
              <w:bottom w:val="single" w:sz="4" w:space="0" w:color="auto"/>
              <w:right w:val="single" w:sz="4" w:space="0" w:color="auto"/>
            </w:tcBorders>
            <w:hideMark/>
          </w:tcPr>
          <w:p w14:paraId="45E0DE26" w14:textId="77777777" w:rsidR="006B208F" w:rsidRPr="006B208F" w:rsidRDefault="006B208F">
            <w:pPr>
              <w:rPr>
                <w:rFonts w:eastAsia="Calibri" w:cstheme="minorHAnsi"/>
                <w:sz w:val="18"/>
                <w:szCs w:val="18"/>
              </w:rPr>
            </w:pPr>
            <w:r w:rsidRPr="006B208F">
              <w:rPr>
                <w:rFonts w:eastAsia="Calibri" w:cstheme="minorHAnsi"/>
                <w:sz w:val="18"/>
                <w:szCs w:val="18"/>
              </w:rPr>
              <w:t>Uvođenje naknade za odlaganje otpada kojom se potiče smanjenje količina otpada koji se odlaže na odlagališta otpada i utječe na povećanje količine odvojeno sakupljenog otpada.</w:t>
            </w:r>
          </w:p>
        </w:tc>
      </w:tr>
      <w:tr w:rsidR="006B208F" w:rsidRPr="006B208F" w14:paraId="4E560CC9" w14:textId="77777777" w:rsidTr="006B208F">
        <w:tc>
          <w:tcPr>
            <w:tcW w:w="4508" w:type="dxa"/>
            <w:tcBorders>
              <w:top w:val="single" w:sz="4" w:space="0" w:color="auto"/>
              <w:left w:val="single" w:sz="4" w:space="0" w:color="auto"/>
              <w:bottom w:val="single" w:sz="4" w:space="0" w:color="auto"/>
              <w:right w:val="single" w:sz="4" w:space="0" w:color="auto"/>
            </w:tcBorders>
            <w:vAlign w:val="center"/>
            <w:hideMark/>
          </w:tcPr>
          <w:p w14:paraId="33F88420" w14:textId="77777777" w:rsidR="006B208F" w:rsidRPr="006B208F" w:rsidRDefault="006B208F">
            <w:pPr>
              <w:rPr>
                <w:rFonts w:eastAsia="Calibri" w:cstheme="minorHAnsi"/>
                <w:b/>
                <w:bCs/>
                <w:sz w:val="18"/>
                <w:szCs w:val="18"/>
              </w:rPr>
            </w:pPr>
            <w:r w:rsidRPr="006B208F">
              <w:rPr>
                <w:rFonts w:eastAsia="Calibri" w:cstheme="minorHAnsi"/>
                <w:b/>
                <w:bCs/>
                <w:sz w:val="18"/>
                <w:szCs w:val="18"/>
              </w:rPr>
              <w:t>Mjera 5. Izgradnja centara za gospodarenje otpadom</w:t>
            </w:r>
          </w:p>
        </w:tc>
        <w:tc>
          <w:tcPr>
            <w:tcW w:w="4559" w:type="dxa"/>
            <w:tcBorders>
              <w:top w:val="single" w:sz="4" w:space="0" w:color="auto"/>
              <w:left w:val="single" w:sz="4" w:space="0" w:color="auto"/>
              <w:bottom w:val="single" w:sz="4" w:space="0" w:color="auto"/>
              <w:right w:val="single" w:sz="4" w:space="0" w:color="auto"/>
            </w:tcBorders>
          </w:tcPr>
          <w:p w14:paraId="5FF18827" w14:textId="77777777" w:rsidR="006B208F" w:rsidRPr="006B208F" w:rsidRDefault="006B208F">
            <w:pPr>
              <w:rPr>
                <w:rFonts w:eastAsia="Calibri" w:cstheme="minorHAnsi"/>
                <w:sz w:val="18"/>
                <w:szCs w:val="18"/>
              </w:rPr>
            </w:pPr>
            <w:r w:rsidRPr="006B208F">
              <w:rPr>
                <w:rFonts w:eastAsia="Calibri" w:cstheme="minorHAnsi"/>
                <w:sz w:val="18"/>
                <w:szCs w:val="18"/>
              </w:rPr>
              <w:t>Izgradnja građevina za obradu miješanog komunalnog otpada, neopasnog otpada koji preostaje nakon materijalne oporabe i drugog neopasnog otpada.</w:t>
            </w:r>
          </w:p>
          <w:p w14:paraId="500139C7" w14:textId="77777777" w:rsidR="006B208F" w:rsidRPr="006B208F" w:rsidRDefault="006B208F">
            <w:pPr>
              <w:rPr>
                <w:rFonts w:eastAsia="Calibri" w:cstheme="minorHAnsi"/>
                <w:sz w:val="18"/>
                <w:szCs w:val="18"/>
              </w:rPr>
            </w:pPr>
          </w:p>
          <w:p w14:paraId="5A125990" w14:textId="77777777" w:rsidR="006B208F" w:rsidRPr="006B208F" w:rsidRDefault="006B208F">
            <w:pPr>
              <w:rPr>
                <w:rFonts w:eastAsia="Calibri" w:cstheme="minorHAnsi"/>
                <w:sz w:val="18"/>
                <w:szCs w:val="18"/>
              </w:rPr>
            </w:pPr>
            <w:r w:rsidRPr="006B208F">
              <w:rPr>
                <w:rFonts w:eastAsia="Calibri" w:cstheme="minorHAnsi"/>
                <w:sz w:val="18"/>
                <w:szCs w:val="18"/>
              </w:rPr>
              <w:t xml:space="preserve">Prilikom planiranja kapaciteta ovih građevina potrebno je izraditi studiju izvedivosti koja će uvažavati ciljeve propisanim HR i EU zakonodavstvom kao i ovim Planom. U studiji trebaju biti prikazane sve mjere koje je potrebno provesti na području obuhvata projekta da bi se dosegli ciljevi i opravdao kapacitet. Također, prilikom planiranja ovih građevina potrebno je sagledati mogućnost da se u sklopu iste građevine nalaze postrojenja za obradu građevnog otpada, otpada koji sadrži azbest, glomaznog </w:t>
            </w:r>
            <w:r w:rsidRPr="006B208F">
              <w:rPr>
                <w:rFonts w:eastAsia="Calibri" w:cstheme="minorHAnsi"/>
                <w:sz w:val="18"/>
                <w:szCs w:val="18"/>
              </w:rPr>
              <w:lastRenderedPageBreak/>
              <w:t xml:space="preserve">otpada i biootpada i postrojenje za razvrstavanje odvojeno prikupljenog papira/kartona, stakla, metala i plastike. </w:t>
            </w:r>
          </w:p>
          <w:p w14:paraId="0D02D417" w14:textId="77777777" w:rsidR="006B208F" w:rsidRPr="006B208F" w:rsidRDefault="006B208F">
            <w:pPr>
              <w:rPr>
                <w:rFonts w:eastAsia="Calibri" w:cstheme="minorHAnsi"/>
                <w:sz w:val="18"/>
                <w:szCs w:val="18"/>
              </w:rPr>
            </w:pPr>
          </w:p>
          <w:p w14:paraId="408F239D" w14:textId="77777777" w:rsidR="006B208F" w:rsidRPr="006B208F" w:rsidRDefault="006B208F">
            <w:pPr>
              <w:rPr>
                <w:rFonts w:eastAsia="Calibri" w:cstheme="minorHAnsi"/>
                <w:sz w:val="18"/>
                <w:szCs w:val="18"/>
              </w:rPr>
            </w:pPr>
            <w:r w:rsidRPr="006B208F">
              <w:rPr>
                <w:rFonts w:eastAsia="Calibri" w:cstheme="minorHAnsi"/>
                <w:sz w:val="18"/>
                <w:szCs w:val="18"/>
              </w:rPr>
              <w:t>Planirana postrojenja moraju biti projektirana na način da se koriste najsuvremenije tehnologije, koje će se u budućnosti prilagoditi obradi odvojeno sakupljenih frakcija otpada, uključujući i biorazgradivi otpad, kako bi se povećala stopa recikliranja i biološke obrade komunalnog otpada.</w:t>
            </w:r>
          </w:p>
        </w:tc>
      </w:tr>
    </w:tbl>
    <w:p w14:paraId="665FE46A" w14:textId="6C00B60C" w:rsidR="001649D4" w:rsidRPr="006B208F" w:rsidRDefault="001649D4" w:rsidP="006B208F">
      <w:pPr>
        <w:rPr>
          <w:rFonts w:cstheme="minorHAnsi"/>
        </w:rPr>
      </w:pPr>
    </w:p>
    <w:p w14:paraId="3F844298" w14:textId="31FC46F8" w:rsidR="0079127A" w:rsidRPr="0079127A" w:rsidRDefault="0079127A" w:rsidP="0079127A">
      <w:pPr>
        <w:shd w:val="clear" w:color="auto" w:fill="002060"/>
        <w:rPr>
          <w:rFonts w:cstheme="minorHAnsi"/>
          <w:b/>
          <w:bCs/>
        </w:rPr>
      </w:pPr>
      <w:r w:rsidRPr="0079127A">
        <w:rPr>
          <w:rFonts w:cstheme="minorHAnsi"/>
          <w:b/>
          <w:bCs/>
        </w:rPr>
        <w:t xml:space="preserve">Mjera 1.  Unaprjeđenje sustava za </w:t>
      </w:r>
      <w:r w:rsidR="00776655">
        <w:rPr>
          <w:rFonts w:cstheme="minorHAnsi"/>
          <w:b/>
          <w:bCs/>
        </w:rPr>
        <w:t>odvojeno</w:t>
      </w:r>
      <w:r w:rsidR="0069517A">
        <w:rPr>
          <w:rFonts w:cstheme="minorHAnsi"/>
          <w:b/>
          <w:bCs/>
        </w:rPr>
        <w:t xml:space="preserve"> </w:t>
      </w:r>
      <w:r w:rsidRPr="0079127A">
        <w:rPr>
          <w:rFonts w:cstheme="minorHAnsi"/>
          <w:b/>
          <w:bCs/>
        </w:rPr>
        <w:t xml:space="preserve">sakupljanje komunalnog otpada i infrastrukture (kapaciteta i tehnologije) za recikliranje i druge postupke oporabe komunalnog otpada </w:t>
      </w:r>
    </w:p>
    <w:p w14:paraId="3ADAACB4" w14:textId="2C2AC568" w:rsidR="006B208F" w:rsidRPr="006B208F" w:rsidRDefault="006B208F" w:rsidP="006B208F">
      <w:pPr>
        <w:rPr>
          <w:rFonts w:cstheme="minorHAnsi"/>
        </w:rPr>
      </w:pPr>
      <w:r w:rsidRPr="006B208F">
        <w:rPr>
          <w:rFonts w:cstheme="minorHAnsi"/>
        </w:rPr>
        <w:t xml:space="preserve">Provedbom ove mjere kroz povećanje i unaprjeđenje kapaciteta za </w:t>
      </w:r>
      <w:r w:rsidR="00776655">
        <w:rPr>
          <w:rFonts w:cstheme="minorHAnsi"/>
        </w:rPr>
        <w:t xml:space="preserve">odvojeno </w:t>
      </w:r>
      <w:r w:rsidRPr="006B208F">
        <w:rPr>
          <w:rFonts w:cstheme="minorHAnsi"/>
        </w:rPr>
        <w:t>sakupljanje i oporabu komunalnog otpada utjecat će se na veću primjenu postupaka obrade otpada višeg stupnja reda prvenstva, prvenstveno povećanja pripreme za ponovnu uporabu i recikliranja komunalnog otpada. Posredno na ovaj način utjecat će se i na smanjenje odlaganja komunalnog otpada. Navedeno doprinosi ostvarenju ciljeva pripreme za ponovnu uporabu i recikliranja komunalnog otpada, uključujući i osiguranje visokokvalitetnog recikliranja otpada, te uspostave odvojenog sakupljanja i recikliranja biootpada. Također provedba ove mjere i pripadajućih aktivnosti doprinosi smanjenju i odlaganja komunalnog otpada (ukupnog i biorazgradivog).</w:t>
      </w:r>
    </w:p>
    <w:p w14:paraId="72205BE4" w14:textId="77777777" w:rsidR="006B208F" w:rsidRPr="006B208F" w:rsidRDefault="006B208F" w:rsidP="006B208F">
      <w:pPr>
        <w:rPr>
          <w:rFonts w:cstheme="minorHAnsi"/>
          <w:highlight w:val="yellow"/>
        </w:rPr>
      </w:pPr>
      <w:r w:rsidRPr="006B208F">
        <w:rPr>
          <w:rFonts w:cstheme="minorHAnsi"/>
        </w:rPr>
        <w:t xml:space="preserve">Aktivnosti propisane ovom Mjerom izuzetno su zahtjevne s tehničkog i financijskog aspekta, obzirom da je riječ o uspostavi nove i proširenju postojeće infrastrukture za odvojeno sakupljanje i obradu komunalnog otpada. Izgradnja infrastrukture i nabava opreme i za odvojeno prikupljanje otpada (vozila, plovila, spremnici, </w:t>
      </w:r>
      <w:proofErr w:type="spellStart"/>
      <w:r w:rsidRPr="006B208F">
        <w:rPr>
          <w:rFonts w:cstheme="minorHAnsi"/>
        </w:rPr>
        <w:t>reciklažna</w:t>
      </w:r>
      <w:proofErr w:type="spellEnd"/>
      <w:r w:rsidRPr="006B208F">
        <w:rPr>
          <w:rFonts w:cstheme="minorHAnsi"/>
        </w:rPr>
        <w:t xml:space="preserve"> dvorišta i dr.) osiguravaju visoku stopu odvojeno prikupljenih frakcija pogodnih za ponovnu uporabu i recikliranje, odnosno povećava vrijednost tih frakcija i njihov potencijal za plasman na tržište. Neizostavna poveznica između odvojenog prikupljanja otpada i osiguranja njegove maksimalne iskoristivosti su postrojenja za sortiranje otpada. </w:t>
      </w:r>
    </w:p>
    <w:p w14:paraId="5E72263F" w14:textId="77777777" w:rsidR="006B208F" w:rsidRPr="006B208F" w:rsidRDefault="006B208F" w:rsidP="006B208F">
      <w:pPr>
        <w:rPr>
          <w:rFonts w:cstheme="minorHAnsi"/>
        </w:rPr>
      </w:pPr>
      <w:r w:rsidRPr="006B208F">
        <w:rPr>
          <w:rFonts w:cstheme="minorHAnsi"/>
        </w:rPr>
        <w:t>Izgradnjom i opremanjem novih postrojenja i/ili povećanjem kapaciteta i tehnološkim unaprjeđenjem postojećih postrojenja za recikliranje, te izgradnjom i opremanjem postrojenja za biološku obradu odvojeno prikupljenog biootpada osigurat će se cirkularni pristup u održivom gospodarenju otpadom i općenito većoj resursnoj učinkovitosti.</w:t>
      </w:r>
    </w:p>
    <w:p w14:paraId="6AEC48A3" w14:textId="6B2A3920" w:rsidR="0079127A" w:rsidRPr="0079127A" w:rsidRDefault="0079127A" w:rsidP="0079127A">
      <w:pPr>
        <w:shd w:val="clear" w:color="auto" w:fill="002060"/>
        <w:rPr>
          <w:rFonts w:cstheme="minorHAnsi"/>
          <w:b/>
          <w:bCs/>
        </w:rPr>
      </w:pPr>
      <w:r w:rsidRPr="0079127A">
        <w:rPr>
          <w:rFonts w:cstheme="minorHAnsi"/>
          <w:b/>
          <w:bCs/>
        </w:rPr>
        <w:t xml:space="preserve">Mjera 2. Jačanje svijesti, informiranja i edukacije o gospodarenju otpadom </w:t>
      </w:r>
      <w:r w:rsidR="00713167">
        <w:rPr>
          <w:rFonts w:cstheme="minorHAnsi"/>
          <w:b/>
          <w:bCs/>
        </w:rPr>
        <w:t>i proizvodima</w:t>
      </w:r>
    </w:p>
    <w:p w14:paraId="27EA521E" w14:textId="13A29FBA" w:rsidR="006B208F" w:rsidRDefault="006B208F" w:rsidP="0079127A">
      <w:r>
        <w:t>Provođenje edukativno - informativnih aktivnosti i kampanja na svim razinama (lokalnoj, regionalnoj i nacionalnoj) čini važan doprinos jačanju primjene reda prvenstva u gospodarenju otpadom s aspekta snažnog utjecaja na ponašanje ciljanih dionika i motiviranja promjene obrazaca ponašanja u postupanju s otpadom</w:t>
      </w:r>
      <w:r w:rsidR="00713167">
        <w:t xml:space="preserve"> i proizvodima u cilju sprječavanja i smanjenja nastanka otpada</w:t>
      </w:r>
      <w:r>
        <w:t xml:space="preserve">. Predstavlja jedan od alata za postizanje ciljeva vezanih uz smanjenje nastajanja otpada, te ponovnu uporabu i recikliranje komunalnog otpada te smanjenje odlaganja otpada. </w:t>
      </w:r>
    </w:p>
    <w:p w14:paraId="635D1E04" w14:textId="77777777" w:rsidR="006B208F" w:rsidRDefault="006B208F" w:rsidP="0079127A">
      <w:r>
        <w:t xml:space="preserve">Obzirom da turistički sektor u Republici Hrvatskoj čini jednu od najvažnijih grana gospodarstva provedba ove mjere, zajedno s mjerama i aktivnostima za jačanje svijesti i informiranje i edukaciju definiranim Planom sprječavanja nastanka otpada, biti će osmišljena i organizirana na način da se aktivnije komunicira s relevantnim dionicima upravo iz ovog sektora, a posebice obzirom na svoje specifičnosti, vezano </w:t>
      </w:r>
      <w:r w:rsidRPr="00A75FFC">
        <w:rPr>
          <w:highlight w:val="yellow"/>
        </w:rPr>
        <w:t xml:space="preserve">za jačanje kružnog gospodarenja otpadom na </w:t>
      </w:r>
      <w:commentRangeStart w:id="326"/>
      <w:r w:rsidRPr="00A75FFC">
        <w:rPr>
          <w:highlight w:val="yellow"/>
        </w:rPr>
        <w:t>otocima</w:t>
      </w:r>
      <w:commentRangeEnd w:id="326"/>
      <w:r w:rsidR="00542D46">
        <w:rPr>
          <w:rStyle w:val="Referencakomentara"/>
        </w:rPr>
        <w:commentReference w:id="326"/>
      </w:r>
      <w:r w:rsidRPr="00A75FFC">
        <w:rPr>
          <w:highlight w:val="yellow"/>
        </w:rPr>
        <w:t>.</w:t>
      </w:r>
    </w:p>
    <w:p w14:paraId="0655667C" w14:textId="77777777" w:rsidR="006B208F" w:rsidRDefault="006B208F" w:rsidP="0079127A">
      <w:r>
        <w:t>Također, provodit će se i aktivna i ciljana komunikacija vezano za važnost i prednosti odvojeno sakupljanje biootpada i upotrebu komposta.</w:t>
      </w:r>
    </w:p>
    <w:p w14:paraId="15494D29" w14:textId="077B9572" w:rsidR="006B208F" w:rsidRDefault="006B208F" w:rsidP="0079127A">
      <w:r>
        <w:lastRenderedPageBreak/>
        <w:t>Provodit će se aktivnosti edukacije i jačanja suradnje Ministarstva i lokalne i područne (regionalne) samouprave organiziranjem komunikacijskih platformi u vidu okruglih stolova. Obzirom na obvezu donošenja plana gospodarenja otpadom i jedinica područne (regionalne) samouprave i Grada Zagreba,</w:t>
      </w:r>
      <w:r w:rsidR="0062581D">
        <w:t xml:space="preserve"> </w:t>
      </w:r>
      <w:r>
        <w:t xml:space="preserve">do 1. siječnja 2024., tijekom 2023. ove aktivnosti biti će usmjerene na jačanje kapaciteta i suradnju koja će osigurati planiranje u skladu s načelima kružne ekonomije. </w:t>
      </w:r>
    </w:p>
    <w:p w14:paraId="3821D485" w14:textId="00F072DA" w:rsidR="006B208F" w:rsidRPr="0062581D" w:rsidRDefault="0062581D" w:rsidP="0079127A">
      <w:r w:rsidRPr="0062581D">
        <w:t xml:space="preserve">Mjera obuhvaća provođenje </w:t>
      </w:r>
      <w:r w:rsidR="006B208F" w:rsidRPr="0062581D">
        <w:t>2 stručna okrugla stola u 2023. i zatim po jedan svake</w:t>
      </w:r>
      <w:r w:rsidRPr="0062581D">
        <w:t xml:space="preserve"> naredne</w:t>
      </w:r>
      <w:r w:rsidR="006B208F" w:rsidRPr="0062581D">
        <w:t xml:space="preserve"> godine.</w:t>
      </w:r>
    </w:p>
    <w:p w14:paraId="7C2208FF" w14:textId="77777777" w:rsidR="0079127A" w:rsidRPr="0079127A" w:rsidRDefault="0079127A" w:rsidP="0079127A">
      <w:pPr>
        <w:shd w:val="clear" w:color="auto" w:fill="002060"/>
        <w:rPr>
          <w:rFonts w:cstheme="minorHAnsi"/>
          <w:b/>
          <w:bCs/>
        </w:rPr>
      </w:pPr>
      <w:r w:rsidRPr="0079127A">
        <w:rPr>
          <w:rFonts w:cstheme="minorHAnsi"/>
          <w:b/>
          <w:bCs/>
        </w:rPr>
        <w:t xml:space="preserve">Mjera 3. Određivanje nacionalnog sastava komunalnog otpada </w:t>
      </w:r>
    </w:p>
    <w:p w14:paraId="6A3AB2F8" w14:textId="23A4962D" w:rsidR="006B208F" w:rsidRDefault="006B208F" w:rsidP="0079127A">
      <w:r>
        <w:t xml:space="preserve">Poznavanje sastava komunalnog otpada čini preduvjet za uspješno dimenzioniranje sustava gospodarenja komunalnim otpadom. Nadalje, pouzdani podaci o sastavu komunalnog otpada važan su alat za praćenje napretka uspostave sustava gospodarenja otpadom i njegove učinkovitosti. Postojeći podaci o nacionalnom sastavu komunalnog otpada za RH su nepouzdani i temelje se na ograničenom broju analiza sastava otpada (na razini županije i/ili JLS) starih više od 20 godina. </w:t>
      </w:r>
    </w:p>
    <w:p w14:paraId="68F0CBC1" w14:textId="77777777" w:rsidR="006B208F" w:rsidRDefault="006B208F" w:rsidP="0079127A">
      <w:r w:rsidRPr="00542D46">
        <w:rPr>
          <w:highlight w:val="yellow"/>
        </w:rPr>
        <w:t>Ova mjera predviđa terensko istraživanje odnosno sortiranje i analizu sastava komunalnog otpada primjenom regionalnog koncepta</w:t>
      </w:r>
      <w:r>
        <w:t>.</w:t>
      </w:r>
    </w:p>
    <w:p w14:paraId="0DAD4CB1" w14:textId="6798AFB7" w:rsidR="0079127A" w:rsidRPr="0079127A" w:rsidRDefault="0079127A" w:rsidP="0079127A">
      <w:pPr>
        <w:shd w:val="clear" w:color="auto" w:fill="002060"/>
        <w:rPr>
          <w:rFonts w:cstheme="minorHAnsi"/>
          <w:b/>
          <w:bCs/>
        </w:rPr>
      </w:pPr>
      <w:r w:rsidRPr="0079127A">
        <w:rPr>
          <w:rFonts w:cstheme="minorHAnsi"/>
          <w:b/>
          <w:bCs/>
        </w:rPr>
        <w:t xml:space="preserve">Mjera 4. </w:t>
      </w:r>
      <w:r w:rsidR="00687E85">
        <w:rPr>
          <w:rFonts w:cstheme="minorHAnsi"/>
          <w:b/>
          <w:bCs/>
        </w:rPr>
        <w:t xml:space="preserve">Uvođenje </w:t>
      </w:r>
      <w:r w:rsidRPr="0079127A">
        <w:rPr>
          <w:rFonts w:cstheme="minorHAnsi"/>
          <w:b/>
          <w:bCs/>
        </w:rPr>
        <w:t xml:space="preserve">naknade za odlaganje </w:t>
      </w:r>
    </w:p>
    <w:p w14:paraId="1B650A0C" w14:textId="29BE897D" w:rsidR="006B208F" w:rsidRDefault="006B208F" w:rsidP="0079127A">
      <w:r>
        <w:t xml:space="preserve">Ovo je mjera kojom se direktno potiče smanjenje količina otpada koji se odlaže na odlagalište, a time povećava odvojeno sakupljanje komunalnog otpada čime se doprinosi ciljevima pripreme za ponovnu uporabe i recikliranja kao i ciljevima za smanjenje odlaganja komunalnog otpada. </w:t>
      </w:r>
    </w:p>
    <w:p w14:paraId="0E3F2C8E" w14:textId="77777777" w:rsidR="006B208F" w:rsidRDefault="006B208F" w:rsidP="0079127A">
      <w:r w:rsidRPr="00542D46">
        <w:rPr>
          <w:highlight w:val="yellow"/>
        </w:rPr>
        <w:t>Uvođenje odlagališne naknade</w:t>
      </w:r>
      <w:r>
        <w:t xml:space="preserve"> doprinijet će intenziviranju aktivnosti jedinica lokalne samouprave usmjerenih na jačanje primjene reda prvenstva u gospodarenju otpadom. </w:t>
      </w:r>
    </w:p>
    <w:p w14:paraId="6D77C4A3" w14:textId="77777777" w:rsidR="0079127A" w:rsidRPr="0079127A" w:rsidRDefault="0079127A" w:rsidP="0079127A">
      <w:pPr>
        <w:shd w:val="clear" w:color="auto" w:fill="002060"/>
        <w:rPr>
          <w:rFonts w:cstheme="minorHAnsi"/>
          <w:b/>
          <w:bCs/>
        </w:rPr>
      </w:pPr>
      <w:r w:rsidRPr="0079127A">
        <w:rPr>
          <w:rFonts w:cstheme="minorHAnsi"/>
          <w:b/>
          <w:bCs/>
        </w:rPr>
        <w:t xml:space="preserve">Mjera 5. Izgradnja centara za gospodarenje otpadom </w:t>
      </w:r>
    </w:p>
    <w:p w14:paraId="32DAE1C7" w14:textId="79CAA062" w:rsidR="006B208F" w:rsidRDefault="006B208F" w:rsidP="0079127A">
      <w:r>
        <w:t xml:space="preserve">Učinkovit sustav gospodarenja otpadom zahtijeva odgovarajuću obradu miješanog komunalnog otpada preostalog nakon izdvajanja korisnih frakcija u razmjerima dovoljnim za dostizanje ciljeva pripreme za ponovnu uporabu i recikliranje. Mjera će direktno doprinijeti dostizanju ciljeva za smanjenje odlaganja biorazgradivog komunalnog otpada i ukupnog komunalnog otpada </w:t>
      </w:r>
    </w:p>
    <w:p w14:paraId="1214562E" w14:textId="21390A5E" w:rsidR="006B208F" w:rsidRPr="00E364D5" w:rsidRDefault="006B208F" w:rsidP="0079127A">
      <w:r w:rsidRPr="00E364D5">
        <w:t xml:space="preserve">Ovom mjerom predviđa se izgradnja još </w:t>
      </w:r>
      <w:r w:rsidR="00E364D5" w:rsidRPr="00E364D5">
        <w:t>osam</w:t>
      </w:r>
      <w:r w:rsidRPr="00E364D5">
        <w:t xml:space="preserve"> centara za gospodarenje otpadom (CGO).</w:t>
      </w:r>
    </w:p>
    <w:p w14:paraId="313ACFBE" w14:textId="0034D3C4" w:rsidR="006B208F" w:rsidRPr="00E364D5" w:rsidRDefault="006B208F" w:rsidP="0079127A">
      <w:r w:rsidRPr="00E364D5">
        <w:t>U obzir će se uzimati najbolja dostupna tehnologija koja je ekonomski i ekološki učinkovita, te koja će se u budućnosti moći prilagoditi obradi odvojeno sakupljenih frakcija otpada, uključujući i bio</w:t>
      </w:r>
      <w:r w:rsidR="00E364D5" w:rsidRPr="00E364D5">
        <w:t>otpada</w:t>
      </w:r>
      <w:r w:rsidRPr="00E364D5">
        <w:t xml:space="preserve"> otpada, kako bi se povećala stopa recikliranja komunalnog otpada.</w:t>
      </w:r>
    </w:p>
    <w:p w14:paraId="38408C3B" w14:textId="77777777" w:rsidR="006B208F" w:rsidRDefault="006B208F" w:rsidP="0079127A">
      <w:r w:rsidRPr="00E364D5">
        <w:t>Razvoj CGO-a uključivati će blisku i transparentnu suradnju između nadležnih institucija na svim razinama (nacionalna, regionalna i lokalna) i zainteresirane javnosti. Voditi će se računa o komunikacijskom aspektu s građanima. Građane će se pravovremeno i jasno informirati i upoznati sa svim aspektima planiranih projekata (planirani kapacitet i tehnologija, investicijski i operativni troškovi, kako će se realizacija projekta odraziti na cijenu komunalne usluge, postoje li mogući utjecaji na okoliš i javno zdravlje te koje su mjere prevencije i ublažavanja predviđene itd.).</w:t>
      </w:r>
    </w:p>
    <w:p w14:paraId="1F5095F7" w14:textId="11A0E050" w:rsidR="006B208F" w:rsidRDefault="006B208F" w:rsidP="0079127A"/>
    <w:tbl>
      <w:tblPr>
        <w:tblStyle w:val="Reetkatablice"/>
        <w:tblW w:w="9067" w:type="dxa"/>
        <w:tblLayout w:type="fixed"/>
        <w:tblLook w:val="04A0" w:firstRow="1" w:lastRow="0" w:firstColumn="1" w:lastColumn="0" w:noHBand="0" w:noVBand="1"/>
      </w:tblPr>
      <w:tblGrid>
        <w:gridCol w:w="1980"/>
        <w:gridCol w:w="994"/>
        <w:gridCol w:w="1134"/>
        <w:gridCol w:w="850"/>
        <w:gridCol w:w="1276"/>
        <w:gridCol w:w="850"/>
        <w:gridCol w:w="995"/>
        <w:gridCol w:w="988"/>
      </w:tblGrid>
      <w:tr w:rsidR="0079127A" w:rsidRPr="0079127A" w14:paraId="23CE8DD2" w14:textId="77777777" w:rsidTr="00416620">
        <w:trPr>
          <w:tblHeader/>
        </w:trPr>
        <w:tc>
          <w:tcPr>
            <w:tcW w:w="1980" w:type="dxa"/>
            <w:tcBorders>
              <w:top w:val="single" w:sz="4" w:space="0" w:color="auto"/>
              <w:left w:val="single" w:sz="4" w:space="0" w:color="auto"/>
              <w:bottom w:val="single" w:sz="4" w:space="0" w:color="auto"/>
              <w:right w:val="single" w:sz="4" w:space="0" w:color="auto"/>
            </w:tcBorders>
            <w:shd w:val="clear" w:color="auto" w:fill="002060"/>
            <w:vAlign w:val="center"/>
          </w:tcPr>
          <w:p w14:paraId="21D6DCF4" w14:textId="77777777" w:rsidR="0079127A" w:rsidRPr="0079127A" w:rsidRDefault="0079127A">
            <w:pPr>
              <w:rPr>
                <w:rFonts w:eastAsia="Calibri" w:cstheme="minorHAnsi"/>
                <w:b/>
                <w:bCs/>
                <w:sz w:val="16"/>
                <w:szCs w:val="16"/>
              </w:rPr>
            </w:pPr>
          </w:p>
        </w:tc>
        <w:tc>
          <w:tcPr>
            <w:tcW w:w="7087" w:type="dxa"/>
            <w:gridSpan w:val="7"/>
            <w:tcBorders>
              <w:top w:val="single" w:sz="4" w:space="0" w:color="auto"/>
              <w:left w:val="single" w:sz="4" w:space="0" w:color="auto"/>
              <w:bottom w:val="single" w:sz="4" w:space="0" w:color="auto"/>
              <w:right w:val="single" w:sz="4" w:space="0" w:color="auto"/>
            </w:tcBorders>
            <w:shd w:val="clear" w:color="auto" w:fill="002060"/>
            <w:vAlign w:val="center"/>
            <w:hideMark/>
          </w:tcPr>
          <w:p w14:paraId="4AE73AFB" w14:textId="77777777" w:rsidR="0079127A" w:rsidRPr="0079127A" w:rsidRDefault="0079127A">
            <w:pPr>
              <w:rPr>
                <w:rFonts w:eastAsia="Calibri" w:cstheme="minorHAnsi"/>
                <w:b/>
                <w:bCs/>
                <w:sz w:val="16"/>
                <w:szCs w:val="16"/>
              </w:rPr>
            </w:pPr>
            <w:r w:rsidRPr="0079127A">
              <w:rPr>
                <w:rFonts w:eastAsia="Calibri" w:cstheme="minorHAnsi"/>
                <w:b/>
                <w:bCs/>
                <w:sz w:val="16"/>
                <w:szCs w:val="16"/>
              </w:rPr>
              <w:t>Mjere i aktivnosti za ostvarenja Cilja 1 – Komunalni otpad</w:t>
            </w:r>
          </w:p>
        </w:tc>
      </w:tr>
      <w:tr w:rsidR="0079127A" w:rsidRPr="0079127A" w14:paraId="315BEA05" w14:textId="77777777" w:rsidTr="00416620">
        <w:trPr>
          <w:trHeight w:val="405"/>
          <w:tblHeader/>
        </w:trPr>
        <w:tc>
          <w:tcPr>
            <w:tcW w:w="1980"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6237493" w14:textId="77777777" w:rsidR="0079127A" w:rsidRPr="0079127A" w:rsidRDefault="0079127A">
            <w:pPr>
              <w:jc w:val="center"/>
              <w:rPr>
                <w:rFonts w:eastAsia="Calibri" w:cstheme="minorHAnsi"/>
                <w:b/>
                <w:bCs/>
                <w:sz w:val="16"/>
                <w:szCs w:val="16"/>
              </w:rPr>
            </w:pPr>
            <w:r w:rsidRPr="0079127A">
              <w:rPr>
                <w:rFonts w:eastAsia="Calibri" w:cstheme="minorHAnsi"/>
                <w:b/>
                <w:bCs/>
                <w:sz w:val="16"/>
                <w:szCs w:val="16"/>
              </w:rPr>
              <w:t>Aktivnost (A)</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593C0996" w14:textId="77777777" w:rsidR="0079127A" w:rsidRPr="0079127A" w:rsidRDefault="0079127A">
            <w:pPr>
              <w:jc w:val="center"/>
              <w:rPr>
                <w:rFonts w:eastAsia="Calibri" w:cstheme="minorHAnsi"/>
                <w:b/>
                <w:bCs/>
                <w:sz w:val="16"/>
                <w:szCs w:val="16"/>
              </w:rPr>
            </w:pPr>
            <w:r w:rsidRPr="0079127A">
              <w:rPr>
                <w:rFonts w:eastAsia="Calibri" w:cstheme="minorHAnsi"/>
                <w:b/>
                <w:bCs/>
                <w:sz w:val="16"/>
                <w:szCs w:val="16"/>
              </w:rPr>
              <w:t>Nositelj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6F48A5B1" w14:textId="77777777" w:rsidR="0079127A" w:rsidRPr="0079127A" w:rsidRDefault="0079127A">
            <w:pPr>
              <w:jc w:val="center"/>
              <w:rPr>
                <w:rFonts w:eastAsia="Calibri" w:cstheme="minorHAnsi"/>
                <w:b/>
                <w:bCs/>
                <w:sz w:val="16"/>
                <w:szCs w:val="16"/>
              </w:rPr>
            </w:pPr>
            <w:proofErr w:type="spellStart"/>
            <w:r w:rsidRPr="0079127A">
              <w:rPr>
                <w:rFonts w:eastAsia="Calibri" w:cstheme="minorHAnsi"/>
                <w:b/>
                <w:bCs/>
                <w:sz w:val="16"/>
                <w:szCs w:val="16"/>
              </w:rPr>
              <w:t>Sunositelj</w:t>
            </w:r>
            <w:proofErr w:type="spellEnd"/>
          </w:p>
        </w:tc>
        <w:tc>
          <w:tcPr>
            <w:tcW w:w="850"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51096E36" w14:textId="77777777" w:rsidR="0079127A" w:rsidRPr="0079127A" w:rsidRDefault="0079127A">
            <w:pPr>
              <w:jc w:val="center"/>
              <w:rPr>
                <w:rFonts w:eastAsia="Calibri" w:cstheme="minorHAnsi"/>
                <w:b/>
                <w:bCs/>
                <w:sz w:val="16"/>
                <w:szCs w:val="16"/>
              </w:rPr>
            </w:pPr>
            <w:r w:rsidRPr="0079127A">
              <w:rPr>
                <w:rFonts w:eastAsia="Calibri" w:cstheme="minorHAnsi"/>
                <w:b/>
                <w:bCs/>
                <w:sz w:val="16"/>
                <w:szCs w:val="16"/>
              </w:rPr>
              <w:t>Mogući izvori financiranja</w:t>
            </w:r>
          </w:p>
        </w:tc>
        <w:tc>
          <w:tcPr>
            <w:tcW w:w="3121"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1D5F1A5" w14:textId="77777777" w:rsidR="0079127A" w:rsidRPr="0079127A" w:rsidRDefault="0079127A">
            <w:pPr>
              <w:jc w:val="center"/>
              <w:rPr>
                <w:rFonts w:eastAsia="Calibri" w:cstheme="minorHAnsi"/>
                <w:b/>
                <w:bCs/>
                <w:sz w:val="16"/>
                <w:szCs w:val="16"/>
              </w:rPr>
            </w:pPr>
            <w:r w:rsidRPr="0079127A">
              <w:rPr>
                <w:rFonts w:eastAsia="Calibri" w:cstheme="minorHAnsi"/>
                <w:b/>
                <w:bCs/>
                <w:sz w:val="16"/>
                <w:szCs w:val="16"/>
              </w:rPr>
              <w:t>Pokazatelj ostvarenja</w:t>
            </w:r>
          </w:p>
        </w:tc>
        <w:tc>
          <w:tcPr>
            <w:tcW w:w="988"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37A43397" w14:textId="77777777" w:rsidR="0079127A" w:rsidRPr="0079127A" w:rsidRDefault="0079127A">
            <w:pPr>
              <w:jc w:val="center"/>
              <w:rPr>
                <w:rFonts w:eastAsia="Calibri" w:cstheme="minorHAnsi"/>
                <w:b/>
                <w:bCs/>
                <w:sz w:val="16"/>
                <w:szCs w:val="16"/>
              </w:rPr>
            </w:pPr>
            <w:r w:rsidRPr="0079127A">
              <w:rPr>
                <w:rFonts w:eastAsia="Calibri" w:cstheme="minorHAnsi"/>
                <w:b/>
                <w:bCs/>
                <w:sz w:val="16"/>
                <w:szCs w:val="16"/>
              </w:rPr>
              <w:t>Rok provedbe</w:t>
            </w:r>
          </w:p>
        </w:tc>
      </w:tr>
      <w:tr w:rsidR="0079127A" w:rsidRPr="0079127A" w14:paraId="5E536EF1" w14:textId="77777777" w:rsidTr="00416620">
        <w:trPr>
          <w:trHeight w:val="405"/>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2E2D8434" w14:textId="77777777" w:rsidR="0079127A" w:rsidRPr="0079127A" w:rsidRDefault="0079127A">
            <w:pPr>
              <w:rPr>
                <w:rFonts w:eastAsia="Calibri" w:cstheme="minorHAnsi"/>
                <w:b/>
                <w:bCs/>
                <w:sz w:val="16"/>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2335962F" w14:textId="77777777" w:rsidR="0079127A" w:rsidRPr="0079127A" w:rsidRDefault="0079127A">
            <w:pPr>
              <w:rPr>
                <w:rFonts w:eastAsia="Calibri" w:cstheme="minorHAnsi"/>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CF5400" w14:textId="77777777" w:rsidR="0079127A" w:rsidRPr="0079127A" w:rsidRDefault="0079127A">
            <w:pPr>
              <w:rPr>
                <w:rFonts w:eastAsia="Calibri" w:cstheme="minorHAnsi"/>
                <w:b/>
                <w:bCs/>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1D6766B" w14:textId="77777777" w:rsidR="0079127A" w:rsidRPr="0079127A" w:rsidRDefault="0079127A">
            <w:pPr>
              <w:rPr>
                <w:rFonts w:eastAsia="Calibri" w:cstheme="minorHAnsi"/>
                <w:b/>
                <w:bCs/>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B89A85C" w14:textId="77777777" w:rsidR="0079127A" w:rsidRPr="0079127A" w:rsidRDefault="0079127A">
            <w:pPr>
              <w:jc w:val="center"/>
              <w:rPr>
                <w:rFonts w:eastAsia="Calibri" w:cstheme="minorHAnsi"/>
                <w:b/>
                <w:bCs/>
                <w:sz w:val="16"/>
                <w:szCs w:val="16"/>
              </w:rPr>
            </w:pPr>
            <w:r w:rsidRPr="0079127A">
              <w:rPr>
                <w:rFonts w:eastAsia="Calibri" w:cstheme="minorHAnsi"/>
                <w:b/>
                <w:bCs/>
                <w:sz w:val="16"/>
                <w:szCs w:val="16"/>
              </w:rPr>
              <w:t>Naziv</w:t>
            </w:r>
          </w:p>
        </w:tc>
        <w:tc>
          <w:tcPr>
            <w:tcW w:w="85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B0CA1D3" w14:textId="77777777" w:rsidR="0079127A" w:rsidRPr="0079127A" w:rsidRDefault="0079127A">
            <w:pPr>
              <w:jc w:val="center"/>
              <w:rPr>
                <w:rFonts w:eastAsia="Calibri" w:cstheme="minorHAnsi"/>
                <w:b/>
                <w:bCs/>
                <w:sz w:val="16"/>
                <w:szCs w:val="16"/>
              </w:rPr>
            </w:pPr>
            <w:r w:rsidRPr="0079127A">
              <w:rPr>
                <w:rFonts w:eastAsia="Calibri" w:cstheme="minorHAnsi"/>
                <w:b/>
                <w:bCs/>
                <w:sz w:val="16"/>
                <w:szCs w:val="16"/>
              </w:rPr>
              <w:t>Mjerna jedinica</w:t>
            </w:r>
          </w:p>
        </w:tc>
        <w:tc>
          <w:tcPr>
            <w:tcW w:w="99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EA8E24E" w14:textId="77777777" w:rsidR="0079127A" w:rsidRPr="0079127A" w:rsidRDefault="0079127A">
            <w:pPr>
              <w:jc w:val="center"/>
              <w:rPr>
                <w:rFonts w:eastAsia="Calibri" w:cstheme="minorHAnsi"/>
                <w:b/>
                <w:bCs/>
                <w:sz w:val="16"/>
                <w:szCs w:val="16"/>
              </w:rPr>
            </w:pPr>
            <w:r w:rsidRPr="0079127A">
              <w:rPr>
                <w:rFonts w:eastAsia="Calibri" w:cstheme="minorHAnsi"/>
                <w:b/>
                <w:bCs/>
                <w:sz w:val="16"/>
                <w:szCs w:val="16"/>
              </w:rPr>
              <w:t>Ciljana vrijednost</w:t>
            </w: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2FFED58E" w14:textId="77777777" w:rsidR="0079127A" w:rsidRPr="0079127A" w:rsidRDefault="0079127A">
            <w:pPr>
              <w:rPr>
                <w:rFonts w:eastAsia="Calibri" w:cstheme="minorHAnsi"/>
                <w:b/>
                <w:bCs/>
                <w:sz w:val="16"/>
                <w:szCs w:val="16"/>
              </w:rPr>
            </w:pPr>
          </w:p>
        </w:tc>
      </w:tr>
      <w:tr w:rsidR="0079127A" w:rsidRPr="0079127A" w14:paraId="7D7FE1E1" w14:textId="77777777" w:rsidTr="00416620">
        <w:tc>
          <w:tcPr>
            <w:tcW w:w="9067" w:type="dxa"/>
            <w:gridSpan w:val="8"/>
            <w:tcBorders>
              <w:top w:val="single" w:sz="4" w:space="0" w:color="auto"/>
              <w:left w:val="single" w:sz="4" w:space="0" w:color="auto"/>
              <w:bottom w:val="single" w:sz="4" w:space="0" w:color="auto"/>
              <w:right w:val="single" w:sz="4" w:space="0" w:color="auto"/>
            </w:tcBorders>
            <w:shd w:val="clear" w:color="auto" w:fill="5B9BD5"/>
            <w:vAlign w:val="center"/>
            <w:hideMark/>
          </w:tcPr>
          <w:p w14:paraId="41D402E5" w14:textId="564F7D81" w:rsidR="0079127A" w:rsidRPr="0079127A" w:rsidRDefault="0079127A">
            <w:pPr>
              <w:rPr>
                <w:rFonts w:eastAsia="Calibri" w:cstheme="minorHAnsi"/>
                <w:b/>
                <w:bCs/>
                <w:sz w:val="16"/>
                <w:szCs w:val="16"/>
              </w:rPr>
            </w:pPr>
            <w:r w:rsidRPr="0079127A">
              <w:rPr>
                <w:rFonts w:eastAsia="Calibri" w:cstheme="minorHAnsi"/>
                <w:b/>
                <w:bCs/>
                <w:sz w:val="16"/>
                <w:szCs w:val="16"/>
              </w:rPr>
              <w:t>Mjera 1. Unaprjeđenje sustava za</w:t>
            </w:r>
            <w:r w:rsidR="0069517A">
              <w:rPr>
                <w:rFonts w:eastAsia="Calibri" w:cstheme="minorHAnsi"/>
                <w:b/>
                <w:bCs/>
                <w:sz w:val="16"/>
                <w:szCs w:val="16"/>
              </w:rPr>
              <w:t xml:space="preserve"> odvojeno</w:t>
            </w:r>
            <w:r w:rsidRPr="0079127A">
              <w:rPr>
                <w:rFonts w:eastAsia="Calibri" w:cstheme="minorHAnsi"/>
                <w:b/>
                <w:bCs/>
                <w:sz w:val="16"/>
                <w:szCs w:val="16"/>
              </w:rPr>
              <w:t xml:space="preserve"> sakupljanje komunalnog otpada i infrastrukture (kapaciteta i tehnologije) za recikliranje i druge postupke oporabe komunalnog otpada</w:t>
            </w:r>
          </w:p>
        </w:tc>
      </w:tr>
      <w:tr w:rsidR="0079127A" w:rsidRPr="0079127A" w14:paraId="68D6749E"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2E097B03" w14:textId="77777777" w:rsidR="0079127A" w:rsidRPr="0079127A" w:rsidRDefault="0079127A" w:rsidP="00687E85">
            <w:pPr>
              <w:jc w:val="left"/>
              <w:rPr>
                <w:rFonts w:eastAsia="Calibri" w:cstheme="minorHAnsi"/>
                <w:sz w:val="16"/>
                <w:szCs w:val="16"/>
              </w:rPr>
            </w:pPr>
            <w:r w:rsidRPr="0079127A">
              <w:rPr>
                <w:rFonts w:eastAsia="Calibri" w:cstheme="minorHAnsi"/>
                <w:sz w:val="16"/>
                <w:szCs w:val="16"/>
              </w:rPr>
              <w:t>A 1.1. Nabava opreme, vozila i plovila za odvojeno prikupljanje papira, kartona, metala, plastike, stakla, tekstila, biootpada</w:t>
            </w:r>
          </w:p>
        </w:tc>
        <w:tc>
          <w:tcPr>
            <w:tcW w:w="994" w:type="dxa"/>
            <w:tcBorders>
              <w:top w:val="single" w:sz="4" w:space="0" w:color="auto"/>
              <w:left w:val="single" w:sz="4" w:space="0" w:color="auto"/>
              <w:bottom w:val="single" w:sz="4" w:space="0" w:color="auto"/>
              <w:right w:val="single" w:sz="4" w:space="0" w:color="auto"/>
            </w:tcBorders>
            <w:vAlign w:val="center"/>
            <w:hideMark/>
          </w:tcPr>
          <w:p w14:paraId="3CC0E8BF" w14:textId="77777777" w:rsidR="0079127A" w:rsidRPr="0079127A" w:rsidRDefault="0079127A">
            <w:pPr>
              <w:rPr>
                <w:rFonts w:eastAsia="Calibri" w:cstheme="minorHAnsi"/>
                <w:sz w:val="16"/>
                <w:szCs w:val="16"/>
              </w:rPr>
            </w:pPr>
            <w:r w:rsidRPr="0079127A">
              <w:rPr>
                <w:rFonts w:eastAsia="Calibri" w:cstheme="minorHAnsi"/>
                <w:sz w:val="16"/>
                <w:szCs w:val="16"/>
              </w:rPr>
              <w:t>JLS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ADCC3D" w14:textId="77777777" w:rsidR="0079127A" w:rsidRPr="008B6312" w:rsidRDefault="0079127A">
            <w:pPr>
              <w:rPr>
                <w:rFonts w:eastAsia="Calibri" w:cstheme="minorHAnsi"/>
                <w:sz w:val="16"/>
                <w:szCs w:val="16"/>
              </w:rPr>
            </w:pPr>
            <w:r w:rsidRPr="008B6312">
              <w:rPr>
                <w:rFonts w:eastAsia="Calibri" w:cstheme="minorHAnsi"/>
                <w:sz w:val="16"/>
                <w:szCs w:val="16"/>
              </w:rPr>
              <w:t>JL(R)S/MINGOR</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812CBB" w14:textId="77777777" w:rsidR="0079127A" w:rsidRPr="0079127A" w:rsidRDefault="0079127A">
            <w:pPr>
              <w:rPr>
                <w:rFonts w:eastAsia="Calibri" w:cstheme="minorHAnsi"/>
                <w:sz w:val="16"/>
                <w:szCs w:val="16"/>
              </w:rPr>
            </w:pPr>
            <w:r w:rsidRPr="0079127A">
              <w:rPr>
                <w:rFonts w:eastAsia="Calibri" w:cstheme="minorHAnsi"/>
                <w:sz w:val="16"/>
                <w:szCs w:val="16"/>
              </w:rPr>
              <w:t>JLS/FZOEU/EU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9DE357" w14:textId="77777777" w:rsidR="0079127A" w:rsidRPr="0079127A" w:rsidRDefault="0079127A">
            <w:pPr>
              <w:rPr>
                <w:rFonts w:eastAsia="Calibri" w:cstheme="minorHAnsi"/>
                <w:sz w:val="16"/>
                <w:szCs w:val="16"/>
              </w:rPr>
            </w:pPr>
            <w:r w:rsidRPr="0079127A">
              <w:rPr>
                <w:rFonts w:eastAsia="Calibri" w:cstheme="minorHAnsi"/>
                <w:sz w:val="16"/>
                <w:szCs w:val="16"/>
              </w:rPr>
              <w:t>JLS koje imaju uspostavljeni sustav odvojenog prikupljanja papira, kartona, metala, plastike, stakla, tekstila, biootpada</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275F8B" w14:textId="77777777" w:rsidR="0079127A" w:rsidRPr="0079127A" w:rsidRDefault="0079127A">
            <w:pPr>
              <w:rPr>
                <w:rFonts w:eastAsia="Calibri" w:cstheme="minorHAnsi"/>
                <w:sz w:val="16"/>
                <w:szCs w:val="16"/>
              </w:rPr>
            </w:pPr>
            <w:r w:rsidRPr="0079127A">
              <w:rPr>
                <w:rFonts w:eastAsia="Calibri" w:cstheme="minorHAnsi"/>
                <w:sz w:val="16"/>
                <w:szCs w:val="16"/>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1889104B" w14:textId="77777777" w:rsidR="0079127A" w:rsidRPr="0079127A" w:rsidRDefault="0079127A">
            <w:pPr>
              <w:rPr>
                <w:rFonts w:eastAsia="Calibri" w:cstheme="minorHAnsi"/>
                <w:sz w:val="16"/>
                <w:szCs w:val="16"/>
              </w:rPr>
            </w:pPr>
            <w:r w:rsidRPr="0079127A">
              <w:rPr>
                <w:rFonts w:eastAsia="Calibri" w:cstheme="minorHAnsi"/>
                <w:sz w:val="16"/>
                <w:szCs w:val="16"/>
              </w:rPr>
              <w:t>556</w:t>
            </w:r>
          </w:p>
        </w:tc>
        <w:tc>
          <w:tcPr>
            <w:tcW w:w="988" w:type="dxa"/>
            <w:tcBorders>
              <w:top w:val="single" w:sz="4" w:space="0" w:color="auto"/>
              <w:left w:val="single" w:sz="4" w:space="0" w:color="auto"/>
              <w:bottom w:val="single" w:sz="4" w:space="0" w:color="auto"/>
              <w:right w:val="single" w:sz="4" w:space="0" w:color="auto"/>
            </w:tcBorders>
            <w:vAlign w:val="center"/>
            <w:hideMark/>
          </w:tcPr>
          <w:p w14:paraId="5D42DAF3" w14:textId="77777777" w:rsidR="0079127A" w:rsidRPr="0079127A" w:rsidRDefault="0079127A">
            <w:pPr>
              <w:jc w:val="center"/>
              <w:rPr>
                <w:rFonts w:eastAsia="Calibri" w:cstheme="minorHAnsi"/>
                <w:sz w:val="16"/>
                <w:szCs w:val="16"/>
              </w:rPr>
            </w:pPr>
            <w:r w:rsidRPr="0079127A">
              <w:rPr>
                <w:rFonts w:eastAsia="Calibri" w:cstheme="minorHAnsi"/>
                <w:sz w:val="16"/>
                <w:szCs w:val="16"/>
              </w:rPr>
              <w:t>2028.</w:t>
            </w:r>
          </w:p>
        </w:tc>
      </w:tr>
      <w:tr w:rsidR="0079127A" w:rsidRPr="0079127A" w14:paraId="4636AF2F"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0644B129" w14:textId="77777777" w:rsidR="0079127A" w:rsidRPr="0079127A" w:rsidRDefault="0079127A" w:rsidP="00687E85">
            <w:pPr>
              <w:jc w:val="left"/>
              <w:rPr>
                <w:rFonts w:eastAsia="Calibri" w:cstheme="minorHAnsi"/>
                <w:sz w:val="16"/>
                <w:szCs w:val="16"/>
              </w:rPr>
            </w:pPr>
            <w:r w:rsidRPr="0079127A">
              <w:rPr>
                <w:rFonts w:eastAsia="Calibri" w:cstheme="minorHAnsi"/>
                <w:sz w:val="16"/>
                <w:szCs w:val="16"/>
              </w:rPr>
              <w:t>A 1.2. Izgradnja i opremanje novih postrojenja za sortiranje odvojeno prikupljenog papira, kartona, metala, stakla, plastike i dr. (</w:t>
            </w:r>
            <w:proofErr w:type="spellStart"/>
            <w:r w:rsidRPr="0079127A">
              <w:rPr>
                <w:rFonts w:eastAsia="Calibri" w:cstheme="minorHAnsi"/>
                <w:sz w:val="16"/>
                <w:szCs w:val="16"/>
              </w:rPr>
              <w:t>sortirnica</w:t>
            </w:r>
            <w:proofErr w:type="spellEnd"/>
            <w:r w:rsidRPr="0079127A">
              <w:rPr>
                <w:rFonts w:eastAsia="Calibri" w:cstheme="minorHAnsi"/>
                <w:sz w:val="16"/>
                <w:szCs w:val="16"/>
              </w:rPr>
              <w:t xml:space="preserve">) i/ili povećanje kapaciteta i tehnološko unaprjeđenje postojećih postrojenja </w:t>
            </w:r>
          </w:p>
        </w:tc>
        <w:tc>
          <w:tcPr>
            <w:tcW w:w="994" w:type="dxa"/>
            <w:tcBorders>
              <w:top w:val="single" w:sz="4" w:space="0" w:color="auto"/>
              <w:left w:val="single" w:sz="4" w:space="0" w:color="auto"/>
              <w:bottom w:val="single" w:sz="4" w:space="0" w:color="auto"/>
              <w:right w:val="single" w:sz="4" w:space="0" w:color="auto"/>
            </w:tcBorders>
            <w:vAlign w:val="center"/>
            <w:hideMark/>
          </w:tcPr>
          <w:p w14:paraId="144D2A9E" w14:textId="450E0F35" w:rsidR="0079127A" w:rsidRPr="0079127A" w:rsidRDefault="0079127A">
            <w:pPr>
              <w:rPr>
                <w:rFonts w:eastAsia="Calibri" w:cstheme="minorHAnsi"/>
                <w:sz w:val="16"/>
                <w:szCs w:val="16"/>
              </w:rPr>
            </w:pPr>
            <w:r w:rsidRPr="0079127A">
              <w:rPr>
                <w:rFonts w:eastAsia="Calibri" w:cstheme="minorHAnsi"/>
                <w:sz w:val="16"/>
                <w:szCs w:val="16"/>
              </w:rPr>
              <w:t>JLS</w:t>
            </w:r>
            <w:r w:rsidR="00443E52">
              <w:rPr>
                <w:rFonts w:eastAsia="Calibri" w:cstheme="minorHAnsi"/>
                <w:sz w:val="16"/>
                <w:szCs w:val="16"/>
              </w:rPr>
              <w:t>/DRUGO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68B621" w14:textId="77777777" w:rsidR="0079127A" w:rsidRPr="008B6312" w:rsidRDefault="0079127A">
            <w:pPr>
              <w:rPr>
                <w:rFonts w:eastAsia="Calibri" w:cstheme="minorHAnsi"/>
                <w:sz w:val="16"/>
                <w:szCs w:val="16"/>
              </w:rPr>
            </w:pPr>
            <w:r w:rsidRPr="008B6312">
              <w:rPr>
                <w:rFonts w:eastAsia="Calibri" w:cstheme="minorHAnsi"/>
                <w:sz w:val="16"/>
                <w:szCs w:val="16"/>
              </w:rPr>
              <w:t>JL(R)S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1FFBD0" w14:textId="339B59DD" w:rsidR="0079127A" w:rsidRPr="0079127A" w:rsidRDefault="0079127A">
            <w:pPr>
              <w:rPr>
                <w:rFonts w:eastAsia="Calibri" w:cstheme="minorHAnsi"/>
                <w:sz w:val="16"/>
                <w:szCs w:val="16"/>
              </w:rPr>
            </w:pPr>
            <w:r w:rsidRPr="0079127A">
              <w:rPr>
                <w:rFonts w:eastAsia="Calibri" w:cstheme="minorHAnsi"/>
                <w:sz w:val="16"/>
                <w:szCs w:val="16"/>
              </w:rPr>
              <w:t>JLS/</w:t>
            </w:r>
            <w:r w:rsidR="00443E52" w:rsidRPr="0079127A" w:rsidDel="00443E52">
              <w:rPr>
                <w:rFonts w:eastAsia="Calibri" w:cstheme="minorHAnsi"/>
                <w:sz w:val="16"/>
                <w:szCs w:val="16"/>
              </w:rPr>
              <w:t xml:space="preserve"> </w:t>
            </w:r>
            <w:r w:rsidRPr="0079127A">
              <w:rPr>
                <w:rFonts w:eastAsia="Calibri" w:cstheme="minorHAnsi"/>
                <w:sz w:val="16"/>
                <w:szCs w:val="16"/>
              </w:rPr>
              <w:t>EU</w:t>
            </w:r>
            <w:r w:rsidR="00443E52">
              <w:rPr>
                <w:rFonts w:eastAsia="Calibri" w:cstheme="minorHAnsi"/>
                <w:sz w:val="16"/>
                <w:szCs w:val="16"/>
              </w:rPr>
              <w:t>/DRUGO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0C1CBA" w14:textId="77777777" w:rsidR="0079127A" w:rsidRPr="0079127A" w:rsidRDefault="0079127A">
            <w:pPr>
              <w:rPr>
                <w:rFonts w:eastAsia="Calibri" w:cstheme="minorHAnsi"/>
                <w:sz w:val="16"/>
                <w:szCs w:val="16"/>
              </w:rPr>
            </w:pPr>
            <w:r w:rsidRPr="0079127A">
              <w:rPr>
                <w:rFonts w:eastAsia="Calibri" w:cstheme="minorHAnsi"/>
                <w:sz w:val="16"/>
                <w:szCs w:val="16"/>
              </w:rPr>
              <w:t>Izgrađeno ili unaprijeđeno i funkcionalno postrojenje za sortiranje</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B6CDF5" w14:textId="7AA75A52" w:rsidR="0079127A" w:rsidRPr="0079127A" w:rsidRDefault="001543C9">
            <w:pPr>
              <w:rPr>
                <w:rFonts w:eastAsia="Calibri" w:cstheme="minorHAnsi"/>
                <w:sz w:val="16"/>
                <w:szCs w:val="16"/>
              </w:rPr>
            </w:pPr>
            <w:r>
              <w:rPr>
                <w:rFonts w:eastAsia="Calibri" w:cstheme="minorHAnsi"/>
                <w:sz w:val="16"/>
                <w:szCs w:val="16"/>
              </w:rPr>
              <w:t>Kapacitet u t/god</w:t>
            </w:r>
          </w:p>
        </w:tc>
        <w:tc>
          <w:tcPr>
            <w:tcW w:w="995" w:type="dxa"/>
            <w:tcBorders>
              <w:top w:val="single" w:sz="4" w:space="0" w:color="auto"/>
              <w:left w:val="single" w:sz="4" w:space="0" w:color="auto"/>
              <w:bottom w:val="single" w:sz="4" w:space="0" w:color="auto"/>
              <w:right w:val="single" w:sz="4" w:space="0" w:color="auto"/>
            </w:tcBorders>
            <w:vAlign w:val="center"/>
            <w:hideMark/>
          </w:tcPr>
          <w:p w14:paraId="1008074C" w14:textId="68E6C5F1" w:rsidR="0079127A" w:rsidRPr="0079127A" w:rsidRDefault="00443E52">
            <w:pPr>
              <w:rPr>
                <w:rFonts w:eastAsia="Calibri" w:cstheme="minorHAnsi"/>
                <w:sz w:val="16"/>
                <w:szCs w:val="16"/>
              </w:rPr>
            </w:pPr>
            <w:r w:rsidRPr="001543C9">
              <w:rPr>
                <w:rFonts w:eastAsia="Calibri" w:cstheme="minorHAnsi"/>
                <w:sz w:val="16"/>
                <w:szCs w:val="16"/>
              </w:rPr>
              <w:t>58</w:t>
            </w:r>
            <w:r>
              <w:rPr>
                <w:rFonts w:eastAsia="Calibri" w:cstheme="minorHAnsi"/>
                <w:sz w:val="16"/>
                <w:szCs w:val="16"/>
              </w:rPr>
              <w:t>6</w:t>
            </w:r>
            <w:r w:rsidR="001543C9" w:rsidRPr="001543C9">
              <w:rPr>
                <w:rFonts w:eastAsia="Calibri" w:cstheme="minorHAnsi"/>
                <w:sz w:val="16"/>
                <w:szCs w:val="16"/>
              </w:rPr>
              <w:t>.</w:t>
            </w:r>
            <w:r w:rsidRPr="001543C9">
              <w:rPr>
                <w:rFonts w:eastAsia="Calibri" w:cstheme="minorHAnsi"/>
                <w:sz w:val="16"/>
                <w:szCs w:val="16"/>
              </w:rPr>
              <w:t>8</w:t>
            </w:r>
            <w:r>
              <w:rPr>
                <w:rFonts w:eastAsia="Calibri" w:cstheme="minorHAnsi"/>
                <w:sz w:val="16"/>
                <w:szCs w:val="16"/>
              </w:rPr>
              <w:t>76</w:t>
            </w:r>
          </w:p>
        </w:tc>
        <w:tc>
          <w:tcPr>
            <w:tcW w:w="988" w:type="dxa"/>
            <w:tcBorders>
              <w:top w:val="single" w:sz="4" w:space="0" w:color="auto"/>
              <w:left w:val="single" w:sz="4" w:space="0" w:color="auto"/>
              <w:bottom w:val="single" w:sz="4" w:space="0" w:color="auto"/>
              <w:right w:val="single" w:sz="4" w:space="0" w:color="auto"/>
            </w:tcBorders>
            <w:vAlign w:val="center"/>
            <w:hideMark/>
          </w:tcPr>
          <w:p w14:paraId="1F0CB98A" w14:textId="77777777" w:rsidR="0079127A" w:rsidRPr="0079127A" w:rsidRDefault="0079127A">
            <w:pPr>
              <w:jc w:val="center"/>
              <w:rPr>
                <w:rFonts w:eastAsia="Calibri" w:cstheme="minorHAnsi"/>
                <w:sz w:val="16"/>
                <w:szCs w:val="16"/>
              </w:rPr>
            </w:pPr>
            <w:r w:rsidRPr="0079127A">
              <w:rPr>
                <w:rFonts w:eastAsia="Calibri" w:cstheme="minorHAnsi"/>
                <w:sz w:val="16"/>
                <w:szCs w:val="16"/>
              </w:rPr>
              <w:t>2028.</w:t>
            </w:r>
          </w:p>
        </w:tc>
      </w:tr>
      <w:tr w:rsidR="0079127A" w:rsidRPr="0079127A" w14:paraId="7B847ADB"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3AEB85ED" w14:textId="77777777" w:rsidR="0079127A" w:rsidRPr="0079127A" w:rsidRDefault="0079127A" w:rsidP="00687E85">
            <w:pPr>
              <w:jc w:val="left"/>
              <w:rPr>
                <w:rFonts w:eastAsia="Calibri" w:cstheme="minorHAnsi"/>
                <w:sz w:val="16"/>
                <w:szCs w:val="16"/>
              </w:rPr>
            </w:pPr>
            <w:r w:rsidRPr="0079127A">
              <w:rPr>
                <w:rFonts w:eastAsia="Calibri" w:cstheme="minorHAnsi"/>
                <w:sz w:val="16"/>
                <w:szCs w:val="16"/>
              </w:rPr>
              <w:t xml:space="preserve">A 1.3. Izgradnja i opremanje </w:t>
            </w:r>
            <w:proofErr w:type="spellStart"/>
            <w:r w:rsidRPr="0079127A">
              <w:rPr>
                <w:rFonts w:eastAsia="Calibri" w:cstheme="minorHAnsi"/>
                <w:sz w:val="16"/>
                <w:szCs w:val="16"/>
              </w:rPr>
              <w:t>reciklažnih</w:t>
            </w:r>
            <w:proofErr w:type="spellEnd"/>
            <w:r w:rsidRPr="0079127A">
              <w:rPr>
                <w:rFonts w:eastAsia="Calibri" w:cstheme="minorHAnsi"/>
                <w:sz w:val="16"/>
                <w:szCs w:val="16"/>
              </w:rPr>
              <w:t xml:space="preserve"> dvorišta i nabava mobilnih </w:t>
            </w:r>
            <w:proofErr w:type="spellStart"/>
            <w:r w:rsidRPr="0079127A">
              <w:rPr>
                <w:rFonts w:eastAsia="Calibri" w:cstheme="minorHAnsi"/>
                <w:sz w:val="16"/>
                <w:szCs w:val="16"/>
              </w:rPr>
              <w:t>reciklažnih</w:t>
            </w:r>
            <w:proofErr w:type="spellEnd"/>
            <w:r w:rsidRPr="0079127A">
              <w:rPr>
                <w:rFonts w:eastAsia="Calibri" w:cstheme="minorHAnsi"/>
                <w:sz w:val="16"/>
                <w:szCs w:val="16"/>
              </w:rPr>
              <w:t xml:space="preserve"> dvorišta</w:t>
            </w:r>
          </w:p>
        </w:tc>
        <w:tc>
          <w:tcPr>
            <w:tcW w:w="994" w:type="dxa"/>
            <w:tcBorders>
              <w:top w:val="single" w:sz="4" w:space="0" w:color="auto"/>
              <w:left w:val="single" w:sz="4" w:space="0" w:color="auto"/>
              <w:bottom w:val="single" w:sz="4" w:space="0" w:color="auto"/>
              <w:right w:val="single" w:sz="4" w:space="0" w:color="auto"/>
            </w:tcBorders>
            <w:vAlign w:val="center"/>
            <w:hideMark/>
          </w:tcPr>
          <w:p w14:paraId="787DA57E" w14:textId="77777777" w:rsidR="0079127A" w:rsidRPr="0079127A" w:rsidRDefault="0079127A">
            <w:pPr>
              <w:rPr>
                <w:rFonts w:eastAsia="Calibri" w:cstheme="minorHAnsi"/>
                <w:sz w:val="16"/>
                <w:szCs w:val="16"/>
              </w:rPr>
            </w:pPr>
            <w:r w:rsidRPr="0079127A">
              <w:rPr>
                <w:rFonts w:eastAsia="Calibri" w:cstheme="minorHAnsi"/>
                <w:sz w:val="16"/>
                <w:szCs w:val="16"/>
              </w:rPr>
              <w:t>JLS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42CF28" w14:textId="77777777" w:rsidR="0079127A" w:rsidRPr="008B6312" w:rsidRDefault="0079127A">
            <w:pPr>
              <w:rPr>
                <w:rFonts w:eastAsia="Calibri" w:cstheme="minorHAnsi"/>
                <w:sz w:val="16"/>
                <w:szCs w:val="16"/>
              </w:rPr>
            </w:pPr>
            <w:r w:rsidRPr="008B6312">
              <w:rPr>
                <w:rFonts w:eastAsia="Calibri" w:cstheme="minorHAnsi"/>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11F917" w14:textId="77777777" w:rsidR="0079127A" w:rsidRPr="0079127A" w:rsidRDefault="0079127A">
            <w:pPr>
              <w:rPr>
                <w:rFonts w:eastAsia="Calibri" w:cstheme="minorHAnsi"/>
                <w:sz w:val="16"/>
                <w:szCs w:val="16"/>
              </w:rPr>
            </w:pPr>
            <w:r w:rsidRPr="0079127A">
              <w:rPr>
                <w:rFonts w:eastAsia="Calibri" w:cstheme="minorHAnsi"/>
                <w:sz w:val="16"/>
                <w:szCs w:val="16"/>
              </w:rPr>
              <w:t>JLS/EU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8DACBE" w14:textId="77777777" w:rsidR="0079127A" w:rsidRPr="0079127A" w:rsidRDefault="0079127A">
            <w:pPr>
              <w:rPr>
                <w:rFonts w:eastAsia="Calibri" w:cstheme="minorHAnsi"/>
                <w:sz w:val="16"/>
                <w:szCs w:val="16"/>
              </w:rPr>
            </w:pPr>
            <w:r w:rsidRPr="0079127A">
              <w:rPr>
                <w:rFonts w:eastAsia="Calibri" w:cstheme="minorHAnsi"/>
                <w:sz w:val="16"/>
                <w:szCs w:val="16"/>
              </w:rPr>
              <w:t xml:space="preserve">Izgrađena i opremljena </w:t>
            </w:r>
            <w:proofErr w:type="spellStart"/>
            <w:r w:rsidRPr="0079127A">
              <w:rPr>
                <w:rFonts w:eastAsia="Calibri" w:cstheme="minorHAnsi"/>
                <w:sz w:val="16"/>
                <w:szCs w:val="16"/>
              </w:rPr>
              <w:t>reciklažna</w:t>
            </w:r>
            <w:proofErr w:type="spellEnd"/>
            <w:r w:rsidRPr="0079127A">
              <w:rPr>
                <w:rFonts w:eastAsia="Calibri" w:cstheme="minorHAnsi"/>
                <w:sz w:val="16"/>
                <w:szCs w:val="16"/>
              </w:rPr>
              <w:t xml:space="preserve"> dvorišta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28B025" w14:textId="77777777" w:rsidR="0079127A" w:rsidRPr="0079127A" w:rsidRDefault="0079127A">
            <w:pPr>
              <w:rPr>
                <w:rFonts w:eastAsia="Calibri" w:cstheme="minorHAnsi"/>
                <w:sz w:val="16"/>
                <w:szCs w:val="16"/>
              </w:rPr>
            </w:pPr>
            <w:r w:rsidRPr="0079127A">
              <w:rPr>
                <w:rFonts w:eastAsia="Calibri" w:cstheme="minorHAnsi"/>
                <w:sz w:val="16"/>
                <w:szCs w:val="16"/>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6AFA3AFA" w14:textId="45A2579F" w:rsidR="0079127A" w:rsidRPr="0079127A" w:rsidRDefault="00EE5527">
            <w:pPr>
              <w:rPr>
                <w:rFonts w:eastAsia="Calibri" w:cstheme="minorHAnsi"/>
                <w:sz w:val="16"/>
                <w:szCs w:val="16"/>
              </w:rPr>
            </w:pPr>
            <w:r>
              <w:rPr>
                <w:rFonts w:eastAsia="Calibri" w:cstheme="minorHAnsi"/>
                <w:sz w:val="16"/>
                <w:szCs w:val="16"/>
              </w:rPr>
              <w:t>100</w:t>
            </w:r>
          </w:p>
        </w:tc>
        <w:tc>
          <w:tcPr>
            <w:tcW w:w="988" w:type="dxa"/>
            <w:tcBorders>
              <w:top w:val="single" w:sz="4" w:space="0" w:color="auto"/>
              <w:left w:val="single" w:sz="4" w:space="0" w:color="auto"/>
              <w:bottom w:val="single" w:sz="4" w:space="0" w:color="auto"/>
              <w:right w:val="single" w:sz="4" w:space="0" w:color="auto"/>
            </w:tcBorders>
            <w:vAlign w:val="center"/>
            <w:hideMark/>
          </w:tcPr>
          <w:p w14:paraId="1CB58A39" w14:textId="77777777" w:rsidR="0079127A" w:rsidRPr="0079127A" w:rsidRDefault="0079127A">
            <w:pPr>
              <w:jc w:val="center"/>
              <w:rPr>
                <w:rFonts w:eastAsia="Calibri" w:cstheme="minorHAnsi"/>
                <w:sz w:val="16"/>
                <w:szCs w:val="16"/>
              </w:rPr>
            </w:pPr>
            <w:r w:rsidRPr="0079127A">
              <w:rPr>
                <w:rFonts w:eastAsia="Calibri" w:cstheme="minorHAnsi"/>
                <w:sz w:val="16"/>
                <w:szCs w:val="16"/>
              </w:rPr>
              <w:t>2028.</w:t>
            </w:r>
          </w:p>
        </w:tc>
      </w:tr>
      <w:tr w:rsidR="0079127A" w:rsidRPr="0079127A" w14:paraId="3533307B"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246A0EB5" w14:textId="77777777" w:rsidR="0079127A" w:rsidRPr="0079127A" w:rsidRDefault="0079127A" w:rsidP="00687E85">
            <w:pPr>
              <w:jc w:val="left"/>
              <w:rPr>
                <w:rFonts w:eastAsia="Calibri" w:cstheme="minorHAnsi"/>
                <w:sz w:val="16"/>
                <w:szCs w:val="16"/>
              </w:rPr>
            </w:pPr>
            <w:r w:rsidRPr="0079127A">
              <w:rPr>
                <w:rFonts w:eastAsia="Calibri" w:cstheme="minorHAnsi"/>
                <w:sz w:val="16"/>
                <w:szCs w:val="16"/>
              </w:rPr>
              <w:t>A 1.4. Izgradnja i opremanje novih postrojenja i/ili povećanja kapaciteta i tehnološko unaprjeđenje postojećih postrojenja za recikliranje</w:t>
            </w:r>
          </w:p>
        </w:tc>
        <w:tc>
          <w:tcPr>
            <w:tcW w:w="994" w:type="dxa"/>
            <w:tcBorders>
              <w:top w:val="single" w:sz="4" w:space="0" w:color="auto"/>
              <w:left w:val="single" w:sz="4" w:space="0" w:color="auto"/>
              <w:bottom w:val="single" w:sz="4" w:space="0" w:color="auto"/>
              <w:right w:val="single" w:sz="4" w:space="0" w:color="auto"/>
            </w:tcBorders>
            <w:vAlign w:val="center"/>
            <w:hideMark/>
          </w:tcPr>
          <w:p w14:paraId="13C30601" w14:textId="77777777" w:rsidR="0079127A" w:rsidRPr="0079127A" w:rsidRDefault="0079127A">
            <w:pPr>
              <w:rPr>
                <w:rFonts w:eastAsia="Calibri" w:cstheme="minorHAnsi"/>
                <w:sz w:val="16"/>
                <w:szCs w:val="16"/>
              </w:rPr>
            </w:pPr>
            <w:r w:rsidRPr="0079127A">
              <w:rPr>
                <w:rFonts w:eastAsia="Calibri" w:cstheme="minorHAnsi"/>
                <w:sz w:val="16"/>
                <w:szCs w:val="16"/>
              </w:rPr>
              <w:t>PU</w:t>
            </w:r>
          </w:p>
        </w:tc>
        <w:tc>
          <w:tcPr>
            <w:tcW w:w="1134" w:type="dxa"/>
            <w:tcBorders>
              <w:top w:val="single" w:sz="4" w:space="0" w:color="auto"/>
              <w:left w:val="single" w:sz="4" w:space="0" w:color="auto"/>
              <w:bottom w:val="single" w:sz="4" w:space="0" w:color="auto"/>
              <w:right w:val="single" w:sz="4" w:space="0" w:color="auto"/>
            </w:tcBorders>
            <w:vAlign w:val="center"/>
          </w:tcPr>
          <w:p w14:paraId="3BCA1C72" w14:textId="77777777" w:rsidR="0079127A" w:rsidRPr="008B6312" w:rsidRDefault="0079127A">
            <w:pPr>
              <w:rPr>
                <w:rFonts w:eastAsia="Calibri" w:cstheme="minorHAnsi"/>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3B21136" w14:textId="77777777" w:rsidR="0079127A" w:rsidRPr="0079127A" w:rsidRDefault="0079127A">
            <w:pPr>
              <w:rPr>
                <w:rFonts w:eastAsia="Calibri" w:cstheme="minorHAnsi"/>
                <w:sz w:val="16"/>
                <w:szCs w:val="16"/>
              </w:rPr>
            </w:pPr>
            <w:r w:rsidRPr="0079127A">
              <w:rPr>
                <w:rFonts w:eastAsia="Calibri" w:cstheme="minorHAnsi"/>
                <w:sz w:val="16"/>
                <w:szCs w:val="16"/>
              </w:rPr>
              <w:t>PU/EU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4B2F9D" w14:textId="3125AB31" w:rsidR="0079127A" w:rsidRPr="008B6312" w:rsidRDefault="0079127A">
            <w:pPr>
              <w:rPr>
                <w:rFonts w:eastAsia="Calibri" w:cstheme="minorHAnsi"/>
                <w:sz w:val="16"/>
                <w:szCs w:val="16"/>
              </w:rPr>
            </w:pPr>
            <w:r w:rsidRPr="008B6312">
              <w:rPr>
                <w:rFonts w:eastAsia="Calibri" w:cstheme="minorHAnsi"/>
                <w:sz w:val="16"/>
                <w:szCs w:val="16"/>
              </w:rPr>
              <w:t xml:space="preserve">Povećanje </w:t>
            </w:r>
            <w:r w:rsidR="008B6312" w:rsidRPr="008B6312">
              <w:rPr>
                <w:rFonts w:eastAsia="Calibri" w:cstheme="minorHAnsi"/>
                <w:sz w:val="16"/>
                <w:szCs w:val="16"/>
              </w:rPr>
              <w:t xml:space="preserve">udjela </w:t>
            </w:r>
            <w:r w:rsidRPr="008B6312">
              <w:rPr>
                <w:rFonts w:eastAsia="Calibri" w:cstheme="minorHAnsi"/>
                <w:sz w:val="16"/>
                <w:szCs w:val="16"/>
              </w:rPr>
              <w:t>recikliranog otpada na nacionalnom nivou</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6E828F" w14:textId="77777777" w:rsidR="0079127A" w:rsidRPr="001543C9" w:rsidRDefault="0079127A">
            <w:pPr>
              <w:rPr>
                <w:rFonts w:eastAsia="Calibri" w:cstheme="minorHAnsi"/>
                <w:sz w:val="16"/>
                <w:szCs w:val="16"/>
              </w:rPr>
            </w:pPr>
            <w:r w:rsidRPr="001543C9">
              <w:rPr>
                <w:rFonts w:eastAsia="Calibri" w:cstheme="minorHAnsi"/>
                <w:sz w:val="16"/>
                <w:szCs w:val="16"/>
              </w:rPr>
              <w:t>%</w:t>
            </w:r>
          </w:p>
        </w:tc>
        <w:tc>
          <w:tcPr>
            <w:tcW w:w="995" w:type="dxa"/>
            <w:tcBorders>
              <w:top w:val="single" w:sz="4" w:space="0" w:color="auto"/>
              <w:left w:val="single" w:sz="4" w:space="0" w:color="auto"/>
              <w:bottom w:val="single" w:sz="4" w:space="0" w:color="auto"/>
              <w:right w:val="single" w:sz="4" w:space="0" w:color="auto"/>
            </w:tcBorders>
            <w:vAlign w:val="center"/>
            <w:hideMark/>
          </w:tcPr>
          <w:p w14:paraId="669390C6" w14:textId="77777777" w:rsidR="0079127A" w:rsidRPr="001543C9" w:rsidRDefault="0079127A">
            <w:pPr>
              <w:rPr>
                <w:rFonts w:eastAsia="Calibri" w:cstheme="minorHAnsi"/>
                <w:sz w:val="16"/>
                <w:szCs w:val="16"/>
              </w:rPr>
            </w:pPr>
            <w:r w:rsidRPr="001543C9">
              <w:rPr>
                <w:rFonts w:eastAsia="Calibri" w:cstheme="minorHAnsi"/>
                <w:sz w:val="16"/>
                <w:szCs w:val="16"/>
              </w:rPr>
              <w:t>Dostizanje ciljeva</w:t>
            </w:r>
          </w:p>
        </w:tc>
        <w:tc>
          <w:tcPr>
            <w:tcW w:w="988" w:type="dxa"/>
            <w:tcBorders>
              <w:top w:val="single" w:sz="4" w:space="0" w:color="auto"/>
              <w:left w:val="single" w:sz="4" w:space="0" w:color="auto"/>
              <w:bottom w:val="single" w:sz="4" w:space="0" w:color="auto"/>
              <w:right w:val="single" w:sz="4" w:space="0" w:color="auto"/>
            </w:tcBorders>
            <w:vAlign w:val="center"/>
            <w:hideMark/>
          </w:tcPr>
          <w:p w14:paraId="4625DA44" w14:textId="77777777" w:rsidR="0079127A" w:rsidRPr="0079127A" w:rsidRDefault="0079127A">
            <w:pPr>
              <w:jc w:val="center"/>
              <w:rPr>
                <w:rFonts w:eastAsia="Calibri" w:cstheme="minorHAnsi"/>
                <w:sz w:val="16"/>
                <w:szCs w:val="16"/>
              </w:rPr>
            </w:pPr>
            <w:r w:rsidRPr="0079127A">
              <w:rPr>
                <w:rFonts w:eastAsia="Calibri" w:cstheme="minorHAnsi"/>
                <w:sz w:val="16"/>
                <w:szCs w:val="16"/>
              </w:rPr>
              <w:t>2028.</w:t>
            </w:r>
          </w:p>
        </w:tc>
      </w:tr>
      <w:tr w:rsidR="001543C9" w:rsidRPr="0079127A" w14:paraId="447916EA"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07D7A6FE" w14:textId="77777777" w:rsidR="001543C9" w:rsidRPr="0079127A" w:rsidRDefault="001543C9" w:rsidP="001543C9">
            <w:pPr>
              <w:jc w:val="left"/>
              <w:rPr>
                <w:rFonts w:eastAsia="Calibri" w:cstheme="minorHAnsi"/>
                <w:sz w:val="16"/>
                <w:szCs w:val="16"/>
              </w:rPr>
            </w:pPr>
            <w:r w:rsidRPr="0079127A">
              <w:rPr>
                <w:rFonts w:eastAsia="Calibri" w:cstheme="minorHAnsi"/>
                <w:sz w:val="16"/>
                <w:szCs w:val="16"/>
              </w:rPr>
              <w:t>A 1.5. Izgradnja i opremanje postrojenja za biološku obradu odvojeno prikupljenog biootpada</w:t>
            </w:r>
          </w:p>
        </w:tc>
        <w:tc>
          <w:tcPr>
            <w:tcW w:w="994" w:type="dxa"/>
            <w:tcBorders>
              <w:top w:val="single" w:sz="4" w:space="0" w:color="auto"/>
              <w:left w:val="single" w:sz="4" w:space="0" w:color="auto"/>
              <w:bottom w:val="single" w:sz="4" w:space="0" w:color="auto"/>
              <w:right w:val="single" w:sz="4" w:space="0" w:color="auto"/>
            </w:tcBorders>
            <w:vAlign w:val="center"/>
            <w:hideMark/>
          </w:tcPr>
          <w:p w14:paraId="772E1C9C" w14:textId="35DC207B" w:rsidR="001543C9" w:rsidRPr="0079127A" w:rsidRDefault="001543C9" w:rsidP="001543C9">
            <w:pPr>
              <w:rPr>
                <w:rFonts w:eastAsia="Calibri" w:cstheme="minorHAnsi"/>
                <w:sz w:val="16"/>
                <w:szCs w:val="16"/>
              </w:rPr>
            </w:pPr>
            <w:r w:rsidRPr="0079127A">
              <w:rPr>
                <w:rFonts w:eastAsia="Calibri" w:cstheme="minorHAnsi"/>
                <w:sz w:val="16"/>
                <w:szCs w:val="16"/>
              </w:rPr>
              <w:t>JLS</w:t>
            </w:r>
            <w:r w:rsidR="00443E52">
              <w:rPr>
                <w:rFonts w:eastAsia="Calibri" w:cstheme="minorHAnsi"/>
                <w:sz w:val="16"/>
                <w:szCs w:val="16"/>
              </w:rPr>
              <w:t>/DRUGO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0C91AC" w14:textId="77777777" w:rsidR="001543C9" w:rsidRPr="008B6312" w:rsidRDefault="001543C9" w:rsidP="001543C9">
            <w:pPr>
              <w:rPr>
                <w:rFonts w:eastAsia="Calibri" w:cstheme="minorHAnsi"/>
                <w:sz w:val="16"/>
                <w:szCs w:val="16"/>
              </w:rPr>
            </w:pPr>
            <w:r w:rsidRPr="008B6312">
              <w:rPr>
                <w:rFonts w:eastAsia="Calibri" w:cstheme="minorHAnsi"/>
                <w:sz w:val="16"/>
                <w:szCs w:val="16"/>
              </w:rPr>
              <w:t>JP(R)S/MINGOR</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3D36D8" w14:textId="7844AE3A" w:rsidR="001543C9" w:rsidRPr="0079127A" w:rsidRDefault="001543C9" w:rsidP="001543C9">
            <w:pPr>
              <w:rPr>
                <w:rFonts w:eastAsia="Calibri" w:cstheme="minorHAnsi"/>
                <w:sz w:val="16"/>
                <w:szCs w:val="16"/>
              </w:rPr>
            </w:pPr>
            <w:r w:rsidRPr="0079127A">
              <w:rPr>
                <w:rFonts w:eastAsia="Calibri" w:cstheme="minorHAnsi"/>
                <w:sz w:val="16"/>
                <w:szCs w:val="16"/>
              </w:rPr>
              <w:t>JLS/EU/</w:t>
            </w:r>
            <w:r w:rsidR="00443E52">
              <w:rPr>
                <w:rFonts w:eastAsia="Calibri" w:cstheme="minorHAnsi"/>
                <w:sz w:val="16"/>
                <w:szCs w:val="16"/>
              </w:rPr>
              <w:t>DRUGO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6DE1A0" w14:textId="77777777" w:rsidR="001543C9" w:rsidRPr="0079127A" w:rsidRDefault="001543C9" w:rsidP="001543C9">
            <w:pPr>
              <w:rPr>
                <w:rFonts w:eastAsia="Calibri" w:cstheme="minorHAnsi"/>
                <w:sz w:val="16"/>
                <w:szCs w:val="16"/>
              </w:rPr>
            </w:pPr>
            <w:r w:rsidRPr="0079127A">
              <w:rPr>
                <w:rFonts w:eastAsia="Calibri" w:cstheme="minorHAnsi"/>
                <w:sz w:val="16"/>
                <w:szCs w:val="16"/>
              </w:rPr>
              <w:t xml:space="preserve">Izgrađena postrojenja za biološku obradu odvojeno prikupljenog biootpada –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7572D8" w14:textId="7940EC48" w:rsidR="001543C9" w:rsidRPr="0079127A" w:rsidRDefault="001543C9" w:rsidP="001543C9">
            <w:pPr>
              <w:rPr>
                <w:rFonts w:eastAsia="Calibri" w:cstheme="minorHAnsi"/>
                <w:sz w:val="16"/>
                <w:szCs w:val="16"/>
              </w:rPr>
            </w:pPr>
            <w:r>
              <w:rPr>
                <w:rFonts w:eastAsia="Calibri" w:cstheme="minorHAnsi"/>
                <w:sz w:val="16"/>
                <w:szCs w:val="16"/>
              </w:rPr>
              <w:t>Kapacitet u t/god</w:t>
            </w:r>
          </w:p>
        </w:tc>
        <w:tc>
          <w:tcPr>
            <w:tcW w:w="995" w:type="dxa"/>
            <w:tcBorders>
              <w:top w:val="single" w:sz="4" w:space="0" w:color="auto"/>
              <w:left w:val="single" w:sz="4" w:space="0" w:color="auto"/>
              <w:bottom w:val="single" w:sz="4" w:space="0" w:color="auto"/>
              <w:right w:val="single" w:sz="4" w:space="0" w:color="auto"/>
            </w:tcBorders>
            <w:vAlign w:val="center"/>
            <w:hideMark/>
          </w:tcPr>
          <w:p w14:paraId="5DC39964" w14:textId="1BD85A40" w:rsidR="001543C9" w:rsidRPr="0079127A" w:rsidRDefault="00443E52" w:rsidP="001543C9">
            <w:pPr>
              <w:rPr>
                <w:rFonts w:eastAsia="Calibri" w:cstheme="minorHAnsi"/>
                <w:sz w:val="16"/>
                <w:szCs w:val="16"/>
              </w:rPr>
            </w:pPr>
            <w:r w:rsidRPr="001543C9">
              <w:rPr>
                <w:rFonts w:eastAsia="Calibri" w:cstheme="minorHAnsi"/>
                <w:sz w:val="16"/>
                <w:szCs w:val="16"/>
              </w:rPr>
              <w:t>2</w:t>
            </w:r>
            <w:r>
              <w:rPr>
                <w:rFonts w:eastAsia="Calibri" w:cstheme="minorHAnsi"/>
                <w:sz w:val="16"/>
                <w:szCs w:val="16"/>
              </w:rPr>
              <w:t>49</w:t>
            </w:r>
            <w:r w:rsidR="001543C9" w:rsidRPr="001543C9">
              <w:rPr>
                <w:rFonts w:eastAsia="Calibri" w:cstheme="minorHAnsi"/>
                <w:sz w:val="16"/>
                <w:szCs w:val="16"/>
              </w:rPr>
              <w:t>.</w:t>
            </w:r>
            <w:r>
              <w:rPr>
                <w:rFonts w:eastAsia="Calibri" w:cstheme="minorHAnsi"/>
                <w:sz w:val="16"/>
                <w:szCs w:val="16"/>
              </w:rPr>
              <w:t>855</w:t>
            </w:r>
          </w:p>
        </w:tc>
        <w:tc>
          <w:tcPr>
            <w:tcW w:w="988" w:type="dxa"/>
            <w:tcBorders>
              <w:top w:val="single" w:sz="4" w:space="0" w:color="auto"/>
              <w:left w:val="single" w:sz="4" w:space="0" w:color="auto"/>
              <w:bottom w:val="single" w:sz="4" w:space="0" w:color="auto"/>
              <w:right w:val="single" w:sz="4" w:space="0" w:color="auto"/>
            </w:tcBorders>
            <w:vAlign w:val="center"/>
            <w:hideMark/>
          </w:tcPr>
          <w:p w14:paraId="33E071C3" w14:textId="77777777" w:rsidR="001543C9" w:rsidRPr="0079127A" w:rsidRDefault="001543C9" w:rsidP="001543C9">
            <w:pPr>
              <w:jc w:val="center"/>
              <w:rPr>
                <w:rFonts w:eastAsia="Calibri" w:cstheme="minorHAnsi"/>
                <w:sz w:val="16"/>
                <w:szCs w:val="16"/>
              </w:rPr>
            </w:pPr>
            <w:r w:rsidRPr="0079127A">
              <w:rPr>
                <w:rFonts w:eastAsia="Calibri" w:cstheme="minorHAnsi"/>
                <w:sz w:val="16"/>
                <w:szCs w:val="16"/>
              </w:rPr>
              <w:t>2028.</w:t>
            </w:r>
          </w:p>
        </w:tc>
      </w:tr>
      <w:tr w:rsidR="0079127A" w:rsidRPr="0079127A" w14:paraId="27F57D49" w14:textId="77777777" w:rsidTr="00416620">
        <w:tc>
          <w:tcPr>
            <w:tcW w:w="9067" w:type="dxa"/>
            <w:gridSpan w:val="8"/>
            <w:tcBorders>
              <w:top w:val="single" w:sz="4" w:space="0" w:color="auto"/>
              <w:left w:val="single" w:sz="4" w:space="0" w:color="auto"/>
              <w:bottom w:val="single" w:sz="4" w:space="0" w:color="auto"/>
              <w:right w:val="single" w:sz="4" w:space="0" w:color="auto"/>
            </w:tcBorders>
            <w:shd w:val="clear" w:color="auto" w:fill="5B9BD5"/>
            <w:vAlign w:val="center"/>
            <w:hideMark/>
          </w:tcPr>
          <w:p w14:paraId="7470D703" w14:textId="5DC98BFB" w:rsidR="0079127A" w:rsidRPr="0079127A" w:rsidRDefault="0079127A">
            <w:pPr>
              <w:rPr>
                <w:rFonts w:eastAsia="Calibri" w:cstheme="minorHAnsi"/>
                <w:b/>
                <w:bCs/>
                <w:sz w:val="16"/>
                <w:szCs w:val="16"/>
              </w:rPr>
            </w:pPr>
            <w:r w:rsidRPr="0079127A">
              <w:rPr>
                <w:rFonts w:eastAsia="Calibri" w:cstheme="minorHAnsi"/>
                <w:b/>
                <w:bCs/>
                <w:sz w:val="16"/>
                <w:szCs w:val="16"/>
              </w:rPr>
              <w:t>Mjera 2. Jačanje svijesti, informiranja i edukacije o gospodarenju otpadom</w:t>
            </w:r>
            <w:r w:rsidR="00713167">
              <w:rPr>
                <w:rFonts w:eastAsia="Calibri" w:cstheme="minorHAnsi"/>
                <w:b/>
                <w:bCs/>
                <w:sz w:val="16"/>
                <w:szCs w:val="16"/>
              </w:rPr>
              <w:t xml:space="preserve"> i proizvodima</w:t>
            </w:r>
          </w:p>
        </w:tc>
      </w:tr>
      <w:tr w:rsidR="0079127A" w:rsidRPr="0079127A" w14:paraId="3A140761"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0FD42247" w14:textId="77777777" w:rsidR="0079127A" w:rsidRPr="0079127A" w:rsidRDefault="0079127A" w:rsidP="00687E85">
            <w:pPr>
              <w:jc w:val="left"/>
              <w:rPr>
                <w:rFonts w:eastAsia="Calibri" w:cstheme="minorHAnsi"/>
                <w:sz w:val="16"/>
                <w:szCs w:val="16"/>
              </w:rPr>
            </w:pPr>
            <w:bookmarkStart w:id="327" w:name="_Hlk116144688"/>
            <w:r w:rsidRPr="0079127A">
              <w:rPr>
                <w:rFonts w:eastAsia="Calibri" w:cstheme="minorHAnsi"/>
                <w:sz w:val="16"/>
                <w:szCs w:val="16"/>
              </w:rPr>
              <w:t>A 2.1. Provođenje nacionalnih kampanja i drugih informacijsko-obrazovnih aktivnosti o gospodarenju otpadom u RH</w:t>
            </w:r>
          </w:p>
        </w:tc>
        <w:tc>
          <w:tcPr>
            <w:tcW w:w="994" w:type="dxa"/>
            <w:tcBorders>
              <w:top w:val="single" w:sz="4" w:space="0" w:color="auto"/>
              <w:left w:val="single" w:sz="4" w:space="0" w:color="auto"/>
              <w:bottom w:val="single" w:sz="4" w:space="0" w:color="auto"/>
              <w:right w:val="single" w:sz="4" w:space="0" w:color="auto"/>
            </w:tcBorders>
            <w:vAlign w:val="center"/>
            <w:hideMark/>
          </w:tcPr>
          <w:p w14:paraId="5833BF94" w14:textId="77777777" w:rsidR="0079127A" w:rsidRPr="0079127A" w:rsidRDefault="0079127A">
            <w:pPr>
              <w:rPr>
                <w:rFonts w:eastAsia="Calibri" w:cstheme="minorHAnsi"/>
                <w:sz w:val="16"/>
                <w:szCs w:val="16"/>
              </w:rPr>
            </w:pPr>
            <w:r w:rsidRPr="0079127A">
              <w:rPr>
                <w:rFonts w:eastAsia="Calibri" w:cstheme="minorHAnsi"/>
                <w:sz w:val="16"/>
                <w:szCs w:val="16"/>
              </w:rPr>
              <w:t>FZOEU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497D09" w14:textId="77777777" w:rsidR="0079127A" w:rsidRPr="0079127A" w:rsidRDefault="0079127A">
            <w:pPr>
              <w:rPr>
                <w:rFonts w:eastAsia="Calibri" w:cstheme="minorHAnsi"/>
                <w:sz w:val="16"/>
                <w:szCs w:val="16"/>
              </w:rPr>
            </w:pPr>
            <w:r w:rsidRPr="0079127A">
              <w:rPr>
                <w:rFonts w:eastAsia="Calibri" w:cstheme="minorHAnsi"/>
                <w:sz w:val="16"/>
                <w:szCs w:val="16"/>
              </w:rPr>
              <w:t>MINGOR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4EAE2B" w14:textId="77777777" w:rsidR="0079127A" w:rsidRPr="0079127A" w:rsidRDefault="0079127A">
            <w:pPr>
              <w:rPr>
                <w:rFonts w:eastAsia="Calibri" w:cstheme="minorHAnsi"/>
                <w:sz w:val="16"/>
                <w:szCs w:val="16"/>
              </w:rPr>
            </w:pPr>
            <w:r w:rsidRPr="0079127A">
              <w:rPr>
                <w:rFonts w:eastAsia="Calibri" w:cstheme="minorHAnsi"/>
                <w:sz w:val="16"/>
                <w:szCs w:val="16"/>
              </w:rPr>
              <w:t>FZOEU/EU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7C70AD" w14:textId="77777777" w:rsidR="0079127A" w:rsidRPr="0079127A" w:rsidRDefault="0079127A">
            <w:pPr>
              <w:rPr>
                <w:rFonts w:eastAsia="Calibri" w:cstheme="minorHAnsi"/>
                <w:sz w:val="16"/>
                <w:szCs w:val="16"/>
              </w:rPr>
            </w:pPr>
            <w:r w:rsidRPr="0079127A">
              <w:rPr>
                <w:rFonts w:eastAsia="Calibri" w:cstheme="minorHAnsi"/>
                <w:sz w:val="16"/>
                <w:szCs w:val="16"/>
              </w:rPr>
              <w:t>Provedene informacijsko-obrazovne aktivnosti</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FB7A83" w14:textId="77777777" w:rsidR="0079127A" w:rsidRPr="0079127A" w:rsidRDefault="0079127A">
            <w:pPr>
              <w:rPr>
                <w:rFonts w:eastAsia="Calibri" w:cstheme="minorHAnsi"/>
                <w:sz w:val="16"/>
                <w:szCs w:val="16"/>
              </w:rPr>
            </w:pPr>
            <w:r w:rsidRPr="0079127A">
              <w:rPr>
                <w:rFonts w:eastAsia="Calibri" w:cstheme="minorHAnsi"/>
                <w:sz w:val="16"/>
                <w:szCs w:val="16"/>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0197A905" w14:textId="77777777" w:rsidR="0079127A" w:rsidRPr="0079127A" w:rsidRDefault="0079127A">
            <w:pPr>
              <w:rPr>
                <w:rFonts w:eastAsia="Calibri" w:cstheme="minorHAnsi"/>
                <w:sz w:val="16"/>
                <w:szCs w:val="16"/>
              </w:rPr>
            </w:pPr>
            <w:r w:rsidRPr="0079127A">
              <w:rPr>
                <w:rFonts w:eastAsia="Calibri" w:cstheme="minorHAnsi"/>
                <w:sz w:val="16"/>
                <w:szCs w:val="16"/>
              </w:rPr>
              <w:t>6</w:t>
            </w:r>
          </w:p>
        </w:tc>
        <w:tc>
          <w:tcPr>
            <w:tcW w:w="988" w:type="dxa"/>
            <w:tcBorders>
              <w:top w:val="single" w:sz="4" w:space="0" w:color="auto"/>
              <w:left w:val="single" w:sz="4" w:space="0" w:color="auto"/>
              <w:bottom w:val="single" w:sz="4" w:space="0" w:color="auto"/>
              <w:right w:val="single" w:sz="4" w:space="0" w:color="auto"/>
            </w:tcBorders>
            <w:vAlign w:val="center"/>
            <w:hideMark/>
          </w:tcPr>
          <w:p w14:paraId="323BC57C" w14:textId="77777777" w:rsidR="0079127A" w:rsidRPr="0079127A" w:rsidRDefault="0079127A">
            <w:pPr>
              <w:jc w:val="center"/>
              <w:rPr>
                <w:rFonts w:eastAsia="Calibri" w:cstheme="minorHAnsi"/>
                <w:sz w:val="16"/>
                <w:szCs w:val="16"/>
              </w:rPr>
            </w:pPr>
            <w:r w:rsidRPr="0079127A">
              <w:rPr>
                <w:rFonts w:eastAsia="Calibri" w:cstheme="minorHAnsi"/>
                <w:sz w:val="16"/>
                <w:szCs w:val="16"/>
              </w:rPr>
              <w:t>2028.</w:t>
            </w:r>
          </w:p>
        </w:tc>
        <w:bookmarkEnd w:id="327"/>
      </w:tr>
      <w:tr w:rsidR="0079127A" w:rsidRPr="0079127A" w14:paraId="15D9E191" w14:textId="77777777" w:rsidTr="00416620">
        <w:trPr>
          <w:trHeight w:val="195"/>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2D6BF7B5" w14:textId="77777777" w:rsidR="0079127A" w:rsidRPr="0079127A" w:rsidRDefault="0079127A" w:rsidP="00687E85">
            <w:pPr>
              <w:jc w:val="left"/>
              <w:rPr>
                <w:rFonts w:eastAsia="Calibri" w:cstheme="minorHAnsi"/>
                <w:sz w:val="16"/>
                <w:szCs w:val="16"/>
              </w:rPr>
            </w:pPr>
            <w:r w:rsidRPr="0079127A">
              <w:rPr>
                <w:rFonts w:eastAsia="Calibri" w:cstheme="minorHAnsi"/>
                <w:sz w:val="16"/>
                <w:szCs w:val="16"/>
              </w:rPr>
              <w:t>A 2.2. Provedba informativnih aktivnosti gospodarenja otpadom na razini JLS</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220AA649" w14:textId="77777777" w:rsidR="0079127A" w:rsidRPr="0079127A" w:rsidRDefault="0079127A">
            <w:pPr>
              <w:rPr>
                <w:rFonts w:eastAsia="Calibri" w:cstheme="minorHAnsi"/>
                <w:sz w:val="16"/>
                <w:szCs w:val="16"/>
              </w:rPr>
            </w:pPr>
            <w:r w:rsidRPr="0079127A">
              <w:rPr>
                <w:rFonts w:eastAsia="Calibri" w:cstheme="minorHAnsi"/>
                <w:sz w:val="16"/>
                <w:szCs w:val="16"/>
              </w:rPr>
              <w:t>JLS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D99F598" w14:textId="77777777" w:rsidR="0079127A" w:rsidRPr="0079127A" w:rsidRDefault="0079127A">
            <w:pPr>
              <w:rPr>
                <w:rFonts w:eastAsia="Calibri" w:cstheme="minorHAnsi"/>
                <w:sz w:val="16"/>
                <w:szCs w:val="16"/>
              </w:rPr>
            </w:pPr>
            <w:r w:rsidRPr="0079127A">
              <w:rPr>
                <w:rFonts w:eastAsia="Calibri" w:cstheme="minorHAnsi"/>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66F8F19" w14:textId="77777777" w:rsidR="0079127A" w:rsidRPr="0079127A" w:rsidRDefault="0079127A">
            <w:pPr>
              <w:rPr>
                <w:rFonts w:eastAsia="Calibri" w:cstheme="minorHAnsi"/>
                <w:sz w:val="16"/>
                <w:szCs w:val="16"/>
              </w:rPr>
            </w:pPr>
            <w:r w:rsidRPr="0079127A">
              <w:rPr>
                <w:rFonts w:eastAsia="Calibri" w:cstheme="minorHAnsi"/>
                <w:sz w:val="16"/>
                <w:szCs w:val="16"/>
              </w:rPr>
              <w:t>JLS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D1ABD7" w14:textId="77777777" w:rsidR="0079127A" w:rsidRPr="0079127A" w:rsidRDefault="0079127A">
            <w:pPr>
              <w:rPr>
                <w:rFonts w:eastAsia="Calibri" w:cstheme="minorHAnsi"/>
                <w:sz w:val="16"/>
                <w:szCs w:val="16"/>
              </w:rPr>
            </w:pPr>
            <w:r w:rsidRPr="0079127A">
              <w:rPr>
                <w:rFonts w:eastAsia="Calibri" w:cstheme="minorHAnsi"/>
                <w:sz w:val="16"/>
                <w:szCs w:val="16"/>
              </w:rPr>
              <w:t>Održane javne tribine</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BA3750" w14:textId="77777777" w:rsidR="0079127A" w:rsidRPr="0079127A" w:rsidRDefault="0079127A">
            <w:pPr>
              <w:rPr>
                <w:rFonts w:eastAsia="Calibri" w:cstheme="minorHAnsi"/>
                <w:sz w:val="16"/>
                <w:szCs w:val="16"/>
              </w:rPr>
            </w:pPr>
            <w:r w:rsidRPr="0079127A">
              <w:rPr>
                <w:rFonts w:eastAsia="Calibri" w:cstheme="minorHAnsi"/>
                <w:sz w:val="16"/>
                <w:szCs w:val="16"/>
              </w:rPr>
              <w:t>Broj /godina</w:t>
            </w:r>
          </w:p>
        </w:tc>
        <w:tc>
          <w:tcPr>
            <w:tcW w:w="995" w:type="dxa"/>
            <w:tcBorders>
              <w:top w:val="single" w:sz="4" w:space="0" w:color="auto"/>
              <w:left w:val="single" w:sz="4" w:space="0" w:color="auto"/>
              <w:bottom w:val="single" w:sz="4" w:space="0" w:color="auto"/>
              <w:right w:val="single" w:sz="4" w:space="0" w:color="auto"/>
            </w:tcBorders>
            <w:vAlign w:val="center"/>
            <w:hideMark/>
          </w:tcPr>
          <w:p w14:paraId="10E8DA99" w14:textId="77777777" w:rsidR="0079127A" w:rsidRPr="0079127A" w:rsidRDefault="0079127A">
            <w:pPr>
              <w:rPr>
                <w:rFonts w:eastAsia="Calibri" w:cstheme="minorHAnsi"/>
                <w:sz w:val="16"/>
                <w:szCs w:val="16"/>
              </w:rPr>
            </w:pPr>
            <w:r w:rsidRPr="0079127A">
              <w:rPr>
                <w:rFonts w:eastAsia="Calibri" w:cstheme="minorHAnsi"/>
                <w:sz w:val="16"/>
                <w:szCs w:val="16"/>
              </w:rPr>
              <w:t>556</w:t>
            </w:r>
          </w:p>
        </w:tc>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5016CD96" w14:textId="77777777" w:rsidR="0079127A" w:rsidRPr="0079127A" w:rsidRDefault="0079127A">
            <w:pPr>
              <w:jc w:val="center"/>
              <w:rPr>
                <w:rFonts w:eastAsia="Calibri" w:cstheme="minorHAnsi"/>
                <w:sz w:val="16"/>
                <w:szCs w:val="16"/>
              </w:rPr>
            </w:pPr>
            <w:r w:rsidRPr="0079127A">
              <w:rPr>
                <w:rFonts w:eastAsia="Calibri" w:cstheme="minorHAnsi"/>
                <w:sz w:val="16"/>
                <w:szCs w:val="16"/>
              </w:rPr>
              <w:t>2028.</w:t>
            </w:r>
          </w:p>
        </w:tc>
      </w:tr>
      <w:tr w:rsidR="0079127A" w:rsidRPr="0079127A" w14:paraId="4D673D5A" w14:textId="77777777" w:rsidTr="00416620">
        <w:trPr>
          <w:trHeight w:val="195"/>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62AF24A2" w14:textId="77777777" w:rsidR="0079127A" w:rsidRPr="0079127A" w:rsidRDefault="0079127A" w:rsidP="00687E85">
            <w:pPr>
              <w:jc w:val="left"/>
              <w:rPr>
                <w:rFonts w:eastAsia="Calibri" w:cstheme="minorHAnsi"/>
                <w:sz w:val="16"/>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741D3417" w14:textId="77777777" w:rsidR="0079127A" w:rsidRPr="0079127A" w:rsidRDefault="0079127A">
            <w:pPr>
              <w:rPr>
                <w:rFonts w:eastAsia="Calibri" w:cstheme="minorHAnsi"/>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643D02" w14:textId="77777777" w:rsidR="0079127A" w:rsidRPr="0079127A" w:rsidRDefault="0079127A">
            <w:pPr>
              <w:rPr>
                <w:rFonts w:eastAsia="Calibri" w:cstheme="minorHAnsi"/>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38549DF" w14:textId="77777777" w:rsidR="0079127A" w:rsidRPr="0079127A" w:rsidRDefault="0079127A">
            <w:pPr>
              <w:rPr>
                <w:rFonts w:eastAsia="Calibri" w:cstheme="minorHAnsi"/>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B6FC92E" w14:textId="77777777" w:rsidR="0079127A" w:rsidRPr="0079127A" w:rsidRDefault="0079127A">
            <w:pPr>
              <w:rPr>
                <w:rFonts w:eastAsia="Calibri" w:cstheme="minorHAnsi"/>
                <w:sz w:val="16"/>
                <w:szCs w:val="16"/>
              </w:rPr>
            </w:pPr>
            <w:r w:rsidRPr="0079127A">
              <w:rPr>
                <w:rFonts w:eastAsia="Calibri" w:cstheme="minorHAnsi"/>
                <w:sz w:val="16"/>
                <w:szCs w:val="16"/>
              </w:rPr>
              <w:t xml:space="preserve">Izrađene i distribuirane publikacije o gospodarenju otpadom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85A308" w14:textId="77777777" w:rsidR="0079127A" w:rsidRPr="0079127A" w:rsidRDefault="0079127A">
            <w:pPr>
              <w:rPr>
                <w:rFonts w:eastAsia="Calibri" w:cstheme="minorHAnsi"/>
                <w:sz w:val="16"/>
                <w:szCs w:val="16"/>
              </w:rPr>
            </w:pPr>
            <w:r w:rsidRPr="0079127A">
              <w:rPr>
                <w:rFonts w:eastAsia="Calibri" w:cstheme="minorHAnsi"/>
                <w:sz w:val="16"/>
                <w:szCs w:val="16"/>
              </w:rPr>
              <w:t>Broj /godina</w:t>
            </w:r>
          </w:p>
        </w:tc>
        <w:tc>
          <w:tcPr>
            <w:tcW w:w="995" w:type="dxa"/>
            <w:tcBorders>
              <w:top w:val="single" w:sz="4" w:space="0" w:color="auto"/>
              <w:left w:val="single" w:sz="4" w:space="0" w:color="auto"/>
              <w:bottom w:val="single" w:sz="4" w:space="0" w:color="auto"/>
              <w:right w:val="single" w:sz="4" w:space="0" w:color="auto"/>
            </w:tcBorders>
            <w:vAlign w:val="center"/>
            <w:hideMark/>
          </w:tcPr>
          <w:p w14:paraId="53CC4205" w14:textId="77777777" w:rsidR="0079127A" w:rsidRPr="0079127A" w:rsidRDefault="0079127A">
            <w:pPr>
              <w:rPr>
                <w:rFonts w:eastAsia="Calibri" w:cstheme="minorHAnsi"/>
                <w:sz w:val="16"/>
                <w:szCs w:val="16"/>
              </w:rPr>
            </w:pPr>
            <w:r w:rsidRPr="0079127A">
              <w:rPr>
                <w:rFonts w:eastAsia="Calibri" w:cstheme="minorHAnsi"/>
                <w:sz w:val="16"/>
                <w:szCs w:val="16"/>
              </w:rPr>
              <w:t>556</w:t>
            </w: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5E0DAB08" w14:textId="77777777" w:rsidR="0079127A" w:rsidRPr="0079127A" w:rsidRDefault="0079127A">
            <w:pPr>
              <w:rPr>
                <w:rFonts w:eastAsia="Calibri" w:cstheme="minorHAnsi"/>
                <w:sz w:val="16"/>
                <w:szCs w:val="16"/>
              </w:rPr>
            </w:pPr>
          </w:p>
        </w:tc>
      </w:tr>
      <w:tr w:rsidR="0079127A" w:rsidRPr="0079127A" w14:paraId="47832F0D" w14:textId="77777777" w:rsidTr="00416620">
        <w:trPr>
          <w:trHeight w:val="195"/>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0CA991AC" w14:textId="77777777" w:rsidR="0079127A" w:rsidRPr="0079127A" w:rsidRDefault="0079127A" w:rsidP="00687E85">
            <w:pPr>
              <w:jc w:val="left"/>
              <w:rPr>
                <w:rFonts w:eastAsia="Calibri" w:cstheme="minorHAnsi"/>
                <w:sz w:val="16"/>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60461D25" w14:textId="77777777" w:rsidR="0079127A" w:rsidRPr="0079127A" w:rsidRDefault="0079127A">
            <w:pPr>
              <w:rPr>
                <w:rFonts w:eastAsia="Calibri" w:cstheme="minorHAnsi"/>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D8EDFA" w14:textId="77777777" w:rsidR="0079127A" w:rsidRPr="0079127A" w:rsidRDefault="0079127A">
            <w:pPr>
              <w:rPr>
                <w:rFonts w:eastAsia="Calibri" w:cstheme="minorHAnsi"/>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92E9259" w14:textId="77777777" w:rsidR="0079127A" w:rsidRPr="0079127A" w:rsidRDefault="0079127A">
            <w:pPr>
              <w:rPr>
                <w:rFonts w:eastAsia="Calibri" w:cstheme="minorHAnsi"/>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AB123FD" w14:textId="77777777" w:rsidR="0079127A" w:rsidRPr="0079127A" w:rsidRDefault="0079127A">
            <w:pPr>
              <w:rPr>
                <w:rFonts w:eastAsia="Calibri" w:cstheme="minorHAnsi"/>
                <w:sz w:val="16"/>
                <w:szCs w:val="16"/>
              </w:rPr>
            </w:pPr>
            <w:r w:rsidRPr="0079127A">
              <w:rPr>
                <w:rFonts w:eastAsia="Calibri" w:cstheme="minorHAnsi"/>
                <w:sz w:val="16"/>
                <w:szCs w:val="16"/>
              </w:rPr>
              <w:t>Uspostava i održavanje mrežnih stranica s informacijama o gospodarenju otpadom</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BEA1EF" w14:textId="77777777" w:rsidR="0079127A" w:rsidRPr="0079127A" w:rsidRDefault="0079127A">
            <w:pPr>
              <w:rPr>
                <w:rFonts w:eastAsia="Calibri" w:cstheme="minorHAnsi"/>
                <w:sz w:val="16"/>
                <w:szCs w:val="16"/>
              </w:rPr>
            </w:pPr>
            <w:r w:rsidRPr="0079127A">
              <w:rPr>
                <w:rFonts w:eastAsia="Calibri" w:cstheme="minorHAnsi"/>
                <w:sz w:val="16"/>
                <w:szCs w:val="16"/>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445745EF" w14:textId="77777777" w:rsidR="0079127A" w:rsidRPr="0079127A" w:rsidRDefault="0079127A">
            <w:pPr>
              <w:rPr>
                <w:rFonts w:eastAsia="Calibri" w:cstheme="minorHAnsi"/>
                <w:sz w:val="16"/>
                <w:szCs w:val="16"/>
              </w:rPr>
            </w:pPr>
            <w:r w:rsidRPr="0079127A">
              <w:rPr>
                <w:rFonts w:eastAsia="Calibri" w:cstheme="minorHAnsi"/>
                <w:sz w:val="16"/>
                <w:szCs w:val="16"/>
              </w:rPr>
              <w:t>556</w:t>
            </w: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6322C241" w14:textId="77777777" w:rsidR="0079127A" w:rsidRPr="0079127A" w:rsidRDefault="0079127A">
            <w:pPr>
              <w:rPr>
                <w:rFonts w:eastAsia="Calibri" w:cstheme="minorHAnsi"/>
                <w:sz w:val="16"/>
                <w:szCs w:val="16"/>
              </w:rPr>
            </w:pPr>
          </w:p>
        </w:tc>
      </w:tr>
      <w:tr w:rsidR="0079127A" w:rsidRPr="0079127A" w14:paraId="6A9B3A1A"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0EB0CDBB" w14:textId="77777777" w:rsidR="0079127A" w:rsidRPr="0079127A" w:rsidRDefault="0079127A" w:rsidP="00687E85">
            <w:pPr>
              <w:jc w:val="left"/>
              <w:rPr>
                <w:rFonts w:eastAsia="Calibri" w:cstheme="minorHAnsi"/>
                <w:sz w:val="16"/>
                <w:szCs w:val="16"/>
              </w:rPr>
            </w:pPr>
            <w:r w:rsidRPr="0079127A">
              <w:rPr>
                <w:rFonts w:eastAsia="Calibri" w:cstheme="minorHAnsi"/>
                <w:sz w:val="16"/>
                <w:szCs w:val="16"/>
              </w:rPr>
              <w:t>A 2.3. Organizacija događanja za jačanje suradnje i kapaciteta lokalne i područne (regionalne) samouprave</w:t>
            </w:r>
          </w:p>
        </w:tc>
        <w:tc>
          <w:tcPr>
            <w:tcW w:w="994" w:type="dxa"/>
            <w:tcBorders>
              <w:top w:val="single" w:sz="4" w:space="0" w:color="auto"/>
              <w:left w:val="single" w:sz="4" w:space="0" w:color="auto"/>
              <w:bottom w:val="single" w:sz="4" w:space="0" w:color="auto"/>
              <w:right w:val="single" w:sz="4" w:space="0" w:color="auto"/>
            </w:tcBorders>
            <w:vAlign w:val="center"/>
            <w:hideMark/>
          </w:tcPr>
          <w:p w14:paraId="2FD147C4" w14:textId="77777777" w:rsidR="0079127A" w:rsidRPr="0079127A" w:rsidRDefault="0079127A">
            <w:pPr>
              <w:rPr>
                <w:rFonts w:eastAsia="Calibri" w:cstheme="minorHAnsi"/>
                <w:sz w:val="16"/>
                <w:szCs w:val="16"/>
              </w:rPr>
            </w:pPr>
            <w:r w:rsidRPr="0079127A">
              <w:rPr>
                <w:rFonts w:eastAsia="Calibri" w:cstheme="minorHAnsi"/>
                <w:sz w:val="16"/>
                <w:szCs w:val="16"/>
              </w:rPr>
              <w:t>MINGOR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BAF2F6" w14:textId="77777777" w:rsidR="0079127A" w:rsidRPr="0079127A" w:rsidRDefault="0079127A">
            <w:pPr>
              <w:rPr>
                <w:rFonts w:eastAsia="Calibri" w:cstheme="minorHAnsi"/>
                <w:sz w:val="16"/>
                <w:szCs w:val="16"/>
              </w:rPr>
            </w:pPr>
            <w:r w:rsidRPr="0079127A">
              <w:rPr>
                <w:rFonts w:eastAsia="Calibri" w:cstheme="minorHAnsi"/>
                <w:sz w:val="16"/>
                <w:szCs w:val="16"/>
              </w:rPr>
              <w:t>JP(R)S</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078928" w14:textId="77777777" w:rsidR="0079127A" w:rsidRPr="0079127A" w:rsidRDefault="0079127A">
            <w:pPr>
              <w:rPr>
                <w:rFonts w:eastAsia="Calibri" w:cstheme="minorHAnsi"/>
                <w:sz w:val="16"/>
                <w:szCs w:val="16"/>
              </w:rPr>
            </w:pPr>
            <w:r w:rsidRPr="0079127A">
              <w:rPr>
                <w:rFonts w:eastAsia="Calibri" w:cstheme="minorHAnsi"/>
                <w:sz w:val="16"/>
                <w:szCs w:val="16"/>
              </w:rPr>
              <w:t>MINGOR/EU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258970" w14:textId="77777777" w:rsidR="0079127A" w:rsidRPr="0079127A" w:rsidRDefault="0079127A">
            <w:pPr>
              <w:rPr>
                <w:rFonts w:eastAsia="Calibri" w:cstheme="minorHAnsi"/>
                <w:sz w:val="16"/>
                <w:szCs w:val="16"/>
              </w:rPr>
            </w:pPr>
            <w:r w:rsidRPr="0079127A">
              <w:rPr>
                <w:rFonts w:eastAsia="Calibri" w:cstheme="minorHAnsi"/>
                <w:sz w:val="16"/>
                <w:szCs w:val="16"/>
              </w:rPr>
              <w:t>Održani stručni okrugli stol</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167996" w14:textId="77777777" w:rsidR="0079127A" w:rsidRPr="0079127A" w:rsidRDefault="0079127A">
            <w:pPr>
              <w:rPr>
                <w:rFonts w:eastAsia="Calibri" w:cstheme="minorHAnsi"/>
                <w:sz w:val="16"/>
                <w:szCs w:val="16"/>
              </w:rPr>
            </w:pPr>
            <w:r w:rsidRPr="0079127A">
              <w:rPr>
                <w:rFonts w:eastAsia="Calibri" w:cstheme="minorHAnsi"/>
                <w:sz w:val="16"/>
                <w:szCs w:val="16"/>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4943388C" w14:textId="77777777" w:rsidR="0079127A" w:rsidRPr="0079127A" w:rsidRDefault="0079127A">
            <w:pPr>
              <w:rPr>
                <w:rFonts w:eastAsia="Calibri" w:cstheme="minorHAnsi"/>
                <w:sz w:val="16"/>
                <w:szCs w:val="16"/>
              </w:rPr>
            </w:pPr>
            <w:r w:rsidRPr="0079127A">
              <w:rPr>
                <w:rFonts w:eastAsia="Calibri" w:cstheme="minorHAnsi"/>
                <w:sz w:val="16"/>
                <w:szCs w:val="16"/>
              </w:rPr>
              <w:t>7</w:t>
            </w:r>
          </w:p>
        </w:tc>
        <w:tc>
          <w:tcPr>
            <w:tcW w:w="988" w:type="dxa"/>
            <w:tcBorders>
              <w:top w:val="single" w:sz="4" w:space="0" w:color="auto"/>
              <w:left w:val="single" w:sz="4" w:space="0" w:color="auto"/>
              <w:bottom w:val="single" w:sz="4" w:space="0" w:color="auto"/>
              <w:right w:val="single" w:sz="4" w:space="0" w:color="auto"/>
            </w:tcBorders>
            <w:vAlign w:val="center"/>
            <w:hideMark/>
          </w:tcPr>
          <w:p w14:paraId="32DD3085" w14:textId="77777777" w:rsidR="0079127A" w:rsidRPr="0079127A" w:rsidRDefault="0079127A" w:rsidP="008B6312">
            <w:pPr>
              <w:jc w:val="center"/>
              <w:rPr>
                <w:rFonts w:eastAsia="Calibri" w:cstheme="minorHAnsi"/>
                <w:sz w:val="16"/>
                <w:szCs w:val="16"/>
              </w:rPr>
            </w:pPr>
            <w:r w:rsidRPr="0079127A">
              <w:rPr>
                <w:rFonts w:eastAsia="Calibri" w:cstheme="minorHAnsi"/>
                <w:sz w:val="16"/>
                <w:szCs w:val="16"/>
              </w:rPr>
              <w:t>2028.</w:t>
            </w:r>
          </w:p>
        </w:tc>
      </w:tr>
      <w:tr w:rsidR="0079127A" w:rsidRPr="0079127A" w14:paraId="0327ED71" w14:textId="77777777" w:rsidTr="00416620">
        <w:tc>
          <w:tcPr>
            <w:tcW w:w="9067" w:type="dxa"/>
            <w:gridSpan w:val="8"/>
            <w:tcBorders>
              <w:top w:val="single" w:sz="4" w:space="0" w:color="auto"/>
              <w:left w:val="single" w:sz="4" w:space="0" w:color="auto"/>
              <w:bottom w:val="single" w:sz="4" w:space="0" w:color="auto"/>
              <w:right w:val="single" w:sz="4" w:space="0" w:color="auto"/>
            </w:tcBorders>
            <w:shd w:val="clear" w:color="auto" w:fill="5B9BD5"/>
            <w:vAlign w:val="center"/>
            <w:hideMark/>
          </w:tcPr>
          <w:p w14:paraId="6010E4D7" w14:textId="77777777" w:rsidR="0079127A" w:rsidRPr="0079127A" w:rsidRDefault="0079127A">
            <w:pPr>
              <w:rPr>
                <w:rFonts w:eastAsia="Calibri" w:cstheme="minorHAnsi"/>
                <w:b/>
                <w:bCs/>
                <w:sz w:val="16"/>
                <w:szCs w:val="16"/>
              </w:rPr>
            </w:pPr>
            <w:r w:rsidRPr="0079127A">
              <w:rPr>
                <w:rFonts w:eastAsia="Calibri" w:cstheme="minorHAnsi"/>
                <w:b/>
                <w:bCs/>
                <w:sz w:val="16"/>
                <w:szCs w:val="16"/>
              </w:rPr>
              <w:t>Mjera 3. Određivanje nacionalnog sastava komunalnog otpada</w:t>
            </w:r>
          </w:p>
        </w:tc>
      </w:tr>
      <w:tr w:rsidR="0079127A" w:rsidRPr="0079127A" w14:paraId="3DC59AF3"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2DCCB9A8" w14:textId="77777777" w:rsidR="0079127A" w:rsidRPr="0079127A" w:rsidRDefault="0079127A" w:rsidP="00687E85">
            <w:pPr>
              <w:jc w:val="left"/>
              <w:rPr>
                <w:rFonts w:eastAsia="Calibri" w:cstheme="minorHAnsi"/>
                <w:sz w:val="16"/>
                <w:szCs w:val="16"/>
              </w:rPr>
            </w:pPr>
            <w:r w:rsidRPr="0079127A">
              <w:rPr>
                <w:rFonts w:eastAsia="Calibri" w:cstheme="minorHAnsi"/>
                <w:sz w:val="16"/>
                <w:szCs w:val="16"/>
              </w:rPr>
              <w:lastRenderedPageBreak/>
              <w:t>A 3.1. Sortiranje i analiza sastava komunalnog otpada primjenom regionalnog koncepta s ciljem utvrđivanja nacionalnog sastava komunalnog otpada</w:t>
            </w:r>
          </w:p>
        </w:tc>
        <w:tc>
          <w:tcPr>
            <w:tcW w:w="994" w:type="dxa"/>
            <w:tcBorders>
              <w:top w:val="single" w:sz="4" w:space="0" w:color="auto"/>
              <w:left w:val="single" w:sz="4" w:space="0" w:color="auto"/>
              <w:bottom w:val="single" w:sz="4" w:space="0" w:color="auto"/>
              <w:right w:val="single" w:sz="4" w:space="0" w:color="auto"/>
            </w:tcBorders>
            <w:vAlign w:val="center"/>
            <w:hideMark/>
          </w:tcPr>
          <w:p w14:paraId="21FB1EF4" w14:textId="77777777" w:rsidR="0079127A" w:rsidRPr="0079127A" w:rsidRDefault="0079127A">
            <w:pPr>
              <w:rPr>
                <w:rFonts w:eastAsia="Calibri" w:cstheme="minorHAnsi"/>
                <w:sz w:val="16"/>
                <w:szCs w:val="16"/>
              </w:rPr>
            </w:pPr>
            <w:r w:rsidRPr="0079127A">
              <w:rPr>
                <w:rFonts w:eastAsia="Calibri" w:cstheme="minorHAnsi"/>
                <w:sz w:val="16"/>
                <w:szCs w:val="16"/>
              </w:rPr>
              <w:t>MINGOR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DF349B" w14:textId="77777777" w:rsidR="0079127A" w:rsidRPr="0079127A" w:rsidRDefault="0079127A">
            <w:pPr>
              <w:rPr>
                <w:rFonts w:eastAsia="Calibri" w:cstheme="minorHAnsi"/>
                <w:sz w:val="16"/>
                <w:szCs w:val="16"/>
              </w:rPr>
            </w:pPr>
            <w:r w:rsidRPr="0079127A">
              <w:rPr>
                <w:rFonts w:eastAsia="Calibri" w:cstheme="minorHAnsi"/>
                <w:sz w:val="16"/>
                <w:szCs w:val="16"/>
              </w:rPr>
              <w:t>FZOEU</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F20077" w14:textId="00466891" w:rsidR="0079127A" w:rsidRPr="0079127A" w:rsidRDefault="0079127A">
            <w:pPr>
              <w:rPr>
                <w:rFonts w:eastAsia="Calibri" w:cstheme="minorHAnsi"/>
                <w:sz w:val="16"/>
                <w:szCs w:val="16"/>
              </w:rPr>
            </w:pPr>
            <w:r w:rsidRPr="0079127A">
              <w:rPr>
                <w:rFonts w:eastAsia="Calibri" w:cstheme="minorHAnsi"/>
                <w:sz w:val="16"/>
                <w:szCs w:val="16"/>
              </w:rPr>
              <w:t>FZOEU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08AD1F" w14:textId="77777777" w:rsidR="0079127A" w:rsidRPr="0079127A" w:rsidRDefault="0079127A">
            <w:pPr>
              <w:rPr>
                <w:rFonts w:eastAsia="Calibri" w:cstheme="minorHAnsi"/>
                <w:sz w:val="16"/>
                <w:szCs w:val="16"/>
              </w:rPr>
            </w:pPr>
            <w:r w:rsidRPr="0079127A">
              <w:rPr>
                <w:rFonts w:eastAsia="Calibri" w:cstheme="minorHAnsi"/>
                <w:sz w:val="16"/>
                <w:szCs w:val="16"/>
              </w:rPr>
              <w:t>Određen nacionalni sastav komunalnog otpada</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E65A93" w14:textId="77777777" w:rsidR="0079127A" w:rsidRPr="0079127A" w:rsidRDefault="0079127A">
            <w:pPr>
              <w:rPr>
                <w:rFonts w:eastAsia="Calibri" w:cstheme="minorHAnsi"/>
                <w:sz w:val="16"/>
                <w:szCs w:val="16"/>
              </w:rPr>
            </w:pPr>
            <w:r w:rsidRPr="0079127A">
              <w:rPr>
                <w:rFonts w:eastAsia="Calibri" w:cstheme="minorHAnsi"/>
                <w:sz w:val="16"/>
                <w:szCs w:val="16"/>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6C2D8AD9" w14:textId="77777777" w:rsidR="0079127A" w:rsidRPr="0079127A" w:rsidRDefault="0079127A">
            <w:pPr>
              <w:rPr>
                <w:rFonts w:eastAsia="Calibri" w:cstheme="minorHAnsi"/>
                <w:sz w:val="16"/>
                <w:szCs w:val="16"/>
              </w:rPr>
            </w:pPr>
            <w:r w:rsidRPr="0079127A">
              <w:rPr>
                <w:rFonts w:eastAsia="Calibri" w:cstheme="minorHAnsi"/>
                <w:sz w:val="16"/>
                <w:szCs w:val="16"/>
              </w:rPr>
              <w:t>1</w:t>
            </w:r>
          </w:p>
        </w:tc>
        <w:tc>
          <w:tcPr>
            <w:tcW w:w="988" w:type="dxa"/>
            <w:tcBorders>
              <w:top w:val="single" w:sz="4" w:space="0" w:color="auto"/>
              <w:left w:val="single" w:sz="4" w:space="0" w:color="auto"/>
              <w:bottom w:val="single" w:sz="4" w:space="0" w:color="auto"/>
              <w:right w:val="single" w:sz="4" w:space="0" w:color="auto"/>
            </w:tcBorders>
            <w:vAlign w:val="center"/>
            <w:hideMark/>
          </w:tcPr>
          <w:p w14:paraId="2A3491AE" w14:textId="5D6862CC" w:rsidR="0079127A" w:rsidRPr="0079127A" w:rsidRDefault="0079127A" w:rsidP="00BD7E7D">
            <w:pPr>
              <w:jc w:val="center"/>
              <w:rPr>
                <w:rFonts w:eastAsia="Calibri" w:cstheme="minorHAnsi"/>
                <w:sz w:val="16"/>
                <w:szCs w:val="16"/>
              </w:rPr>
            </w:pPr>
            <w:r w:rsidRPr="0079127A">
              <w:rPr>
                <w:rFonts w:eastAsia="Calibri" w:cstheme="minorHAnsi"/>
                <w:sz w:val="16"/>
                <w:szCs w:val="16"/>
              </w:rPr>
              <w:t>2024.</w:t>
            </w:r>
          </w:p>
        </w:tc>
      </w:tr>
      <w:tr w:rsidR="0079127A" w:rsidRPr="0079127A" w14:paraId="14B610C6" w14:textId="77777777" w:rsidTr="00416620">
        <w:tc>
          <w:tcPr>
            <w:tcW w:w="9067" w:type="dxa"/>
            <w:gridSpan w:val="8"/>
            <w:tcBorders>
              <w:top w:val="single" w:sz="4" w:space="0" w:color="auto"/>
              <w:left w:val="single" w:sz="4" w:space="0" w:color="auto"/>
              <w:bottom w:val="single" w:sz="4" w:space="0" w:color="auto"/>
              <w:right w:val="single" w:sz="4" w:space="0" w:color="auto"/>
            </w:tcBorders>
            <w:shd w:val="clear" w:color="auto" w:fill="5B9BD5"/>
            <w:vAlign w:val="center"/>
            <w:hideMark/>
          </w:tcPr>
          <w:p w14:paraId="60D634D7" w14:textId="77777777" w:rsidR="0079127A" w:rsidRPr="0079127A" w:rsidRDefault="0079127A">
            <w:pPr>
              <w:rPr>
                <w:rFonts w:eastAsia="Calibri" w:cstheme="minorHAnsi"/>
                <w:b/>
                <w:bCs/>
                <w:sz w:val="16"/>
                <w:szCs w:val="16"/>
              </w:rPr>
            </w:pPr>
            <w:r w:rsidRPr="0079127A">
              <w:rPr>
                <w:rFonts w:eastAsia="Calibri" w:cstheme="minorHAnsi"/>
                <w:b/>
                <w:bCs/>
                <w:sz w:val="16"/>
                <w:szCs w:val="16"/>
              </w:rPr>
              <w:t xml:space="preserve">Mjera 4. Uvođenje naknade za odlaganje </w:t>
            </w:r>
          </w:p>
        </w:tc>
      </w:tr>
      <w:tr w:rsidR="0079127A" w:rsidRPr="0079127A" w14:paraId="63450E09"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27AE284A" w14:textId="77777777" w:rsidR="0079127A" w:rsidRPr="0079127A" w:rsidRDefault="0079127A" w:rsidP="00687E85">
            <w:pPr>
              <w:jc w:val="left"/>
              <w:rPr>
                <w:rFonts w:eastAsia="Calibri" w:cstheme="minorHAnsi"/>
                <w:sz w:val="16"/>
                <w:szCs w:val="16"/>
              </w:rPr>
            </w:pPr>
            <w:r w:rsidRPr="0079127A">
              <w:rPr>
                <w:rFonts w:eastAsia="Calibri" w:cstheme="minorHAnsi"/>
                <w:sz w:val="16"/>
                <w:szCs w:val="16"/>
              </w:rPr>
              <w:t>A 4.1.</w:t>
            </w:r>
            <w:r w:rsidRPr="0079127A">
              <w:rPr>
                <w:rFonts w:eastAsia="Calibri" w:cstheme="minorHAnsi"/>
              </w:rPr>
              <w:t xml:space="preserve"> </w:t>
            </w:r>
            <w:r w:rsidRPr="0079127A">
              <w:rPr>
                <w:rFonts w:eastAsia="Calibri" w:cstheme="minorHAnsi"/>
                <w:sz w:val="16"/>
                <w:szCs w:val="16"/>
              </w:rPr>
              <w:t>Primjena naknade za odlaganje otpada</w:t>
            </w:r>
          </w:p>
        </w:tc>
        <w:tc>
          <w:tcPr>
            <w:tcW w:w="994" w:type="dxa"/>
            <w:tcBorders>
              <w:top w:val="single" w:sz="4" w:space="0" w:color="auto"/>
              <w:left w:val="single" w:sz="4" w:space="0" w:color="auto"/>
              <w:bottom w:val="single" w:sz="4" w:space="0" w:color="auto"/>
              <w:right w:val="single" w:sz="4" w:space="0" w:color="auto"/>
            </w:tcBorders>
            <w:vAlign w:val="center"/>
            <w:hideMark/>
          </w:tcPr>
          <w:p w14:paraId="5F4C66BD" w14:textId="77777777" w:rsidR="0079127A" w:rsidRPr="0079127A" w:rsidRDefault="0079127A">
            <w:pPr>
              <w:rPr>
                <w:rFonts w:eastAsia="Calibri" w:cstheme="minorHAnsi"/>
                <w:sz w:val="16"/>
                <w:szCs w:val="16"/>
              </w:rPr>
            </w:pPr>
            <w:r w:rsidRPr="0079127A">
              <w:rPr>
                <w:rFonts w:eastAsia="Calibri" w:cstheme="minorHAnsi"/>
                <w:sz w:val="16"/>
                <w:szCs w:val="16"/>
              </w:rPr>
              <w:t>MINGOR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0E41EC" w14:textId="77777777" w:rsidR="0079127A" w:rsidRPr="0079127A" w:rsidRDefault="0079127A">
            <w:pPr>
              <w:rPr>
                <w:rFonts w:eastAsia="Calibri" w:cstheme="minorHAnsi"/>
                <w:sz w:val="16"/>
                <w:szCs w:val="16"/>
              </w:rPr>
            </w:pPr>
            <w:r w:rsidRPr="0079127A">
              <w:rPr>
                <w:rFonts w:eastAsia="Calibri" w:cstheme="minorHAnsi"/>
                <w:sz w:val="16"/>
                <w:szCs w:val="16"/>
              </w:rPr>
              <w:t>Osobe koje upravljaju odlagalištima, DIRH</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03A55E" w14:textId="77777777" w:rsidR="0079127A" w:rsidRPr="0079127A" w:rsidRDefault="0079127A">
            <w:pPr>
              <w:rPr>
                <w:rFonts w:eastAsia="Calibri" w:cstheme="minorHAnsi"/>
                <w:sz w:val="16"/>
                <w:szCs w:val="16"/>
              </w:rPr>
            </w:pPr>
            <w:r w:rsidRPr="0079127A">
              <w:rPr>
                <w:rFonts w:eastAsia="Calibri" w:cstheme="minorHAnsi"/>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EBEE8E" w14:textId="77777777" w:rsidR="0079127A" w:rsidRPr="0079127A" w:rsidRDefault="0079127A">
            <w:pPr>
              <w:rPr>
                <w:rFonts w:eastAsia="Calibri" w:cstheme="minorHAnsi"/>
                <w:sz w:val="16"/>
                <w:szCs w:val="16"/>
              </w:rPr>
            </w:pPr>
            <w:r w:rsidRPr="0079127A">
              <w:rPr>
                <w:rFonts w:eastAsia="Calibri" w:cstheme="minorHAnsi"/>
                <w:sz w:val="16"/>
                <w:szCs w:val="16"/>
              </w:rPr>
              <w:t>Naplata naknade za odlaganje otpada</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2B642D" w14:textId="77777777" w:rsidR="0079127A" w:rsidRPr="0079127A" w:rsidRDefault="0079127A">
            <w:pPr>
              <w:rPr>
                <w:rFonts w:eastAsia="Calibri" w:cstheme="minorHAnsi"/>
                <w:sz w:val="16"/>
                <w:szCs w:val="16"/>
              </w:rPr>
            </w:pPr>
            <w:r w:rsidRPr="0079127A">
              <w:rPr>
                <w:rFonts w:eastAsia="Calibri" w:cstheme="minorHAnsi"/>
                <w:sz w:val="16"/>
                <w:szCs w:val="16"/>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66AEDABA" w14:textId="77777777" w:rsidR="0079127A" w:rsidRPr="0079127A" w:rsidRDefault="0079127A">
            <w:pPr>
              <w:rPr>
                <w:rFonts w:eastAsia="Calibri" w:cstheme="minorHAnsi"/>
                <w:sz w:val="16"/>
                <w:szCs w:val="16"/>
              </w:rPr>
            </w:pPr>
            <w:r w:rsidRPr="0079127A">
              <w:rPr>
                <w:rFonts w:eastAsia="Calibri" w:cstheme="minorHAnsi"/>
                <w:sz w:val="16"/>
                <w:szCs w:val="16"/>
              </w:rPr>
              <w:t>1</w:t>
            </w:r>
          </w:p>
        </w:tc>
        <w:tc>
          <w:tcPr>
            <w:tcW w:w="988" w:type="dxa"/>
            <w:tcBorders>
              <w:top w:val="single" w:sz="4" w:space="0" w:color="auto"/>
              <w:left w:val="single" w:sz="4" w:space="0" w:color="auto"/>
              <w:bottom w:val="single" w:sz="4" w:space="0" w:color="auto"/>
              <w:right w:val="single" w:sz="4" w:space="0" w:color="auto"/>
            </w:tcBorders>
            <w:vAlign w:val="center"/>
            <w:hideMark/>
          </w:tcPr>
          <w:p w14:paraId="5D09FD3E" w14:textId="77777777" w:rsidR="0079127A" w:rsidRPr="008B6312" w:rsidRDefault="0079127A">
            <w:pPr>
              <w:jc w:val="center"/>
              <w:rPr>
                <w:rFonts w:eastAsia="Calibri" w:cstheme="minorHAnsi"/>
                <w:sz w:val="16"/>
                <w:szCs w:val="16"/>
              </w:rPr>
            </w:pPr>
            <w:r w:rsidRPr="008B6312">
              <w:rPr>
                <w:rFonts w:eastAsia="Calibri" w:cstheme="minorHAnsi"/>
                <w:sz w:val="16"/>
                <w:szCs w:val="16"/>
              </w:rPr>
              <w:t>2023.</w:t>
            </w:r>
          </w:p>
        </w:tc>
      </w:tr>
      <w:tr w:rsidR="0079127A" w:rsidRPr="0079127A" w14:paraId="6BC66CE8" w14:textId="77777777" w:rsidTr="00416620">
        <w:tc>
          <w:tcPr>
            <w:tcW w:w="9067" w:type="dxa"/>
            <w:gridSpan w:val="8"/>
            <w:tcBorders>
              <w:top w:val="single" w:sz="4" w:space="0" w:color="auto"/>
              <w:left w:val="single" w:sz="4" w:space="0" w:color="auto"/>
              <w:bottom w:val="single" w:sz="4" w:space="0" w:color="auto"/>
              <w:right w:val="single" w:sz="4" w:space="0" w:color="auto"/>
            </w:tcBorders>
            <w:shd w:val="clear" w:color="auto" w:fill="5B9BD5"/>
            <w:vAlign w:val="center"/>
            <w:hideMark/>
          </w:tcPr>
          <w:p w14:paraId="6B38594A" w14:textId="77777777" w:rsidR="0079127A" w:rsidRPr="0079127A" w:rsidRDefault="0079127A">
            <w:pPr>
              <w:rPr>
                <w:rFonts w:eastAsia="Calibri" w:cstheme="minorHAnsi"/>
                <w:b/>
                <w:bCs/>
                <w:sz w:val="16"/>
                <w:szCs w:val="16"/>
              </w:rPr>
            </w:pPr>
            <w:r w:rsidRPr="0079127A">
              <w:rPr>
                <w:rFonts w:eastAsia="Calibri" w:cstheme="minorHAnsi"/>
                <w:b/>
                <w:bCs/>
                <w:sz w:val="16"/>
                <w:szCs w:val="16"/>
              </w:rPr>
              <w:t>Mjera 5. Izgradnja centara za gospodarenje otpadom</w:t>
            </w:r>
          </w:p>
        </w:tc>
      </w:tr>
      <w:tr w:rsidR="00687E85" w:rsidRPr="0079127A" w14:paraId="65636439"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3C878767" w14:textId="6C3C3D62" w:rsidR="00687E85" w:rsidRPr="0079127A" w:rsidRDefault="00687E85" w:rsidP="00687E85">
            <w:pPr>
              <w:jc w:val="left"/>
              <w:rPr>
                <w:rFonts w:eastAsia="Calibri" w:cstheme="minorHAnsi"/>
                <w:sz w:val="16"/>
                <w:szCs w:val="16"/>
              </w:rPr>
            </w:pPr>
            <w:r w:rsidRPr="0079127A">
              <w:rPr>
                <w:rFonts w:eastAsia="Calibri" w:cstheme="minorHAnsi"/>
                <w:sz w:val="16"/>
                <w:szCs w:val="16"/>
              </w:rPr>
              <w:t>A 5.</w:t>
            </w:r>
            <w:r>
              <w:rPr>
                <w:rFonts w:eastAsia="Calibri" w:cstheme="minorHAnsi"/>
                <w:sz w:val="16"/>
                <w:szCs w:val="16"/>
              </w:rPr>
              <w:t>1</w:t>
            </w:r>
            <w:r w:rsidRPr="0079127A">
              <w:rPr>
                <w:rFonts w:eastAsia="Calibri" w:cstheme="minorHAnsi"/>
                <w:sz w:val="16"/>
                <w:szCs w:val="16"/>
              </w:rPr>
              <w:t xml:space="preserve">. Izgradnja CGO Biljane Donje </w:t>
            </w:r>
          </w:p>
        </w:tc>
        <w:tc>
          <w:tcPr>
            <w:tcW w:w="994" w:type="dxa"/>
            <w:tcBorders>
              <w:top w:val="single" w:sz="4" w:space="0" w:color="auto"/>
              <w:left w:val="single" w:sz="4" w:space="0" w:color="auto"/>
              <w:bottom w:val="single" w:sz="4" w:space="0" w:color="auto"/>
              <w:right w:val="single" w:sz="4" w:space="0" w:color="auto"/>
            </w:tcBorders>
            <w:vAlign w:val="center"/>
            <w:hideMark/>
          </w:tcPr>
          <w:p w14:paraId="36625BAD" w14:textId="77777777" w:rsidR="00687E85" w:rsidRPr="0079127A" w:rsidRDefault="00687E85" w:rsidP="00687E85">
            <w:pPr>
              <w:rPr>
                <w:rFonts w:eastAsia="Calibri" w:cstheme="minorHAnsi"/>
                <w:sz w:val="16"/>
                <w:szCs w:val="16"/>
              </w:rPr>
            </w:pPr>
            <w:r w:rsidRPr="0079127A">
              <w:rPr>
                <w:rFonts w:eastAsia="Calibri" w:cstheme="minorHAnsi"/>
                <w:sz w:val="16"/>
                <w:szCs w:val="16"/>
              </w:rPr>
              <w:t>Zadarska i dio Ličko-senjske županije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63CCD8" w14:textId="77777777" w:rsidR="00687E85" w:rsidRPr="0079127A" w:rsidRDefault="00687E85" w:rsidP="00687E85">
            <w:pPr>
              <w:rPr>
                <w:rFonts w:eastAsia="Calibri" w:cstheme="minorHAnsi"/>
                <w:sz w:val="16"/>
                <w:szCs w:val="16"/>
              </w:rPr>
            </w:pPr>
            <w:r w:rsidRPr="0079127A">
              <w:rPr>
                <w:rFonts w:eastAsia="Calibri" w:cstheme="minorHAnsi"/>
                <w:sz w:val="16"/>
                <w:szCs w:val="16"/>
              </w:rPr>
              <w:t>MINGOR</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B661DE" w14:textId="7629D8BC" w:rsidR="00687E85" w:rsidRPr="00687E85" w:rsidRDefault="00687E85" w:rsidP="00687E85">
            <w:pPr>
              <w:rPr>
                <w:rFonts w:eastAsia="Calibri" w:cstheme="minorHAnsi"/>
                <w:sz w:val="16"/>
                <w:szCs w:val="16"/>
              </w:rPr>
            </w:pPr>
            <w:r w:rsidRPr="00687E85">
              <w:rPr>
                <w:rFonts w:eastAsia="Calibri" w:cstheme="minorHAnsi"/>
                <w:sz w:val="16"/>
                <w:szCs w:val="16"/>
              </w:rPr>
              <w:t>JL(R)S/FZOEU/EU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D574F7" w14:textId="77777777" w:rsidR="00687E85" w:rsidRPr="0079127A" w:rsidRDefault="00687E85" w:rsidP="00687E85">
            <w:pPr>
              <w:rPr>
                <w:rFonts w:eastAsia="Calibri" w:cstheme="minorHAnsi"/>
                <w:sz w:val="16"/>
                <w:szCs w:val="16"/>
              </w:rPr>
            </w:pPr>
            <w:r w:rsidRPr="0079127A">
              <w:rPr>
                <w:rFonts w:eastAsia="Calibri" w:cstheme="minorHAnsi"/>
                <w:sz w:val="16"/>
                <w:szCs w:val="16"/>
              </w:rPr>
              <w:t>CGO Biljane Donje</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F4F02F" w14:textId="77777777" w:rsidR="00687E85" w:rsidRPr="0079127A" w:rsidRDefault="00687E85" w:rsidP="00687E85">
            <w:pPr>
              <w:rPr>
                <w:rFonts w:eastAsia="Calibri" w:cstheme="minorHAnsi"/>
                <w:sz w:val="16"/>
                <w:szCs w:val="16"/>
              </w:rPr>
            </w:pPr>
            <w:r w:rsidRPr="0079127A">
              <w:rPr>
                <w:rFonts w:eastAsia="Calibri" w:cstheme="minorHAnsi"/>
                <w:sz w:val="16"/>
                <w:szCs w:val="16"/>
              </w:rPr>
              <w:t xml:space="preserve">Broj </w:t>
            </w:r>
          </w:p>
        </w:tc>
        <w:tc>
          <w:tcPr>
            <w:tcW w:w="995" w:type="dxa"/>
            <w:tcBorders>
              <w:top w:val="single" w:sz="4" w:space="0" w:color="auto"/>
              <w:left w:val="single" w:sz="4" w:space="0" w:color="auto"/>
              <w:bottom w:val="single" w:sz="4" w:space="0" w:color="auto"/>
              <w:right w:val="single" w:sz="4" w:space="0" w:color="auto"/>
            </w:tcBorders>
            <w:vAlign w:val="center"/>
            <w:hideMark/>
          </w:tcPr>
          <w:p w14:paraId="72AF2DB6" w14:textId="77777777" w:rsidR="00687E85" w:rsidRPr="0079127A" w:rsidRDefault="00687E85" w:rsidP="00687E85">
            <w:pPr>
              <w:rPr>
                <w:rFonts w:eastAsia="Calibri" w:cstheme="minorHAnsi"/>
                <w:sz w:val="16"/>
                <w:szCs w:val="16"/>
              </w:rPr>
            </w:pPr>
            <w:r w:rsidRPr="0079127A">
              <w:rPr>
                <w:rFonts w:eastAsia="Calibri" w:cstheme="minorHAnsi"/>
                <w:sz w:val="16"/>
                <w:szCs w:val="16"/>
              </w:rPr>
              <w:t>1</w:t>
            </w:r>
          </w:p>
        </w:tc>
        <w:tc>
          <w:tcPr>
            <w:tcW w:w="988" w:type="dxa"/>
            <w:tcBorders>
              <w:top w:val="single" w:sz="4" w:space="0" w:color="auto"/>
              <w:left w:val="single" w:sz="4" w:space="0" w:color="auto"/>
              <w:bottom w:val="single" w:sz="4" w:space="0" w:color="auto"/>
              <w:right w:val="single" w:sz="4" w:space="0" w:color="auto"/>
            </w:tcBorders>
            <w:vAlign w:val="center"/>
            <w:hideMark/>
          </w:tcPr>
          <w:p w14:paraId="45799C06" w14:textId="7AADB7CC" w:rsidR="00687E85" w:rsidRPr="00210C14" w:rsidRDefault="00210C14" w:rsidP="00687E85">
            <w:pPr>
              <w:jc w:val="center"/>
              <w:rPr>
                <w:rFonts w:eastAsia="Calibri" w:cstheme="minorHAnsi"/>
                <w:sz w:val="16"/>
                <w:szCs w:val="16"/>
              </w:rPr>
            </w:pPr>
            <w:r w:rsidRPr="00210C14">
              <w:rPr>
                <w:rFonts w:eastAsia="Calibri" w:cstheme="minorHAnsi"/>
                <w:sz w:val="16"/>
                <w:szCs w:val="16"/>
              </w:rPr>
              <w:t>2023.</w:t>
            </w:r>
          </w:p>
        </w:tc>
      </w:tr>
      <w:tr w:rsidR="0079127A" w:rsidRPr="0079127A" w14:paraId="6B78F9AC"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3108DAF0" w14:textId="279E2457" w:rsidR="0079127A" w:rsidRPr="0079127A" w:rsidRDefault="0079127A" w:rsidP="00687E85">
            <w:pPr>
              <w:jc w:val="left"/>
              <w:rPr>
                <w:rFonts w:eastAsia="Calibri" w:cstheme="minorHAnsi"/>
                <w:sz w:val="16"/>
                <w:szCs w:val="16"/>
              </w:rPr>
            </w:pPr>
            <w:r w:rsidRPr="0079127A">
              <w:rPr>
                <w:rFonts w:eastAsia="Calibri" w:cstheme="minorHAnsi"/>
                <w:sz w:val="16"/>
                <w:szCs w:val="16"/>
              </w:rPr>
              <w:t>A 5.</w:t>
            </w:r>
            <w:r w:rsidR="00687E85">
              <w:rPr>
                <w:rFonts w:eastAsia="Calibri" w:cstheme="minorHAnsi"/>
                <w:sz w:val="16"/>
                <w:szCs w:val="16"/>
              </w:rPr>
              <w:t>2</w:t>
            </w:r>
            <w:r w:rsidRPr="0079127A">
              <w:rPr>
                <w:rFonts w:eastAsia="Calibri" w:cstheme="minorHAnsi"/>
                <w:sz w:val="16"/>
                <w:szCs w:val="16"/>
              </w:rPr>
              <w:t xml:space="preserve">. Izgradnja CGO </w:t>
            </w:r>
            <w:proofErr w:type="spellStart"/>
            <w:r w:rsidRPr="0079127A">
              <w:rPr>
                <w:rFonts w:eastAsia="Calibri" w:cstheme="minorHAnsi"/>
                <w:sz w:val="16"/>
                <w:szCs w:val="16"/>
              </w:rPr>
              <w:t>Lučino</w:t>
            </w:r>
            <w:proofErr w:type="spellEnd"/>
            <w:r w:rsidRPr="0079127A">
              <w:rPr>
                <w:rFonts w:eastAsia="Calibri" w:cstheme="minorHAnsi"/>
                <w:sz w:val="16"/>
                <w:szCs w:val="16"/>
              </w:rPr>
              <w:t xml:space="preserve"> </w:t>
            </w:r>
            <w:proofErr w:type="spellStart"/>
            <w:r w:rsidRPr="0079127A">
              <w:rPr>
                <w:rFonts w:eastAsia="Calibri" w:cstheme="minorHAnsi"/>
                <w:sz w:val="16"/>
                <w:szCs w:val="16"/>
              </w:rPr>
              <w:t>razdolje</w:t>
            </w:r>
            <w:proofErr w:type="spellEnd"/>
          </w:p>
        </w:tc>
        <w:tc>
          <w:tcPr>
            <w:tcW w:w="994" w:type="dxa"/>
            <w:tcBorders>
              <w:top w:val="single" w:sz="4" w:space="0" w:color="auto"/>
              <w:left w:val="single" w:sz="4" w:space="0" w:color="auto"/>
              <w:bottom w:val="single" w:sz="4" w:space="0" w:color="auto"/>
              <w:right w:val="single" w:sz="4" w:space="0" w:color="auto"/>
            </w:tcBorders>
            <w:vAlign w:val="center"/>
            <w:hideMark/>
          </w:tcPr>
          <w:p w14:paraId="3BC4092C" w14:textId="77777777" w:rsidR="0079127A" w:rsidRPr="0079127A" w:rsidRDefault="0079127A">
            <w:pPr>
              <w:rPr>
                <w:rFonts w:eastAsia="Calibri" w:cstheme="minorHAnsi"/>
                <w:sz w:val="16"/>
                <w:szCs w:val="16"/>
              </w:rPr>
            </w:pPr>
            <w:r w:rsidRPr="0079127A">
              <w:rPr>
                <w:rFonts w:eastAsia="Calibri" w:cstheme="minorHAnsi"/>
                <w:sz w:val="16"/>
                <w:szCs w:val="16"/>
              </w:rPr>
              <w:t>Dubrovačko-neretvanska županija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A0AA9C" w14:textId="77777777" w:rsidR="0079127A" w:rsidRPr="0079127A" w:rsidRDefault="0079127A">
            <w:pPr>
              <w:rPr>
                <w:rFonts w:eastAsia="Calibri" w:cstheme="minorHAnsi"/>
                <w:sz w:val="16"/>
                <w:szCs w:val="16"/>
              </w:rPr>
            </w:pPr>
            <w:r w:rsidRPr="0079127A">
              <w:rPr>
                <w:rFonts w:eastAsia="Calibri" w:cstheme="minorHAnsi"/>
                <w:sz w:val="16"/>
                <w:szCs w:val="16"/>
              </w:rPr>
              <w:t>MINGOR</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BE0368" w14:textId="77777777" w:rsidR="0079127A" w:rsidRPr="00687E85" w:rsidRDefault="0079127A">
            <w:pPr>
              <w:rPr>
                <w:rFonts w:eastAsia="Calibri" w:cstheme="minorHAnsi"/>
                <w:sz w:val="16"/>
                <w:szCs w:val="16"/>
              </w:rPr>
            </w:pPr>
            <w:r w:rsidRPr="00687E85">
              <w:rPr>
                <w:rFonts w:eastAsia="Calibri" w:cstheme="minorHAnsi"/>
                <w:sz w:val="16"/>
                <w:szCs w:val="16"/>
              </w:rPr>
              <w:t>JL(R)S/FZOEU/EU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95735E" w14:textId="77777777" w:rsidR="0079127A" w:rsidRPr="0079127A" w:rsidRDefault="0079127A">
            <w:pPr>
              <w:rPr>
                <w:rFonts w:eastAsia="Calibri" w:cstheme="minorHAnsi"/>
                <w:sz w:val="16"/>
                <w:szCs w:val="16"/>
              </w:rPr>
            </w:pPr>
            <w:r w:rsidRPr="0079127A">
              <w:rPr>
                <w:rFonts w:eastAsia="Calibri" w:cstheme="minorHAnsi"/>
                <w:sz w:val="16"/>
                <w:szCs w:val="16"/>
              </w:rPr>
              <w:t xml:space="preserve">CGO </w:t>
            </w:r>
            <w:proofErr w:type="spellStart"/>
            <w:r w:rsidRPr="0079127A">
              <w:rPr>
                <w:rFonts w:eastAsia="Calibri" w:cstheme="minorHAnsi"/>
                <w:sz w:val="16"/>
                <w:szCs w:val="16"/>
              </w:rPr>
              <w:t>Lučino</w:t>
            </w:r>
            <w:proofErr w:type="spellEnd"/>
            <w:r w:rsidRPr="0079127A">
              <w:rPr>
                <w:rFonts w:eastAsia="Calibri" w:cstheme="minorHAnsi"/>
                <w:sz w:val="16"/>
                <w:szCs w:val="16"/>
              </w:rPr>
              <w:t xml:space="preserve"> </w:t>
            </w:r>
            <w:proofErr w:type="spellStart"/>
            <w:r w:rsidRPr="0079127A">
              <w:rPr>
                <w:rFonts w:eastAsia="Calibri" w:cstheme="minorHAnsi"/>
                <w:sz w:val="16"/>
                <w:szCs w:val="16"/>
              </w:rPr>
              <w:t>razdolje</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747794AB" w14:textId="77777777" w:rsidR="0079127A" w:rsidRPr="0079127A" w:rsidRDefault="0079127A">
            <w:pPr>
              <w:rPr>
                <w:rFonts w:eastAsia="Calibri" w:cstheme="minorHAnsi"/>
                <w:sz w:val="16"/>
                <w:szCs w:val="16"/>
              </w:rPr>
            </w:pPr>
            <w:r w:rsidRPr="0079127A">
              <w:rPr>
                <w:rFonts w:eastAsia="Calibri" w:cstheme="minorHAnsi"/>
                <w:sz w:val="16"/>
                <w:szCs w:val="16"/>
              </w:rPr>
              <w:t xml:space="preserve">Broj </w:t>
            </w:r>
          </w:p>
        </w:tc>
        <w:tc>
          <w:tcPr>
            <w:tcW w:w="995" w:type="dxa"/>
            <w:tcBorders>
              <w:top w:val="single" w:sz="4" w:space="0" w:color="auto"/>
              <w:left w:val="single" w:sz="4" w:space="0" w:color="auto"/>
              <w:bottom w:val="single" w:sz="4" w:space="0" w:color="auto"/>
              <w:right w:val="single" w:sz="4" w:space="0" w:color="auto"/>
            </w:tcBorders>
            <w:vAlign w:val="center"/>
            <w:hideMark/>
          </w:tcPr>
          <w:p w14:paraId="2A8F54D1" w14:textId="77777777" w:rsidR="0079127A" w:rsidRPr="0079127A" w:rsidRDefault="0079127A">
            <w:pPr>
              <w:rPr>
                <w:rFonts w:eastAsia="Calibri" w:cstheme="minorHAnsi"/>
                <w:sz w:val="16"/>
                <w:szCs w:val="16"/>
              </w:rPr>
            </w:pPr>
            <w:r w:rsidRPr="0079127A">
              <w:rPr>
                <w:rFonts w:eastAsia="Calibri" w:cstheme="minorHAnsi"/>
                <w:sz w:val="16"/>
                <w:szCs w:val="16"/>
              </w:rPr>
              <w:t>1</w:t>
            </w:r>
          </w:p>
        </w:tc>
        <w:tc>
          <w:tcPr>
            <w:tcW w:w="988" w:type="dxa"/>
            <w:tcBorders>
              <w:top w:val="single" w:sz="4" w:space="0" w:color="auto"/>
              <w:left w:val="single" w:sz="4" w:space="0" w:color="auto"/>
              <w:bottom w:val="single" w:sz="4" w:space="0" w:color="auto"/>
              <w:right w:val="single" w:sz="4" w:space="0" w:color="auto"/>
            </w:tcBorders>
            <w:vAlign w:val="center"/>
            <w:hideMark/>
          </w:tcPr>
          <w:p w14:paraId="57B59098" w14:textId="39EB5DEE" w:rsidR="0079127A" w:rsidRPr="00210C14" w:rsidRDefault="00BD7E7D" w:rsidP="00BD7E7D">
            <w:pPr>
              <w:jc w:val="center"/>
              <w:rPr>
                <w:rFonts w:eastAsia="Calibri" w:cstheme="minorHAnsi"/>
                <w:sz w:val="16"/>
                <w:szCs w:val="16"/>
              </w:rPr>
            </w:pPr>
            <w:r w:rsidRPr="00210C14">
              <w:rPr>
                <w:rFonts w:eastAsia="Calibri" w:cstheme="minorHAnsi"/>
                <w:sz w:val="16"/>
                <w:szCs w:val="16"/>
              </w:rPr>
              <w:t>202</w:t>
            </w:r>
            <w:r>
              <w:rPr>
                <w:rFonts w:eastAsia="Calibri" w:cstheme="minorHAnsi"/>
                <w:sz w:val="16"/>
                <w:szCs w:val="16"/>
              </w:rPr>
              <w:t>8</w:t>
            </w:r>
            <w:r w:rsidR="00210C14" w:rsidRPr="00210C14">
              <w:rPr>
                <w:rFonts w:eastAsia="Calibri" w:cstheme="minorHAnsi"/>
                <w:sz w:val="16"/>
                <w:szCs w:val="16"/>
              </w:rPr>
              <w:t>.</w:t>
            </w:r>
          </w:p>
        </w:tc>
      </w:tr>
      <w:tr w:rsidR="00210C14" w:rsidRPr="0079127A" w14:paraId="4416A1D0"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1B0F2F40" w14:textId="03346BAA" w:rsidR="00210C14" w:rsidRPr="0079127A" w:rsidRDefault="00210C14" w:rsidP="00210C14">
            <w:pPr>
              <w:jc w:val="left"/>
              <w:rPr>
                <w:rFonts w:eastAsia="Calibri" w:cstheme="minorHAnsi"/>
                <w:sz w:val="16"/>
                <w:szCs w:val="16"/>
              </w:rPr>
            </w:pPr>
            <w:r w:rsidRPr="0079127A">
              <w:rPr>
                <w:rFonts w:eastAsia="Calibri" w:cstheme="minorHAnsi"/>
                <w:sz w:val="16"/>
                <w:szCs w:val="16"/>
              </w:rPr>
              <w:t>A 5.</w:t>
            </w:r>
            <w:r>
              <w:rPr>
                <w:rFonts w:eastAsia="Calibri" w:cstheme="minorHAnsi"/>
                <w:sz w:val="16"/>
                <w:szCs w:val="16"/>
              </w:rPr>
              <w:t>3</w:t>
            </w:r>
            <w:r w:rsidRPr="0079127A">
              <w:rPr>
                <w:rFonts w:eastAsia="Calibri" w:cstheme="minorHAnsi"/>
                <w:sz w:val="16"/>
                <w:szCs w:val="16"/>
              </w:rPr>
              <w:t xml:space="preserve">. </w:t>
            </w:r>
            <w:r w:rsidR="00A91F0C">
              <w:rPr>
                <w:rFonts w:eastAsia="Calibri" w:cstheme="minorHAnsi"/>
                <w:sz w:val="16"/>
                <w:szCs w:val="16"/>
              </w:rPr>
              <w:t>I</w:t>
            </w:r>
            <w:r w:rsidRPr="0079127A">
              <w:rPr>
                <w:rFonts w:eastAsia="Calibri" w:cstheme="minorHAnsi"/>
                <w:sz w:val="16"/>
                <w:szCs w:val="16"/>
              </w:rPr>
              <w:t xml:space="preserve">zgradnja CGO </w:t>
            </w:r>
            <w:proofErr w:type="spellStart"/>
            <w:r w:rsidRPr="0079127A">
              <w:rPr>
                <w:rFonts w:eastAsia="Calibri" w:cstheme="minorHAnsi"/>
                <w:sz w:val="16"/>
                <w:szCs w:val="16"/>
              </w:rPr>
              <w:t>Lećevica</w:t>
            </w:r>
            <w:proofErr w:type="spellEnd"/>
            <w:r w:rsidRPr="0079127A">
              <w:rPr>
                <w:rFonts w:eastAsia="Calibri" w:cstheme="minorHAnsi"/>
                <w:sz w:val="16"/>
                <w:szCs w:val="16"/>
              </w:rPr>
              <w:t xml:space="preserve"> za obradu ne više od 110.000 t miješanog komunalnog otpada godišnje. </w:t>
            </w:r>
          </w:p>
        </w:tc>
        <w:tc>
          <w:tcPr>
            <w:tcW w:w="994" w:type="dxa"/>
            <w:tcBorders>
              <w:top w:val="single" w:sz="4" w:space="0" w:color="auto"/>
              <w:left w:val="single" w:sz="4" w:space="0" w:color="auto"/>
              <w:bottom w:val="single" w:sz="4" w:space="0" w:color="auto"/>
              <w:right w:val="single" w:sz="4" w:space="0" w:color="auto"/>
            </w:tcBorders>
            <w:vAlign w:val="center"/>
            <w:hideMark/>
          </w:tcPr>
          <w:p w14:paraId="30947627" w14:textId="77777777" w:rsidR="00210C14" w:rsidRPr="0079127A" w:rsidRDefault="00210C14" w:rsidP="00210C14">
            <w:pPr>
              <w:rPr>
                <w:rFonts w:eastAsia="Calibri" w:cstheme="minorHAnsi"/>
                <w:sz w:val="16"/>
                <w:szCs w:val="16"/>
              </w:rPr>
            </w:pPr>
            <w:r w:rsidRPr="0079127A">
              <w:rPr>
                <w:rFonts w:eastAsia="Calibri" w:cstheme="minorHAnsi"/>
                <w:sz w:val="16"/>
                <w:szCs w:val="16"/>
              </w:rPr>
              <w:t>Splitsko-dalmatinska županija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859015" w14:textId="77777777" w:rsidR="00210C14" w:rsidRPr="0079127A" w:rsidRDefault="00210C14" w:rsidP="00210C14">
            <w:pPr>
              <w:rPr>
                <w:rFonts w:eastAsia="Calibri" w:cstheme="minorHAnsi"/>
                <w:sz w:val="16"/>
                <w:szCs w:val="16"/>
              </w:rPr>
            </w:pPr>
            <w:r w:rsidRPr="0079127A">
              <w:rPr>
                <w:rFonts w:eastAsia="Calibri" w:cstheme="minorHAnsi"/>
                <w:sz w:val="16"/>
                <w:szCs w:val="16"/>
              </w:rPr>
              <w:t>MINGOR</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F54E46" w14:textId="77777777" w:rsidR="00210C14" w:rsidRPr="00687E85" w:rsidRDefault="00210C14" w:rsidP="00210C14">
            <w:pPr>
              <w:rPr>
                <w:rFonts w:eastAsia="Calibri" w:cstheme="minorHAnsi"/>
                <w:sz w:val="16"/>
                <w:szCs w:val="16"/>
              </w:rPr>
            </w:pPr>
            <w:r w:rsidRPr="00687E85">
              <w:rPr>
                <w:rFonts w:eastAsia="Calibri" w:cstheme="minorHAnsi"/>
                <w:sz w:val="16"/>
                <w:szCs w:val="16"/>
              </w:rPr>
              <w:t>JL(R)S/FZOEU/EU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C88255" w14:textId="77777777" w:rsidR="00210C14" w:rsidRPr="0079127A" w:rsidRDefault="00210C14" w:rsidP="00210C14">
            <w:pPr>
              <w:rPr>
                <w:rFonts w:eastAsia="Calibri" w:cstheme="minorHAnsi"/>
                <w:sz w:val="16"/>
                <w:szCs w:val="16"/>
              </w:rPr>
            </w:pPr>
            <w:r w:rsidRPr="0079127A">
              <w:rPr>
                <w:rFonts w:eastAsia="Calibri" w:cstheme="minorHAnsi"/>
                <w:sz w:val="16"/>
                <w:szCs w:val="16"/>
              </w:rPr>
              <w:t xml:space="preserve">CGO </w:t>
            </w:r>
            <w:proofErr w:type="spellStart"/>
            <w:r w:rsidRPr="0079127A">
              <w:rPr>
                <w:rFonts w:eastAsia="Calibri" w:cstheme="minorHAnsi"/>
                <w:sz w:val="16"/>
                <w:szCs w:val="16"/>
              </w:rPr>
              <w:t>Lećevica</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703CEBD7" w14:textId="77777777" w:rsidR="00210C14" w:rsidRPr="0079127A" w:rsidRDefault="00210C14" w:rsidP="00210C14">
            <w:pPr>
              <w:rPr>
                <w:rFonts w:eastAsia="Calibri" w:cstheme="minorHAnsi"/>
                <w:sz w:val="16"/>
                <w:szCs w:val="16"/>
              </w:rPr>
            </w:pPr>
            <w:r w:rsidRPr="0079127A">
              <w:rPr>
                <w:rFonts w:eastAsia="Calibri" w:cstheme="minorHAnsi"/>
                <w:sz w:val="16"/>
                <w:szCs w:val="16"/>
              </w:rPr>
              <w:t xml:space="preserve">Broj </w:t>
            </w:r>
          </w:p>
        </w:tc>
        <w:tc>
          <w:tcPr>
            <w:tcW w:w="995" w:type="dxa"/>
            <w:tcBorders>
              <w:top w:val="single" w:sz="4" w:space="0" w:color="auto"/>
              <w:left w:val="single" w:sz="4" w:space="0" w:color="auto"/>
              <w:bottom w:val="single" w:sz="4" w:space="0" w:color="auto"/>
              <w:right w:val="single" w:sz="4" w:space="0" w:color="auto"/>
            </w:tcBorders>
            <w:vAlign w:val="center"/>
            <w:hideMark/>
          </w:tcPr>
          <w:p w14:paraId="6C309129" w14:textId="77777777" w:rsidR="00210C14" w:rsidRPr="0079127A" w:rsidRDefault="00210C14" w:rsidP="00210C14">
            <w:pPr>
              <w:rPr>
                <w:rFonts w:eastAsia="Calibri" w:cstheme="minorHAnsi"/>
                <w:sz w:val="16"/>
                <w:szCs w:val="16"/>
              </w:rPr>
            </w:pPr>
            <w:r w:rsidRPr="0079127A">
              <w:rPr>
                <w:rFonts w:eastAsia="Calibri" w:cstheme="minorHAnsi"/>
                <w:sz w:val="16"/>
                <w:szCs w:val="16"/>
              </w:rPr>
              <w:t>1</w:t>
            </w:r>
          </w:p>
        </w:tc>
        <w:tc>
          <w:tcPr>
            <w:tcW w:w="988" w:type="dxa"/>
            <w:tcBorders>
              <w:top w:val="single" w:sz="4" w:space="0" w:color="auto"/>
              <w:left w:val="single" w:sz="4" w:space="0" w:color="auto"/>
              <w:bottom w:val="single" w:sz="4" w:space="0" w:color="auto"/>
              <w:right w:val="single" w:sz="4" w:space="0" w:color="auto"/>
            </w:tcBorders>
            <w:vAlign w:val="center"/>
            <w:hideMark/>
          </w:tcPr>
          <w:p w14:paraId="1E3DCE0E" w14:textId="5C1AAED8" w:rsidR="00210C14" w:rsidRPr="0079127A" w:rsidRDefault="00210C14" w:rsidP="00210C14">
            <w:pPr>
              <w:jc w:val="center"/>
              <w:rPr>
                <w:rFonts w:eastAsia="Calibri" w:cstheme="minorHAnsi"/>
                <w:color w:val="FF0000"/>
                <w:sz w:val="16"/>
                <w:szCs w:val="16"/>
                <w:highlight w:val="yellow"/>
              </w:rPr>
            </w:pPr>
            <w:r w:rsidRPr="00210C14">
              <w:rPr>
                <w:rFonts w:eastAsia="Calibri" w:cstheme="minorHAnsi"/>
                <w:sz w:val="16"/>
                <w:szCs w:val="16"/>
              </w:rPr>
              <w:t>202</w:t>
            </w:r>
            <w:r w:rsidR="00BD7E7D">
              <w:rPr>
                <w:rFonts w:eastAsia="Calibri" w:cstheme="minorHAnsi"/>
                <w:sz w:val="16"/>
                <w:szCs w:val="16"/>
              </w:rPr>
              <w:t>8</w:t>
            </w:r>
            <w:r w:rsidRPr="00210C14">
              <w:rPr>
                <w:rFonts w:eastAsia="Calibri" w:cstheme="minorHAnsi"/>
                <w:sz w:val="16"/>
                <w:szCs w:val="16"/>
              </w:rPr>
              <w:t>.</w:t>
            </w:r>
          </w:p>
        </w:tc>
      </w:tr>
      <w:tr w:rsidR="00210C14" w:rsidRPr="0079127A" w14:paraId="75EC0F9A"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334A8147" w14:textId="3DF1FECD" w:rsidR="00210C14" w:rsidRPr="0079127A" w:rsidRDefault="00210C14" w:rsidP="00210C14">
            <w:pPr>
              <w:jc w:val="left"/>
              <w:rPr>
                <w:rFonts w:eastAsia="Calibri" w:cstheme="minorHAnsi"/>
                <w:sz w:val="16"/>
                <w:szCs w:val="16"/>
              </w:rPr>
            </w:pPr>
            <w:r w:rsidRPr="0079127A">
              <w:rPr>
                <w:rFonts w:eastAsia="Calibri" w:cstheme="minorHAnsi"/>
                <w:sz w:val="16"/>
                <w:szCs w:val="16"/>
              </w:rPr>
              <w:t>A 5.</w:t>
            </w:r>
            <w:r>
              <w:rPr>
                <w:rFonts w:eastAsia="Calibri" w:cstheme="minorHAnsi"/>
                <w:sz w:val="16"/>
                <w:szCs w:val="16"/>
              </w:rPr>
              <w:t>4</w:t>
            </w:r>
            <w:r w:rsidRPr="0079127A">
              <w:rPr>
                <w:rFonts w:eastAsia="Calibri" w:cstheme="minorHAnsi"/>
                <w:sz w:val="16"/>
                <w:szCs w:val="16"/>
              </w:rPr>
              <w:t xml:space="preserve">. Priprema projekta i izgradnja CGO </w:t>
            </w:r>
            <w:proofErr w:type="spellStart"/>
            <w:r w:rsidRPr="0079127A">
              <w:rPr>
                <w:rFonts w:eastAsia="Calibri" w:cstheme="minorHAnsi"/>
                <w:sz w:val="16"/>
                <w:szCs w:val="16"/>
              </w:rPr>
              <w:t>Piškornica</w:t>
            </w:r>
            <w:proofErr w:type="spellEnd"/>
            <w:r w:rsidRPr="0079127A">
              <w:rPr>
                <w:rFonts w:eastAsia="Calibri" w:cstheme="minorHAnsi"/>
                <w:sz w:val="16"/>
                <w:szCs w:val="16"/>
              </w:rPr>
              <w:t xml:space="preserve"> za obradu ne više od 140.000 t miješanog komunalnog otpada godišnje. </w:t>
            </w:r>
          </w:p>
        </w:tc>
        <w:tc>
          <w:tcPr>
            <w:tcW w:w="994" w:type="dxa"/>
            <w:tcBorders>
              <w:top w:val="single" w:sz="4" w:space="0" w:color="auto"/>
              <w:left w:val="single" w:sz="4" w:space="0" w:color="auto"/>
              <w:bottom w:val="single" w:sz="4" w:space="0" w:color="auto"/>
              <w:right w:val="single" w:sz="4" w:space="0" w:color="auto"/>
            </w:tcBorders>
            <w:vAlign w:val="center"/>
            <w:hideMark/>
          </w:tcPr>
          <w:p w14:paraId="4C4E5D07" w14:textId="77777777" w:rsidR="00210C14" w:rsidRPr="0079127A" w:rsidRDefault="00210C14" w:rsidP="00210C14">
            <w:pPr>
              <w:rPr>
                <w:rFonts w:eastAsia="Calibri" w:cstheme="minorHAnsi"/>
                <w:sz w:val="16"/>
                <w:szCs w:val="16"/>
              </w:rPr>
            </w:pPr>
            <w:r w:rsidRPr="0079127A">
              <w:rPr>
                <w:rFonts w:eastAsia="Calibri" w:cstheme="minorHAnsi"/>
                <w:sz w:val="16"/>
                <w:szCs w:val="16"/>
              </w:rPr>
              <w:t>Krapinsko-zagorska, Varaždinska, Koprivničko-križevačka, Međimurska, Bjelovarsko-bilogorska županija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53C662" w14:textId="77777777" w:rsidR="00210C14" w:rsidRPr="0079127A" w:rsidRDefault="00210C14" w:rsidP="00210C14">
            <w:pPr>
              <w:rPr>
                <w:rFonts w:eastAsia="Calibri" w:cstheme="minorHAnsi"/>
                <w:sz w:val="16"/>
                <w:szCs w:val="16"/>
              </w:rPr>
            </w:pPr>
            <w:r w:rsidRPr="0079127A">
              <w:rPr>
                <w:rFonts w:eastAsia="Calibri" w:cstheme="minorHAnsi"/>
                <w:sz w:val="16"/>
                <w:szCs w:val="16"/>
              </w:rPr>
              <w:t>MINGOR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EE8C92" w14:textId="77777777" w:rsidR="00210C14" w:rsidRPr="00687E85" w:rsidRDefault="00210C14" w:rsidP="00210C14">
            <w:pPr>
              <w:rPr>
                <w:rFonts w:eastAsia="Calibri" w:cstheme="minorHAnsi"/>
                <w:sz w:val="16"/>
                <w:szCs w:val="16"/>
              </w:rPr>
            </w:pPr>
            <w:r w:rsidRPr="00687E85">
              <w:rPr>
                <w:rFonts w:eastAsia="Calibri" w:cstheme="minorHAnsi"/>
                <w:sz w:val="16"/>
                <w:szCs w:val="16"/>
              </w:rPr>
              <w:t>JL(R)S/FZOEU/EU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939754" w14:textId="77777777" w:rsidR="00210C14" w:rsidRPr="0079127A" w:rsidRDefault="00210C14" w:rsidP="00210C14">
            <w:pPr>
              <w:rPr>
                <w:rFonts w:eastAsia="Calibri" w:cstheme="minorHAnsi"/>
                <w:sz w:val="16"/>
                <w:szCs w:val="16"/>
              </w:rPr>
            </w:pPr>
            <w:r w:rsidRPr="0079127A">
              <w:rPr>
                <w:rFonts w:eastAsia="Calibri" w:cstheme="minorHAnsi"/>
                <w:sz w:val="16"/>
                <w:szCs w:val="16"/>
              </w:rPr>
              <w:t xml:space="preserve">CGO </w:t>
            </w:r>
            <w:proofErr w:type="spellStart"/>
            <w:r w:rsidRPr="0079127A">
              <w:rPr>
                <w:rFonts w:eastAsia="Calibri" w:cstheme="minorHAnsi"/>
                <w:sz w:val="16"/>
                <w:szCs w:val="16"/>
              </w:rPr>
              <w:t>Piškornica</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1C2146A3" w14:textId="77777777" w:rsidR="00210C14" w:rsidRPr="0079127A" w:rsidRDefault="00210C14" w:rsidP="00210C14">
            <w:pPr>
              <w:rPr>
                <w:rFonts w:eastAsia="Calibri" w:cstheme="minorHAnsi"/>
                <w:sz w:val="16"/>
                <w:szCs w:val="16"/>
              </w:rPr>
            </w:pPr>
            <w:r w:rsidRPr="0079127A">
              <w:rPr>
                <w:rFonts w:eastAsia="Calibri" w:cstheme="minorHAnsi"/>
                <w:sz w:val="16"/>
                <w:szCs w:val="16"/>
              </w:rPr>
              <w:t xml:space="preserve">Broj </w:t>
            </w:r>
          </w:p>
        </w:tc>
        <w:tc>
          <w:tcPr>
            <w:tcW w:w="995" w:type="dxa"/>
            <w:tcBorders>
              <w:top w:val="single" w:sz="4" w:space="0" w:color="auto"/>
              <w:left w:val="single" w:sz="4" w:space="0" w:color="auto"/>
              <w:bottom w:val="single" w:sz="4" w:space="0" w:color="auto"/>
              <w:right w:val="single" w:sz="4" w:space="0" w:color="auto"/>
            </w:tcBorders>
            <w:vAlign w:val="center"/>
            <w:hideMark/>
          </w:tcPr>
          <w:p w14:paraId="439F9BE1" w14:textId="77777777" w:rsidR="00210C14" w:rsidRPr="0079127A" w:rsidRDefault="00210C14" w:rsidP="00210C14">
            <w:pPr>
              <w:rPr>
                <w:rFonts w:eastAsia="Calibri" w:cstheme="minorHAnsi"/>
                <w:sz w:val="16"/>
                <w:szCs w:val="16"/>
              </w:rPr>
            </w:pPr>
            <w:r w:rsidRPr="0079127A">
              <w:rPr>
                <w:rFonts w:eastAsia="Calibri" w:cstheme="minorHAnsi"/>
                <w:sz w:val="16"/>
                <w:szCs w:val="16"/>
              </w:rPr>
              <w:t>1</w:t>
            </w:r>
          </w:p>
        </w:tc>
        <w:tc>
          <w:tcPr>
            <w:tcW w:w="988" w:type="dxa"/>
            <w:tcBorders>
              <w:top w:val="single" w:sz="4" w:space="0" w:color="auto"/>
              <w:left w:val="single" w:sz="4" w:space="0" w:color="auto"/>
              <w:bottom w:val="single" w:sz="4" w:space="0" w:color="auto"/>
              <w:right w:val="single" w:sz="4" w:space="0" w:color="auto"/>
            </w:tcBorders>
            <w:vAlign w:val="center"/>
            <w:hideMark/>
          </w:tcPr>
          <w:p w14:paraId="5D2BD736" w14:textId="06B27A00" w:rsidR="00210C14" w:rsidRPr="0079127A" w:rsidRDefault="00210C14" w:rsidP="00210C14">
            <w:pPr>
              <w:jc w:val="center"/>
              <w:rPr>
                <w:rFonts w:eastAsia="Calibri" w:cstheme="minorHAnsi"/>
                <w:color w:val="FF0000"/>
                <w:sz w:val="16"/>
                <w:szCs w:val="16"/>
                <w:highlight w:val="yellow"/>
              </w:rPr>
            </w:pPr>
            <w:r w:rsidRPr="00210C14">
              <w:rPr>
                <w:rFonts w:eastAsia="Calibri" w:cstheme="minorHAnsi"/>
                <w:sz w:val="16"/>
                <w:szCs w:val="16"/>
              </w:rPr>
              <w:t>202</w:t>
            </w:r>
            <w:r w:rsidR="00BD7E7D">
              <w:rPr>
                <w:rFonts w:eastAsia="Calibri" w:cstheme="minorHAnsi"/>
                <w:sz w:val="16"/>
                <w:szCs w:val="16"/>
              </w:rPr>
              <w:t>8</w:t>
            </w:r>
            <w:r w:rsidRPr="00210C14">
              <w:rPr>
                <w:rFonts w:eastAsia="Calibri" w:cstheme="minorHAnsi"/>
                <w:sz w:val="16"/>
                <w:szCs w:val="16"/>
              </w:rPr>
              <w:t>.</w:t>
            </w:r>
          </w:p>
        </w:tc>
      </w:tr>
      <w:tr w:rsidR="00210C14" w:rsidRPr="0079127A" w14:paraId="34B12DED"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7C1F70BE" w14:textId="0D13117B" w:rsidR="00210C14" w:rsidRPr="0079127A" w:rsidRDefault="00210C14" w:rsidP="00210C14">
            <w:pPr>
              <w:jc w:val="left"/>
              <w:rPr>
                <w:rFonts w:eastAsia="Calibri" w:cstheme="minorHAnsi"/>
                <w:sz w:val="16"/>
                <w:szCs w:val="16"/>
              </w:rPr>
            </w:pPr>
            <w:r w:rsidRPr="0079127A">
              <w:rPr>
                <w:rFonts w:eastAsia="Calibri" w:cstheme="minorHAnsi"/>
                <w:sz w:val="16"/>
                <w:szCs w:val="16"/>
              </w:rPr>
              <w:t>A 5.</w:t>
            </w:r>
            <w:r>
              <w:rPr>
                <w:rFonts w:eastAsia="Calibri" w:cstheme="minorHAnsi"/>
                <w:sz w:val="16"/>
                <w:szCs w:val="16"/>
              </w:rPr>
              <w:t>5</w:t>
            </w:r>
            <w:r w:rsidRPr="0079127A">
              <w:rPr>
                <w:rFonts w:eastAsia="Calibri" w:cstheme="minorHAnsi"/>
                <w:sz w:val="16"/>
                <w:szCs w:val="16"/>
              </w:rPr>
              <w:t xml:space="preserve">. </w:t>
            </w:r>
            <w:r w:rsidR="0050217C">
              <w:rPr>
                <w:rFonts w:eastAsia="Calibri" w:cstheme="minorHAnsi"/>
                <w:sz w:val="16"/>
                <w:szCs w:val="16"/>
              </w:rPr>
              <w:t>I</w:t>
            </w:r>
            <w:r w:rsidRPr="0079127A">
              <w:rPr>
                <w:rFonts w:eastAsia="Calibri" w:cstheme="minorHAnsi"/>
                <w:sz w:val="16"/>
                <w:szCs w:val="16"/>
              </w:rPr>
              <w:t xml:space="preserve">zgradnja CGO Babina gora za obradu ne više od 30.000 t miješanog komunalnog otpada godišnje. </w:t>
            </w:r>
          </w:p>
        </w:tc>
        <w:tc>
          <w:tcPr>
            <w:tcW w:w="994" w:type="dxa"/>
            <w:tcBorders>
              <w:top w:val="single" w:sz="4" w:space="0" w:color="auto"/>
              <w:left w:val="single" w:sz="4" w:space="0" w:color="auto"/>
              <w:bottom w:val="single" w:sz="4" w:space="0" w:color="auto"/>
              <w:right w:val="single" w:sz="4" w:space="0" w:color="auto"/>
            </w:tcBorders>
            <w:vAlign w:val="center"/>
            <w:hideMark/>
          </w:tcPr>
          <w:p w14:paraId="5D351525" w14:textId="77777777" w:rsidR="00210C14" w:rsidRPr="0079127A" w:rsidRDefault="00210C14" w:rsidP="00210C14">
            <w:pPr>
              <w:rPr>
                <w:rFonts w:eastAsia="Calibri" w:cstheme="minorHAnsi"/>
                <w:sz w:val="16"/>
                <w:szCs w:val="16"/>
              </w:rPr>
            </w:pPr>
            <w:r w:rsidRPr="0079127A">
              <w:rPr>
                <w:rFonts w:eastAsia="Calibri" w:cstheme="minorHAnsi"/>
                <w:sz w:val="16"/>
                <w:szCs w:val="16"/>
              </w:rPr>
              <w:t>Karlovačka, dio Ličko-senjske i dio Sisačko-moslavačke županije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790A7A" w14:textId="77777777" w:rsidR="00210C14" w:rsidRPr="0079127A" w:rsidRDefault="00210C14" w:rsidP="00210C14">
            <w:pPr>
              <w:rPr>
                <w:rFonts w:eastAsia="Calibri" w:cstheme="minorHAnsi"/>
                <w:sz w:val="16"/>
                <w:szCs w:val="16"/>
              </w:rPr>
            </w:pPr>
            <w:r w:rsidRPr="0079127A">
              <w:rPr>
                <w:rFonts w:eastAsia="Calibri" w:cstheme="minorHAnsi"/>
                <w:sz w:val="16"/>
                <w:szCs w:val="16"/>
              </w:rPr>
              <w:t>MINGOR</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93C296" w14:textId="77777777" w:rsidR="00210C14" w:rsidRPr="00687E85" w:rsidRDefault="00210C14" w:rsidP="00210C14">
            <w:pPr>
              <w:rPr>
                <w:rFonts w:eastAsia="Calibri" w:cstheme="minorHAnsi"/>
                <w:sz w:val="16"/>
                <w:szCs w:val="16"/>
              </w:rPr>
            </w:pPr>
            <w:r w:rsidRPr="00687E85">
              <w:rPr>
                <w:rFonts w:eastAsia="Calibri" w:cstheme="minorHAnsi"/>
                <w:sz w:val="16"/>
                <w:szCs w:val="16"/>
              </w:rPr>
              <w:t>JL(R)S/FZOEU/EU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9CCD48" w14:textId="77777777" w:rsidR="00210C14" w:rsidRPr="0079127A" w:rsidRDefault="00210C14" w:rsidP="00210C14">
            <w:pPr>
              <w:rPr>
                <w:rFonts w:eastAsia="Calibri" w:cstheme="minorHAnsi"/>
                <w:sz w:val="16"/>
                <w:szCs w:val="16"/>
              </w:rPr>
            </w:pPr>
            <w:r w:rsidRPr="0079127A">
              <w:rPr>
                <w:rFonts w:eastAsia="Calibri" w:cstheme="minorHAnsi"/>
                <w:sz w:val="16"/>
                <w:szCs w:val="16"/>
              </w:rPr>
              <w:t>CGO Babina Gora</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7C265C" w14:textId="77777777" w:rsidR="00210C14" w:rsidRPr="0079127A" w:rsidRDefault="00210C14" w:rsidP="00210C14">
            <w:pPr>
              <w:rPr>
                <w:rFonts w:eastAsia="Calibri" w:cstheme="minorHAnsi"/>
                <w:sz w:val="16"/>
                <w:szCs w:val="16"/>
              </w:rPr>
            </w:pPr>
            <w:r w:rsidRPr="0079127A">
              <w:rPr>
                <w:rFonts w:eastAsia="Calibri" w:cstheme="minorHAnsi"/>
                <w:sz w:val="16"/>
                <w:szCs w:val="16"/>
              </w:rPr>
              <w:t xml:space="preserve">Broj </w:t>
            </w:r>
          </w:p>
        </w:tc>
        <w:tc>
          <w:tcPr>
            <w:tcW w:w="995" w:type="dxa"/>
            <w:tcBorders>
              <w:top w:val="single" w:sz="4" w:space="0" w:color="auto"/>
              <w:left w:val="single" w:sz="4" w:space="0" w:color="auto"/>
              <w:bottom w:val="single" w:sz="4" w:space="0" w:color="auto"/>
              <w:right w:val="single" w:sz="4" w:space="0" w:color="auto"/>
            </w:tcBorders>
            <w:vAlign w:val="center"/>
            <w:hideMark/>
          </w:tcPr>
          <w:p w14:paraId="2CD88425" w14:textId="77777777" w:rsidR="00210C14" w:rsidRPr="0079127A" w:rsidRDefault="00210C14" w:rsidP="00210C14">
            <w:pPr>
              <w:rPr>
                <w:rFonts w:eastAsia="Calibri" w:cstheme="minorHAnsi"/>
                <w:sz w:val="16"/>
                <w:szCs w:val="16"/>
              </w:rPr>
            </w:pPr>
            <w:r w:rsidRPr="0079127A">
              <w:rPr>
                <w:rFonts w:eastAsia="Calibri" w:cstheme="minorHAnsi"/>
                <w:sz w:val="16"/>
                <w:szCs w:val="16"/>
              </w:rPr>
              <w:t>1</w:t>
            </w:r>
          </w:p>
        </w:tc>
        <w:tc>
          <w:tcPr>
            <w:tcW w:w="988" w:type="dxa"/>
            <w:tcBorders>
              <w:top w:val="single" w:sz="4" w:space="0" w:color="auto"/>
              <w:left w:val="single" w:sz="4" w:space="0" w:color="auto"/>
              <w:bottom w:val="single" w:sz="4" w:space="0" w:color="auto"/>
              <w:right w:val="single" w:sz="4" w:space="0" w:color="auto"/>
            </w:tcBorders>
            <w:vAlign w:val="center"/>
            <w:hideMark/>
          </w:tcPr>
          <w:p w14:paraId="0952486D" w14:textId="7F402D66" w:rsidR="00210C14" w:rsidRPr="0079127A" w:rsidRDefault="00210C14" w:rsidP="00210C14">
            <w:pPr>
              <w:jc w:val="center"/>
              <w:rPr>
                <w:rFonts w:eastAsia="Calibri" w:cstheme="minorHAnsi"/>
                <w:color w:val="FF0000"/>
                <w:sz w:val="16"/>
                <w:szCs w:val="16"/>
                <w:highlight w:val="yellow"/>
              </w:rPr>
            </w:pPr>
            <w:r w:rsidRPr="00210C14">
              <w:rPr>
                <w:rFonts w:eastAsia="Calibri" w:cstheme="minorHAnsi"/>
                <w:sz w:val="16"/>
                <w:szCs w:val="16"/>
              </w:rPr>
              <w:t>202</w:t>
            </w:r>
            <w:r w:rsidR="00BD7E7D">
              <w:rPr>
                <w:rFonts w:eastAsia="Calibri" w:cstheme="minorHAnsi"/>
                <w:sz w:val="16"/>
                <w:szCs w:val="16"/>
              </w:rPr>
              <w:t>8</w:t>
            </w:r>
            <w:r w:rsidRPr="00210C14">
              <w:rPr>
                <w:rFonts w:eastAsia="Calibri" w:cstheme="minorHAnsi"/>
                <w:sz w:val="16"/>
                <w:szCs w:val="16"/>
              </w:rPr>
              <w:t>.</w:t>
            </w:r>
          </w:p>
        </w:tc>
      </w:tr>
      <w:tr w:rsidR="0079127A" w:rsidRPr="0079127A" w14:paraId="71948CCC"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0C3BBD02" w14:textId="6DFC14C6" w:rsidR="0079127A" w:rsidRPr="0079127A" w:rsidRDefault="0079127A" w:rsidP="00687E85">
            <w:pPr>
              <w:jc w:val="left"/>
              <w:rPr>
                <w:rFonts w:eastAsia="Calibri" w:cstheme="minorHAnsi"/>
                <w:sz w:val="16"/>
                <w:szCs w:val="16"/>
              </w:rPr>
            </w:pPr>
            <w:r w:rsidRPr="0079127A">
              <w:rPr>
                <w:rFonts w:eastAsia="Calibri" w:cstheme="minorHAnsi"/>
                <w:sz w:val="16"/>
                <w:szCs w:val="16"/>
              </w:rPr>
              <w:t>A 5.</w:t>
            </w:r>
            <w:r w:rsidR="00687E85">
              <w:rPr>
                <w:rFonts w:eastAsia="Calibri" w:cstheme="minorHAnsi"/>
                <w:sz w:val="16"/>
                <w:szCs w:val="16"/>
              </w:rPr>
              <w:t>6</w:t>
            </w:r>
            <w:r w:rsidRPr="0079127A">
              <w:rPr>
                <w:rFonts w:eastAsia="Calibri" w:cstheme="minorHAnsi"/>
                <w:sz w:val="16"/>
                <w:szCs w:val="16"/>
              </w:rPr>
              <w:t xml:space="preserve">. Priprema projekta i izgradnja CGO </w:t>
            </w:r>
            <w:proofErr w:type="spellStart"/>
            <w:r w:rsidRPr="0079127A">
              <w:rPr>
                <w:rFonts w:eastAsia="Calibri" w:cstheme="minorHAnsi"/>
                <w:sz w:val="16"/>
                <w:szCs w:val="16"/>
              </w:rPr>
              <w:t>Šagulje</w:t>
            </w:r>
            <w:proofErr w:type="spellEnd"/>
            <w:r w:rsidRPr="0079127A">
              <w:rPr>
                <w:rFonts w:eastAsia="Calibri" w:cstheme="minorHAnsi"/>
                <w:sz w:val="16"/>
                <w:szCs w:val="16"/>
              </w:rPr>
              <w:t xml:space="preserve"> za obradu ne više od 45.000 t miješanog komunalnog otpada godišnje. </w:t>
            </w:r>
          </w:p>
        </w:tc>
        <w:tc>
          <w:tcPr>
            <w:tcW w:w="994" w:type="dxa"/>
            <w:tcBorders>
              <w:top w:val="single" w:sz="4" w:space="0" w:color="auto"/>
              <w:left w:val="single" w:sz="4" w:space="0" w:color="auto"/>
              <w:bottom w:val="single" w:sz="4" w:space="0" w:color="auto"/>
              <w:right w:val="single" w:sz="4" w:space="0" w:color="auto"/>
            </w:tcBorders>
            <w:vAlign w:val="center"/>
            <w:hideMark/>
          </w:tcPr>
          <w:p w14:paraId="6ACEBC62" w14:textId="77777777" w:rsidR="0079127A" w:rsidRPr="0079127A" w:rsidRDefault="0079127A">
            <w:pPr>
              <w:rPr>
                <w:rFonts w:eastAsia="Calibri" w:cstheme="minorHAnsi"/>
                <w:sz w:val="16"/>
                <w:szCs w:val="16"/>
              </w:rPr>
            </w:pPr>
            <w:r w:rsidRPr="0079127A">
              <w:rPr>
                <w:rFonts w:eastAsia="Calibri" w:cstheme="minorHAnsi"/>
                <w:sz w:val="16"/>
                <w:szCs w:val="16"/>
              </w:rPr>
              <w:t>Požeško-slavonska, Brodsko-posavska, dio Sisačko-moslavačke županije i Virovitičko-podravska županija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1DE075" w14:textId="77777777" w:rsidR="0079127A" w:rsidRPr="0079127A" w:rsidRDefault="0079127A">
            <w:pPr>
              <w:rPr>
                <w:rFonts w:eastAsia="Calibri" w:cstheme="minorHAnsi"/>
                <w:sz w:val="16"/>
                <w:szCs w:val="16"/>
              </w:rPr>
            </w:pPr>
            <w:r w:rsidRPr="0079127A">
              <w:rPr>
                <w:rFonts w:eastAsia="Calibri" w:cstheme="minorHAnsi"/>
                <w:sz w:val="16"/>
                <w:szCs w:val="16"/>
              </w:rPr>
              <w:t>MINGOR</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38AEDC" w14:textId="77777777" w:rsidR="0079127A" w:rsidRPr="00687E85" w:rsidRDefault="0079127A">
            <w:pPr>
              <w:rPr>
                <w:rFonts w:eastAsia="Calibri" w:cstheme="minorHAnsi"/>
                <w:sz w:val="16"/>
                <w:szCs w:val="16"/>
              </w:rPr>
            </w:pPr>
            <w:r w:rsidRPr="00687E85">
              <w:rPr>
                <w:rFonts w:eastAsia="Calibri" w:cstheme="minorHAnsi"/>
                <w:sz w:val="16"/>
                <w:szCs w:val="16"/>
              </w:rPr>
              <w:t>JL(R)S/FZOEU/EU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991D45" w14:textId="77777777" w:rsidR="0079127A" w:rsidRPr="0079127A" w:rsidRDefault="0079127A">
            <w:pPr>
              <w:rPr>
                <w:rFonts w:eastAsia="Calibri" w:cstheme="minorHAnsi"/>
                <w:sz w:val="16"/>
                <w:szCs w:val="16"/>
              </w:rPr>
            </w:pPr>
            <w:r w:rsidRPr="0079127A">
              <w:rPr>
                <w:rFonts w:eastAsia="Calibri" w:cstheme="minorHAnsi"/>
                <w:sz w:val="16"/>
                <w:szCs w:val="16"/>
              </w:rPr>
              <w:t xml:space="preserve">CGO </w:t>
            </w:r>
            <w:proofErr w:type="spellStart"/>
            <w:r w:rsidRPr="0079127A">
              <w:rPr>
                <w:rFonts w:eastAsia="Calibri" w:cstheme="minorHAnsi"/>
                <w:sz w:val="16"/>
                <w:szCs w:val="16"/>
              </w:rPr>
              <w:t>Šagulje</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17049066" w14:textId="77777777" w:rsidR="0079127A" w:rsidRPr="0079127A" w:rsidRDefault="0079127A">
            <w:pPr>
              <w:rPr>
                <w:rFonts w:eastAsia="Calibri" w:cstheme="minorHAnsi"/>
                <w:sz w:val="16"/>
                <w:szCs w:val="16"/>
              </w:rPr>
            </w:pPr>
            <w:r w:rsidRPr="0079127A">
              <w:rPr>
                <w:rFonts w:eastAsia="Calibri" w:cstheme="minorHAnsi"/>
                <w:sz w:val="16"/>
                <w:szCs w:val="16"/>
              </w:rPr>
              <w:t xml:space="preserve">Broj </w:t>
            </w:r>
          </w:p>
        </w:tc>
        <w:tc>
          <w:tcPr>
            <w:tcW w:w="995" w:type="dxa"/>
            <w:tcBorders>
              <w:top w:val="single" w:sz="4" w:space="0" w:color="auto"/>
              <w:left w:val="single" w:sz="4" w:space="0" w:color="auto"/>
              <w:bottom w:val="single" w:sz="4" w:space="0" w:color="auto"/>
              <w:right w:val="single" w:sz="4" w:space="0" w:color="auto"/>
            </w:tcBorders>
            <w:vAlign w:val="center"/>
            <w:hideMark/>
          </w:tcPr>
          <w:p w14:paraId="2524529A" w14:textId="77777777" w:rsidR="0079127A" w:rsidRPr="0079127A" w:rsidRDefault="0079127A">
            <w:pPr>
              <w:rPr>
                <w:rFonts w:eastAsia="Calibri" w:cstheme="minorHAnsi"/>
                <w:sz w:val="16"/>
                <w:szCs w:val="16"/>
              </w:rPr>
            </w:pPr>
            <w:r w:rsidRPr="0079127A">
              <w:rPr>
                <w:rFonts w:eastAsia="Calibri" w:cstheme="minorHAnsi"/>
                <w:sz w:val="16"/>
                <w:szCs w:val="16"/>
              </w:rPr>
              <w:t>1</w:t>
            </w:r>
          </w:p>
        </w:tc>
        <w:tc>
          <w:tcPr>
            <w:tcW w:w="988" w:type="dxa"/>
            <w:tcBorders>
              <w:top w:val="single" w:sz="4" w:space="0" w:color="auto"/>
              <w:left w:val="single" w:sz="4" w:space="0" w:color="auto"/>
              <w:bottom w:val="single" w:sz="4" w:space="0" w:color="auto"/>
              <w:right w:val="single" w:sz="4" w:space="0" w:color="auto"/>
            </w:tcBorders>
            <w:vAlign w:val="center"/>
            <w:hideMark/>
          </w:tcPr>
          <w:p w14:paraId="7D81A499" w14:textId="0A0EAD5D" w:rsidR="0079127A" w:rsidRPr="0079127A" w:rsidRDefault="00210C14">
            <w:pPr>
              <w:jc w:val="center"/>
              <w:rPr>
                <w:rFonts w:eastAsia="Calibri" w:cstheme="minorHAnsi"/>
                <w:color w:val="FF0000"/>
                <w:sz w:val="16"/>
                <w:szCs w:val="16"/>
                <w:highlight w:val="yellow"/>
              </w:rPr>
            </w:pPr>
            <w:r w:rsidRPr="00210C14">
              <w:rPr>
                <w:rFonts w:eastAsia="Calibri" w:cstheme="minorHAnsi"/>
                <w:sz w:val="16"/>
                <w:szCs w:val="16"/>
              </w:rPr>
              <w:t>2028.</w:t>
            </w:r>
          </w:p>
        </w:tc>
      </w:tr>
      <w:tr w:rsidR="0079127A" w:rsidRPr="0079127A" w14:paraId="0A28AE88"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6AEA5AD4" w14:textId="2E4916DD" w:rsidR="0079127A" w:rsidRPr="0079127A" w:rsidRDefault="0079127A" w:rsidP="00687E85">
            <w:pPr>
              <w:jc w:val="left"/>
              <w:rPr>
                <w:rFonts w:eastAsia="Calibri" w:cstheme="minorHAnsi"/>
                <w:sz w:val="16"/>
                <w:szCs w:val="16"/>
              </w:rPr>
            </w:pPr>
            <w:r w:rsidRPr="0079127A">
              <w:rPr>
                <w:rFonts w:eastAsia="Calibri" w:cstheme="minorHAnsi"/>
                <w:sz w:val="16"/>
                <w:szCs w:val="16"/>
              </w:rPr>
              <w:t>A 5.</w:t>
            </w:r>
            <w:r w:rsidR="00687E85">
              <w:rPr>
                <w:rFonts w:eastAsia="Calibri" w:cstheme="minorHAnsi"/>
                <w:sz w:val="16"/>
                <w:szCs w:val="16"/>
              </w:rPr>
              <w:t>7</w:t>
            </w:r>
            <w:r w:rsidRPr="0079127A">
              <w:rPr>
                <w:rFonts w:eastAsia="Calibri" w:cstheme="minorHAnsi"/>
                <w:sz w:val="16"/>
                <w:szCs w:val="16"/>
              </w:rPr>
              <w:t xml:space="preserve">. Priprema projekta i izgradnja CGO </w:t>
            </w:r>
            <w:proofErr w:type="spellStart"/>
            <w:r w:rsidRPr="0079127A">
              <w:rPr>
                <w:rFonts w:eastAsia="Calibri" w:cstheme="minorHAnsi"/>
                <w:sz w:val="16"/>
                <w:szCs w:val="16"/>
              </w:rPr>
              <w:t>Orlovnjak</w:t>
            </w:r>
            <w:proofErr w:type="spellEnd"/>
            <w:r w:rsidRPr="0079127A">
              <w:rPr>
                <w:rFonts w:eastAsia="Calibri" w:cstheme="minorHAnsi"/>
                <w:sz w:val="16"/>
                <w:szCs w:val="16"/>
              </w:rPr>
              <w:t xml:space="preserve"> za obradu ne više od 60.000 t miješanog komunalnog otpada godišnje. </w:t>
            </w:r>
          </w:p>
        </w:tc>
        <w:tc>
          <w:tcPr>
            <w:tcW w:w="994" w:type="dxa"/>
            <w:tcBorders>
              <w:top w:val="single" w:sz="4" w:space="0" w:color="auto"/>
              <w:left w:val="single" w:sz="4" w:space="0" w:color="auto"/>
              <w:bottom w:val="single" w:sz="4" w:space="0" w:color="auto"/>
              <w:right w:val="single" w:sz="4" w:space="0" w:color="auto"/>
            </w:tcBorders>
            <w:vAlign w:val="center"/>
            <w:hideMark/>
          </w:tcPr>
          <w:p w14:paraId="3BAB666F" w14:textId="77777777" w:rsidR="0079127A" w:rsidRPr="0079127A" w:rsidRDefault="0079127A">
            <w:pPr>
              <w:rPr>
                <w:rFonts w:eastAsia="Calibri" w:cstheme="minorHAnsi"/>
                <w:sz w:val="16"/>
                <w:szCs w:val="16"/>
              </w:rPr>
            </w:pPr>
            <w:r w:rsidRPr="0079127A">
              <w:rPr>
                <w:rFonts w:eastAsia="Calibri" w:cstheme="minorHAnsi"/>
                <w:sz w:val="16"/>
                <w:szCs w:val="16"/>
              </w:rPr>
              <w:t>Osječko-baranjska i Vukovarsko-srijemska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858E0F" w14:textId="77777777" w:rsidR="0079127A" w:rsidRPr="0079127A" w:rsidRDefault="0079127A">
            <w:pPr>
              <w:rPr>
                <w:rFonts w:eastAsia="Calibri" w:cstheme="minorHAnsi"/>
                <w:sz w:val="16"/>
                <w:szCs w:val="16"/>
              </w:rPr>
            </w:pPr>
            <w:r w:rsidRPr="0079127A">
              <w:rPr>
                <w:rFonts w:eastAsia="Calibri" w:cstheme="minorHAnsi"/>
                <w:sz w:val="16"/>
                <w:szCs w:val="16"/>
              </w:rPr>
              <w:t>MINGOR</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A7B834" w14:textId="77777777" w:rsidR="0079127A" w:rsidRPr="00687E85" w:rsidRDefault="0079127A">
            <w:pPr>
              <w:rPr>
                <w:rFonts w:eastAsia="Calibri" w:cstheme="minorHAnsi"/>
                <w:sz w:val="16"/>
                <w:szCs w:val="16"/>
              </w:rPr>
            </w:pPr>
            <w:r w:rsidRPr="00687E85">
              <w:rPr>
                <w:rFonts w:eastAsia="Calibri" w:cstheme="minorHAnsi"/>
                <w:sz w:val="16"/>
                <w:szCs w:val="16"/>
              </w:rPr>
              <w:t>JL(R)S/FZOEU/EU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528C2A" w14:textId="77777777" w:rsidR="0079127A" w:rsidRPr="0079127A" w:rsidRDefault="0079127A">
            <w:pPr>
              <w:rPr>
                <w:rFonts w:eastAsia="Calibri" w:cstheme="minorHAnsi"/>
                <w:sz w:val="16"/>
                <w:szCs w:val="16"/>
              </w:rPr>
            </w:pPr>
            <w:r w:rsidRPr="0079127A">
              <w:rPr>
                <w:rFonts w:eastAsia="Calibri" w:cstheme="minorHAnsi"/>
                <w:sz w:val="16"/>
                <w:szCs w:val="16"/>
              </w:rPr>
              <w:t xml:space="preserve">CGO </w:t>
            </w:r>
            <w:proofErr w:type="spellStart"/>
            <w:r w:rsidRPr="0079127A">
              <w:rPr>
                <w:rFonts w:eastAsia="Calibri" w:cstheme="minorHAnsi"/>
                <w:sz w:val="16"/>
                <w:szCs w:val="16"/>
              </w:rPr>
              <w:t>Orlovnjak</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4DD808F7" w14:textId="77777777" w:rsidR="0079127A" w:rsidRPr="0079127A" w:rsidRDefault="0079127A">
            <w:pPr>
              <w:rPr>
                <w:rFonts w:eastAsia="Calibri" w:cstheme="minorHAnsi"/>
                <w:sz w:val="16"/>
                <w:szCs w:val="16"/>
              </w:rPr>
            </w:pPr>
            <w:r w:rsidRPr="0079127A">
              <w:rPr>
                <w:rFonts w:eastAsia="Calibri" w:cstheme="minorHAnsi"/>
                <w:sz w:val="16"/>
                <w:szCs w:val="16"/>
              </w:rPr>
              <w:t xml:space="preserve">Broj </w:t>
            </w:r>
          </w:p>
        </w:tc>
        <w:tc>
          <w:tcPr>
            <w:tcW w:w="995" w:type="dxa"/>
            <w:tcBorders>
              <w:top w:val="single" w:sz="4" w:space="0" w:color="auto"/>
              <w:left w:val="single" w:sz="4" w:space="0" w:color="auto"/>
              <w:bottom w:val="single" w:sz="4" w:space="0" w:color="auto"/>
              <w:right w:val="single" w:sz="4" w:space="0" w:color="auto"/>
            </w:tcBorders>
            <w:vAlign w:val="center"/>
            <w:hideMark/>
          </w:tcPr>
          <w:p w14:paraId="73DCC02C" w14:textId="77777777" w:rsidR="0079127A" w:rsidRPr="0079127A" w:rsidRDefault="0079127A">
            <w:pPr>
              <w:rPr>
                <w:rFonts w:eastAsia="Calibri" w:cstheme="minorHAnsi"/>
                <w:sz w:val="16"/>
                <w:szCs w:val="16"/>
              </w:rPr>
            </w:pPr>
            <w:r w:rsidRPr="0079127A">
              <w:rPr>
                <w:rFonts w:eastAsia="Calibri" w:cstheme="minorHAnsi"/>
                <w:sz w:val="16"/>
                <w:szCs w:val="16"/>
              </w:rPr>
              <w:t>1</w:t>
            </w:r>
          </w:p>
        </w:tc>
        <w:tc>
          <w:tcPr>
            <w:tcW w:w="988" w:type="dxa"/>
            <w:tcBorders>
              <w:top w:val="single" w:sz="4" w:space="0" w:color="auto"/>
              <w:left w:val="single" w:sz="4" w:space="0" w:color="auto"/>
              <w:bottom w:val="single" w:sz="4" w:space="0" w:color="auto"/>
              <w:right w:val="single" w:sz="4" w:space="0" w:color="auto"/>
            </w:tcBorders>
            <w:vAlign w:val="center"/>
            <w:hideMark/>
          </w:tcPr>
          <w:p w14:paraId="76C54D05" w14:textId="419A45AC" w:rsidR="0079127A" w:rsidRPr="0079127A" w:rsidRDefault="00210C14" w:rsidP="00210C14">
            <w:pPr>
              <w:jc w:val="center"/>
              <w:rPr>
                <w:rFonts w:eastAsia="Calibri" w:cstheme="minorHAnsi"/>
                <w:color w:val="FF0000"/>
                <w:sz w:val="16"/>
                <w:szCs w:val="16"/>
                <w:highlight w:val="yellow"/>
              </w:rPr>
            </w:pPr>
            <w:r w:rsidRPr="00210C14">
              <w:rPr>
                <w:rFonts w:eastAsia="Calibri" w:cstheme="minorHAnsi"/>
                <w:sz w:val="16"/>
                <w:szCs w:val="16"/>
              </w:rPr>
              <w:t>2028.</w:t>
            </w:r>
          </w:p>
        </w:tc>
      </w:tr>
      <w:tr w:rsidR="0079127A" w:rsidRPr="0079127A" w14:paraId="21FBB75C"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55BC58AB" w14:textId="03E47EEC" w:rsidR="0079127A" w:rsidRPr="0079127A" w:rsidRDefault="0079127A" w:rsidP="00687E85">
            <w:pPr>
              <w:jc w:val="left"/>
              <w:rPr>
                <w:rFonts w:eastAsia="Calibri" w:cstheme="minorHAnsi"/>
                <w:sz w:val="16"/>
                <w:szCs w:val="16"/>
              </w:rPr>
            </w:pPr>
            <w:r w:rsidRPr="0079127A">
              <w:rPr>
                <w:rFonts w:eastAsia="Calibri" w:cstheme="minorHAnsi"/>
                <w:sz w:val="16"/>
                <w:szCs w:val="16"/>
              </w:rPr>
              <w:t>A 5.</w:t>
            </w:r>
            <w:r w:rsidR="00687E85">
              <w:rPr>
                <w:rFonts w:eastAsia="Calibri" w:cstheme="minorHAnsi"/>
                <w:sz w:val="16"/>
                <w:szCs w:val="16"/>
              </w:rPr>
              <w:t>8</w:t>
            </w:r>
            <w:r w:rsidRPr="0079127A">
              <w:rPr>
                <w:rFonts w:eastAsia="Calibri" w:cstheme="minorHAnsi"/>
                <w:sz w:val="16"/>
                <w:szCs w:val="16"/>
              </w:rPr>
              <w:t xml:space="preserve">. Priprema projekta i izgradnja CGO Zagreb za obradu ne više od 180.000 t miješanog komunalnog otpada godišnje. </w:t>
            </w:r>
          </w:p>
        </w:tc>
        <w:tc>
          <w:tcPr>
            <w:tcW w:w="994" w:type="dxa"/>
            <w:tcBorders>
              <w:top w:val="single" w:sz="4" w:space="0" w:color="auto"/>
              <w:left w:val="single" w:sz="4" w:space="0" w:color="auto"/>
              <w:bottom w:val="single" w:sz="4" w:space="0" w:color="auto"/>
              <w:right w:val="single" w:sz="4" w:space="0" w:color="auto"/>
            </w:tcBorders>
            <w:vAlign w:val="center"/>
            <w:hideMark/>
          </w:tcPr>
          <w:p w14:paraId="35A279FA" w14:textId="560B1BE5" w:rsidR="0079127A" w:rsidRPr="0079127A" w:rsidRDefault="0079127A">
            <w:pPr>
              <w:rPr>
                <w:rFonts w:eastAsia="Calibri" w:cstheme="minorHAnsi"/>
                <w:sz w:val="16"/>
                <w:szCs w:val="16"/>
              </w:rPr>
            </w:pPr>
            <w:r w:rsidRPr="0079127A">
              <w:rPr>
                <w:rFonts w:eastAsia="Calibri" w:cstheme="minorHAnsi"/>
                <w:sz w:val="16"/>
                <w:szCs w:val="16"/>
              </w:rPr>
              <w:t>Grad Zagreb</w:t>
            </w:r>
            <w:r w:rsidR="00443E52">
              <w:rPr>
                <w:rFonts w:eastAsia="Calibri" w:cstheme="minorHAnsi"/>
                <w:sz w:val="16"/>
                <w:szCs w:val="16"/>
              </w:rPr>
              <w:t>/</w:t>
            </w:r>
            <w:r w:rsidRPr="0079127A">
              <w:rPr>
                <w:rFonts w:eastAsia="Calibri" w:cstheme="minorHAnsi"/>
                <w:sz w:val="16"/>
                <w:szCs w:val="16"/>
              </w:rPr>
              <w:t xml:space="preserve"> Zagrebačka županija</w:t>
            </w:r>
            <w:r w:rsidR="00443E52">
              <w:rPr>
                <w:rFonts w:eastAsia="Calibri" w:cstheme="minorHAnsi"/>
                <w:sz w:val="16"/>
                <w:szCs w:val="16"/>
              </w:rPr>
              <w:t>/JPP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2E4E34" w14:textId="77777777" w:rsidR="0079127A" w:rsidRPr="0079127A" w:rsidRDefault="0079127A">
            <w:pPr>
              <w:rPr>
                <w:rFonts w:eastAsia="Calibri" w:cstheme="minorHAnsi"/>
                <w:sz w:val="16"/>
                <w:szCs w:val="16"/>
              </w:rPr>
            </w:pPr>
            <w:r w:rsidRPr="0079127A">
              <w:rPr>
                <w:rFonts w:eastAsia="Calibri" w:cstheme="minorHAnsi"/>
                <w:sz w:val="16"/>
                <w:szCs w:val="16"/>
              </w:rPr>
              <w:t>MINGOR</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7AE753" w14:textId="643C5F6D" w:rsidR="0079127A" w:rsidRPr="00687E85" w:rsidRDefault="0079127A">
            <w:pPr>
              <w:rPr>
                <w:rFonts w:eastAsia="Calibri" w:cstheme="minorHAnsi"/>
                <w:sz w:val="16"/>
                <w:szCs w:val="16"/>
              </w:rPr>
            </w:pPr>
            <w:r w:rsidRPr="00687E85">
              <w:rPr>
                <w:rFonts w:eastAsia="Calibri" w:cstheme="minorHAnsi"/>
                <w:sz w:val="16"/>
                <w:szCs w:val="16"/>
              </w:rPr>
              <w:t>JL(R)S/FZOEU/</w:t>
            </w:r>
            <w:r w:rsidR="00A43C47">
              <w:rPr>
                <w:rFonts w:eastAsia="Calibri" w:cstheme="minorHAnsi"/>
                <w:sz w:val="16"/>
                <w:szCs w:val="16"/>
              </w:rPr>
              <w:t>JPP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092B1A" w14:textId="77777777" w:rsidR="0079127A" w:rsidRPr="0079127A" w:rsidRDefault="0079127A">
            <w:pPr>
              <w:rPr>
                <w:rFonts w:eastAsia="Calibri" w:cstheme="minorHAnsi"/>
                <w:sz w:val="16"/>
                <w:szCs w:val="16"/>
              </w:rPr>
            </w:pPr>
            <w:r w:rsidRPr="0079127A">
              <w:rPr>
                <w:rFonts w:eastAsia="Calibri" w:cstheme="minorHAnsi"/>
                <w:sz w:val="16"/>
                <w:szCs w:val="16"/>
              </w:rPr>
              <w:t>CGO Zagreb</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C75704" w14:textId="77777777" w:rsidR="0079127A" w:rsidRPr="0079127A" w:rsidRDefault="0079127A">
            <w:pPr>
              <w:rPr>
                <w:rFonts w:eastAsia="Calibri" w:cstheme="minorHAnsi"/>
                <w:sz w:val="16"/>
                <w:szCs w:val="16"/>
              </w:rPr>
            </w:pPr>
            <w:r w:rsidRPr="0079127A">
              <w:rPr>
                <w:rFonts w:eastAsia="Calibri" w:cstheme="minorHAnsi"/>
                <w:sz w:val="16"/>
                <w:szCs w:val="16"/>
              </w:rPr>
              <w:t xml:space="preserve">Broj </w:t>
            </w:r>
          </w:p>
        </w:tc>
        <w:tc>
          <w:tcPr>
            <w:tcW w:w="995" w:type="dxa"/>
            <w:tcBorders>
              <w:top w:val="single" w:sz="4" w:space="0" w:color="auto"/>
              <w:left w:val="single" w:sz="4" w:space="0" w:color="auto"/>
              <w:bottom w:val="single" w:sz="4" w:space="0" w:color="auto"/>
              <w:right w:val="single" w:sz="4" w:space="0" w:color="auto"/>
            </w:tcBorders>
            <w:vAlign w:val="center"/>
            <w:hideMark/>
          </w:tcPr>
          <w:p w14:paraId="7E6214BC" w14:textId="77777777" w:rsidR="0079127A" w:rsidRPr="0079127A" w:rsidRDefault="0079127A">
            <w:pPr>
              <w:rPr>
                <w:rFonts w:eastAsia="Calibri" w:cstheme="minorHAnsi"/>
                <w:sz w:val="16"/>
                <w:szCs w:val="16"/>
              </w:rPr>
            </w:pPr>
            <w:r w:rsidRPr="0079127A">
              <w:rPr>
                <w:rFonts w:eastAsia="Calibri" w:cstheme="minorHAnsi"/>
                <w:sz w:val="16"/>
                <w:szCs w:val="16"/>
              </w:rPr>
              <w:t>1</w:t>
            </w:r>
          </w:p>
        </w:tc>
        <w:tc>
          <w:tcPr>
            <w:tcW w:w="988" w:type="dxa"/>
            <w:tcBorders>
              <w:top w:val="single" w:sz="4" w:space="0" w:color="auto"/>
              <w:left w:val="single" w:sz="4" w:space="0" w:color="auto"/>
              <w:bottom w:val="single" w:sz="4" w:space="0" w:color="auto"/>
              <w:right w:val="single" w:sz="4" w:space="0" w:color="auto"/>
            </w:tcBorders>
            <w:vAlign w:val="center"/>
            <w:hideMark/>
          </w:tcPr>
          <w:p w14:paraId="13C259CD" w14:textId="51A533EC" w:rsidR="0079127A" w:rsidRPr="0079127A" w:rsidRDefault="00210C14" w:rsidP="00210C14">
            <w:pPr>
              <w:jc w:val="center"/>
              <w:rPr>
                <w:rFonts w:eastAsia="Calibri" w:cstheme="minorHAnsi"/>
                <w:color w:val="FF0000"/>
                <w:sz w:val="16"/>
                <w:szCs w:val="16"/>
                <w:highlight w:val="yellow"/>
              </w:rPr>
            </w:pPr>
            <w:r w:rsidRPr="00210C14">
              <w:rPr>
                <w:rFonts w:eastAsia="Calibri" w:cstheme="minorHAnsi"/>
                <w:sz w:val="16"/>
                <w:szCs w:val="16"/>
              </w:rPr>
              <w:t>2028.</w:t>
            </w:r>
          </w:p>
        </w:tc>
      </w:tr>
    </w:tbl>
    <w:p w14:paraId="7254D0C9" w14:textId="2A0A075D" w:rsidR="006B208F" w:rsidRDefault="006B208F" w:rsidP="001649D4"/>
    <w:p w14:paraId="4EBBD4A0" w14:textId="7B25CF95" w:rsidR="001649D4" w:rsidRPr="001649D4" w:rsidRDefault="001649D4" w:rsidP="0018450E">
      <w:pPr>
        <w:pStyle w:val="IRNaslov2"/>
        <w:numPr>
          <w:ilvl w:val="1"/>
          <w:numId w:val="22"/>
        </w:numPr>
        <w:ind w:left="709" w:hanging="709"/>
      </w:pPr>
      <w:bookmarkStart w:id="328" w:name="_Toc123211695"/>
      <w:r w:rsidRPr="001649D4">
        <w:lastRenderedPageBreak/>
        <w:t>Mjere za unaprjeđenje sustava za gospodarenje posebnim kategorijama otpada</w:t>
      </w:r>
      <w:bookmarkEnd w:id="328"/>
      <w:r w:rsidR="00713167">
        <w:t xml:space="preserve">   </w:t>
      </w:r>
    </w:p>
    <w:p w14:paraId="16D8CF93" w14:textId="12993F30" w:rsidR="001649D4" w:rsidRDefault="001649D4" w:rsidP="001649D4">
      <w:pPr>
        <w:rPr>
          <w:rFonts w:cstheme="minorHAnsi"/>
        </w:rPr>
      </w:pPr>
      <w:r>
        <w:rPr>
          <w:rFonts w:cstheme="minorHAnsi"/>
        </w:rPr>
        <w:t xml:space="preserve">Skupina mjera i aktivnosti u ovom </w:t>
      </w:r>
      <w:proofErr w:type="spellStart"/>
      <w:r>
        <w:rPr>
          <w:rFonts w:cstheme="minorHAnsi"/>
        </w:rPr>
        <w:t>podpoglavlju</w:t>
      </w:r>
      <w:proofErr w:type="spellEnd"/>
      <w:r>
        <w:rPr>
          <w:rFonts w:cstheme="minorHAnsi"/>
        </w:rPr>
        <w:t xml:space="preserve"> usmjerene su na ostvarenje </w:t>
      </w:r>
      <w:r>
        <w:rPr>
          <w:rFonts w:cstheme="minorHAnsi"/>
          <w:b/>
          <w:bCs/>
        </w:rPr>
        <w:t>Ciljeva 1.-9.</w:t>
      </w:r>
      <w:r>
        <w:rPr>
          <w:rFonts w:cstheme="minorHAnsi"/>
        </w:rPr>
        <w:t xml:space="preserve"> ovog Plana odnosno na unaprjeđenje sustava za gospodarenje posebnim kategorijama otpada</w:t>
      </w:r>
    </w:p>
    <w:tbl>
      <w:tblPr>
        <w:tblStyle w:val="Reetkatablice"/>
        <w:tblW w:w="9067" w:type="dxa"/>
        <w:tblLook w:val="04A0" w:firstRow="1" w:lastRow="0" w:firstColumn="1" w:lastColumn="0" w:noHBand="0" w:noVBand="1"/>
      </w:tblPr>
      <w:tblGrid>
        <w:gridCol w:w="4508"/>
        <w:gridCol w:w="4559"/>
      </w:tblGrid>
      <w:tr w:rsidR="001649D4" w14:paraId="1302250E" w14:textId="77777777" w:rsidTr="001649D4">
        <w:trPr>
          <w:tblHeader/>
        </w:trPr>
        <w:tc>
          <w:tcPr>
            <w:tcW w:w="9067"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169FFEE4" w14:textId="77777777" w:rsidR="001649D4" w:rsidRDefault="001649D4">
            <w:pPr>
              <w:rPr>
                <w:rFonts w:cstheme="minorHAnsi"/>
                <w:b/>
                <w:bCs/>
                <w:sz w:val="18"/>
                <w:szCs w:val="18"/>
              </w:rPr>
            </w:pPr>
            <w:bookmarkStart w:id="329" w:name="_Hlk112066995"/>
            <w:bookmarkStart w:id="330" w:name="_Hlk112231013"/>
            <w:r>
              <w:rPr>
                <w:rFonts w:cstheme="minorHAnsi"/>
                <w:b/>
                <w:bCs/>
                <w:sz w:val="18"/>
                <w:szCs w:val="18"/>
              </w:rPr>
              <w:t>Mjere za ostvarenja Cilja 2. – Otpadna ambalaža, Cilja 3. - Otpadni plastični proizvodi za jednokratnu uporabu, Cilja 4. - Građevni otpad, Cilja 5. – Otpadna vozila, Cilja 6. – Otpadne baterije i akumulatori, Cilja 7. – Otpadna električna i elektronička oprema, Cilja 8. – Otpadne gume i Cilja 9. – Ostale posebne kategorije otpada</w:t>
            </w:r>
          </w:p>
        </w:tc>
      </w:tr>
      <w:tr w:rsidR="001649D4" w14:paraId="16DA0327" w14:textId="77777777" w:rsidTr="001649D4">
        <w:trPr>
          <w:tblHeader/>
        </w:trPr>
        <w:tc>
          <w:tcPr>
            <w:tcW w:w="4508" w:type="dxa"/>
            <w:tcBorders>
              <w:top w:val="single" w:sz="4" w:space="0" w:color="auto"/>
              <w:left w:val="single" w:sz="4" w:space="0" w:color="auto"/>
              <w:bottom w:val="single" w:sz="4" w:space="0" w:color="auto"/>
              <w:right w:val="single" w:sz="4" w:space="0" w:color="auto"/>
            </w:tcBorders>
            <w:shd w:val="clear" w:color="auto" w:fill="002060"/>
            <w:hideMark/>
          </w:tcPr>
          <w:p w14:paraId="545454B7" w14:textId="77777777" w:rsidR="001649D4" w:rsidRDefault="001649D4">
            <w:pPr>
              <w:jc w:val="center"/>
              <w:rPr>
                <w:rFonts w:cstheme="minorHAnsi"/>
                <w:b/>
                <w:bCs/>
                <w:sz w:val="18"/>
                <w:szCs w:val="18"/>
              </w:rPr>
            </w:pPr>
            <w:r>
              <w:rPr>
                <w:rFonts w:cstheme="minorHAnsi"/>
                <w:b/>
                <w:bCs/>
                <w:sz w:val="18"/>
                <w:szCs w:val="18"/>
              </w:rPr>
              <w:t>Mjera</w:t>
            </w:r>
          </w:p>
        </w:tc>
        <w:tc>
          <w:tcPr>
            <w:tcW w:w="4559" w:type="dxa"/>
            <w:tcBorders>
              <w:top w:val="single" w:sz="4" w:space="0" w:color="auto"/>
              <w:left w:val="single" w:sz="4" w:space="0" w:color="auto"/>
              <w:bottom w:val="single" w:sz="4" w:space="0" w:color="auto"/>
              <w:right w:val="single" w:sz="4" w:space="0" w:color="auto"/>
            </w:tcBorders>
            <w:shd w:val="clear" w:color="auto" w:fill="002060"/>
            <w:hideMark/>
          </w:tcPr>
          <w:p w14:paraId="4242C706" w14:textId="77777777" w:rsidR="001649D4" w:rsidRDefault="001649D4">
            <w:pPr>
              <w:jc w:val="center"/>
              <w:rPr>
                <w:rFonts w:cstheme="minorHAnsi"/>
                <w:b/>
                <w:bCs/>
                <w:sz w:val="18"/>
                <w:szCs w:val="18"/>
              </w:rPr>
            </w:pPr>
            <w:r>
              <w:rPr>
                <w:rFonts w:cstheme="minorHAnsi"/>
                <w:b/>
                <w:bCs/>
                <w:sz w:val="18"/>
                <w:szCs w:val="18"/>
              </w:rPr>
              <w:t>Opis mjere</w:t>
            </w:r>
          </w:p>
        </w:tc>
        <w:bookmarkEnd w:id="329"/>
      </w:tr>
      <w:tr w:rsidR="001649D4" w14:paraId="2798408C" w14:textId="77777777" w:rsidTr="001649D4">
        <w:tc>
          <w:tcPr>
            <w:tcW w:w="4508" w:type="dxa"/>
            <w:tcBorders>
              <w:top w:val="single" w:sz="4" w:space="0" w:color="auto"/>
              <w:left w:val="single" w:sz="4" w:space="0" w:color="auto"/>
              <w:bottom w:val="single" w:sz="4" w:space="0" w:color="auto"/>
              <w:right w:val="single" w:sz="4" w:space="0" w:color="auto"/>
            </w:tcBorders>
            <w:vAlign w:val="center"/>
            <w:hideMark/>
          </w:tcPr>
          <w:p w14:paraId="35C46375" w14:textId="22A73E3C" w:rsidR="001649D4" w:rsidRDefault="001649D4">
            <w:pPr>
              <w:rPr>
                <w:rFonts w:cstheme="minorHAnsi"/>
                <w:b/>
                <w:bCs/>
                <w:sz w:val="18"/>
                <w:szCs w:val="18"/>
              </w:rPr>
            </w:pPr>
            <w:r>
              <w:rPr>
                <w:rFonts w:cstheme="minorHAnsi"/>
                <w:b/>
                <w:bCs/>
                <w:sz w:val="18"/>
                <w:szCs w:val="18"/>
              </w:rPr>
              <w:t xml:space="preserve">Mjera </w:t>
            </w:r>
            <w:r w:rsidR="0079127A">
              <w:rPr>
                <w:rFonts w:cstheme="minorHAnsi"/>
                <w:b/>
                <w:bCs/>
                <w:sz w:val="18"/>
                <w:szCs w:val="18"/>
              </w:rPr>
              <w:t>6</w:t>
            </w:r>
            <w:r>
              <w:rPr>
                <w:rFonts w:cstheme="minorHAnsi"/>
                <w:b/>
                <w:bCs/>
                <w:sz w:val="18"/>
                <w:szCs w:val="18"/>
              </w:rPr>
              <w:t xml:space="preserve">. Analiza </w:t>
            </w:r>
            <w:r w:rsidR="00E24240">
              <w:rPr>
                <w:rFonts w:cstheme="minorHAnsi"/>
                <w:b/>
                <w:bCs/>
                <w:sz w:val="18"/>
                <w:szCs w:val="18"/>
              </w:rPr>
              <w:t xml:space="preserve">učinkovitosti </w:t>
            </w:r>
            <w:r>
              <w:rPr>
                <w:rFonts w:cstheme="minorHAnsi"/>
                <w:b/>
                <w:bCs/>
                <w:sz w:val="18"/>
                <w:szCs w:val="18"/>
              </w:rPr>
              <w:t>sustava za gospodarenje posebnim kategorijama otpada</w:t>
            </w:r>
            <w:r w:rsidR="00713167">
              <w:rPr>
                <w:rFonts w:cstheme="minorHAnsi"/>
                <w:b/>
                <w:bCs/>
                <w:sz w:val="18"/>
                <w:szCs w:val="18"/>
              </w:rPr>
              <w:t xml:space="preserve"> s </w:t>
            </w:r>
            <w:r w:rsidR="00713167" w:rsidRPr="00713167">
              <w:rPr>
                <w:rFonts w:cstheme="minorHAnsi"/>
                <w:b/>
                <w:bCs/>
                <w:sz w:val="18"/>
                <w:szCs w:val="18"/>
              </w:rPr>
              <w:t>prijedlozima za unaprjeđenje</w:t>
            </w:r>
          </w:p>
        </w:tc>
        <w:tc>
          <w:tcPr>
            <w:tcW w:w="4559" w:type="dxa"/>
            <w:tcBorders>
              <w:top w:val="single" w:sz="4" w:space="0" w:color="auto"/>
              <w:left w:val="single" w:sz="4" w:space="0" w:color="auto"/>
              <w:bottom w:val="single" w:sz="4" w:space="0" w:color="auto"/>
              <w:right w:val="single" w:sz="4" w:space="0" w:color="auto"/>
            </w:tcBorders>
            <w:hideMark/>
          </w:tcPr>
          <w:p w14:paraId="1BF4D752" w14:textId="4324C80D" w:rsidR="0079127A" w:rsidRPr="0079127A" w:rsidRDefault="0079127A" w:rsidP="0079127A">
            <w:pPr>
              <w:rPr>
                <w:rFonts w:eastAsia="Calibri" w:cstheme="minorHAnsi"/>
                <w:sz w:val="18"/>
                <w:szCs w:val="18"/>
              </w:rPr>
            </w:pPr>
            <w:r w:rsidRPr="0079127A">
              <w:rPr>
                <w:rFonts w:eastAsia="Calibri" w:cstheme="minorHAnsi"/>
                <w:sz w:val="18"/>
                <w:szCs w:val="18"/>
              </w:rPr>
              <w:t>Mjera i aktivnosti usmjerene su na osiguravanje kontinuiranog unaprjeđenja sustava gospodarenja posebnim kategorijama otpada kroz odgovarajuće planiranje. U tu svrhu potrebno je osigurati izradu stručnih podloga i preporuka</w:t>
            </w:r>
            <w:r w:rsidR="00713167">
              <w:rPr>
                <w:rFonts w:eastAsia="Calibri" w:cstheme="minorHAnsi"/>
                <w:sz w:val="18"/>
                <w:szCs w:val="18"/>
              </w:rPr>
              <w:t>ma</w:t>
            </w:r>
            <w:r w:rsidRPr="0079127A">
              <w:rPr>
                <w:rFonts w:eastAsia="Calibri" w:cstheme="minorHAnsi"/>
                <w:sz w:val="18"/>
                <w:szCs w:val="18"/>
              </w:rPr>
              <w:t xml:space="preserve"> koje će osigurati unaprjeđenje i optimizaciju sustava, a kako slijedi:</w:t>
            </w:r>
          </w:p>
          <w:p w14:paraId="1AF5162B" w14:textId="77777777" w:rsidR="0079127A" w:rsidRPr="0079127A" w:rsidRDefault="0079127A">
            <w:pPr>
              <w:numPr>
                <w:ilvl w:val="0"/>
                <w:numId w:val="41"/>
              </w:numPr>
              <w:contextualSpacing/>
              <w:rPr>
                <w:rFonts w:eastAsia="Calibri" w:cstheme="minorHAnsi"/>
                <w:sz w:val="18"/>
                <w:szCs w:val="18"/>
              </w:rPr>
            </w:pPr>
            <w:r w:rsidRPr="0079127A">
              <w:rPr>
                <w:rFonts w:eastAsia="Calibri" w:cstheme="minorHAnsi"/>
                <w:sz w:val="18"/>
                <w:szCs w:val="18"/>
              </w:rPr>
              <w:t>Izrada analiza (elaborata) s preporukama za daljnje unaprjeđenje sustava gospodarenja posebnim kategorijama otpada u sustavu proširene odgovornosti proizvođača: otpadna ambalaža, otpadne gume, otpadna ulja, otpadne baterije i akumulatori, otpadna vozila, otpadna električna i elektronička oprema;</w:t>
            </w:r>
          </w:p>
          <w:p w14:paraId="47603DFF" w14:textId="77777777" w:rsidR="0079127A" w:rsidRPr="0079127A" w:rsidRDefault="0079127A">
            <w:pPr>
              <w:numPr>
                <w:ilvl w:val="0"/>
                <w:numId w:val="41"/>
              </w:numPr>
              <w:contextualSpacing/>
              <w:rPr>
                <w:rFonts w:eastAsia="Calibri" w:cstheme="minorHAnsi"/>
                <w:sz w:val="18"/>
                <w:szCs w:val="18"/>
              </w:rPr>
            </w:pPr>
            <w:r w:rsidRPr="0079127A">
              <w:rPr>
                <w:rFonts w:eastAsia="Calibri" w:cstheme="minorHAnsi"/>
                <w:sz w:val="18"/>
                <w:szCs w:val="18"/>
              </w:rPr>
              <w:t>Izrada analize za unaprjeđenje praćenja toka medicinskog otpada i postojećeg sustava obrade medicinskog otpada;</w:t>
            </w:r>
          </w:p>
          <w:p w14:paraId="52373953" w14:textId="77777777" w:rsidR="0079127A" w:rsidRPr="0079127A" w:rsidRDefault="0079127A">
            <w:pPr>
              <w:numPr>
                <w:ilvl w:val="0"/>
                <w:numId w:val="41"/>
              </w:numPr>
              <w:contextualSpacing/>
              <w:rPr>
                <w:rFonts w:eastAsia="Calibri" w:cstheme="minorHAnsi"/>
                <w:sz w:val="18"/>
                <w:szCs w:val="18"/>
              </w:rPr>
            </w:pPr>
            <w:r w:rsidRPr="0079127A">
              <w:rPr>
                <w:rFonts w:eastAsia="Calibri" w:cstheme="minorHAnsi"/>
                <w:sz w:val="18"/>
                <w:szCs w:val="18"/>
              </w:rPr>
              <w:t>Izrada analize sustava gospodarenja za jednokratne plastične proizvode s preporukama za unaprjeđenje sustava i za uspostavu sustava proširene odgovornosti proizvođača za proizvode koji nisu obuhvaćeni postojećim sustavom proširene odgovornosti proizvođača;</w:t>
            </w:r>
          </w:p>
          <w:p w14:paraId="2B9F0F41" w14:textId="77777777" w:rsidR="0079127A" w:rsidRPr="0079127A" w:rsidRDefault="0079127A">
            <w:pPr>
              <w:numPr>
                <w:ilvl w:val="0"/>
                <w:numId w:val="41"/>
              </w:numPr>
              <w:contextualSpacing/>
              <w:rPr>
                <w:rFonts w:eastAsia="Calibri" w:cstheme="minorHAnsi"/>
                <w:sz w:val="18"/>
                <w:szCs w:val="18"/>
              </w:rPr>
            </w:pPr>
            <w:r w:rsidRPr="0079127A">
              <w:rPr>
                <w:rFonts w:eastAsia="Calibri" w:cstheme="minorHAnsi"/>
                <w:sz w:val="18"/>
                <w:szCs w:val="18"/>
              </w:rPr>
              <w:t>Izrada studije procjena količina otpada koji potječe od ribolovnih alata koji sadrže plastiku i načina gospodarenja za potrebe uspostave sustava gospodarenja ribolovnim alatom koji sadrži plastiku;</w:t>
            </w:r>
          </w:p>
          <w:p w14:paraId="777A881B" w14:textId="77777777" w:rsidR="0079127A" w:rsidRPr="0079127A" w:rsidRDefault="0079127A">
            <w:pPr>
              <w:numPr>
                <w:ilvl w:val="0"/>
                <w:numId w:val="41"/>
              </w:numPr>
              <w:contextualSpacing/>
              <w:rPr>
                <w:rFonts w:eastAsia="Calibri" w:cstheme="minorHAnsi"/>
                <w:b/>
                <w:sz w:val="18"/>
                <w:szCs w:val="18"/>
              </w:rPr>
            </w:pPr>
            <w:r w:rsidRPr="0079127A">
              <w:rPr>
                <w:rFonts w:eastAsia="Calibri" w:cstheme="minorHAnsi"/>
                <w:sz w:val="18"/>
                <w:szCs w:val="18"/>
              </w:rPr>
              <w:t>Izrada studije procjene količine otpada koji sadrži azbest, po županijama i izrada analize potrebnog broja, lokacije i kapaciteta ploha za odlaganje građevnog otpada koji sadrži azbest;</w:t>
            </w:r>
          </w:p>
          <w:p w14:paraId="2E6D0652" w14:textId="670ECDAB" w:rsidR="001649D4" w:rsidRPr="0079127A" w:rsidRDefault="0079127A">
            <w:pPr>
              <w:numPr>
                <w:ilvl w:val="0"/>
                <w:numId w:val="41"/>
              </w:numPr>
              <w:contextualSpacing/>
              <w:rPr>
                <w:rFonts w:eastAsia="Calibri" w:cstheme="minorHAnsi"/>
                <w:b/>
                <w:sz w:val="18"/>
                <w:szCs w:val="18"/>
              </w:rPr>
            </w:pPr>
            <w:r w:rsidRPr="0079127A">
              <w:rPr>
                <w:rFonts w:eastAsia="Calibri" w:cstheme="minorHAnsi"/>
                <w:sz w:val="18"/>
                <w:szCs w:val="18"/>
              </w:rPr>
              <w:t>Izrada studije procjene količina proizvedenog građevnog otpada.</w:t>
            </w:r>
          </w:p>
        </w:tc>
      </w:tr>
      <w:tr w:rsidR="001649D4" w14:paraId="4872D5E8" w14:textId="77777777" w:rsidTr="001649D4">
        <w:tc>
          <w:tcPr>
            <w:tcW w:w="4508" w:type="dxa"/>
            <w:tcBorders>
              <w:top w:val="single" w:sz="4" w:space="0" w:color="auto"/>
              <w:left w:val="single" w:sz="4" w:space="0" w:color="auto"/>
              <w:bottom w:val="single" w:sz="4" w:space="0" w:color="auto"/>
              <w:right w:val="single" w:sz="4" w:space="0" w:color="auto"/>
            </w:tcBorders>
            <w:vAlign w:val="center"/>
            <w:hideMark/>
          </w:tcPr>
          <w:p w14:paraId="16F0FCA6" w14:textId="070FF119" w:rsidR="001649D4" w:rsidRDefault="001649D4">
            <w:pPr>
              <w:rPr>
                <w:rFonts w:cstheme="minorHAnsi"/>
                <w:b/>
                <w:bCs/>
                <w:sz w:val="18"/>
                <w:szCs w:val="18"/>
              </w:rPr>
            </w:pPr>
            <w:r>
              <w:rPr>
                <w:rFonts w:cstheme="minorHAnsi"/>
                <w:b/>
                <w:bCs/>
                <w:sz w:val="18"/>
                <w:szCs w:val="18"/>
              </w:rPr>
              <w:t xml:space="preserve">Mjera </w:t>
            </w:r>
            <w:r w:rsidR="0079127A">
              <w:rPr>
                <w:rFonts w:cstheme="minorHAnsi"/>
                <w:b/>
                <w:bCs/>
                <w:sz w:val="18"/>
                <w:szCs w:val="18"/>
              </w:rPr>
              <w:t>7</w:t>
            </w:r>
            <w:r>
              <w:rPr>
                <w:rFonts w:cstheme="minorHAnsi"/>
                <w:b/>
                <w:bCs/>
                <w:sz w:val="18"/>
                <w:szCs w:val="18"/>
              </w:rPr>
              <w:t xml:space="preserve">. </w:t>
            </w:r>
            <w:r w:rsidR="000A2891" w:rsidRPr="000A2891">
              <w:rPr>
                <w:rFonts w:cstheme="minorHAnsi"/>
                <w:b/>
                <w:bCs/>
                <w:sz w:val="18"/>
                <w:szCs w:val="18"/>
              </w:rPr>
              <w:t>Unaprjeđenje sustava za gospodarenje otpadnom ambalažom i uspostava sustava za gospodarenje otpadnim plastičnim proizvodima za jednokratnu uporabu i ribolovnim alatima koji sadrže plastiku.</w:t>
            </w:r>
          </w:p>
        </w:tc>
        <w:tc>
          <w:tcPr>
            <w:tcW w:w="4559" w:type="dxa"/>
            <w:tcBorders>
              <w:top w:val="single" w:sz="4" w:space="0" w:color="auto"/>
              <w:left w:val="single" w:sz="4" w:space="0" w:color="auto"/>
              <w:bottom w:val="single" w:sz="4" w:space="0" w:color="auto"/>
              <w:right w:val="single" w:sz="4" w:space="0" w:color="auto"/>
            </w:tcBorders>
            <w:hideMark/>
          </w:tcPr>
          <w:p w14:paraId="36193237" w14:textId="413C4112" w:rsidR="001649D4" w:rsidRDefault="001649D4">
            <w:pPr>
              <w:rPr>
                <w:rFonts w:cstheme="minorHAnsi"/>
                <w:sz w:val="18"/>
                <w:szCs w:val="18"/>
              </w:rPr>
            </w:pPr>
            <w:bookmarkStart w:id="331" w:name="_Hlk120896871"/>
            <w:r>
              <w:rPr>
                <w:rFonts w:cstheme="minorHAnsi"/>
                <w:sz w:val="18"/>
                <w:szCs w:val="18"/>
              </w:rPr>
              <w:t xml:space="preserve">Mjeru je potrebno provoditi u sinergiji s Mjerom </w:t>
            </w:r>
            <w:bookmarkEnd w:id="331"/>
            <w:r w:rsidR="0079127A">
              <w:rPr>
                <w:rFonts w:cstheme="minorHAnsi"/>
                <w:sz w:val="18"/>
                <w:szCs w:val="18"/>
              </w:rPr>
              <w:t>1</w:t>
            </w:r>
            <w:r>
              <w:rPr>
                <w:rFonts w:cstheme="minorHAnsi"/>
                <w:sz w:val="18"/>
                <w:szCs w:val="18"/>
              </w:rPr>
              <w:t xml:space="preserve">. - </w:t>
            </w:r>
            <w:r>
              <w:rPr>
                <w:rFonts w:cstheme="minorHAnsi"/>
                <w:i/>
                <w:iCs/>
                <w:sz w:val="18"/>
                <w:szCs w:val="18"/>
              </w:rPr>
              <w:t xml:space="preserve">Unaprjeđenje sustava za </w:t>
            </w:r>
            <w:r w:rsidR="0069517A">
              <w:rPr>
                <w:rFonts w:cstheme="minorHAnsi"/>
                <w:i/>
                <w:iCs/>
                <w:sz w:val="18"/>
                <w:szCs w:val="18"/>
              </w:rPr>
              <w:t xml:space="preserve">odvojeno </w:t>
            </w:r>
            <w:r>
              <w:rPr>
                <w:rFonts w:cstheme="minorHAnsi"/>
                <w:i/>
                <w:iCs/>
                <w:sz w:val="18"/>
                <w:szCs w:val="18"/>
              </w:rPr>
              <w:t>sakupljanje komunalnog otpada i infrastrukture (kapaciteta i tehnologije) za recikliranje i druge postupke oporabe komunalnog otpada</w:t>
            </w:r>
            <w:r>
              <w:rPr>
                <w:rFonts w:cstheme="minorHAnsi"/>
                <w:sz w:val="18"/>
                <w:szCs w:val="18"/>
              </w:rPr>
              <w:t xml:space="preserve">, a kojom su predviđene i aktivnosti povećanja kapaciteta i unaprjeđenja tehnologije postrojenja za sortiranje i recikliranje odvojenih frakcija iz komunalnog otpada. Dodatno, prilikom provedbe Mjere </w:t>
            </w:r>
            <w:r w:rsidR="0079127A">
              <w:rPr>
                <w:rFonts w:cstheme="minorHAnsi"/>
                <w:sz w:val="18"/>
                <w:szCs w:val="18"/>
              </w:rPr>
              <w:t>2</w:t>
            </w:r>
            <w:r>
              <w:rPr>
                <w:rFonts w:cstheme="minorHAnsi"/>
                <w:sz w:val="18"/>
                <w:szCs w:val="18"/>
              </w:rPr>
              <w:t xml:space="preserve">. </w:t>
            </w:r>
            <w:r>
              <w:rPr>
                <w:rFonts w:cstheme="minorHAnsi"/>
                <w:i/>
                <w:iCs/>
                <w:sz w:val="18"/>
                <w:szCs w:val="18"/>
              </w:rPr>
              <w:t>Jačanje svijesti, informiranja i edukacije o gospodarenju otpadom</w:t>
            </w:r>
            <w:r>
              <w:rPr>
                <w:rFonts w:cstheme="minorHAnsi"/>
                <w:sz w:val="18"/>
                <w:szCs w:val="18"/>
              </w:rPr>
              <w:t xml:space="preserve"> potrebno je tematski obuhvatiti i gospodarenje ovim kategorijama otpada.</w:t>
            </w:r>
          </w:p>
          <w:p w14:paraId="7FA82D83" w14:textId="77777777" w:rsidR="001649D4" w:rsidRDefault="001649D4">
            <w:pPr>
              <w:rPr>
                <w:rFonts w:cstheme="minorHAnsi"/>
                <w:sz w:val="18"/>
                <w:szCs w:val="18"/>
              </w:rPr>
            </w:pPr>
            <w:r>
              <w:rPr>
                <w:rFonts w:cstheme="minorHAnsi"/>
                <w:sz w:val="18"/>
                <w:szCs w:val="18"/>
              </w:rPr>
              <w:t>Također ovom mjerom su predviđene specifične aktivnosti koje obuhvaćaju:</w:t>
            </w:r>
          </w:p>
          <w:p w14:paraId="71E6EA01" w14:textId="77777777" w:rsidR="001649D4" w:rsidRDefault="001649D4">
            <w:pPr>
              <w:pStyle w:val="Odlomakpopisa"/>
              <w:numPr>
                <w:ilvl w:val="0"/>
                <w:numId w:val="17"/>
              </w:numPr>
              <w:rPr>
                <w:rFonts w:cstheme="minorHAnsi"/>
                <w:sz w:val="18"/>
                <w:szCs w:val="18"/>
              </w:rPr>
            </w:pPr>
            <w:r>
              <w:rPr>
                <w:rFonts w:cstheme="minorHAnsi"/>
                <w:sz w:val="18"/>
                <w:szCs w:val="18"/>
              </w:rPr>
              <w:t>provedbu projekata unaprjeđenja gospodarenja ambalažnim otpadom, otpadnim plastičnim proizvodima za jednokratnu uporabu i ribolovnim alatima koji sadrže plastiku;</w:t>
            </w:r>
          </w:p>
          <w:p w14:paraId="62328DB2" w14:textId="193D61E3" w:rsidR="001649D4" w:rsidRPr="002B6978" w:rsidRDefault="001649D4" w:rsidP="002B6978">
            <w:pPr>
              <w:pStyle w:val="Odlomakpopisa"/>
              <w:numPr>
                <w:ilvl w:val="0"/>
                <w:numId w:val="17"/>
              </w:numPr>
              <w:rPr>
                <w:rFonts w:cstheme="minorHAnsi"/>
                <w:sz w:val="18"/>
                <w:szCs w:val="18"/>
              </w:rPr>
            </w:pPr>
            <w:r>
              <w:rPr>
                <w:rFonts w:cstheme="minorHAnsi"/>
                <w:sz w:val="18"/>
                <w:szCs w:val="18"/>
              </w:rPr>
              <w:lastRenderedPageBreak/>
              <w:t>Organizaciju edukativnih radionica za privatni sektor u svrhu unaprjeđenja praćenja podataka i izvješćivanja sukladno zahtjevima Direktive 94/62/EC i Direktive (EU) 2019/904</w:t>
            </w:r>
          </w:p>
        </w:tc>
      </w:tr>
      <w:tr w:rsidR="001649D4" w14:paraId="237C6DC0" w14:textId="77777777" w:rsidTr="001649D4">
        <w:tc>
          <w:tcPr>
            <w:tcW w:w="4508" w:type="dxa"/>
            <w:tcBorders>
              <w:top w:val="single" w:sz="4" w:space="0" w:color="auto"/>
              <w:left w:val="single" w:sz="4" w:space="0" w:color="auto"/>
              <w:bottom w:val="single" w:sz="4" w:space="0" w:color="auto"/>
              <w:right w:val="single" w:sz="4" w:space="0" w:color="auto"/>
            </w:tcBorders>
            <w:vAlign w:val="center"/>
            <w:hideMark/>
          </w:tcPr>
          <w:p w14:paraId="788502DD" w14:textId="67FC8AF4" w:rsidR="001649D4" w:rsidRDefault="001649D4">
            <w:pPr>
              <w:rPr>
                <w:rFonts w:cstheme="minorHAnsi"/>
                <w:b/>
                <w:bCs/>
                <w:sz w:val="18"/>
                <w:szCs w:val="18"/>
              </w:rPr>
            </w:pPr>
            <w:r>
              <w:rPr>
                <w:rFonts w:cstheme="minorHAnsi"/>
                <w:b/>
                <w:bCs/>
                <w:sz w:val="18"/>
                <w:szCs w:val="18"/>
              </w:rPr>
              <w:lastRenderedPageBreak/>
              <w:t xml:space="preserve">Mjera </w:t>
            </w:r>
            <w:r w:rsidR="0079127A">
              <w:rPr>
                <w:rFonts w:cstheme="minorHAnsi"/>
                <w:b/>
                <w:bCs/>
                <w:sz w:val="18"/>
                <w:szCs w:val="18"/>
              </w:rPr>
              <w:t>8</w:t>
            </w:r>
            <w:r>
              <w:rPr>
                <w:rFonts w:cstheme="minorHAnsi"/>
                <w:b/>
                <w:bCs/>
                <w:sz w:val="18"/>
                <w:szCs w:val="18"/>
              </w:rPr>
              <w:t>. Unaprjeđenje sustava za gospodarenje građevnim otpadom i otpadom koji sadrži azbest</w:t>
            </w:r>
          </w:p>
        </w:tc>
        <w:tc>
          <w:tcPr>
            <w:tcW w:w="4559" w:type="dxa"/>
            <w:tcBorders>
              <w:top w:val="single" w:sz="4" w:space="0" w:color="auto"/>
              <w:left w:val="single" w:sz="4" w:space="0" w:color="auto"/>
              <w:bottom w:val="single" w:sz="4" w:space="0" w:color="auto"/>
              <w:right w:val="single" w:sz="4" w:space="0" w:color="auto"/>
            </w:tcBorders>
            <w:hideMark/>
          </w:tcPr>
          <w:p w14:paraId="21CBD378" w14:textId="23B81126" w:rsidR="001649D4" w:rsidRDefault="00952572" w:rsidP="00952572">
            <w:pPr>
              <w:rPr>
                <w:rFonts w:cstheme="minorHAnsi"/>
                <w:sz w:val="18"/>
                <w:szCs w:val="18"/>
              </w:rPr>
            </w:pPr>
            <w:bookmarkStart w:id="332" w:name="_Hlk120896821"/>
            <w:r w:rsidRPr="00952572">
              <w:rPr>
                <w:rFonts w:cstheme="minorHAnsi"/>
                <w:sz w:val="18"/>
                <w:szCs w:val="18"/>
              </w:rPr>
              <w:t xml:space="preserve">Unaprjeđenje sustava za gospodarenje građevnim otpadom i otpadom koji sadrži azbest osigurat će se provedbom mjera usmjerenih na jačanje suradnje između dionika, osiguranje odgovarajućih kapaciteta za sakupljanje Mjeru je potrebno provoditi u sinergiji s </w:t>
            </w:r>
            <w:r w:rsidRPr="00E11C93">
              <w:rPr>
                <w:rFonts w:cstheme="minorHAnsi"/>
                <w:i/>
                <w:iCs/>
                <w:sz w:val="18"/>
                <w:szCs w:val="18"/>
              </w:rPr>
              <w:t>Mjerom 13. Sanacija lokacija onečišćenih otpadom odbačenim u okoliš</w:t>
            </w:r>
            <w:r w:rsidRPr="00952572">
              <w:rPr>
                <w:rFonts w:cstheme="minorHAnsi"/>
                <w:sz w:val="18"/>
                <w:szCs w:val="18"/>
              </w:rPr>
              <w:t xml:space="preserve"> kojom je predviđena nabava tehnološke opreme (nadzorne kamere) radi efikasnijeg sprečavanja ilegalnog odbacivanja otpada i </w:t>
            </w:r>
            <w:r w:rsidRPr="00E11C93">
              <w:rPr>
                <w:rFonts w:cstheme="minorHAnsi"/>
                <w:i/>
                <w:iCs/>
                <w:sz w:val="18"/>
                <w:szCs w:val="18"/>
              </w:rPr>
              <w:t>Mjerom 14. Izrada i/ili unaprjeđenje aplikacija koje su dio informacijskog sustava gospodarenja otpadom</w:t>
            </w:r>
            <w:r w:rsidRPr="00952572">
              <w:rPr>
                <w:rFonts w:cstheme="minorHAnsi"/>
                <w:sz w:val="18"/>
                <w:szCs w:val="18"/>
              </w:rPr>
              <w:t xml:space="preserve"> kojom je predviđeno jačanje integracije e-ONTO i ROO u svrhu prikupljanja podataka o količinama sakupljenog i obrađenog otpada te unaprjeđenje mogućnosti korištenja ELOO aplikacije na mobilnim uređajima radi lakše anonimne prijave ilegalnog odbacivanja otpada.</w:t>
            </w:r>
            <w:bookmarkEnd w:id="332"/>
          </w:p>
        </w:tc>
      </w:tr>
      <w:tr w:rsidR="0079127A" w14:paraId="05E1FA1B" w14:textId="77777777" w:rsidTr="001649D4">
        <w:tc>
          <w:tcPr>
            <w:tcW w:w="4508" w:type="dxa"/>
            <w:tcBorders>
              <w:top w:val="single" w:sz="4" w:space="0" w:color="auto"/>
              <w:left w:val="single" w:sz="4" w:space="0" w:color="auto"/>
              <w:bottom w:val="single" w:sz="4" w:space="0" w:color="auto"/>
              <w:right w:val="single" w:sz="4" w:space="0" w:color="auto"/>
            </w:tcBorders>
            <w:vAlign w:val="center"/>
            <w:hideMark/>
          </w:tcPr>
          <w:p w14:paraId="778B1957" w14:textId="789430A7" w:rsidR="0079127A" w:rsidRPr="0079127A" w:rsidRDefault="0079127A" w:rsidP="0079127A">
            <w:pPr>
              <w:rPr>
                <w:rFonts w:cstheme="minorHAnsi"/>
                <w:b/>
                <w:bCs/>
                <w:color w:val="FF0000"/>
                <w:sz w:val="18"/>
                <w:szCs w:val="18"/>
              </w:rPr>
            </w:pPr>
            <w:r w:rsidRPr="002B6978">
              <w:rPr>
                <w:rFonts w:eastAsia="Calibri" w:cstheme="minorHAnsi"/>
                <w:b/>
                <w:bCs/>
                <w:sz w:val="18"/>
                <w:szCs w:val="18"/>
              </w:rPr>
              <w:t>Mjera 9. Unaprjeđenje sustava za gospodarenje otpadnim vozilima, otpadnim baterijama i akumulatorima, otpadnom električnom i elektroničkom opremom i otpadnim gumama</w:t>
            </w:r>
          </w:p>
        </w:tc>
        <w:tc>
          <w:tcPr>
            <w:tcW w:w="4559" w:type="dxa"/>
            <w:tcBorders>
              <w:top w:val="single" w:sz="4" w:space="0" w:color="auto"/>
              <w:left w:val="single" w:sz="4" w:space="0" w:color="auto"/>
              <w:bottom w:val="single" w:sz="4" w:space="0" w:color="auto"/>
              <w:right w:val="single" w:sz="4" w:space="0" w:color="auto"/>
            </w:tcBorders>
            <w:vAlign w:val="center"/>
            <w:hideMark/>
          </w:tcPr>
          <w:p w14:paraId="2E582075" w14:textId="170C9B9B" w:rsidR="0079127A" w:rsidRPr="00776655" w:rsidRDefault="00E85909" w:rsidP="0079127A">
            <w:pPr>
              <w:rPr>
                <w:rFonts w:cstheme="minorHAnsi"/>
                <w:color w:val="FF0000"/>
                <w:sz w:val="18"/>
                <w:szCs w:val="18"/>
                <w:highlight w:val="yellow"/>
              </w:rPr>
            </w:pPr>
            <w:r w:rsidRPr="00E85909">
              <w:rPr>
                <w:rFonts w:eastAsia="Calibri" w:cstheme="minorHAnsi"/>
                <w:bCs/>
                <w:sz w:val="18"/>
                <w:szCs w:val="18"/>
              </w:rPr>
              <w:t>Unaprjeđenje sustava gospodarenja otpadnim vozilima, otpadnim baterijama i akumulatorima, otpadnim uljima, otpadnom električnom i elektroničkom opremom i otpadnim gumama planira se kroz poticanje odvojenog sakupljanja, proširenje i unaprjeđenje postojećih sustava oporabe i/ili recikliranja te nadogradnju postojećih odnosno izgradnju novih postrojenja za otpad odnosno materijale i komponente za koje trenutno ne postoje kapaciteti za oporabu i/ili recikliranje.</w:t>
            </w:r>
          </w:p>
        </w:tc>
      </w:tr>
      <w:bookmarkEnd w:id="330"/>
    </w:tbl>
    <w:p w14:paraId="66057439" w14:textId="77471E3D" w:rsidR="001649D4" w:rsidRDefault="001649D4" w:rsidP="0079127A"/>
    <w:p w14:paraId="2DE36EE4" w14:textId="09018FFA" w:rsidR="0079127A" w:rsidRPr="0079127A" w:rsidRDefault="0079127A" w:rsidP="0079127A">
      <w:pPr>
        <w:shd w:val="clear" w:color="auto" w:fill="002060"/>
        <w:rPr>
          <w:b/>
          <w:bCs/>
          <w:highlight w:val="cyan"/>
        </w:rPr>
      </w:pPr>
      <w:bookmarkStart w:id="333" w:name="_Hlk118566944"/>
      <w:r w:rsidRPr="0079127A">
        <w:rPr>
          <w:b/>
          <w:bCs/>
        </w:rPr>
        <w:t xml:space="preserve">Mjera 6. Analiza </w:t>
      </w:r>
      <w:r w:rsidR="00E24240">
        <w:rPr>
          <w:b/>
          <w:bCs/>
        </w:rPr>
        <w:t xml:space="preserve">učinkovitosti </w:t>
      </w:r>
      <w:r w:rsidRPr="0079127A">
        <w:rPr>
          <w:b/>
          <w:bCs/>
        </w:rPr>
        <w:t>sustava za gospodarenje posebnim kategorijama otpada</w:t>
      </w:r>
      <w:r w:rsidR="00713167">
        <w:rPr>
          <w:b/>
          <w:bCs/>
        </w:rPr>
        <w:t xml:space="preserve"> </w:t>
      </w:r>
      <w:r w:rsidR="00713167" w:rsidRPr="00713167">
        <w:rPr>
          <w:b/>
          <w:bCs/>
        </w:rPr>
        <w:t>s prijedlozima za unaprjeđenje</w:t>
      </w:r>
    </w:p>
    <w:p w14:paraId="77BCE36D" w14:textId="4D739F7E" w:rsidR="0079127A" w:rsidRDefault="0079127A" w:rsidP="00FE2B01">
      <w:r w:rsidRPr="0062581D">
        <w:t>Proširen</w:t>
      </w:r>
      <w:r w:rsidR="0062581D" w:rsidRPr="0062581D">
        <w:t>a</w:t>
      </w:r>
      <w:r w:rsidRPr="0062581D">
        <w:t xml:space="preserve"> odgovornost proizvođača (EPR) je ekonomski model usmjeren na jačanje sprečavanja</w:t>
      </w:r>
      <w:r>
        <w:t xml:space="preserve"> nastanka otpada, ponovne uporabe, recikliranja i druge oporabe otpada, a u skladu s Direktivom 2008/98/EZ te posebnim propisima (direktivama) koji zasebno reguliraju pojedinu posebnu kategoriju otpada (ambalažni otpad, otpadne baterije i akumulatori, otpadna vozila i dr.) uključujući i otpad od jednokratnih plastičnih proizvoda. U svrhu provedbe mjera i dostizanja ciljeva propisanih predmetnim EU propisima koje zahtijevaju kontinuirano unaprjeđenje i optimizaciju postojećih i uspostavu novih sustava ova mjera propisuje potrebu izrade stručnih analiza, podloga i preporuka koje će predstavljati pripremne aktivnosti za daljnji razvoj sustava gospodarenja tim kategorijama otpada.</w:t>
      </w:r>
      <w:r w:rsidR="00572AF1">
        <w:t xml:space="preserve"> </w:t>
      </w:r>
      <w:r w:rsidR="00572AF1" w:rsidRPr="00572AF1">
        <w:t>Navedeno će rezultirati i smanj</w:t>
      </w:r>
      <w:r w:rsidR="00F64809">
        <w:t>e</w:t>
      </w:r>
      <w:r w:rsidR="00572AF1">
        <w:t>nim</w:t>
      </w:r>
      <w:r w:rsidR="00572AF1" w:rsidRPr="00572AF1">
        <w:t xml:space="preserve"> količina</w:t>
      </w:r>
      <w:r w:rsidR="009E233E">
        <w:t>ma</w:t>
      </w:r>
      <w:r w:rsidR="00572AF1" w:rsidRPr="00572AF1">
        <w:t xml:space="preserve"> nereciklirane otpadne plastične ambalaže, a posljedično tome i nižim izno</w:t>
      </w:r>
      <w:r w:rsidR="00572AF1">
        <w:t>s</w:t>
      </w:r>
      <w:r w:rsidR="00572AF1" w:rsidRPr="00572AF1">
        <w:t>om naknade za nerecikliranu otpadnu plastičnu ambalažu koja je uvedena svim država</w:t>
      </w:r>
      <w:r w:rsidR="00572AF1">
        <w:t>ma</w:t>
      </w:r>
      <w:r w:rsidR="00572AF1" w:rsidRPr="00572AF1">
        <w:t xml:space="preserve"> članica</w:t>
      </w:r>
      <w:r w:rsidR="00572AF1">
        <w:t>ma</w:t>
      </w:r>
      <w:r w:rsidR="001839B6">
        <w:t xml:space="preserve"> EU</w:t>
      </w:r>
      <w:r w:rsidR="00572AF1" w:rsidRPr="00572AF1">
        <w:t xml:space="preserve"> 2021. godine</w:t>
      </w:r>
      <w:r w:rsidR="00FE2B01">
        <w:t xml:space="preserve"> Odlukom Vijeća (EU, Euratom) 2020/2053 od 14. prosinca 2020. o sustavu vlastitih sredstava Europske unije te o stavljanju izvan snage Odluke 2014/335/EU, Euratom</w:t>
      </w:r>
      <w:r w:rsidR="00572AF1" w:rsidRPr="00572AF1">
        <w:t>.</w:t>
      </w:r>
    </w:p>
    <w:p w14:paraId="246DC35C" w14:textId="459BFAC3" w:rsidR="0079127A" w:rsidRDefault="00E85909" w:rsidP="0079127A">
      <w:r w:rsidRPr="00E85909">
        <w:t>Osim za unaprjeđenje gospodarenja otpadom iz EPR sustava, ova mjera predviđa i aktivnosti izrade analiza i studija i za druge vrste posebnih kategorija otpada poput medicinskog otpada, ribolovnog alata koji sadržava plastiku te jednokratnih plastičnih proizvoda koji još uvijek nisu dio EPR sustava, otpada koji sadrži azbest i građevnog otpada</w:t>
      </w:r>
      <w:r w:rsidR="0079127A">
        <w:t>.</w:t>
      </w:r>
    </w:p>
    <w:bookmarkEnd w:id="333"/>
    <w:p w14:paraId="768D0156" w14:textId="0CB49DEE" w:rsidR="0079127A" w:rsidRPr="0079127A" w:rsidRDefault="0079127A" w:rsidP="0079127A">
      <w:pPr>
        <w:shd w:val="clear" w:color="auto" w:fill="002060"/>
        <w:rPr>
          <w:b/>
          <w:bCs/>
        </w:rPr>
      </w:pPr>
      <w:r w:rsidRPr="0079127A">
        <w:rPr>
          <w:b/>
          <w:bCs/>
        </w:rPr>
        <w:lastRenderedPageBreak/>
        <w:t xml:space="preserve">Mjera 7. </w:t>
      </w:r>
      <w:r w:rsidR="000A2891" w:rsidRPr="000A2891">
        <w:rPr>
          <w:b/>
          <w:bCs/>
        </w:rPr>
        <w:t>Unaprjeđenje sustava za gospodarenje otpadnom ambalažom i uspostava sustava za gospodarenje otpadnim plastičnim proizvodima za jednokratnu uporabu i ribolovnim alatima koji sadrže plastiku</w:t>
      </w:r>
    </w:p>
    <w:p w14:paraId="0C0053F3" w14:textId="73D61267" w:rsidR="0079127A" w:rsidRDefault="0079127A" w:rsidP="0079127A">
      <w:r>
        <w:t>Sinergijski s mjerama i aktivnostima definiranim za ostvarenje Cilja 1 - Komunalni otpad dodatnim aktivnostima za provedbu ove mjere ciljano će se djelovati kako bi se unaprijedio sustav za gospodarenje otpadnom ambalažom, otpadnim plastičnim proizvodima za jednokratnu uporabu i ribolovnim alatima koji sadrže plastiku.</w:t>
      </w:r>
    </w:p>
    <w:p w14:paraId="03A14CC6" w14:textId="77777777" w:rsidR="0079127A" w:rsidRDefault="0079127A" w:rsidP="0079127A">
      <w:r>
        <w:t xml:space="preserve">Stoga će se provoditi aktivnosti smanjenja učinka na okoliš prouzročenog odbacivanjem otpada nastalog nakon potrošnje duhanskih proizvoda s filtrima koji sadržavaju plastiku. Provoditi će se priprema i provedba pilot-projekata gospodarenje otpadom od filtera iz duhanskih proizvoda u sklopu kojih bi se na pojedinim lokacijama uspostavila posebna infrastrukture za skupljanje otpada nastalog nakon potrošnje duhanskih proizvoda (npr. spremnici za opuške na mjestima na kojima se uobičajeno najviše odbacuje u okoliš, označavanje spremnika sa oznakama o štetnosti te vrste otpada po okoliš i dr.). </w:t>
      </w:r>
    </w:p>
    <w:p w14:paraId="5E0B03F2" w14:textId="77777777" w:rsidR="0079127A" w:rsidRDefault="0079127A" w:rsidP="0079127A">
      <w:r>
        <w:t xml:space="preserve">Osim unaprjeđenju sustava gospodarenja otpadom, organizacijom radionica za privatni sektor na temu pripreme izvještaja i dostave podataka nadležnim tijelima uključujući i pripremu edukativnih materijala doprinijeti će provedbi odredbi iz EU propisa kojima se državama članicama propisuje obveza izvješćivanja o provedbi propisa i dostizanju ciljeva. </w:t>
      </w:r>
    </w:p>
    <w:p w14:paraId="4CE70EBE" w14:textId="572D7899" w:rsidR="0079127A" w:rsidRPr="0079127A" w:rsidRDefault="0079127A" w:rsidP="0079127A">
      <w:pPr>
        <w:shd w:val="clear" w:color="auto" w:fill="002060"/>
        <w:rPr>
          <w:b/>
          <w:bCs/>
        </w:rPr>
      </w:pPr>
      <w:r w:rsidRPr="0079127A">
        <w:rPr>
          <w:b/>
          <w:bCs/>
        </w:rPr>
        <w:t>Mjera 8. Unaprjeđenje sustava za gospodarenje građevnim otpadom i otpadom koji sadrži azbest</w:t>
      </w:r>
    </w:p>
    <w:p w14:paraId="29D943EE" w14:textId="77777777" w:rsidR="00F872C2" w:rsidRDefault="00F872C2" w:rsidP="0079127A">
      <w:r>
        <w:t xml:space="preserve">Sinergijski s </w:t>
      </w:r>
      <w:r w:rsidRPr="00F872C2">
        <w:t>Mjerom 13. Sanacija lokacija onečišćenih otpadom odbačenim u okoliš i Mjerom 14. Izrada i/ili unaprjeđenje aplikacija koje su dio informacijskog sustava gospodarenja otpadom</w:t>
      </w:r>
      <w:r>
        <w:t>, p</w:t>
      </w:r>
      <w:r w:rsidRPr="00F872C2">
        <w:t xml:space="preserve">rovedba ove mjere doprinijet će učinkovitoj primjeni materijala i kružnom životnom ciklusu materijala, jačanju primjene reda prvenstva u gospodarenju otpadom, boljem monitoringu građevnog otpada, te smanjenju odlaganja i odbacivanju građevnog otpada u </w:t>
      </w:r>
      <w:commentRangeStart w:id="334"/>
      <w:r w:rsidRPr="00F872C2">
        <w:t>okoliš</w:t>
      </w:r>
      <w:commentRangeEnd w:id="334"/>
      <w:r w:rsidR="00542D46">
        <w:rPr>
          <w:rStyle w:val="Referencakomentara"/>
        </w:rPr>
        <w:commentReference w:id="334"/>
      </w:r>
      <w:r w:rsidRPr="00F872C2">
        <w:t xml:space="preserve">. </w:t>
      </w:r>
    </w:p>
    <w:p w14:paraId="27124ED2" w14:textId="5A312912" w:rsidR="0079127A" w:rsidRDefault="00F872C2" w:rsidP="0079127A">
      <w:r w:rsidRPr="00F872C2">
        <w:t>Kroz predviđeno jačanje mreža objekata za prikupljanje</w:t>
      </w:r>
      <w:r>
        <w:t xml:space="preserve"> odnosno izgradnju i opremanje općinskih i regionalnih </w:t>
      </w:r>
      <w:proofErr w:type="spellStart"/>
      <w:r>
        <w:t>reciklažnih</w:t>
      </w:r>
      <w:proofErr w:type="spellEnd"/>
      <w:r>
        <w:t xml:space="preserve"> dvorišta za građevni otpad</w:t>
      </w:r>
      <w:r w:rsidRPr="00F872C2">
        <w:t>, doprinijet će stvaranju suradnje između javnog i privatnog sektora u području gospodarenja građevnim otpadom.</w:t>
      </w:r>
    </w:p>
    <w:p w14:paraId="5F6779C4" w14:textId="5991F7EB" w:rsidR="00F872C2" w:rsidRDefault="00F872C2" w:rsidP="0079127A">
      <w:r w:rsidRPr="00F872C2">
        <w:t xml:space="preserve">U svrhu unaprjeđenja uključujući i skraćivanja provedbe postupka ukidanja statusa otpada za građevni otpad </w:t>
      </w:r>
      <w:r>
        <w:t>pripremit će se</w:t>
      </w:r>
      <w:r w:rsidRPr="00F872C2">
        <w:t xml:space="preserve"> smjernic</w:t>
      </w:r>
      <w:r>
        <w:t>e</w:t>
      </w:r>
      <w:r w:rsidRPr="00F872C2">
        <w:t xml:space="preserve"> koje će sadržavati i standardne formate za dokumentaciju za izdavanje odobrenja te primjere postupaka izdavanje odobrenja za ukidanje statusa otpada za građevni otpad. Navedeno će doprinijeti s</w:t>
      </w:r>
      <w:r w:rsidR="00523E8E">
        <w:t>manjenju</w:t>
      </w:r>
      <w:r w:rsidRPr="00F872C2">
        <w:t xml:space="preserve"> nepovjerenja u kvalitetu recikliranih materijala iz građevnog otpada i otpada od rušenja, koje ograničava potražnju za recikliranim materijalima iz građevnog otpada i otpada od rušenja, a time sprečava i razvoj infrastrukture za gospodarenje tom vrstom otpada.</w:t>
      </w:r>
    </w:p>
    <w:p w14:paraId="2592F23A" w14:textId="119D319C" w:rsidR="00F872C2" w:rsidRDefault="00F872C2" w:rsidP="0079127A">
      <w:r>
        <w:t xml:space="preserve">Također </w:t>
      </w:r>
      <w:r w:rsidR="00523E8E">
        <w:t>u skladu s konceptom kružnog gospodarstva predviđa se i</w:t>
      </w:r>
      <w:r w:rsidR="00523E8E" w:rsidRPr="00523E8E">
        <w:t xml:space="preserve">zrada uputa za odabir i </w:t>
      </w:r>
      <w:proofErr w:type="spellStart"/>
      <w:r w:rsidR="00523E8E" w:rsidRPr="00523E8E">
        <w:t>izdvanjanje</w:t>
      </w:r>
      <w:proofErr w:type="spellEnd"/>
      <w:r w:rsidR="00523E8E" w:rsidRPr="00523E8E">
        <w:t xml:space="preserve"> opasnog građevnog otpada</w:t>
      </w:r>
      <w:r w:rsidR="00523E8E">
        <w:t xml:space="preserve"> tijekom uklanjanja građevine, a u okviru </w:t>
      </w:r>
      <w:r w:rsidR="00523E8E" w:rsidRPr="00523E8E">
        <w:t>„Projekta uklanjanja građevine“, koji se izrađuje u skladu sa čl.76., Zakona o gradnji (NN 153/13, 20/2017, 39/19, 125/19)</w:t>
      </w:r>
      <w:r w:rsidR="00523E8E">
        <w:t xml:space="preserve">. </w:t>
      </w:r>
    </w:p>
    <w:p w14:paraId="644604EB" w14:textId="77777777" w:rsidR="00F872C2" w:rsidRDefault="00F872C2" w:rsidP="0079127A"/>
    <w:p w14:paraId="709EAAAB" w14:textId="77777777" w:rsidR="0079127A" w:rsidRPr="0079127A" w:rsidRDefault="0079127A" w:rsidP="0079127A">
      <w:pPr>
        <w:shd w:val="clear" w:color="auto" w:fill="002060"/>
        <w:rPr>
          <w:b/>
          <w:bCs/>
        </w:rPr>
      </w:pPr>
      <w:r w:rsidRPr="0079127A">
        <w:rPr>
          <w:b/>
          <w:bCs/>
        </w:rPr>
        <w:t xml:space="preserve">Mjera 9. Unaprjeđenje sustava za gospodarenje otpadnim vozilima, otpadnim baterijama i akumulatorima, otpadnom električnom i elektroničkom opremom i otpadnim gumama </w:t>
      </w:r>
    </w:p>
    <w:p w14:paraId="0FC89152" w14:textId="46BC38A6" w:rsidR="0079127A" w:rsidRDefault="00327FE9" w:rsidP="0079127A">
      <w:pPr>
        <w:rPr>
          <w:rFonts w:eastAsia="Calibri"/>
        </w:rPr>
      </w:pPr>
      <w:r w:rsidRPr="00AF0942">
        <w:rPr>
          <w:rFonts w:cstheme="minorHAnsi"/>
        </w:rPr>
        <w:t xml:space="preserve">U svrhu </w:t>
      </w:r>
      <w:proofErr w:type="spellStart"/>
      <w:r w:rsidRPr="00AF0942">
        <w:rPr>
          <w:rFonts w:cstheme="minorHAnsi"/>
        </w:rPr>
        <w:t>unaprijeđenja</w:t>
      </w:r>
      <w:proofErr w:type="spellEnd"/>
      <w:r w:rsidRPr="00AF0942">
        <w:rPr>
          <w:rFonts w:cstheme="minorHAnsi"/>
        </w:rPr>
        <w:t xml:space="preserve"> sustava za gospodarenje posebnim kategorijama otpada tj. u svrhu ostvarenja Ciljeva: 5 – Otpadna vozila, 6 – Otpadne baterije i akumulatori, 7 – Otpadna električna i elektronička </w:t>
      </w:r>
      <w:r w:rsidRPr="00AF0942">
        <w:rPr>
          <w:rFonts w:cstheme="minorHAnsi"/>
        </w:rPr>
        <w:lastRenderedPageBreak/>
        <w:t xml:space="preserve">oprema i 8 – Otpadne gume </w:t>
      </w:r>
      <w:r w:rsidRPr="00DE1B14">
        <w:rPr>
          <w:rFonts w:cstheme="minorHAnsi"/>
        </w:rPr>
        <w:t xml:space="preserve">predviđa se izrada </w:t>
      </w:r>
      <w:r w:rsidR="00DB3682" w:rsidRPr="00DE1B14">
        <w:rPr>
          <w:rFonts w:cstheme="minorHAnsi"/>
        </w:rPr>
        <w:t>studije izvodljivosti potrebnih kapaciteta za obradu posebnih kategorija otpada temeljem koje će se odrediti potrebni kapaciteti i</w:t>
      </w:r>
      <w:r w:rsidR="00AF0942" w:rsidRPr="00DE1B14">
        <w:rPr>
          <w:rFonts w:cstheme="minorHAnsi"/>
        </w:rPr>
        <w:t xml:space="preserve"> načini obrade otpada te</w:t>
      </w:r>
      <w:r w:rsidR="00DB3682" w:rsidRPr="00DE1B14">
        <w:rPr>
          <w:rFonts w:cstheme="minorHAnsi"/>
        </w:rPr>
        <w:t xml:space="preserve"> </w:t>
      </w:r>
      <w:r w:rsidR="00AF0942" w:rsidRPr="00DE1B14">
        <w:rPr>
          <w:rFonts w:cstheme="minorHAnsi"/>
        </w:rPr>
        <w:t xml:space="preserve">definirati </w:t>
      </w:r>
      <w:r w:rsidR="00DB3682" w:rsidRPr="00DE1B14">
        <w:rPr>
          <w:rFonts w:cstheme="minorHAnsi"/>
        </w:rPr>
        <w:t>aktivnosti za unaprjeđenje sustava gospodarenja otpadnim vozilima, otpadnim baterijama i akumulatorima, otpadnom električnom i elektroničkom opremom i otpadnim guma</w:t>
      </w:r>
      <w:r w:rsidR="00AF0942" w:rsidRPr="00DE1B14">
        <w:rPr>
          <w:rFonts w:cstheme="minorHAnsi"/>
        </w:rPr>
        <w:t xml:space="preserve">. Također, odrediti će se </w:t>
      </w:r>
      <w:r w:rsidR="00AF0942" w:rsidRPr="00AF0942">
        <w:rPr>
          <w:rFonts w:cstheme="minorHAnsi"/>
        </w:rPr>
        <w:t>visina investicije i izvori financiranja kao i druge preporuke o mjerama i aktivnostima neophodnim za unaprjeđenje sustava gospodarenja</w:t>
      </w:r>
      <w:r w:rsidR="00AF0942" w:rsidRPr="00DE1B14">
        <w:rPr>
          <w:rFonts w:cstheme="minorHAnsi"/>
        </w:rPr>
        <w:t xml:space="preserve"> predmetnim kategorijama otpada.</w:t>
      </w:r>
      <w:r w:rsidR="0079127A">
        <w:rPr>
          <w:rFonts w:eastAsia="Calibri"/>
        </w:rPr>
        <w:t xml:space="preserve"> </w:t>
      </w:r>
    </w:p>
    <w:tbl>
      <w:tblPr>
        <w:tblStyle w:val="TableGrid2"/>
        <w:tblW w:w="9207" w:type="dxa"/>
        <w:jc w:val="center"/>
        <w:tblLayout w:type="fixed"/>
        <w:tblLook w:val="04A0" w:firstRow="1" w:lastRow="0" w:firstColumn="1" w:lastColumn="0" w:noHBand="0" w:noVBand="1"/>
      </w:tblPr>
      <w:tblGrid>
        <w:gridCol w:w="1692"/>
        <w:gridCol w:w="992"/>
        <w:gridCol w:w="990"/>
        <w:gridCol w:w="7"/>
        <w:gridCol w:w="1125"/>
        <w:gridCol w:w="9"/>
        <w:gridCol w:w="1549"/>
        <w:gridCol w:w="854"/>
        <w:gridCol w:w="995"/>
        <w:gridCol w:w="994"/>
      </w:tblGrid>
      <w:tr w:rsidR="0079127A" w:rsidRPr="0079127A" w14:paraId="0FD7E8B4" w14:textId="77777777" w:rsidTr="002B6978">
        <w:trPr>
          <w:tblHeader/>
          <w:jc w:val="center"/>
        </w:trPr>
        <w:tc>
          <w:tcPr>
            <w:tcW w:w="9207" w:type="dxa"/>
            <w:gridSpan w:val="10"/>
            <w:tcBorders>
              <w:top w:val="single" w:sz="4" w:space="0" w:color="auto"/>
              <w:left w:val="single" w:sz="4" w:space="0" w:color="auto"/>
              <w:bottom w:val="single" w:sz="4" w:space="0" w:color="auto"/>
              <w:right w:val="single" w:sz="4" w:space="0" w:color="auto"/>
            </w:tcBorders>
            <w:shd w:val="clear" w:color="auto" w:fill="002060"/>
            <w:vAlign w:val="center"/>
            <w:hideMark/>
          </w:tcPr>
          <w:p w14:paraId="6B4D4EE0" w14:textId="77777777" w:rsidR="0079127A" w:rsidRPr="0079127A" w:rsidRDefault="0079127A">
            <w:pPr>
              <w:rPr>
                <w:rFonts w:eastAsia="Calibri" w:cstheme="minorHAnsi"/>
                <w:b/>
                <w:bCs/>
                <w:sz w:val="18"/>
                <w:szCs w:val="18"/>
              </w:rPr>
            </w:pPr>
            <w:r w:rsidRPr="0079127A">
              <w:rPr>
                <w:rFonts w:eastAsia="Calibri" w:cstheme="minorHAnsi"/>
                <w:b/>
                <w:bCs/>
                <w:sz w:val="18"/>
                <w:szCs w:val="18"/>
              </w:rPr>
              <w:t>Mjere za ostvarenja Cilja 2. – Otpadna ambalaža, Cilja 3. - Otpadni plastični proizvodi za jednokratnu uporabu, Cilja 4. - Građevni otpad, Cilja 5. – Otpadna vozila, Cilja 6. – Otpadne baterije i akumulatori, Cilja 7. – Otpadna električna i elektronička oprema, Cilja 8. – Otpadne gume i Cilja 9. – Ostale posebne kategorije otpada</w:t>
            </w:r>
          </w:p>
        </w:tc>
      </w:tr>
      <w:tr w:rsidR="0079127A" w:rsidRPr="0079127A" w14:paraId="21345A93" w14:textId="77777777" w:rsidTr="00DE1B14">
        <w:trPr>
          <w:trHeight w:val="405"/>
          <w:tblHeader/>
          <w:jc w:val="center"/>
        </w:trPr>
        <w:tc>
          <w:tcPr>
            <w:tcW w:w="1692"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690708A5" w14:textId="77777777" w:rsidR="0079127A" w:rsidRPr="0079127A" w:rsidRDefault="0079127A">
            <w:pPr>
              <w:jc w:val="center"/>
              <w:rPr>
                <w:rFonts w:eastAsia="Calibri" w:cstheme="minorHAnsi"/>
                <w:b/>
                <w:bCs/>
                <w:sz w:val="18"/>
                <w:szCs w:val="18"/>
              </w:rPr>
            </w:pPr>
            <w:r w:rsidRPr="0079127A">
              <w:rPr>
                <w:rFonts w:eastAsia="Calibri" w:cstheme="minorHAnsi"/>
                <w:b/>
                <w:bCs/>
                <w:sz w:val="18"/>
                <w:szCs w:val="18"/>
              </w:rPr>
              <w:t>Aktivnost (A)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DE3982D" w14:textId="77777777" w:rsidR="0079127A" w:rsidRPr="0079127A" w:rsidRDefault="0079127A">
            <w:pPr>
              <w:jc w:val="center"/>
              <w:rPr>
                <w:rFonts w:eastAsia="Calibri" w:cstheme="minorHAnsi"/>
                <w:b/>
                <w:bCs/>
                <w:sz w:val="18"/>
                <w:szCs w:val="18"/>
              </w:rPr>
            </w:pPr>
            <w:r w:rsidRPr="0079127A">
              <w:rPr>
                <w:rFonts w:eastAsia="Calibri" w:cstheme="minorHAnsi"/>
                <w:b/>
                <w:bCs/>
                <w:sz w:val="18"/>
                <w:szCs w:val="18"/>
              </w:rPr>
              <w:t>Nositelj</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2F51E851" w14:textId="77777777" w:rsidR="0079127A" w:rsidRPr="0079127A" w:rsidRDefault="0079127A">
            <w:pPr>
              <w:jc w:val="center"/>
              <w:rPr>
                <w:rFonts w:eastAsia="Calibri" w:cstheme="minorHAnsi"/>
                <w:b/>
                <w:bCs/>
                <w:sz w:val="18"/>
                <w:szCs w:val="18"/>
              </w:rPr>
            </w:pPr>
            <w:proofErr w:type="spellStart"/>
            <w:r w:rsidRPr="0079127A">
              <w:rPr>
                <w:rFonts w:eastAsia="Calibri" w:cstheme="minorHAnsi"/>
                <w:b/>
                <w:bCs/>
                <w:sz w:val="18"/>
                <w:szCs w:val="18"/>
              </w:rPr>
              <w:t>Sunositelj</w:t>
            </w:r>
            <w:proofErr w:type="spellEnd"/>
          </w:p>
        </w:tc>
        <w:tc>
          <w:tcPr>
            <w:tcW w:w="1132"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744A2977" w14:textId="77777777" w:rsidR="0079127A" w:rsidRPr="0079127A" w:rsidRDefault="0079127A">
            <w:pPr>
              <w:jc w:val="center"/>
              <w:rPr>
                <w:rFonts w:eastAsia="Calibri" w:cstheme="minorHAnsi"/>
                <w:b/>
                <w:bCs/>
                <w:sz w:val="18"/>
                <w:szCs w:val="18"/>
              </w:rPr>
            </w:pPr>
            <w:r w:rsidRPr="0079127A">
              <w:rPr>
                <w:rFonts w:eastAsia="Calibri" w:cstheme="minorHAnsi"/>
                <w:b/>
                <w:bCs/>
                <w:sz w:val="18"/>
                <w:szCs w:val="18"/>
              </w:rPr>
              <w:t>Mogući izvori financiranja</w:t>
            </w:r>
          </w:p>
        </w:tc>
        <w:tc>
          <w:tcPr>
            <w:tcW w:w="3407"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C25A35A" w14:textId="77777777" w:rsidR="0079127A" w:rsidRPr="0079127A" w:rsidRDefault="0079127A">
            <w:pPr>
              <w:jc w:val="center"/>
              <w:rPr>
                <w:rFonts w:eastAsia="Calibri" w:cstheme="minorHAnsi"/>
                <w:b/>
                <w:bCs/>
                <w:sz w:val="18"/>
                <w:szCs w:val="18"/>
              </w:rPr>
            </w:pPr>
            <w:r w:rsidRPr="0079127A">
              <w:rPr>
                <w:rFonts w:eastAsia="Calibri" w:cstheme="minorHAnsi"/>
                <w:b/>
                <w:bCs/>
                <w:sz w:val="18"/>
                <w:szCs w:val="18"/>
              </w:rPr>
              <w:t>Pokazatelj ostvarenja</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2AF8ADE8" w14:textId="77777777" w:rsidR="0079127A" w:rsidRPr="0079127A" w:rsidRDefault="0079127A">
            <w:pPr>
              <w:jc w:val="center"/>
              <w:rPr>
                <w:rFonts w:eastAsia="Calibri" w:cstheme="minorHAnsi"/>
                <w:b/>
                <w:bCs/>
                <w:sz w:val="18"/>
                <w:szCs w:val="18"/>
              </w:rPr>
            </w:pPr>
            <w:r w:rsidRPr="0079127A">
              <w:rPr>
                <w:rFonts w:eastAsia="Calibri" w:cstheme="minorHAnsi"/>
                <w:b/>
                <w:bCs/>
                <w:sz w:val="18"/>
                <w:szCs w:val="18"/>
              </w:rPr>
              <w:t>Rok provedbe</w:t>
            </w:r>
          </w:p>
        </w:tc>
      </w:tr>
      <w:tr w:rsidR="0079127A" w:rsidRPr="0079127A" w14:paraId="0290FC67" w14:textId="77777777" w:rsidTr="00DE1B14">
        <w:trPr>
          <w:trHeight w:val="405"/>
          <w:jc w:val="center"/>
        </w:trPr>
        <w:tc>
          <w:tcPr>
            <w:tcW w:w="1692" w:type="dxa"/>
            <w:vMerge/>
            <w:tcBorders>
              <w:top w:val="single" w:sz="4" w:space="0" w:color="auto"/>
              <w:left w:val="single" w:sz="4" w:space="0" w:color="auto"/>
              <w:bottom w:val="single" w:sz="4" w:space="0" w:color="auto"/>
              <w:right w:val="single" w:sz="4" w:space="0" w:color="auto"/>
            </w:tcBorders>
            <w:vAlign w:val="center"/>
            <w:hideMark/>
          </w:tcPr>
          <w:p w14:paraId="70838334" w14:textId="77777777" w:rsidR="0079127A" w:rsidRPr="0079127A" w:rsidRDefault="0079127A">
            <w:pPr>
              <w:rPr>
                <w:rFonts w:eastAsia="Calibri" w:cstheme="minorHAnsi"/>
                <w:b/>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4D5EE0" w14:textId="77777777" w:rsidR="0079127A" w:rsidRPr="0079127A" w:rsidRDefault="0079127A">
            <w:pPr>
              <w:rPr>
                <w:rFonts w:eastAsia="Calibri" w:cstheme="minorHAnsi"/>
                <w:b/>
                <w:bCs/>
                <w:sz w:val="18"/>
                <w:szCs w:val="18"/>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33D69F4" w14:textId="77777777" w:rsidR="0079127A" w:rsidRPr="0079127A" w:rsidRDefault="0079127A">
            <w:pPr>
              <w:rPr>
                <w:rFonts w:eastAsia="Calibri" w:cstheme="minorHAnsi"/>
                <w:b/>
                <w:bCs/>
                <w:sz w:val="18"/>
                <w:szCs w:val="18"/>
              </w:rPr>
            </w:pPr>
          </w:p>
        </w:tc>
        <w:tc>
          <w:tcPr>
            <w:tcW w:w="1132" w:type="dxa"/>
            <w:gridSpan w:val="2"/>
            <w:vMerge/>
            <w:tcBorders>
              <w:top w:val="single" w:sz="4" w:space="0" w:color="auto"/>
              <w:left w:val="single" w:sz="4" w:space="0" w:color="auto"/>
              <w:bottom w:val="single" w:sz="4" w:space="0" w:color="auto"/>
              <w:right w:val="single" w:sz="4" w:space="0" w:color="auto"/>
            </w:tcBorders>
            <w:vAlign w:val="center"/>
            <w:hideMark/>
          </w:tcPr>
          <w:p w14:paraId="5616806B" w14:textId="77777777" w:rsidR="0079127A" w:rsidRPr="0079127A" w:rsidRDefault="0079127A">
            <w:pPr>
              <w:rPr>
                <w:rFonts w:eastAsia="Calibri" w:cstheme="minorHAnsi"/>
                <w:b/>
                <w:bCs/>
                <w:sz w:val="18"/>
                <w:szCs w:val="18"/>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38497BBD" w14:textId="77777777" w:rsidR="0079127A" w:rsidRPr="0079127A" w:rsidRDefault="0079127A">
            <w:pPr>
              <w:jc w:val="center"/>
              <w:rPr>
                <w:rFonts w:eastAsia="Calibri" w:cstheme="minorHAnsi"/>
                <w:b/>
                <w:bCs/>
                <w:sz w:val="18"/>
                <w:szCs w:val="18"/>
              </w:rPr>
            </w:pPr>
            <w:r w:rsidRPr="0079127A">
              <w:rPr>
                <w:rFonts w:eastAsia="Calibri" w:cstheme="minorHAnsi"/>
                <w:b/>
                <w:bCs/>
                <w:sz w:val="18"/>
                <w:szCs w:val="18"/>
              </w:rPr>
              <w:t>Naziv</w:t>
            </w:r>
          </w:p>
        </w:tc>
        <w:tc>
          <w:tcPr>
            <w:tcW w:w="854"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61CC697" w14:textId="77777777" w:rsidR="0079127A" w:rsidRPr="0079127A" w:rsidRDefault="0079127A">
            <w:pPr>
              <w:jc w:val="center"/>
              <w:rPr>
                <w:rFonts w:eastAsia="Calibri" w:cstheme="minorHAnsi"/>
                <w:b/>
                <w:bCs/>
                <w:sz w:val="18"/>
                <w:szCs w:val="18"/>
              </w:rPr>
            </w:pPr>
            <w:r w:rsidRPr="0079127A">
              <w:rPr>
                <w:rFonts w:eastAsia="Calibri" w:cstheme="minorHAnsi"/>
                <w:b/>
                <w:bCs/>
                <w:sz w:val="18"/>
                <w:szCs w:val="18"/>
              </w:rPr>
              <w:t>Mjerna jedinica</w:t>
            </w:r>
          </w:p>
        </w:tc>
        <w:tc>
          <w:tcPr>
            <w:tcW w:w="99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8FB9341" w14:textId="77777777" w:rsidR="0079127A" w:rsidRPr="0079127A" w:rsidRDefault="0079127A">
            <w:pPr>
              <w:jc w:val="center"/>
              <w:rPr>
                <w:rFonts w:eastAsia="Calibri" w:cstheme="minorHAnsi"/>
                <w:b/>
                <w:bCs/>
                <w:sz w:val="18"/>
                <w:szCs w:val="18"/>
              </w:rPr>
            </w:pPr>
            <w:r w:rsidRPr="0079127A">
              <w:rPr>
                <w:rFonts w:eastAsia="Calibri" w:cstheme="minorHAnsi"/>
                <w:b/>
                <w:bCs/>
                <w:sz w:val="18"/>
                <w:szCs w:val="18"/>
              </w:rPr>
              <w:t>Ciljana vrijednost</w:t>
            </w: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764CFCF3" w14:textId="77777777" w:rsidR="0079127A" w:rsidRPr="0079127A" w:rsidRDefault="0079127A">
            <w:pPr>
              <w:rPr>
                <w:rFonts w:eastAsia="Calibri" w:cstheme="minorHAnsi"/>
                <w:b/>
                <w:bCs/>
                <w:sz w:val="18"/>
                <w:szCs w:val="18"/>
              </w:rPr>
            </w:pPr>
          </w:p>
        </w:tc>
      </w:tr>
      <w:tr w:rsidR="0079127A" w:rsidRPr="0079127A" w14:paraId="34244F8E" w14:textId="77777777" w:rsidTr="002B6978">
        <w:trPr>
          <w:jc w:val="center"/>
        </w:trPr>
        <w:tc>
          <w:tcPr>
            <w:tcW w:w="9207" w:type="dxa"/>
            <w:gridSpan w:val="10"/>
            <w:tcBorders>
              <w:top w:val="single" w:sz="4" w:space="0" w:color="auto"/>
              <w:left w:val="single" w:sz="4" w:space="0" w:color="auto"/>
              <w:bottom w:val="single" w:sz="4" w:space="0" w:color="auto"/>
              <w:right w:val="single" w:sz="4" w:space="0" w:color="auto"/>
            </w:tcBorders>
            <w:shd w:val="clear" w:color="auto" w:fill="5B9BD5"/>
            <w:vAlign w:val="center"/>
            <w:hideMark/>
          </w:tcPr>
          <w:p w14:paraId="0F2FB44B" w14:textId="11974BB3" w:rsidR="0079127A" w:rsidRPr="0079127A" w:rsidRDefault="0079127A">
            <w:pPr>
              <w:rPr>
                <w:rFonts w:eastAsia="Calibri" w:cstheme="minorHAnsi"/>
                <w:b/>
                <w:bCs/>
                <w:sz w:val="18"/>
                <w:szCs w:val="18"/>
              </w:rPr>
            </w:pPr>
            <w:r w:rsidRPr="0079127A">
              <w:rPr>
                <w:rFonts w:eastAsia="Calibri" w:cstheme="minorHAnsi"/>
                <w:b/>
                <w:bCs/>
                <w:sz w:val="18"/>
                <w:szCs w:val="18"/>
              </w:rPr>
              <w:t>Mjera 6. Analiza sustava za gospodarenje posebnim kategorijama otpada</w:t>
            </w:r>
            <w:r w:rsidR="00344A35">
              <w:rPr>
                <w:rFonts w:eastAsia="Calibri" w:cstheme="minorHAnsi"/>
                <w:b/>
                <w:bCs/>
                <w:sz w:val="18"/>
                <w:szCs w:val="18"/>
              </w:rPr>
              <w:t xml:space="preserve"> </w:t>
            </w:r>
            <w:r w:rsidR="00344A35" w:rsidRPr="00344A35">
              <w:rPr>
                <w:rFonts w:eastAsia="Calibri" w:cstheme="minorHAnsi"/>
                <w:b/>
                <w:bCs/>
                <w:sz w:val="18"/>
                <w:szCs w:val="18"/>
              </w:rPr>
              <w:t>s prijedlozima za unaprijeđenije</w:t>
            </w:r>
          </w:p>
        </w:tc>
      </w:tr>
      <w:tr w:rsidR="0079127A" w:rsidRPr="0079127A" w14:paraId="1E1AC24B" w14:textId="77777777" w:rsidTr="00DE1B14">
        <w:trPr>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14:paraId="700CCECD" w14:textId="77777777" w:rsidR="0079127A" w:rsidRPr="0079127A" w:rsidRDefault="0079127A" w:rsidP="00477D04">
            <w:pPr>
              <w:jc w:val="left"/>
              <w:rPr>
                <w:rFonts w:eastAsia="Calibri" w:cstheme="minorHAnsi"/>
                <w:sz w:val="18"/>
                <w:szCs w:val="18"/>
              </w:rPr>
            </w:pPr>
            <w:r w:rsidRPr="0079127A">
              <w:rPr>
                <w:rFonts w:eastAsia="Calibri" w:cstheme="minorHAnsi"/>
                <w:sz w:val="18"/>
                <w:szCs w:val="18"/>
              </w:rPr>
              <w:t>A 6.1. Izrada analiza postojećih sustava gospodarenja posebnim kategorijama otpada u sustavu proširene odgovornosti proizvođača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6694F8" w14:textId="77777777" w:rsidR="0079127A" w:rsidRPr="0079127A" w:rsidRDefault="0079127A">
            <w:pPr>
              <w:rPr>
                <w:rFonts w:eastAsia="Calibri" w:cstheme="minorHAnsi"/>
                <w:sz w:val="18"/>
                <w:szCs w:val="18"/>
              </w:rPr>
            </w:pPr>
            <w:r w:rsidRPr="0079127A">
              <w:rPr>
                <w:rFonts w:eastAsia="Calibri" w:cstheme="minorHAnsi"/>
                <w:sz w:val="18"/>
                <w:szCs w:val="18"/>
              </w:rPr>
              <w:t>FZOEU</w:t>
            </w:r>
          </w:p>
        </w:tc>
        <w:tc>
          <w:tcPr>
            <w:tcW w:w="990" w:type="dxa"/>
            <w:tcBorders>
              <w:top w:val="single" w:sz="4" w:space="0" w:color="auto"/>
              <w:left w:val="single" w:sz="4" w:space="0" w:color="auto"/>
              <w:bottom w:val="single" w:sz="4" w:space="0" w:color="auto"/>
              <w:right w:val="single" w:sz="4" w:space="0" w:color="auto"/>
            </w:tcBorders>
            <w:vAlign w:val="center"/>
            <w:hideMark/>
          </w:tcPr>
          <w:p w14:paraId="186DC9BC" w14:textId="77777777" w:rsidR="0079127A" w:rsidRPr="0079127A" w:rsidRDefault="0079127A">
            <w:pPr>
              <w:rPr>
                <w:rFonts w:eastAsia="Calibri" w:cstheme="minorHAnsi"/>
                <w:sz w:val="18"/>
                <w:szCs w:val="18"/>
              </w:rPr>
            </w:pPr>
            <w:r w:rsidRPr="0079127A">
              <w:rPr>
                <w:rFonts w:eastAsia="Calibri" w:cstheme="minorHAnsi"/>
                <w:sz w:val="18"/>
                <w:szCs w:val="18"/>
              </w:rPr>
              <w:t>MINGOR</w:t>
            </w:r>
          </w:p>
        </w:tc>
        <w:tc>
          <w:tcPr>
            <w:tcW w:w="1132" w:type="dxa"/>
            <w:gridSpan w:val="2"/>
            <w:tcBorders>
              <w:top w:val="single" w:sz="4" w:space="0" w:color="auto"/>
              <w:left w:val="single" w:sz="4" w:space="0" w:color="auto"/>
              <w:bottom w:val="single" w:sz="4" w:space="0" w:color="auto"/>
              <w:right w:val="single" w:sz="4" w:space="0" w:color="auto"/>
            </w:tcBorders>
            <w:vAlign w:val="center"/>
            <w:hideMark/>
          </w:tcPr>
          <w:p w14:paraId="46E0EA64" w14:textId="77777777" w:rsidR="0079127A" w:rsidRPr="0079127A" w:rsidRDefault="0079127A">
            <w:pPr>
              <w:rPr>
                <w:rFonts w:eastAsia="Calibri" w:cstheme="minorHAnsi"/>
                <w:sz w:val="18"/>
                <w:szCs w:val="18"/>
              </w:rPr>
            </w:pPr>
            <w:r w:rsidRPr="0079127A">
              <w:rPr>
                <w:rFonts w:eastAsia="Calibri" w:cstheme="minorHAnsi"/>
                <w:sz w:val="18"/>
                <w:szCs w:val="18"/>
              </w:rPr>
              <w:t>FZOEU</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3D8CE7E7" w14:textId="77777777" w:rsidR="0079127A" w:rsidRPr="0079127A" w:rsidRDefault="0079127A">
            <w:pPr>
              <w:rPr>
                <w:rFonts w:eastAsia="Calibri" w:cstheme="minorHAnsi"/>
                <w:sz w:val="18"/>
                <w:szCs w:val="18"/>
              </w:rPr>
            </w:pPr>
            <w:r w:rsidRPr="0079127A">
              <w:rPr>
                <w:rFonts w:eastAsia="Calibri" w:cstheme="minorHAnsi"/>
                <w:sz w:val="18"/>
                <w:szCs w:val="18"/>
              </w:rPr>
              <w:t>Izrađene analize postojećih sustava gospodarenja posebnim kategorijama otpada u sustavu proširene odgovornosti proizvođača</w:t>
            </w:r>
          </w:p>
        </w:tc>
        <w:tc>
          <w:tcPr>
            <w:tcW w:w="854" w:type="dxa"/>
            <w:tcBorders>
              <w:top w:val="single" w:sz="4" w:space="0" w:color="auto"/>
              <w:left w:val="single" w:sz="4" w:space="0" w:color="auto"/>
              <w:bottom w:val="single" w:sz="4" w:space="0" w:color="auto"/>
              <w:right w:val="single" w:sz="4" w:space="0" w:color="auto"/>
            </w:tcBorders>
            <w:vAlign w:val="center"/>
            <w:hideMark/>
          </w:tcPr>
          <w:p w14:paraId="61A96022" w14:textId="77777777" w:rsidR="0079127A" w:rsidRPr="0079127A" w:rsidRDefault="0079127A">
            <w:pPr>
              <w:rPr>
                <w:rFonts w:eastAsia="Calibri" w:cstheme="minorHAnsi"/>
                <w:sz w:val="18"/>
                <w:szCs w:val="18"/>
              </w:rPr>
            </w:pPr>
            <w:r w:rsidRPr="0079127A">
              <w:rPr>
                <w:rFonts w:eastAsia="Calibri" w:cstheme="minorHAnsi"/>
                <w:sz w:val="18"/>
                <w:szCs w:val="18"/>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39D9E2AD" w14:textId="5E3702D8" w:rsidR="0079127A" w:rsidRPr="0079127A" w:rsidRDefault="00BD7E7D">
            <w:pPr>
              <w:rPr>
                <w:rFonts w:eastAsia="Calibri" w:cstheme="minorHAnsi"/>
                <w:sz w:val="18"/>
                <w:szCs w:val="18"/>
              </w:rPr>
            </w:pPr>
            <w:r>
              <w:rPr>
                <w:rFonts w:eastAsia="Calibri" w:cstheme="minorHAnsi"/>
                <w:sz w:val="18"/>
                <w:szCs w:val="18"/>
              </w:rPr>
              <w:t>1</w:t>
            </w:r>
          </w:p>
        </w:tc>
        <w:tc>
          <w:tcPr>
            <w:tcW w:w="994" w:type="dxa"/>
            <w:tcBorders>
              <w:top w:val="single" w:sz="4" w:space="0" w:color="auto"/>
              <w:left w:val="single" w:sz="4" w:space="0" w:color="auto"/>
              <w:bottom w:val="single" w:sz="4" w:space="0" w:color="auto"/>
              <w:right w:val="single" w:sz="4" w:space="0" w:color="auto"/>
            </w:tcBorders>
            <w:vAlign w:val="center"/>
            <w:hideMark/>
          </w:tcPr>
          <w:p w14:paraId="76D9D705" w14:textId="14137A73" w:rsidR="0079127A" w:rsidRPr="0079127A" w:rsidRDefault="0079127A">
            <w:pPr>
              <w:jc w:val="center"/>
              <w:rPr>
                <w:rFonts w:eastAsia="Calibri" w:cstheme="minorHAnsi"/>
                <w:sz w:val="18"/>
                <w:szCs w:val="18"/>
              </w:rPr>
            </w:pPr>
            <w:r w:rsidRPr="0079127A">
              <w:rPr>
                <w:rFonts w:eastAsia="Calibri" w:cstheme="minorHAnsi"/>
                <w:sz w:val="18"/>
                <w:szCs w:val="18"/>
              </w:rPr>
              <w:t>202</w:t>
            </w:r>
            <w:r w:rsidR="00F42D39">
              <w:rPr>
                <w:rFonts w:eastAsia="Calibri" w:cstheme="minorHAnsi"/>
                <w:sz w:val="18"/>
                <w:szCs w:val="18"/>
              </w:rPr>
              <w:t>4</w:t>
            </w:r>
            <w:r w:rsidRPr="0079127A">
              <w:rPr>
                <w:rFonts w:eastAsia="Calibri" w:cstheme="minorHAnsi"/>
                <w:sz w:val="18"/>
                <w:szCs w:val="18"/>
              </w:rPr>
              <w:t>.</w:t>
            </w:r>
          </w:p>
        </w:tc>
      </w:tr>
      <w:tr w:rsidR="0079127A" w:rsidRPr="0079127A" w14:paraId="7C448F07" w14:textId="77777777" w:rsidTr="00DE1B14">
        <w:trPr>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14:paraId="039C8B3F" w14:textId="77777777" w:rsidR="0079127A" w:rsidRPr="0079127A" w:rsidRDefault="0079127A" w:rsidP="00477D04">
            <w:pPr>
              <w:jc w:val="left"/>
              <w:rPr>
                <w:rFonts w:eastAsia="Calibri" w:cstheme="minorHAnsi"/>
                <w:sz w:val="18"/>
                <w:szCs w:val="18"/>
              </w:rPr>
            </w:pPr>
            <w:r w:rsidRPr="0079127A">
              <w:rPr>
                <w:rFonts w:eastAsia="Calibri" w:cstheme="minorHAnsi"/>
                <w:sz w:val="18"/>
                <w:szCs w:val="18"/>
              </w:rPr>
              <w:t>A 6.2 Izrada analize sustava gospodarenja medicinskim otpadom</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9694C1" w14:textId="77777777" w:rsidR="0079127A" w:rsidRPr="0079127A" w:rsidRDefault="0079127A">
            <w:pPr>
              <w:rPr>
                <w:rFonts w:eastAsia="Calibri" w:cstheme="minorHAnsi"/>
                <w:sz w:val="18"/>
                <w:szCs w:val="18"/>
              </w:rPr>
            </w:pPr>
            <w:r w:rsidRPr="0079127A">
              <w:rPr>
                <w:rFonts w:eastAsia="Calibri" w:cstheme="minorHAnsi"/>
                <w:sz w:val="18"/>
                <w:szCs w:val="18"/>
              </w:rPr>
              <w:t>MINGOR</w:t>
            </w:r>
          </w:p>
        </w:tc>
        <w:tc>
          <w:tcPr>
            <w:tcW w:w="990" w:type="dxa"/>
            <w:tcBorders>
              <w:top w:val="single" w:sz="4" w:space="0" w:color="auto"/>
              <w:left w:val="single" w:sz="4" w:space="0" w:color="auto"/>
              <w:bottom w:val="single" w:sz="4" w:space="0" w:color="auto"/>
              <w:right w:val="single" w:sz="4" w:space="0" w:color="auto"/>
            </w:tcBorders>
            <w:vAlign w:val="center"/>
            <w:hideMark/>
          </w:tcPr>
          <w:p w14:paraId="56D571AD" w14:textId="77777777" w:rsidR="0079127A" w:rsidRPr="0079127A" w:rsidRDefault="0079127A">
            <w:pPr>
              <w:rPr>
                <w:rFonts w:eastAsia="Calibri" w:cstheme="minorHAnsi"/>
                <w:sz w:val="18"/>
                <w:szCs w:val="18"/>
              </w:rPr>
            </w:pPr>
            <w:r w:rsidRPr="0079127A">
              <w:rPr>
                <w:rFonts w:eastAsia="Calibri" w:cstheme="minorHAnsi"/>
                <w:sz w:val="18"/>
                <w:szCs w:val="18"/>
              </w:rPr>
              <w:t>MINZDR</w:t>
            </w:r>
          </w:p>
        </w:tc>
        <w:tc>
          <w:tcPr>
            <w:tcW w:w="1132" w:type="dxa"/>
            <w:gridSpan w:val="2"/>
            <w:tcBorders>
              <w:top w:val="single" w:sz="4" w:space="0" w:color="auto"/>
              <w:left w:val="single" w:sz="4" w:space="0" w:color="auto"/>
              <w:bottom w:val="single" w:sz="4" w:space="0" w:color="auto"/>
              <w:right w:val="single" w:sz="4" w:space="0" w:color="auto"/>
            </w:tcBorders>
            <w:vAlign w:val="center"/>
            <w:hideMark/>
          </w:tcPr>
          <w:p w14:paraId="5576D137" w14:textId="77777777" w:rsidR="0079127A" w:rsidRPr="0079127A" w:rsidRDefault="0079127A">
            <w:pPr>
              <w:rPr>
                <w:rFonts w:eastAsia="Calibri" w:cstheme="minorHAnsi"/>
                <w:sz w:val="18"/>
                <w:szCs w:val="18"/>
              </w:rPr>
            </w:pPr>
            <w:r w:rsidRPr="0079127A">
              <w:rPr>
                <w:rFonts w:eastAsia="Calibri" w:cstheme="minorHAnsi"/>
                <w:sz w:val="18"/>
                <w:szCs w:val="18"/>
              </w:rPr>
              <w:t>MINGOR/MINZDR/zdravstvene ustanove/PU</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4A44FCE0" w14:textId="77777777" w:rsidR="0079127A" w:rsidRPr="0079127A" w:rsidRDefault="0079127A">
            <w:pPr>
              <w:rPr>
                <w:rFonts w:eastAsia="Calibri" w:cstheme="minorHAnsi"/>
                <w:sz w:val="18"/>
                <w:szCs w:val="18"/>
              </w:rPr>
            </w:pPr>
            <w:r w:rsidRPr="0079127A">
              <w:rPr>
                <w:rFonts w:eastAsia="Calibri" w:cstheme="minorHAnsi"/>
                <w:sz w:val="18"/>
                <w:szCs w:val="18"/>
              </w:rPr>
              <w:t>Izrađena analiza sustava gospodarenja medicinskim otpadom</w:t>
            </w:r>
          </w:p>
        </w:tc>
        <w:tc>
          <w:tcPr>
            <w:tcW w:w="854" w:type="dxa"/>
            <w:tcBorders>
              <w:top w:val="single" w:sz="4" w:space="0" w:color="auto"/>
              <w:left w:val="single" w:sz="4" w:space="0" w:color="auto"/>
              <w:bottom w:val="single" w:sz="4" w:space="0" w:color="auto"/>
              <w:right w:val="single" w:sz="4" w:space="0" w:color="auto"/>
            </w:tcBorders>
            <w:vAlign w:val="center"/>
            <w:hideMark/>
          </w:tcPr>
          <w:p w14:paraId="53A60BAB" w14:textId="77777777" w:rsidR="0079127A" w:rsidRPr="0079127A" w:rsidRDefault="0079127A">
            <w:pPr>
              <w:rPr>
                <w:rFonts w:eastAsia="Calibri" w:cstheme="minorHAnsi"/>
                <w:sz w:val="18"/>
                <w:szCs w:val="18"/>
              </w:rPr>
            </w:pPr>
            <w:r w:rsidRPr="0079127A">
              <w:rPr>
                <w:rFonts w:eastAsia="Calibri" w:cstheme="minorHAnsi"/>
                <w:sz w:val="18"/>
                <w:szCs w:val="18"/>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241A8759" w14:textId="77777777" w:rsidR="0079127A" w:rsidRPr="0079127A" w:rsidRDefault="0079127A">
            <w:pPr>
              <w:rPr>
                <w:rFonts w:eastAsia="Calibri" w:cstheme="minorHAnsi"/>
                <w:sz w:val="18"/>
                <w:szCs w:val="18"/>
              </w:rPr>
            </w:pPr>
            <w:r w:rsidRPr="0079127A">
              <w:rPr>
                <w:rFonts w:eastAsia="Calibri" w:cstheme="minorHAnsi"/>
                <w:sz w:val="18"/>
                <w:szCs w:val="18"/>
              </w:rPr>
              <w:t>1</w:t>
            </w:r>
          </w:p>
        </w:tc>
        <w:tc>
          <w:tcPr>
            <w:tcW w:w="994" w:type="dxa"/>
            <w:tcBorders>
              <w:top w:val="single" w:sz="4" w:space="0" w:color="auto"/>
              <w:left w:val="single" w:sz="4" w:space="0" w:color="auto"/>
              <w:bottom w:val="single" w:sz="4" w:space="0" w:color="auto"/>
              <w:right w:val="single" w:sz="4" w:space="0" w:color="auto"/>
            </w:tcBorders>
            <w:vAlign w:val="center"/>
            <w:hideMark/>
          </w:tcPr>
          <w:p w14:paraId="28C72E36" w14:textId="77777777" w:rsidR="0079127A" w:rsidRPr="0079127A" w:rsidRDefault="0079127A">
            <w:pPr>
              <w:jc w:val="center"/>
              <w:rPr>
                <w:rFonts w:eastAsia="Calibri" w:cstheme="minorHAnsi"/>
                <w:sz w:val="18"/>
                <w:szCs w:val="18"/>
              </w:rPr>
            </w:pPr>
            <w:r w:rsidRPr="0079127A">
              <w:rPr>
                <w:rFonts w:eastAsia="Calibri" w:cstheme="minorHAnsi"/>
                <w:sz w:val="18"/>
                <w:szCs w:val="18"/>
              </w:rPr>
              <w:t>2024.</w:t>
            </w:r>
          </w:p>
        </w:tc>
      </w:tr>
      <w:tr w:rsidR="0079127A" w:rsidRPr="0079127A" w14:paraId="4706EDFA" w14:textId="77777777" w:rsidTr="00DE1B14">
        <w:trPr>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14:paraId="6D2FEF55" w14:textId="77777777" w:rsidR="0079127A" w:rsidRPr="0079127A" w:rsidRDefault="0079127A" w:rsidP="00477D04">
            <w:pPr>
              <w:jc w:val="left"/>
              <w:rPr>
                <w:rFonts w:eastAsia="Calibri" w:cstheme="minorHAnsi"/>
                <w:sz w:val="18"/>
                <w:szCs w:val="18"/>
              </w:rPr>
            </w:pPr>
            <w:r w:rsidRPr="0079127A">
              <w:rPr>
                <w:rFonts w:eastAsia="Calibri" w:cstheme="minorHAnsi"/>
                <w:sz w:val="18"/>
                <w:szCs w:val="18"/>
              </w:rPr>
              <w:t>A 6.3. Izrada analize sustava gospodarenja za jednokratne plastične proizvode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FD9061" w14:textId="77777777" w:rsidR="0079127A" w:rsidRPr="0079127A" w:rsidRDefault="0079127A">
            <w:pPr>
              <w:rPr>
                <w:rFonts w:eastAsia="Calibri" w:cstheme="minorHAnsi"/>
                <w:sz w:val="18"/>
                <w:szCs w:val="18"/>
              </w:rPr>
            </w:pPr>
            <w:r w:rsidRPr="0079127A">
              <w:rPr>
                <w:rFonts w:eastAsia="Calibri" w:cstheme="minorHAnsi"/>
                <w:sz w:val="18"/>
                <w:szCs w:val="18"/>
              </w:rPr>
              <w:t>FZOEU</w:t>
            </w:r>
          </w:p>
        </w:tc>
        <w:tc>
          <w:tcPr>
            <w:tcW w:w="990" w:type="dxa"/>
            <w:tcBorders>
              <w:top w:val="single" w:sz="4" w:space="0" w:color="auto"/>
              <w:left w:val="single" w:sz="4" w:space="0" w:color="auto"/>
              <w:bottom w:val="single" w:sz="4" w:space="0" w:color="auto"/>
              <w:right w:val="single" w:sz="4" w:space="0" w:color="auto"/>
            </w:tcBorders>
            <w:vAlign w:val="center"/>
            <w:hideMark/>
          </w:tcPr>
          <w:p w14:paraId="3498C6DC" w14:textId="77777777" w:rsidR="0079127A" w:rsidRPr="0079127A" w:rsidRDefault="0079127A">
            <w:pPr>
              <w:rPr>
                <w:rFonts w:eastAsia="Calibri" w:cstheme="minorHAnsi"/>
                <w:sz w:val="18"/>
                <w:szCs w:val="18"/>
              </w:rPr>
            </w:pPr>
            <w:r w:rsidRPr="0079127A">
              <w:rPr>
                <w:rFonts w:eastAsia="Calibri" w:cstheme="minorHAnsi"/>
                <w:sz w:val="18"/>
                <w:szCs w:val="18"/>
              </w:rPr>
              <w:t>MINGOR</w:t>
            </w:r>
          </w:p>
        </w:tc>
        <w:tc>
          <w:tcPr>
            <w:tcW w:w="1132" w:type="dxa"/>
            <w:gridSpan w:val="2"/>
            <w:tcBorders>
              <w:top w:val="single" w:sz="4" w:space="0" w:color="auto"/>
              <w:left w:val="single" w:sz="4" w:space="0" w:color="auto"/>
              <w:bottom w:val="single" w:sz="4" w:space="0" w:color="auto"/>
              <w:right w:val="single" w:sz="4" w:space="0" w:color="auto"/>
            </w:tcBorders>
            <w:vAlign w:val="center"/>
            <w:hideMark/>
          </w:tcPr>
          <w:p w14:paraId="6411B5CB" w14:textId="77777777" w:rsidR="0079127A" w:rsidRPr="0079127A" w:rsidRDefault="0079127A">
            <w:pPr>
              <w:rPr>
                <w:rFonts w:eastAsia="Calibri" w:cstheme="minorHAnsi"/>
                <w:sz w:val="18"/>
                <w:szCs w:val="18"/>
              </w:rPr>
            </w:pPr>
            <w:r w:rsidRPr="0079127A">
              <w:rPr>
                <w:rFonts w:eastAsia="Calibri" w:cstheme="minorHAnsi"/>
                <w:sz w:val="18"/>
                <w:szCs w:val="18"/>
              </w:rPr>
              <w:t>FZOEU</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16781EB7" w14:textId="77777777" w:rsidR="0079127A" w:rsidRPr="0079127A" w:rsidRDefault="0079127A">
            <w:pPr>
              <w:rPr>
                <w:rFonts w:eastAsia="Calibri" w:cstheme="minorHAnsi"/>
                <w:sz w:val="18"/>
                <w:szCs w:val="18"/>
              </w:rPr>
            </w:pPr>
            <w:r w:rsidRPr="0079127A">
              <w:rPr>
                <w:rFonts w:eastAsia="Calibri" w:cstheme="minorHAnsi"/>
                <w:sz w:val="18"/>
                <w:szCs w:val="18"/>
              </w:rPr>
              <w:t>Izrađena analiza sustava gospodarenja za jednokratne plastične proizvode</w:t>
            </w:r>
          </w:p>
        </w:tc>
        <w:tc>
          <w:tcPr>
            <w:tcW w:w="854" w:type="dxa"/>
            <w:tcBorders>
              <w:top w:val="single" w:sz="4" w:space="0" w:color="auto"/>
              <w:left w:val="single" w:sz="4" w:space="0" w:color="auto"/>
              <w:bottom w:val="single" w:sz="4" w:space="0" w:color="auto"/>
              <w:right w:val="single" w:sz="4" w:space="0" w:color="auto"/>
            </w:tcBorders>
            <w:vAlign w:val="center"/>
            <w:hideMark/>
          </w:tcPr>
          <w:p w14:paraId="193F1086" w14:textId="77777777" w:rsidR="0079127A" w:rsidRPr="0079127A" w:rsidRDefault="0079127A">
            <w:pPr>
              <w:rPr>
                <w:rFonts w:eastAsia="Calibri" w:cstheme="minorHAnsi"/>
                <w:sz w:val="18"/>
                <w:szCs w:val="18"/>
              </w:rPr>
            </w:pPr>
            <w:r w:rsidRPr="0079127A">
              <w:rPr>
                <w:rFonts w:eastAsia="Calibri" w:cstheme="minorHAnsi"/>
                <w:sz w:val="18"/>
                <w:szCs w:val="18"/>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2369A771" w14:textId="77777777" w:rsidR="0079127A" w:rsidRPr="0079127A" w:rsidRDefault="0079127A">
            <w:pPr>
              <w:rPr>
                <w:rFonts w:eastAsia="Calibri" w:cstheme="minorHAnsi"/>
                <w:sz w:val="18"/>
                <w:szCs w:val="18"/>
              </w:rPr>
            </w:pPr>
            <w:r w:rsidRPr="0079127A">
              <w:rPr>
                <w:rFonts w:eastAsia="Calibri" w:cstheme="minorHAnsi"/>
                <w:sz w:val="18"/>
                <w:szCs w:val="18"/>
              </w:rPr>
              <w:t>1</w:t>
            </w:r>
          </w:p>
        </w:tc>
        <w:tc>
          <w:tcPr>
            <w:tcW w:w="994" w:type="dxa"/>
            <w:tcBorders>
              <w:top w:val="single" w:sz="4" w:space="0" w:color="auto"/>
              <w:left w:val="single" w:sz="4" w:space="0" w:color="auto"/>
              <w:bottom w:val="single" w:sz="4" w:space="0" w:color="auto"/>
              <w:right w:val="single" w:sz="4" w:space="0" w:color="auto"/>
            </w:tcBorders>
            <w:vAlign w:val="center"/>
            <w:hideMark/>
          </w:tcPr>
          <w:p w14:paraId="27496DD3" w14:textId="4A4D4872" w:rsidR="0079127A" w:rsidRPr="0079127A" w:rsidRDefault="0079127A">
            <w:pPr>
              <w:jc w:val="center"/>
              <w:rPr>
                <w:rFonts w:eastAsia="Calibri" w:cstheme="minorHAnsi"/>
                <w:sz w:val="18"/>
                <w:szCs w:val="18"/>
              </w:rPr>
            </w:pPr>
            <w:r w:rsidRPr="0079127A">
              <w:rPr>
                <w:rFonts w:eastAsia="Calibri" w:cstheme="minorHAnsi"/>
                <w:sz w:val="18"/>
                <w:szCs w:val="18"/>
              </w:rPr>
              <w:t>202</w:t>
            </w:r>
            <w:r w:rsidR="00F42D39">
              <w:rPr>
                <w:rFonts w:eastAsia="Calibri" w:cstheme="minorHAnsi"/>
                <w:sz w:val="18"/>
                <w:szCs w:val="18"/>
              </w:rPr>
              <w:t>3</w:t>
            </w:r>
            <w:r w:rsidRPr="0079127A">
              <w:rPr>
                <w:rFonts w:eastAsia="Calibri" w:cstheme="minorHAnsi"/>
                <w:sz w:val="18"/>
                <w:szCs w:val="18"/>
              </w:rPr>
              <w:t>.</w:t>
            </w:r>
          </w:p>
        </w:tc>
      </w:tr>
      <w:tr w:rsidR="0079127A" w:rsidRPr="0079127A" w14:paraId="228E94B2" w14:textId="77777777" w:rsidTr="00DE1B14">
        <w:trPr>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14:paraId="6FE45DBE" w14:textId="77777777" w:rsidR="0079127A" w:rsidRPr="0079127A" w:rsidRDefault="0079127A" w:rsidP="00477D04">
            <w:pPr>
              <w:jc w:val="left"/>
              <w:rPr>
                <w:rFonts w:eastAsia="Calibri" w:cstheme="minorHAnsi"/>
                <w:sz w:val="18"/>
                <w:szCs w:val="18"/>
              </w:rPr>
            </w:pPr>
            <w:r w:rsidRPr="0079127A">
              <w:rPr>
                <w:rFonts w:eastAsia="Calibri" w:cstheme="minorHAnsi"/>
                <w:sz w:val="18"/>
                <w:szCs w:val="18"/>
              </w:rPr>
              <w:t>A 6.4. Izrada studije procjena količina otpada koji potječe od ribolovnih alata koji sadrže plastiku i načina gospodarenja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ED3EA2" w14:textId="77777777" w:rsidR="0079127A" w:rsidRPr="0079127A" w:rsidRDefault="0079127A">
            <w:pPr>
              <w:rPr>
                <w:rFonts w:eastAsia="Calibri" w:cstheme="minorHAnsi"/>
                <w:sz w:val="18"/>
                <w:szCs w:val="18"/>
              </w:rPr>
            </w:pPr>
            <w:r w:rsidRPr="0079127A">
              <w:rPr>
                <w:rFonts w:eastAsia="Calibri" w:cstheme="minorHAnsi"/>
                <w:sz w:val="18"/>
                <w:szCs w:val="18"/>
              </w:rPr>
              <w:t>FZOEU</w:t>
            </w:r>
          </w:p>
        </w:tc>
        <w:tc>
          <w:tcPr>
            <w:tcW w:w="990" w:type="dxa"/>
            <w:tcBorders>
              <w:top w:val="single" w:sz="4" w:space="0" w:color="auto"/>
              <w:left w:val="single" w:sz="4" w:space="0" w:color="auto"/>
              <w:bottom w:val="single" w:sz="4" w:space="0" w:color="auto"/>
              <w:right w:val="single" w:sz="4" w:space="0" w:color="auto"/>
            </w:tcBorders>
            <w:vAlign w:val="center"/>
            <w:hideMark/>
          </w:tcPr>
          <w:p w14:paraId="76888306" w14:textId="77777777" w:rsidR="0079127A" w:rsidRPr="0079127A" w:rsidRDefault="0079127A">
            <w:pPr>
              <w:rPr>
                <w:rFonts w:eastAsia="Calibri" w:cstheme="minorHAnsi"/>
                <w:sz w:val="18"/>
                <w:szCs w:val="18"/>
              </w:rPr>
            </w:pPr>
            <w:r w:rsidRPr="0079127A">
              <w:rPr>
                <w:rFonts w:eastAsia="Calibri" w:cstheme="minorHAnsi"/>
                <w:sz w:val="18"/>
                <w:szCs w:val="18"/>
              </w:rPr>
              <w:t>MINGOR</w:t>
            </w:r>
          </w:p>
        </w:tc>
        <w:tc>
          <w:tcPr>
            <w:tcW w:w="1132" w:type="dxa"/>
            <w:gridSpan w:val="2"/>
            <w:tcBorders>
              <w:top w:val="single" w:sz="4" w:space="0" w:color="auto"/>
              <w:left w:val="single" w:sz="4" w:space="0" w:color="auto"/>
              <w:bottom w:val="single" w:sz="4" w:space="0" w:color="auto"/>
              <w:right w:val="single" w:sz="4" w:space="0" w:color="auto"/>
            </w:tcBorders>
            <w:vAlign w:val="center"/>
            <w:hideMark/>
          </w:tcPr>
          <w:p w14:paraId="6E176387" w14:textId="77777777" w:rsidR="0079127A" w:rsidRPr="0079127A" w:rsidRDefault="0079127A">
            <w:pPr>
              <w:rPr>
                <w:rFonts w:eastAsia="Calibri" w:cstheme="minorHAnsi"/>
                <w:sz w:val="18"/>
                <w:szCs w:val="18"/>
              </w:rPr>
            </w:pPr>
            <w:r w:rsidRPr="0079127A">
              <w:rPr>
                <w:rFonts w:eastAsia="Calibri" w:cstheme="minorHAnsi"/>
                <w:sz w:val="18"/>
                <w:szCs w:val="18"/>
              </w:rPr>
              <w:t>FZOEU/MINGOR/EU</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1252370B" w14:textId="77777777" w:rsidR="0079127A" w:rsidRPr="0079127A" w:rsidRDefault="0079127A">
            <w:pPr>
              <w:rPr>
                <w:rFonts w:eastAsia="Calibri" w:cstheme="minorHAnsi"/>
                <w:sz w:val="18"/>
                <w:szCs w:val="18"/>
              </w:rPr>
            </w:pPr>
            <w:r w:rsidRPr="0079127A">
              <w:rPr>
                <w:rFonts w:eastAsia="Calibri" w:cstheme="minorHAnsi"/>
                <w:sz w:val="18"/>
                <w:szCs w:val="18"/>
              </w:rPr>
              <w:t>Izrađena studija procjena količina otpada koji potječe od ribolovnih alata koji sadrže plastiku i načina gospodarenja</w:t>
            </w:r>
          </w:p>
        </w:tc>
        <w:tc>
          <w:tcPr>
            <w:tcW w:w="854" w:type="dxa"/>
            <w:tcBorders>
              <w:top w:val="single" w:sz="4" w:space="0" w:color="auto"/>
              <w:left w:val="single" w:sz="4" w:space="0" w:color="auto"/>
              <w:bottom w:val="single" w:sz="4" w:space="0" w:color="auto"/>
              <w:right w:val="single" w:sz="4" w:space="0" w:color="auto"/>
            </w:tcBorders>
            <w:vAlign w:val="center"/>
            <w:hideMark/>
          </w:tcPr>
          <w:p w14:paraId="7716645B" w14:textId="77777777" w:rsidR="0079127A" w:rsidRPr="0079127A" w:rsidRDefault="0079127A">
            <w:pPr>
              <w:rPr>
                <w:rFonts w:eastAsia="Calibri" w:cstheme="minorHAnsi"/>
                <w:sz w:val="18"/>
                <w:szCs w:val="18"/>
              </w:rPr>
            </w:pPr>
            <w:r w:rsidRPr="0079127A">
              <w:rPr>
                <w:rFonts w:eastAsia="Calibri" w:cstheme="minorHAnsi"/>
                <w:sz w:val="18"/>
                <w:szCs w:val="18"/>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3114DC37" w14:textId="77777777" w:rsidR="0079127A" w:rsidRPr="0079127A" w:rsidRDefault="0079127A">
            <w:pPr>
              <w:rPr>
                <w:rFonts w:eastAsia="Calibri" w:cstheme="minorHAnsi"/>
                <w:sz w:val="18"/>
                <w:szCs w:val="18"/>
              </w:rPr>
            </w:pPr>
            <w:r w:rsidRPr="0079127A">
              <w:rPr>
                <w:rFonts w:eastAsia="Calibri" w:cstheme="minorHAnsi"/>
                <w:sz w:val="18"/>
                <w:szCs w:val="18"/>
              </w:rPr>
              <w:t>1</w:t>
            </w:r>
          </w:p>
        </w:tc>
        <w:tc>
          <w:tcPr>
            <w:tcW w:w="994" w:type="dxa"/>
            <w:tcBorders>
              <w:top w:val="single" w:sz="4" w:space="0" w:color="auto"/>
              <w:left w:val="single" w:sz="4" w:space="0" w:color="auto"/>
              <w:bottom w:val="single" w:sz="4" w:space="0" w:color="auto"/>
              <w:right w:val="single" w:sz="4" w:space="0" w:color="auto"/>
            </w:tcBorders>
            <w:vAlign w:val="center"/>
            <w:hideMark/>
          </w:tcPr>
          <w:p w14:paraId="0850E5DA" w14:textId="7AA481C6" w:rsidR="0079127A" w:rsidRPr="0079127A" w:rsidRDefault="0079127A">
            <w:pPr>
              <w:jc w:val="center"/>
              <w:rPr>
                <w:rFonts w:eastAsia="Calibri" w:cstheme="minorHAnsi"/>
                <w:sz w:val="18"/>
                <w:szCs w:val="18"/>
              </w:rPr>
            </w:pPr>
            <w:r w:rsidRPr="0079127A">
              <w:rPr>
                <w:rFonts w:eastAsia="Calibri" w:cstheme="minorHAnsi"/>
                <w:sz w:val="18"/>
                <w:szCs w:val="18"/>
              </w:rPr>
              <w:t>202</w:t>
            </w:r>
            <w:r w:rsidR="00F42D39">
              <w:rPr>
                <w:rFonts w:eastAsia="Calibri" w:cstheme="minorHAnsi"/>
                <w:sz w:val="18"/>
                <w:szCs w:val="18"/>
              </w:rPr>
              <w:t>3</w:t>
            </w:r>
            <w:r w:rsidRPr="0079127A">
              <w:rPr>
                <w:rFonts w:eastAsia="Calibri" w:cstheme="minorHAnsi"/>
                <w:sz w:val="18"/>
                <w:szCs w:val="18"/>
              </w:rPr>
              <w:t>.</w:t>
            </w:r>
          </w:p>
        </w:tc>
      </w:tr>
      <w:tr w:rsidR="0079127A" w:rsidRPr="0079127A" w14:paraId="4EF31F83" w14:textId="77777777" w:rsidTr="00DE1B14">
        <w:trPr>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14:paraId="52EB227E" w14:textId="77777777" w:rsidR="0079127A" w:rsidRPr="0079127A" w:rsidRDefault="0079127A" w:rsidP="00477D04">
            <w:pPr>
              <w:jc w:val="left"/>
              <w:rPr>
                <w:rFonts w:eastAsia="Calibri" w:cstheme="minorHAnsi"/>
                <w:sz w:val="18"/>
                <w:szCs w:val="18"/>
              </w:rPr>
            </w:pPr>
            <w:r w:rsidRPr="0079127A">
              <w:rPr>
                <w:rFonts w:eastAsia="Calibri" w:cstheme="minorHAnsi"/>
                <w:sz w:val="18"/>
                <w:szCs w:val="18"/>
              </w:rPr>
              <w:t>A 6.5. Izrada Studije procjene količine otpada koji sadrži azbest po županijama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970D99" w14:textId="77777777" w:rsidR="0079127A" w:rsidRPr="0079127A" w:rsidRDefault="0079127A">
            <w:pPr>
              <w:rPr>
                <w:rFonts w:eastAsia="Calibri" w:cstheme="minorHAnsi"/>
                <w:sz w:val="18"/>
                <w:szCs w:val="18"/>
              </w:rPr>
            </w:pPr>
            <w:r w:rsidRPr="0079127A">
              <w:rPr>
                <w:rFonts w:eastAsia="Calibri" w:cstheme="minorHAnsi"/>
                <w:sz w:val="18"/>
                <w:szCs w:val="18"/>
              </w:rPr>
              <w:t>FZOEU</w:t>
            </w:r>
          </w:p>
        </w:tc>
        <w:tc>
          <w:tcPr>
            <w:tcW w:w="990" w:type="dxa"/>
            <w:tcBorders>
              <w:top w:val="single" w:sz="4" w:space="0" w:color="auto"/>
              <w:left w:val="single" w:sz="4" w:space="0" w:color="auto"/>
              <w:bottom w:val="single" w:sz="4" w:space="0" w:color="auto"/>
              <w:right w:val="single" w:sz="4" w:space="0" w:color="auto"/>
            </w:tcBorders>
            <w:vAlign w:val="center"/>
            <w:hideMark/>
          </w:tcPr>
          <w:p w14:paraId="3AF1678C" w14:textId="77777777" w:rsidR="0079127A" w:rsidRPr="0079127A" w:rsidRDefault="0079127A">
            <w:pPr>
              <w:rPr>
                <w:rFonts w:eastAsia="Calibri" w:cstheme="minorHAnsi"/>
                <w:sz w:val="18"/>
                <w:szCs w:val="18"/>
              </w:rPr>
            </w:pPr>
            <w:r w:rsidRPr="0079127A">
              <w:rPr>
                <w:rFonts w:eastAsia="Calibri" w:cstheme="minorHAnsi"/>
                <w:sz w:val="18"/>
                <w:szCs w:val="18"/>
              </w:rPr>
              <w:t>MINGOR/JP(R)LS/JLS</w:t>
            </w:r>
          </w:p>
        </w:tc>
        <w:tc>
          <w:tcPr>
            <w:tcW w:w="1132" w:type="dxa"/>
            <w:gridSpan w:val="2"/>
            <w:tcBorders>
              <w:top w:val="single" w:sz="4" w:space="0" w:color="auto"/>
              <w:left w:val="single" w:sz="4" w:space="0" w:color="auto"/>
              <w:bottom w:val="single" w:sz="4" w:space="0" w:color="auto"/>
              <w:right w:val="single" w:sz="4" w:space="0" w:color="auto"/>
            </w:tcBorders>
            <w:vAlign w:val="center"/>
            <w:hideMark/>
          </w:tcPr>
          <w:p w14:paraId="5A1E2BD7" w14:textId="77777777" w:rsidR="0079127A" w:rsidRPr="0079127A" w:rsidRDefault="0079127A">
            <w:pPr>
              <w:rPr>
                <w:rFonts w:eastAsia="Calibri" w:cstheme="minorHAnsi"/>
                <w:sz w:val="18"/>
                <w:szCs w:val="18"/>
              </w:rPr>
            </w:pPr>
            <w:r w:rsidRPr="0079127A">
              <w:rPr>
                <w:rFonts w:eastAsia="Calibri" w:cstheme="minorHAnsi"/>
                <w:sz w:val="18"/>
                <w:szCs w:val="18"/>
              </w:rPr>
              <w:t>MINGOR/FZOEU/EU</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5284C9F8" w14:textId="77777777" w:rsidR="0079127A" w:rsidRPr="0079127A" w:rsidRDefault="0079127A">
            <w:pPr>
              <w:rPr>
                <w:rFonts w:eastAsia="Calibri" w:cstheme="minorHAnsi"/>
                <w:sz w:val="18"/>
                <w:szCs w:val="18"/>
              </w:rPr>
            </w:pPr>
            <w:r w:rsidRPr="0079127A">
              <w:rPr>
                <w:rFonts w:eastAsia="Calibri" w:cstheme="minorHAnsi"/>
                <w:sz w:val="18"/>
                <w:szCs w:val="18"/>
              </w:rPr>
              <w:t>Izrađena Studija procjene količine otpada koji sadrži azbest po županijama</w:t>
            </w:r>
          </w:p>
        </w:tc>
        <w:tc>
          <w:tcPr>
            <w:tcW w:w="854" w:type="dxa"/>
            <w:tcBorders>
              <w:top w:val="single" w:sz="4" w:space="0" w:color="auto"/>
              <w:left w:val="single" w:sz="4" w:space="0" w:color="auto"/>
              <w:bottom w:val="single" w:sz="4" w:space="0" w:color="auto"/>
              <w:right w:val="single" w:sz="4" w:space="0" w:color="auto"/>
            </w:tcBorders>
            <w:vAlign w:val="center"/>
            <w:hideMark/>
          </w:tcPr>
          <w:p w14:paraId="4B451A64" w14:textId="77777777" w:rsidR="0079127A" w:rsidRPr="0079127A" w:rsidRDefault="0079127A">
            <w:pPr>
              <w:rPr>
                <w:rFonts w:eastAsia="Calibri" w:cstheme="minorHAnsi"/>
                <w:sz w:val="18"/>
                <w:szCs w:val="18"/>
              </w:rPr>
            </w:pPr>
            <w:r w:rsidRPr="0079127A">
              <w:rPr>
                <w:rFonts w:eastAsia="Calibri" w:cstheme="minorHAnsi"/>
                <w:sz w:val="18"/>
                <w:szCs w:val="18"/>
              </w:rPr>
              <w:t xml:space="preserve">Broj </w:t>
            </w:r>
          </w:p>
        </w:tc>
        <w:tc>
          <w:tcPr>
            <w:tcW w:w="995" w:type="dxa"/>
            <w:tcBorders>
              <w:top w:val="single" w:sz="4" w:space="0" w:color="auto"/>
              <w:left w:val="single" w:sz="4" w:space="0" w:color="auto"/>
              <w:bottom w:val="single" w:sz="4" w:space="0" w:color="auto"/>
              <w:right w:val="single" w:sz="4" w:space="0" w:color="auto"/>
            </w:tcBorders>
            <w:vAlign w:val="center"/>
            <w:hideMark/>
          </w:tcPr>
          <w:p w14:paraId="35124C5D" w14:textId="77777777" w:rsidR="0079127A" w:rsidRPr="0079127A" w:rsidRDefault="0079127A">
            <w:pPr>
              <w:rPr>
                <w:rFonts w:eastAsia="Calibri" w:cstheme="minorHAnsi"/>
                <w:sz w:val="18"/>
                <w:szCs w:val="18"/>
              </w:rPr>
            </w:pPr>
            <w:r w:rsidRPr="0079127A">
              <w:rPr>
                <w:rFonts w:eastAsia="Calibri" w:cstheme="minorHAnsi"/>
                <w:sz w:val="18"/>
                <w:szCs w:val="18"/>
              </w:rPr>
              <w:t>1</w:t>
            </w:r>
          </w:p>
        </w:tc>
        <w:tc>
          <w:tcPr>
            <w:tcW w:w="994" w:type="dxa"/>
            <w:tcBorders>
              <w:top w:val="single" w:sz="4" w:space="0" w:color="auto"/>
              <w:left w:val="single" w:sz="4" w:space="0" w:color="auto"/>
              <w:bottom w:val="single" w:sz="4" w:space="0" w:color="auto"/>
              <w:right w:val="single" w:sz="4" w:space="0" w:color="auto"/>
            </w:tcBorders>
            <w:vAlign w:val="center"/>
            <w:hideMark/>
          </w:tcPr>
          <w:p w14:paraId="1A08640E" w14:textId="77777777" w:rsidR="0079127A" w:rsidRPr="0079127A" w:rsidRDefault="0079127A">
            <w:pPr>
              <w:jc w:val="center"/>
              <w:rPr>
                <w:rFonts w:eastAsia="Calibri" w:cstheme="minorHAnsi"/>
                <w:sz w:val="18"/>
                <w:szCs w:val="18"/>
              </w:rPr>
            </w:pPr>
            <w:r w:rsidRPr="0079127A">
              <w:rPr>
                <w:rFonts w:eastAsia="Calibri" w:cstheme="minorHAnsi"/>
                <w:sz w:val="18"/>
                <w:szCs w:val="18"/>
              </w:rPr>
              <w:t>2023.</w:t>
            </w:r>
          </w:p>
        </w:tc>
      </w:tr>
      <w:tr w:rsidR="0079127A" w:rsidRPr="0079127A" w14:paraId="02558C56" w14:textId="77777777" w:rsidTr="00DE1B14">
        <w:trPr>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14:paraId="600CC7CB" w14:textId="77777777" w:rsidR="0079127A" w:rsidRPr="0079127A" w:rsidRDefault="0079127A" w:rsidP="00477D04">
            <w:pPr>
              <w:jc w:val="left"/>
              <w:rPr>
                <w:rFonts w:eastAsia="Calibri" w:cstheme="minorHAnsi"/>
                <w:sz w:val="18"/>
                <w:szCs w:val="18"/>
              </w:rPr>
            </w:pPr>
            <w:r w:rsidRPr="0079127A">
              <w:rPr>
                <w:rFonts w:eastAsia="Calibri" w:cstheme="minorHAnsi"/>
                <w:sz w:val="18"/>
                <w:szCs w:val="18"/>
              </w:rPr>
              <w:t>A 6.6. Izrada analize potrebnog broja, lokacije i kapaciteta ploha za odlaganje građevnog otpada koji sadrži azbest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59A377" w14:textId="77777777" w:rsidR="0079127A" w:rsidRPr="0079127A" w:rsidRDefault="0079127A">
            <w:pPr>
              <w:rPr>
                <w:rFonts w:eastAsia="Calibri" w:cstheme="minorHAnsi"/>
                <w:sz w:val="18"/>
                <w:szCs w:val="18"/>
              </w:rPr>
            </w:pPr>
            <w:r w:rsidRPr="0079127A">
              <w:rPr>
                <w:rFonts w:eastAsia="Calibri" w:cstheme="minorHAnsi"/>
                <w:sz w:val="18"/>
                <w:szCs w:val="18"/>
              </w:rPr>
              <w:t>FZOEU</w:t>
            </w:r>
          </w:p>
        </w:tc>
        <w:tc>
          <w:tcPr>
            <w:tcW w:w="990" w:type="dxa"/>
            <w:tcBorders>
              <w:top w:val="single" w:sz="4" w:space="0" w:color="auto"/>
              <w:left w:val="single" w:sz="4" w:space="0" w:color="auto"/>
              <w:bottom w:val="single" w:sz="4" w:space="0" w:color="auto"/>
              <w:right w:val="single" w:sz="4" w:space="0" w:color="auto"/>
            </w:tcBorders>
            <w:vAlign w:val="center"/>
            <w:hideMark/>
          </w:tcPr>
          <w:p w14:paraId="3AE0FB93" w14:textId="77777777" w:rsidR="0079127A" w:rsidRPr="0079127A" w:rsidRDefault="0079127A">
            <w:pPr>
              <w:rPr>
                <w:rFonts w:eastAsia="Calibri" w:cstheme="minorHAnsi"/>
                <w:sz w:val="18"/>
                <w:szCs w:val="18"/>
              </w:rPr>
            </w:pPr>
            <w:r w:rsidRPr="0079127A">
              <w:rPr>
                <w:rFonts w:eastAsia="Calibri" w:cstheme="minorHAnsi"/>
                <w:sz w:val="18"/>
                <w:szCs w:val="18"/>
              </w:rPr>
              <w:t>MINGOR</w:t>
            </w:r>
          </w:p>
        </w:tc>
        <w:tc>
          <w:tcPr>
            <w:tcW w:w="1132" w:type="dxa"/>
            <w:gridSpan w:val="2"/>
            <w:tcBorders>
              <w:top w:val="single" w:sz="4" w:space="0" w:color="auto"/>
              <w:left w:val="single" w:sz="4" w:space="0" w:color="auto"/>
              <w:bottom w:val="single" w:sz="4" w:space="0" w:color="auto"/>
              <w:right w:val="single" w:sz="4" w:space="0" w:color="auto"/>
            </w:tcBorders>
            <w:vAlign w:val="center"/>
            <w:hideMark/>
          </w:tcPr>
          <w:p w14:paraId="64200D18" w14:textId="77777777" w:rsidR="0079127A" w:rsidRPr="0079127A" w:rsidRDefault="0079127A">
            <w:pPr>
              <w:rPr>
                <w:rFonts w:eastAsia="Calibri" w:cstheme="minorHAnsi"/>
                <w:sz w:val="18"/>
                <w:szCs w:val="18"/>
              </w:rPr>
            </w:pPr>
            <w:r w:rsidRPr="0079127A">
              <w:rPr>
                <w:rFonts w:eastAsia="Calibri" w:cstheme="minorHAnsi"/>
                <w:sz w:val="18"/>
                <w:szCs w:val="18"/>
              </w:rPr>
              <w:t>FZOEU</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3CA331A1" w14:textId="77777777" w:rsidR="0079127A" w:rsidRPr="0079127A" w:rsidRDefault="0079127A">
            <w:pPr>
              <w:rPr>
                <w:rFonts w:eastAsia="Calibri" w:cstheme="minorHAnsi"/>
                <w:sz w:val="18"/>
                <w:szCs w:val="18"/>
              </w:rPr>
            </w:pPr>
            <w:r w:rsidRPr="0079127A">
              <w:rPr>
                <w:rFonts w:eastAsia="Calibri" w:cstheme="minorHAnsi"/>
                <w:sz w:val="18"/>
                <w:szCs w:val="18"/>
              </w:rPr>
              <w:t>Izrađena analiza s utvrđenim brojem, lokacijama i kapacitetima ploha za odlaganje građevnog otpada koji sadrži azbest</w:t>
            </w:r>
          </w:p>
        </w:tc>
        <w:tc>
          <w:tcPr>
            <w:tcW w:w="854" w:type="dxa"/>
            <w:tcBorders>
              <w:top w:val="single" w:sz="4" w:space="0" w:color="auto"/>
              <w:left w:val="single" w:sz="4" w:space="0" w:color="auto"/>
              <w:bottom w:val="single" w:sz="4" w:space="0" w:color="auto"/>
              <w:right w:val="single" w:sz="4" w:space="0" w:color="auto"/>
            </w:tcBorders>
            <w:vAlign w:val="center"/>
            <w:hideMark/>
          </w:tcPr>
          <w:p w14:paraId="5BB3B425" w14:textId="77777777" w:rsidR="0079127A" w:rsidRPr="0079127A" w:rsidRDefault="0079127A">
            <w:pPr>
              <w:rPr>
                <w:rFonts w:eastAsia="Calibri" w:cstheme="minorHAnsi"/>
                <w:sz w:val="18"/>
                <w:szCs w:val="18"/>
              </w:rPr>
            </w:pPr>
            <w:r w:rsidRPr="0079127A">
              <w:rPr>
                <w:rFonts w:eastAsia="Calibri" w:cstheme="minorHAnsi"/>
                <w:sz w:val="18"/>
                <w:szCs w:val="18"/>
              </w:rPr>
              <w:t xml:space="preserve">Broj </w:t>
            </w:r>
          </w:p>
        </w:tc>
        <w:tc>
          <w:tcPr>
            <w:tcW w:w="995" w:type="dxa"/>
            <w:tcBorders>
              <w:top w:val="single" w:sz="4" w:space="0" w:color="auto"/>
              <w:left w:val="single" w:sz="4" w:space="0" w:color="auto"/>
              <w:bottom w:val="single" w:sz="4" w:space="0" w:color="auto"/>
              <w:right w:val="single" w:sz="4" w:space="0" w:color="auto"/>
            </w:tcBorders>
            <w:vAlign w:val="center"/>
            <w:hideMark/>
          </w:tcPr>
          <w:p w14:paraId="1812D44C" w14:textId="77777777" w:rsidR="0079127A" w:rsidRPr="0079127A" w:rsidRDefault="0079127A">
            <w:pPr>
              <w:rPr>
                <w:rFonts w:eastAsia="Calibri" w:cstheme="minorHAnsi"/>
                <w:sz w:val="18"/>
                <w:szCs w:val="18"/>
              </w:rPr>
            </w:pPr>
            <w:r w:rsidRPr="0079127A">
              <w:rPr>
                <w:rFonts w:eastAsia="Calibri" w:cstheme="minorHAnsi"/>
                <w:sz w:val="18"/>
                <w:szCs w:val="18"/>
              </w:rPr>
              <w:t>1</w:t>
            </w:r>
          </w:p>
        </w:tc>
        <w:tc>
          <w:tcPr>
            <w:tcW w:w="994" w:type="dxa"/>
            <w:tcBorders>
              <w:top w:val="single" w:sz="4" w:space="0" w:color="auto"/>
              <w:left w:val="single" w:sz="4" w:space="0" w:color="auto"/>
              <w:bottom w:val="single" w:sz="4" w:space="0" w:color="auto"/>
              <w:right w:val="single" w:sz="4" w:space="0" w:color="auto"/>
            </w:tcBorders>
            <w:vAlign w:val="center"/>
            <w:hideMark/>
          </w:tcPr>
          <w:p w14:paraId="25672DD2" w14:textId="77777777" w:rsidR="0079127A" w:rsidRPr="0079127A" w:rsidRDefault="0079127A">
            <w:pPr>
              <w:jc w:val="center"/>
              <w:rPr>
                <w:rFonts w:eastAsia="Calibri" w:cstheme="minorHAnsi"/>
                <w:sz w:val="18"/>
                <w:szCs w:val="18"/>
              </w:rPr>
            </w:pPr>
            <w:r w:rsidRPr="0079127A">
              <w:rPr>
                <w:rFonts w:eastAsia="Calibri" w:cstheme="minorHAnsi"/>
                <w:sz w:val="18"/>
                <w:szCs w:val="18"/>
              </w:rPr>
              <w:t>2024.</w:t>
            </w:r>
          </w:p>
        </w:tc>
      </w:tr>
      <w:tr w:rsidR="0079127A" w:rsidRPr="0079127A" w14:paraId="4A534438" w14:textId="77777777" w:rsidTr="00DE1B14">
        <w:trPr>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14:paraId="26F577D1" w14:textId="77777777" w:rsidR="0079127A" w:rsidRPr="0079127A" w:rsidRDefault="0079127A" w:rsidP="00477D04">
            <w:pPr>
              <w:jc w:val="left"/>
              <w:rPr>
                <w:rFonts w:eastAsia="Calibri" w:cstheme="minorHAnsi"/>
                <w:sz w:val="18"/>
                <w:szCs w:val="18"/>
              </w:rPr>
            </w:pPr>
            <w:r w:rsidRPr="0079127A">
              <w:rPr>
                <w:rFonts w:eastAsia="Calibri" w:cstheme="minorHAnsi"/>
                <w:sz w:val="18"/>
                <w:szCs w:val="18"/>
              </w:rPr>
              <w:t xml:space="preserve">A 6.7. Izrada procjena količina proizvedenog građevnog otpada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0245BA" w14:textId="7EF97A94" w:rsidR="0079127A" w:rsidRPr="0079127A" w:rsidRDefault="0079127A">
            <w:pPr>
              <w:rPr>
                <w:rFonts w:eastAsia="Calibri" w:cstheme="minorHAnsi"/>
                <w:sz w:val="18"/>
                <w:szCs w:val="18"/>
              </w:rPr>
            </w:pPr>
            <w:r w:rsidRPr="0079127A">
              <w:rPr>
                <w:rFonts w:eastAsia="Calibri" w:cstheme="minorHAnsi"/>
                <w:sz w:val="18"/>
                <w:szCs w:val="18"/>
              </w:rPr>
              <w:t>M</w:t>
            </w:r>
            <w:r w:rsidR="00013C85">
              <w:rPr>
                <w:rFonts w:eastAsia="Calibri" w:cstheme="minorHAnsi"/>
                <w:sz w:val="18"/>
                <w:szCs w:val="18"/>
              </w:rPr>
              <w:t>IN</w:t>
            </w:r>
            <w:r w:rsidRPr="0079127A">
              <w:rPr>
                <w:rFonts w:eastAsia="Calibri" w:cstheme="minorHAnsi"/>
                <w:sz w:val="18"/>
                <w:szCs w:val="18"/>
              </w:rPr>
              <w:t>GOR</w:t>
            </w:r>
          </w:p>
        </w:tc>
        <w:tc>
          <w:tcPr>
            <w:tcW w:w="990" w:type="dxa"/>
            <w:tcBorders>
              <w:top w:val="single" w:sz="4" w:space="0" w:color="auto"/>
              <w:left w:val="single" w:sz="4" w:space="0" w:color="auto"/>
              <w:bottom w:val="single" w:sz="4" w:space="0" w:color="auto"/>
              <w:right w:val="single" w:sz="4" w:space="0" w:color="auto"/>
            </w:tcBorders>
            <w:vAlign w:val="center"/>
            <w:hideMark/>
          </w:tcPr>
          <w:p w14:paraId="1C39AEEA" w14:textId="77777777" w:rsidR="0079127A" w:rsidRPr="0079127A" w:rsidRDefault="0079127A">
            <w:pPr>
              <w:rPr>
                <w:rFonts w:eastAsia="Calibri" w:cstheme="minorHAnsi"/>
                <w:sz w:val="18"/>
                <w:szCs w:val="18"/>
              </w:rPr>
            </w:pPr>
            <w:r w:rsidRPr="0079127A">
              <w:rPr>
                <w:rFonts w:eastAsia="Calibri" w:cstheme="minorHAnsi"/>
                <w:sz w:val="18"/>
                <w:szCs w:val="18"/>
              </w:rPr>
              <w:t>-</w:t>
            </w:r>
          </w:p>
        </w:tc>
        <w:tc>
          <w:tcPr>
            <w:tcW w:w="1132" w:type="dxa"/>
            <w:gridSpan w:val="2"/>
            <w:tcBorders>
              <w:top w:val="single" w:sz="4" w:space="0" w:color="auto"/>
              <w:left w:val="single" w:sz="4" w:space="0" w:color="auto"/>
              <w:bottom w:val="single" w:sz="4" w:space="0" w:color="auto"/>
              <w:right w:val="single" w:sz="4" w:space="0" w:color="auto"/>
            </w:tcBorders>
            <w:vAlign w:val="center"/>
            <w:hideMark/>
          </w:tcPr>
          <w:p w14:paraId="6BF7FF47" w14:textId="7A11E3BA" w:rsidR="0079127A" w:rsidRPr="0079127A" w:rsidRDefault="0079127A">
            <w:pPr>
              <w:rPr>
                <w:rFonts w:eastAsia="Calibri" w:cstheme="minorHAnsi"/>
                <w:sz w:val="18"/>
                <w:szCs w:val="18"/>
              </w:rPr>
            </w:pPr>
            <w:r w:rsidRPr="0079127A">
              <w:rPr>
                <w:rFonts w:eastAsia="Calibri" w:cstheme="minorHAnsi"/>
                <w:sz w:val="18"/>
                <w:szCs w:val="18"/>
              </w:rPr>
              <w:t>M</w:t>
            </w:r>
            <w:r w:rsidR="005D52A0">
              <w:rPr>
                <w:rFonts w:eastAsia="Calibri" w:cstheme="minorHAnsi"/>
                <w:sz w:val="18"/>
                <w:szCs w:val="18"/>
              </w:rPr>
              <w:t>IN</w:t>
            </w:r>
            <w:r w:rsidRPr="0079127A">
              <w:rPr>
                <w:rFonts w:eastAsia="Calibri" w:cstheme="minorHAnsi"/>
                <w:sz w:val="18"/>
                <w:szCs w:val="18"/>
              </w:rPr>
              <w:t>GOR/</w:t>
            </w:r>
            <w:r w:rsidR="005D52A0">
              <w:rPr>
                <w:rFonts w:eastAsia="Calibri" w:cstheme="minorHAnsi"/>
                <w:sz w:val="18"/>
                <w:szCs w:val="18"/>
              </w:rPr>
              <w:t xml:space="preserve"> </w:t>
            </w:r>
            <w:r w:rsidRPr="0079127A">
              <w:rPr>
                <w:rFonts w:eastAsia="Calibri" w:cstheme="minorHAnsi"/>
                <w:sz w:val="18"/>
                <w:szCs w:val="18"/>
              </w:rPr>
              <w:t>FZOEU/</w:t>
            </w:r>
            <w:r w:rsidR="005D52A0">
              <w:rPr>
                <w:rFonts w:eastAsia="Calibri" w:cstheme="minorHAnsi"/>
                <w:sz w:val="18"/>
                <w:szCs w:val="18"/>
              </w:rPr>
              <w:t xml:space="preserve"> </w:t>
            </w:r>
            <w:r w:rsidRPr="0079127A">
              <w:rPr>
                <w:rFonts w:eastAsia="Calibri" w:cstheme="minorHAnsi"/>
                <w:sz w:val="18"/>
                <w:szCs w:val="18"/>
              </w:rPr>
              <w:t>EU</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24093072" w14:textId="77777777" w:rsidR="0079127A" w:rsidRPr="0079127A" w:rsidRDefault="0079127A">
            <w:pPr>
              <w:rPr>
                <w:rFonts w:eastAsia="Calibri" w:cstheme="minorHAnsi"/>
                <w:sz w:val="18"/>
                <w:szCs w:val="18"/>
              </w:rPr>
            </w:pPr>
            <w:r w:rsidRPr="0079127A">
              <w:rPr>
                <w:rFonts w:eastAsia="Calibri" w:cstheme="minorHAnsi"/>
                <w:sz w:val="18"/>
                <w:szCs w:val="18"/>
              </w:rPr>
              <w:t>Izrađena procjena količina proizvedenog građevnog otpada</w:t>
            </w:r>
          </w:p>
        </w:tc>
        <w:tc>
          <w:tcPr>
            <w:tcW w:w="854" w:type="dxa"/>
            <w:tcBorders>
              <w:top w:val="single" w:sz="4" w:space="0" w:color="auto"/>
              <w:left w:val="single" w:sz="4" w:space="0" w:color="auto"/>
              <w:bottom w:val="single" w:sz="4" w:space="0" w:color="auto"/>
              <w:right w:val="single" w:sz="4" w:space="0" w:color="auto"/>
            </w:tcBorders>
            <w:vAlign w:val="center"/>
            <w:hideMark/>
          </w:tcPr>
          <w:p w14:paraId="0F943D64" w14:textId="77777777" w:rsidR="0079127A" w:rsidRPr="0079127A" w:rsidRDefault="0079127A">
            <w:pPr>
              <w:rPr>
                <w:rFonts w:eastAsia="Calibri" w:cstheme="minorHAnsi"/>
                <w:sz w:val="18"/>
                <w:szCs w:val="18"/>
              </w:rPr>
            </w:pPr>
            <w:r w:rsidRPr="0079127A">
              <w:rPr>
                <w:rFonts w:eastAsia="Calibri" w:cstheme="minorHAnsi"/>
                <w:sz w:val="18"/>
                <w:szCs w:val="18"/>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4503CCBE" w14:textId="77777777" w:rsidR="0079127A" w:rsidRPr="0079127A" w:rsidRDefault="0079127A">
            <w:pPr>
              <w:rPr>
                <w:rFonts w:eastAsia="Calibri" w:cstheme="minorHAnsi"/>
                <w:sz w:val="18"/>
                <w:szCs w:val="18"/>
              </w:rPr>
            </w:pPr>
            <w:r w:rsidRPr="0079127A">
              <w:rPr>
                <w:rFonts w:eastAsia="Calibri" w:cstheme="minorHAnsi"/>
                <w:sz w:val="18"/>
                <w:szCs w:val="18"/>
              </w:rPr>
              <w:t>1</w:t>
            </w:r>
          </w:p>
        </w:tc>
        <w:tc>
          <w:tcPr>
            <w:tcW w:w="994" w:type="dxa"/>
            <w:tcBorders>
              <w:top w:val="single" w:sz="4" w:space="0" w:color="auto"/>
              <w:left w:val="single" w:sz="4" w:space="0" w:color="auto"/>
              <w:bottom w:val="single" w:sz="4" w:space="0" w:color="auto"/>
              <w:right w:val="single" w:sz="4" w:space="0" w:color="auto"/>
            </w:tcBorders>
            <w:vAlign w:val="center"/>
            <w:hideMark/>
          </w:tcPr>
          <w:p w14:paraId="3DD25D54" w14:textId="77777777" w:rsidR="0079127A" w:rsidRPr="0079127A" w:rsidRDefault="0079127A">
            <w:pPr>
              <w:jc w:val="center"/>
              <w:rPr>
                <w:rFonts w:eastAsia="Calibri" w:cstheme="minorHAnsi"/>
                <w:sz w:val="18"/>
                <w:szCs w:val="18"/>
              </w:rPr>
            </w:pPr>
            <w:r w:rsidRPr="0079127A">
              <w:rPr>
                <w:rFonts w:eastAsia="Calibri" w:cstheme="minorHAnsi"/>
                <w:sz w:val="18"/>
                <w:szCs w:val="18"/>
              </w:rPr>
              <w:t>2024.</w:t>
            </w:r>
          </w:p>
        </w:tc>
      </w:tr>
      <w:tr w:rsidR="0079127A" w:rsidRPr="0079127A" w14:paraId="2A4BBE79" w14:textId="77777777" w:rsidTr="002B6978">
        <w:trPr>
          <w:jc w:val="center"/>
        </w:trPr>
        <w:tc>
          <w:tcPr>
            <w:tcW w:w="9207" w:type="dxa"/>
            <w:gridSpan w:val="10"/>
            <w:tcBorders>
              <w:top w:val="single" w:sz="4" w:space="0" w:color="auto"/>
              <w:left w:val="single" w:sz="4" w:space="0" w:color="auto"/>
              <w:bottom w:val="single" w:sz="4" w:space="0" w:color="auto"/>
              <w:right w:val="single" w:sz="4" w:space="0" w:color="auto"/>
            </w:tcBorders>
            <w:shd w:val="clear" w:color="auto" w:fill="5B9BD5"/>
            <w:vAlign w:val="center"/>
            <w:hideMark/>
          </w:tcPr>
          <w:p w14:paraId="776CF6FA" w14:textId="1F4E6B18" w:rsidR="0079127A" w:rsidRPr="0079127A" w:rsidRDefault="0079127A">
            <w:pPr>
              <w:rPr>
                <w:rFonts w:eastAsia="Calibri" w:cstheme="minorHAnsi"/>
                <w:b/>
                <w:bCs/>
                <w:sz w:val="18"/>
                <w:szCs w:val="18"/>
              </w:rPr>
            </w:pPr>
            <w:r w:rsidRPr="0079127A">
              <w:rPr>
                <w:rFonts w:eastAsia="Calibri" w:cstheme="minorHAnsi"/>
                <w:b/>
                <w:bCs/>
                <w:sz w:val="18"/>
                <w:szCs w:val="18"/>
              </w:rPr>
              <w:lastRenderedPageBreak/>
              <w:t xml:space="preserve">Mjera 7. </w:t>
            </w:r>
            <w:r w:rsidR="000A2891" w:rsidRPr="000A2891">
              <w:rPr>
                <w:rFonts w:eastAsia="Calibri" w:cstheme="minorHAnsi"/>
                <w:b/>
                <w:bCs/>
                <w:sz w:val="18"/>
                <w:szCs w:val="18"/>
              </w:rPr>
              <w:t>Unaprjeđenje sustava za gospodarenje otpadnom ambalažom i uspostava sustava za gospodarenje otpadnim plastičnim proizvodima za jednokratnu uporabu i ribolovnim alatima koji sadrže plastiku.</w:t>
            </w:r>
          </w:p>
        </w:tc>
      </w:tr>
      <w:tr w:rsidR="0079127A" w:rsidRPr="0079127A" w14:paraId="5B59F5E6" w14:textId="77777777" w:rsidTr="00DE1B14">
        <w:trPr>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14:paraId="36D6DFEE" w14:textId="77777777" w:rsidR="0079127A" w:rsidRPr="001543C9" w:rsidRDefault="0079127A" w:rsidP="00477D04">
            <w:pPr>
              <w:jc w:val="left"/>
              <w:rPr>
                <w:rFonts w:eastAsia="Calibri" w:cstheme="minorHAnsi"/>
                <w:sz w:val="18"/>
                <w:szCs w:val="18"/>
              </w:rPr>
            </w:pPr>
            <w:r w:rsidRPr="001543C9">
              <w:rPr>
                <w:rFonts w:eastAsia="Calibri" w:cstheme="minorHAnsi"/>
                <w:sz w:val="18"/>
                <w:szCs w:val="18"/>
              </w:rPr>
              <w:t>A 7.1. Mjera 1. Aktivnost A 1.2. i Aktivnost 1.4.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597B3C" w14:textId="77777777" w:rsidR="0079127A" w:rsidRPr="0079127A" w:rsidRDefault="0079127A">
            <w:pPr>
              <w:rPr>
                <w:rFonts w:eastAsia="Calibri" w:cstheme="minorHAnsi"/>
                <w:sz w:val="18"/>
                <w:szCs w:val="18"/>
              </w:rPr>
            </w:pPr>
            <w:r w:rsidRPr="0079127A">
              <w:rPr>
                <w:rFonts w:eastAsia="Calibri" w:cstheme="minorHAnsi"/>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hideMark/>
          </w:tcPr>
          <w:p w14:paraId="3FD99B77" w14:textId="77777777" w:rsidR="0079127A" w:rsidRPr="0079127A" w:rsidRDefault="0079127A">
            <w:pPr>
              <w:rPr>
                <w:rFonts w:eastAsia="Calibri" w:cstheme="minorHAnsi"/>
                <w:sz w:val="18"/>
                <w:szCs w:val="18"/>
              </w:rPr>
            </w:pPr>
            <w:r w:rsidRPr="0079127A">
              <w:rPr>
                <w:rFonts w:eastAsia="Calibri" w:cstheme="minorHAnsi"/>
                <w:sz w:val="18"/>
                <w:szCs w:val="18"/>
              </w:rPr>
              <w:t>-</w:t>
            </w:r>
          </w:p>
        </w:tc>
        <w:tc>
          <w:tcPr>
            <w:tcW w:w="1132" w:type="dxa"/>
            <w:gridSpan w:val="2"/>
            <w:tcBorders>
              <w:top w:val="single" w:sz="4" w:space="0" w:color="auto"/>
              <w:left w:val="single" w:sz="4" w:space="0" w:color="auto"/>
              <w:bottom w:val="single" w:sz="4" w:space="0" w:color="auto"/>
              <w:right w:val="single" w:sz="4" w:space="0" w:color="auto"/>
            </w:tcBorders>
            <w:vAlign w:val="center"/>
            <w:hideMark/>
          </w:tcPr>
          <w:p w14:paraId="1A2E0903" w14:textId="77777777" w:rsidR="0079127A" w:rsidRPr="0079127A" w:rsidRDefault="0079127A">
            <w:pPr>
              <w:rPr>
                <w:rFonts w:eastAsia="Calibri" w:cstheme="minorHAnsi"/>
                <w:sz w:val="18"/>
                <w:szCs w:val="18"/>
              </w:rPr>
            </w:pPr>
            <w:r w:rsidRPr="0079127A">
              <w:rPr>
                <w:rFonts w:eastAsia="Calibri" w:cstheme="minorHAnsi"/>
                <w:sz w:val="18"/>
                <w:szCs w:val="18"/>
              </w:rPr>
              <w:t>-</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731C7754" w14:textId="77777777" w:rsidR="0079127A" w:rsidRPr="0079127A" w:rsidRDefault="0079127A">
            <w:pPr>
              <w:rPr>
                <w:rFonts w:eastAsia="Calibri" w:cstheme="minorHAnsi"/>
                <w:sz w:val="18"/>
                <w:szCs w:val="18"/>
              </w:rPr>
            </w:pPr>
            <w:r w:rsidRPr="0079127A">
              <w:rPr>
                <w:rFonts w:eastAsia="Calibri" w:cstheme="minorHAnsi"/>
                <w:sz w:val="18"/>
                <w:szCs w:val="18"/>
              </w:rPr>
              <w:t>-</w:t>
            </w:r>
          </w:p>
        </w:tc>
        <w:tc>
          <w:tcPr>
            <w:tcW w:w="854" w:type="dxa"/>
            <w:tcBorders>
              <w:top w:val="single" w:sz="4" w:space="0" w:color="auto"/>
              <w:left w:val="single" w:sz="4" w:space="0" w:color="auto"/>
              <w:bottom w:val="single" w:sz="4" w:space="0" w:color="auto"/>
              <w:right w:val="single" w:sz="4" w:space="0" w:color="auto"/>
            </w:tcBorders>
            <w:vAlign w:val="center"/>
            <w:hideMark/>
          </w:tcPr>
          <w:p w14:paraId="261AB70C" w14:textId="77777777" w:rsidR="0079127A" w:rsidRPr="0079127A" w:rsidRDefault="0079127A">
            <w:pPr>
              <w:rPr>
                <w:rFonts w:eastAsia="Calibri" w:cstheme="minorHAnsi"/>
                <w:sz w:val="18"/>
                <w:szCs w:val="18"/>
              </w:rPr>
            </w:pPr>
            <w:r w:rsidRPr="0079127A">
              <w:rPr>
                <w:rFonts w:eastAsia="Calibri" w:cstheme="minorHAnsi"/>
                <w:sz w:val="18"/>
                <w:szCs w:val="18"/>
              </w:rPr>
              <w:t>-</w:t>
            </w:r>
          </w:p>
        </w:tc>
        <w:tc>
          <w:tcPr>
            <w:tcW w:w="995" w:type="dxa"/>
            <w:tcBorders>
              <w:top w:val="single" w:sz="4" w:space="0" w:color="auto"/>
              <w:left w:val="single" w:sz="4" w:space="0" w:color="auto"/>
              <w:bottom w:val="single" w:sz="4" w:space="0" w:color="auto"/>
              <w:right w:val="single" w:sz="4" w:space="0" w:color="auto"/>
            </w:tcBorders>
            <w:vAlign w:val="center"/>
            <w:hideMark/>
          </w:tcPr>
          <w:p w14:paraId="69ECFFA1" w14:textId="77777777" w:rsidR="0079127A" w:rsidRPr="0079127A" w:rsidRDefault="0079127A">
            <w:pPr>
              <w:rPr>
                <w:rFonts w:eastAsia="Calibri" w:cstheme="minorHAnsi"/>
                <w:sz w:val="18"/>
                <w:szCs w:val="18"/>
              </w:rPr>
            </w:pPr>
            <w:r w:rsidRPr="0079127A">
              <w:rPr>
                <w:rFonts w:eastAsia="Calibri" w:cstheme="minorHAnsi"/>
                <w:sz w:val="18"/>
                <w:szCs w:val="18"/>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4417AD23" w14:textId="4D4A6057" w:rsidR="0079127A" w:rsidRPr="0079127A" w:rsidRDefault="00F42B7C">
            <w:pPr>
              <w:jc w:val="center"/>
              <w:rPr>
                <w:rFonts w:eastAsia="Calibri" w:cstheme="minorHAnsi"/>
                <w:sz w:val="18"/>
                <w:szCs w:val="18"/>
              </w:rPr>
            </w:pPr>
            <w:r>
              <w:rPr>
                <w:rFonts w:eastAsia="Calibri" w:cstheme="minorHAnsi"/>
                <w:sz w:val="18"/>
                <w:szCs w:val="18"/>
              </w:rPr>
              <w:t>2028.</w:t>
            </w:r>
          </w:p>
        </w:tc>
      </w:tr>
      <w:tr w:rsidR="0079127A" w:rsidRPr="0079127A" w14:paraId="0AA87067" w14:textId="77777777" w:rsidTr="00DE1B14">
        <w:trPr>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14:paraId="253B5EC2" w14:textId="77777777" w:rsidR="0079127A" w:rsidRPr="0079127A" w:rsidRDefault="0079127A" w:rsidP="00477D04">
            <w:pPr>
              <w:jc w:val="left"/>
              <w:rPr>
                <w:rFonts w:eastAsia="Calibri" w:cstheme="minorHAnsi"/>
                <w:sz w:val="18"/>
                <w:szCs w:val="18"/>
              </w:rPr>
            </w:pPr>
            <w:r w:rsidRPr="0079127A">
              <w:rPr>
                <w:rFonts w:eastAsia="Calibri" w:cstheme="minorHAnsi"/>
                <w:sz w:val="18"/>
                <w:szCs w:val="18"/>
              </w:rPr>
              <w:t>A 7.2. Priprema i provedba pilot-projekata gospodarenje otpadom od cigaretnih filtera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AF0906" w14:textId="77777777" w:rsidR="0079127A" w:rsidRPr="0079127A" w:rsidRDefault="0079127A">
            <w:pPr>
              <w:rPr>
                <w:rFonts w:eastAsia="Calibri" w:cstheme="minorHAnsi"/>
                <w:sz w:val="18"/>
                <w:szCs w:val="18"/>
              </w:rPr>
            </w:pPr>
            <w:r w:rsidRPr="0079127A">
              <w:rPr>
                <w:rFonts w:eastAsia="Calibri" w:cstheme="minorHAnsi"/>
                <w:sz w:val="18"/>
                <w:szCs w:val="18"/>
              </w:rPr>
              <w:t>FZOEU</w:t>
            </w:r>
          </w:p>
        </w:tc>
        <w:tc>
          <w:tcPr>
            <w:tcW w:w="990" w:type="dxa"/>
            <w:tcBorders>
              <w:top w:val="single" w:sz="4" w:space="0" w:color="auto"/>
              <w:left w:val="single" w:sz="4" w:space="0" w:color="auto"/>
              <w:bottom w:val="single" w:sz="4" w:space="0" w:color="auto"/>
              <w:right w:val="single" w:sz="4" w:space="0" w:color="auto"/>
            </w:tcBorders>
            <w:vAlign w:val="center"/>
            <w:hideMark/>
          </w:tcPr>
          <w:p w14:paraId="62FA0F22" w14:textId="77777777" w:rsidR="0079127A" w:rsidRPr="0079127A" w:rsidRDefault="0079127A">
            <w:pPr>
              <w:rPr>
                <w:rFonts w:eastAsia="Calibri" w:cstheme="minorHAnsi"/>
                <w:sz w:val="18"/>
                <w:szCs w:val="18"/>
              </w:rPr>
            </w:pPr>
            <w:r w:rsidRPr="0079127A">
              <w:rPr>
                <w:rFonts w:eastAsia="Calibri" w:cstheme="minorHAnsi"/>
                <w:sz w:val="18"/>
                <w:szCs w:val="18"/>
              </w:rPr>
              <w:t>MINGOR/JP (R) S/JLS</w:t>
            </w:r>
          </w:p>
        </w:tc>
        <w:tc>
          <w:tcPr>
            <w:tcW w:w="1132" w:type="dxa"/>
            <w:gridSpan w:val="2"/>
            <w:tcBorders>
              <w:top w:val="single" w:sz="4" w:space="0" w:color="auto"/>
              <w:left w:val="single" w:sz="4" w:space="0" w:color="auto"/>
              <w:bottom w:val="single" w:sz="4" w:space="0" w:color="auto"/>
              <w:right w:val="single" w:sz="4" w:space="0" w:color="auto"/>
            </w:tcBorders>
            <w:vAlign w:val="center"/>
            <w:hideMark/>
          </w:tcPr>
          <w:p w14:paraId="2E23712E" w14:textId="77777777" w:rsidR="0079127A" w:rsidRPr="0079127A" w:rsidRDefault="0079127A">
            <w:pPr>
              <w:rPr>
                <w:rFonts w:eastAsia="Calibri" w:cstheme="minorHAnsi"/>
                <w:sz w:val="18"/>
                <w:szCs w:val="18"/>
              </w:rPr>
            </w:pPr>
            <w:r w:rsidRPr="0079127A">
              <w:rPr>
                <w:rFonts w:eastAsia="Calibri" w:cstheme="minorHAnsi"/>
                <w:sz w:val="18"/>
                <w:szCs w:val="18"/>
              </w:rPr>
              <w:t>FZOEU/MINGOR/JP (R) S/JLS/ EU</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20B9C5C8" w14:textId="77777777" w:rsidR="0079127A" w:rsidRPr="0079127A" w:rsidRDefault="0079127A">
            <w:pPr>
              <w:rPr>
                <w:rFonts w:eastAsia="Calibri" w:cstheme="minorHAnsi"/>
                <w:sz w:val="18"/>
                <w:szCs w:val="18"/>
              </w:rPr>
            </w:pPr>
            <w:r w:rsidRPr="0079127A">
              <w:rPr>
                <w:rFonts w:eastAsia="Calibri" w:cstheme="minorHAnsi"/>
                <w:sz w:val="18"/>
                <w:szCs w:val="18"/>
              </w:rPr>
              <w:t>Provedeni pilot projekti gospodarenjem otpadom od cigaretnih filtera</w:t>
            </w:r>
          </w:p>
        </w:tc>
        <w:tc>
          <w:tcPr>
            <w:tcW w:w="854" w:type="dxa"/>
            <w:tcBorders>
              <w:top w:val="single" w:sz="4" w:space="0" w:color="auto"/>
              <w:left w:val="single" w:sz="4" w:space="0" w:color="auto"/>
              <w:bottom w:val="single" w:sz="4" w:space="0" w:color="auto"/>
              <w:right w:val="single" w:sz="4" w:space="0" w:color="auto"/>
            </w:tcBorders>
            <w:vAlign w:val="center"/>
            <w:hideMark/>
          </w:tcPr>
          <w:p w14:paraId="11E55BDB" w14:textId="77777777" w:rsidR="0079127A" w:rsidRPr="0079127A" w:rsidRDefault="0079127A">
            <w:pPr>
              <w:rPr>
                <w:rFonts w:eastAsia="Calibri" w:cstheme="minorHAnsi"/>
                <w:sz w:val="18"/>
                <w:szCs w:val="18"/>
              </w:rPr>
            </w:pPr>
            <w:r w:rsidRPr="0079127A">
              <w:rPr>
                <w:rFonts w:eastAsia="Calibri" w:cstheme="minorHAnsi"/>
                <w:sz w:val="18"/>
                <w:szCs w:val="18"/>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27019E00" w14:textId="77777777" w:rsidR="0079127A" w:rsidRPr="0079127A" w:rsidRDefault="0079127A">
            <w:pPr>
              <w:rPr>
                <w:rFonts w:eastAsia="Calibri" w:cstheme="minorHAnsi"/>
                <w:sz w:val="18"/>
                <w:szCs w:val="18"/>
              </w:rPr>
            </w:pPr>
            <w:r w:rsidRPr="0079127A">
              <w:rPr>
                <w:rFonts w:eastAsia="Calibri" w:cstheme="minorHAnsi"/>
                <w:sz w:val="18"/>
                <w:szCs w:val="18"/>
              </w:rPr>
              <w:t>6</w:t>
            </w:r>
          </w:p>
        </w:tc>
        <w:tc>
          <w:tcPr>
            <w:tcW w:w="994" w:type="dxa"/>
            <w:tcBorders>
              <w:top w:val="single" w:sz="4" w:space="0" w:color="auto"/>
              <w:left w:val="single" w:sz="4" w:space="0" w:color="auto"/>
              <w:bottom w:val="single" w:sz="4" w:space="0" w:color="auto"/>
              <w:right w:val="single" w:sz="4" w:space="0" w:color="auto"/>
            </w:tcBorders>
            <w:vAlign w:val="center"/>
            <w:hideMark/>
          </w:tcPr>
          <w:p w14:paraId="04173DBF" w14:textId="77777777" w:rsidR="0079127A" w:rsidRPr="0079127A" w:rsidRDefault="0079127A">
            <w:pPr>
              <w:jc w:val="center"/>
              <w:rPr>
                <w:rFonts w:eastAsia="Calibri" w:cstheme="minorHAnsi"/>
                <w:sz w:val="18"/>
                <w:szCs w:val="18"/>
              </w:rPr>
            </w:pPr>
            <w:r w:rsidRPr="0079127A">
              <w:rPr>
                <w:rFonts w:eastAsia="Calibri" w:cstheme="minorHAnsi"/>
                <w:sz w:val="18"/>
                <w:szCs w:val="18"/>
              </w:rPr>
              <w:t>2028.</w:t>
            </w:r>
          </w:p>
        </w:tc>
      </w:tr>
      <w:tr w:rsidR="0079127A" w:rsidRPr="0079127A" w14:paraId="6ACFDE59" w14:textId="77777777" w:rsidTr="00DE1B14">
        <w:trPr>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14:paraId="7AECD2BE" w14:textId="77777777" w:rsidR="0079127A" w:rsidRPr="0079127A" w:rsidRDefault="0079127A" w:rsidP="00477D04">
            <w:pPr>
              <w:jc w:val="left"/>
              <w:rPr>
                <w:rFonts w:eastAsia="Calibri" w:cstheme="minorHAnsi"/>
                <w:sz w:val="18"/>
                <w:szCs w:val="18"/>
              </w:rPr>
            </w:pPr>
            <w:r w:rsidRPr="0079127A">
              <w:rPr>
                <w:rFonts w:eastAsia="Calibri" w:cstheme="minorHAnsi"/>
                <w:sz w:val="18"/>
                <w:szCs w:val="18"/>
              </w:rPr>
              <w:t>A 7.3. Organizacija radionica za privatni sektor u na temu pripreme izvještaja i dostave podataka nadležnim tijelima o ambalaži i ambalažnom otpadu, otpadnim plastičnim proizvodima za jednokratnu uporabu i ribolovnim alatima koji sadrže plastiku (uključujući pripremu edukativnih materijala)</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5DAD1F" w14:textId="77777777" w:rsidR="0079127A" w:rsidRPr="0079127A" w:rsidRDefault="0079127A">
            <w:pPr>
              <w:rPr>
                <w:rFonts w:eastAsia="Calibri" w:cstheme="minorHAnsi"/>
                <w:sz w:val="18"/>
                <w:szCs w:val="18"/>
              </w:rPr>
            </w:pPr>
            <w:r w:rsidRPr="0079127A">
              <w:rPr>
                <w:rFonts w:eastAsia="Calibri" w:cstheme="minorHAnsi"/>
                <w:sz w:val="18"/>
                <w:szCs w:val="18"/>
              </w:rPr>
              <w:t>MINGOR</w:t>
            </w:r>
          </w:p>
        </w:tc>
        <w:tc>
          <w:tcPr>
            <w:tcW w:w="990" w:type="dxa"/>
            <w:tcBorders>
              <w:top w:val="single" w:sz="4" w:space="0" w:color="auto"/>
              <w:left w:val="single" w:sz="4" w:space="0" w:color="auto"/>
              <w:bottom w:val="single" w:sz="4" w:space="0" w:color="auto"/>
              <w:right w:val="single" w:sz="4" w:space="0" w:color="auto"/>
            </w:tcBorders>
            <w:vAlign w:val="center"/>
            <w:hideMark/>
          </w:tcPr>
          <w:p w14:paraId="26C75FE5" w14:textId="77777777" w:rsidR="0079127A" w:rsidRPr="0079127A" w:rsidRDefault="0079127A">
            <w:pPr>
              <w:rPr>
                <w:rFonts w:eastAsia="Calibri" w:cstheme="minorHAnsi"/>
                <w:sz w:val="18"/>
                <w:szCs w:val="18"/>
              </w:rPr>
            </w:pPr>
            <w:r w:rsidRPr="0079127A">
              <w:rPr>
                <w:rFonts w:eastAsia="Calibri" w:cstheme="minorHAnsi"/>
                <w:sz w:val="18"/>
                <w:szCs w:val="18"/>
              </w:rPr>
              <w:t>FZOEU</w:t>
            </w:r>
          </w:p>
        </w:tc>
        <w:tc>
          <w:tcPr>
            <w:tcW w:w="1132" w:type="dxa"/>
            <w:gridSpan w:val="2"/>
            <w:tcBorders>
              <w:top w:val="single" w:sz="4" w:space="0" w:color="auto"/>
              <w:left w:val="single" w:sz="4" w:space="0" w:color="auto"/>
              <w:bottom w:val="single" w:sz="4" w:space="0" w:color="auto"/>
              <w:right w:val="single" w:sz="4" w:space="0" w:color="auto"/>
            </w:tcBorders>
            <w:vAlign w:val="center"/>
            <w:hideMark/>
          </w:tcPr>
          <w:p w14:paraId="49B6A1AB" w14:textId="77777777" w:rsidR="0079127A" w:rsidRPr="0079127A" w:rsidRDefault="0079127A">
            <w:pPr>
              <w:rPr>
                <w:rFonts w:eastAsia="Calibri" w:cstheme="minorHAnsi"/>
                <w:sz w:val="18"/>
                <w:szCs w:val="18"/>
              </w:rPr>
            </w:pPr>
            <w:r w:rsidRPr="0079127A">
              <w:rPr>
                <w:rFonts w:eastAsia="Calibri" w:cstheme="minorHAnsi"/>
                <w:sz w:val="18"/>
                <w:szCs w:val="18"/>
              </w:rPr>
              <w:t>FZOEU/MINGOR/EU</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7E64EFEA" w14:textId="77777777" w:rsidR="0079127A" w:rsidRPr="0079127A" w:rsidRDefault="0079127A">
            <w:pPr>
              <w:rPr>
                <w:rFonts w:eastAsia="Calibri" w:cstheme="minorHAnsi"/>
                <w:sz w:val="18"/>
                <w:szCs w:val="18"/>
              </w:rPr>
            </w:pPr>
            <w:r w:rsidRPr="0079127A">
              <w:rPr>
                <w:rFonts w:eastAsia="Calibri" w:cstheme="minorHAnsi"/>
                <w:sz w:val="18"/>
                <w:szCs w:val="18"/>
              </w:rPr>
              <w:t>Provedene radionice za privatni sektor u na temu pripreme izvještaja i dostave podataka nadležnim tijelima o ambalaži i ambalažnom otpadu, otpadnim plastičnim proizvodima za jednokratnu uporabu i ribolovnim alatima koji sadrže plastiku (uključujući pripremu edukativnih materijala)</w:t>
            </w:r>
          </w:p>
        </w:tc>
        <w:tc>
          <w:tcPr>
            <w:tcW w:w="854" w:type="dxa"/>
            <w:tcBorders>
              <w:top w:val="single" w:sz="4" w:space="0" w:color="auto"/>
              <w:left w:val="single" w:sz="4" w:space="0" w:color="auto"/>
              <w:bottom w:val="single" w:sz="4" w:space="0" w:color="auto"/>
              <w:right w:val="single" w:sz="4" w:space="0" w:color="auto"/>
            </w:tcBorders>
            <w:vAlign w:val="center"/>
            <w:hideMark/>
          </w:tcPr>
          <w:p w14:paraId="0154D933" w14:textId="77777777" w:rsidR="0079127A" w:rsidRPr="0079127A" w:rsidRDefault="0079127A">
            <w:pPr>
              <w:rPr>
                <w:rFonts w:eastAsia="Calibri" w:cstheme="minorHAnsi"/>
                <w:sz w:val="18"/>
                <w:szCs w:val="18"/>
              </w:rPr>
            </w:pPr>
            <w:r w:rsidRPr="0079127A">
              <w:rPr>
                <w:rFonts w:eastAsia="Calibri" w:cstheme="minorHAnsi"/>
                <w:sz w:val="18"/>
                <w:szCs w:val="18"/>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2F1D304D" w14:textId="77777777" w:rsidR="0079127A" w:rsidRPr="0079127A" w:rsidRDefault="0079127A">
            <w:pPr>
              <w:rPr>
                <w:rFonts w:eastAsia="Calibri" w:cstheme="minorHAnsi"/>
                <w:sz w:val="18"/>
                <w:szCs w:val="18"/>
              </w:rPr>
            </w:pPr>
            <w:r w:rsidRPr="0079127A">
              <w:rPr>
                <w:rFonts w:eastAsia="Calibri" w:cstheme="minorHAnsi"/>
                <w:sz w:val="18"/>
                <w:szCs w:val="18"/>
              </w:rPr>
              <w:t>2</w:t>
            </w:r>
          </w:p>
        </w:tc>
        <w:tc>
          <w:tcPr>
            <w:tcW w:w="994" w:type="dxa"/>
            <w:tcBorders>
              <w:top w:val="single" w:sz="4" w:space="0" w:color="auto"/>
              <w:left w:val="single" w:sz="4" w:space="0" w:color="auto"/>
              <w:bottom w:val="single" w:sz="4" w:space="0" w:color="auto"/>
              <w:right w:val="single" w:sz="4" w:space="0" w:color="auto"/>
            </w:tcBorders>
            <w:vAlign w:val="center"/>
            <w:hideMark/>
          </w:tcPr>
          <w:p w14:paraId="0DD2CB59" w14:textId="77777777" w:rsidR="0079127A" w:rsidRPr="0079127A" w:rsidRDefault="0079127A">
            <w:pPr>
              <w:jc w:val="center"/>
              <w:rPr>
                <w:rFonts w:eastAsia="Calibri" w:cstheme="minorHAnsi"/>
                <w:sz w:val="18"/>
                <w:szCs w:val="18"/>
              </w:rPr>
            </w:pPr>
            <w:r w:rsidRPr="0079127A">
              <w:rPr>
                <w:rFonts w:eastAsia="Calibri" w:cstheme="minorHAnsi"/>
                <w:sz w:val="18"/>
                <w:szCs w:val="18"/>
              </w:rPr>
              <w:t>2023.</w:t>
            </w:r>
          </w:p>
        </w:tc>
      </w:tr>
      <w:tr w:rsidR="0079127A" w:rsidRPr="0079127A" w14:paraId="584D2177" w14:textId="77777777" w:rsidTr="002B6978">
        <w:trPr>
          <w:jc w:val="center"/>
        </w:trPr>
        <w:tc>
          <w:tcPr>
            <w:tcW w:w="9207" w:type="dxa"/>
            <w:gridSpan w:val="10"/>
            <w:tcBorders>
              <w:top w:val="single" w:sz="4" w:space="0" w:color="auto"/>
              <w:left w:val="single" w:sz="4" w:space="0" w:color="auto"/>
              <w:bottom w:val="single" w:sz="4" w:space="0" w:color="auto"/>
              <w:right w:val="single" w:sz="4" w:space="0" w:color="auto"/>
            </w:tcBorders>
            <w:shd w:val="clear" w:color="auto" w:fill="5B9BD5"/>
            <w:vAlign w:val="center"/>
            <w:hideMark/>
          </w:tcPr>
          <w:p w14:paraId="22816003" w14:textId="77777777" w:rsidR="0079127A" w:rsidRPr="0079127A" w:rsidRDefault="0079127A">
            <w:pPr>
              <w:rPr>
                <w:rFonts w:eastAsia="Calibri" w:cstheme="minorHAnsi"/>
                <w:b/>
                <w:bCs/>
                <w:sz w:val="18"/>
                <w:szCs w:val="18"/>
              </w:rPr>
            </w:pPr>
            <w:r w:rsidRPr="0079127A">
              <w:rPr>
                <w:rFonts w:eastAsia="Calibri" w:cstheme="minorHAnsi"/>
                <w:b/>
                <w:bCs/>
                <w:sz w:val="18"/>
                <w:szCs w:val="18"/>
              </w:rPr>
              <w:t>Mjera 8. Unaprjeđenje sustava za gospodarenje građevnim otpadom i otpadom koji sadrži azbest</w:t>
            </w:r>
          </w:p>
        </w:tc>
      </w:tr>
      <w:tr w:rsidR="005C164B" w:rsidRPr="0079127A" w14:paraId="3309078C" w14:textId="77777777" w:rsidTr="00F42B7C">
        <w:trPr>
          <w:jc w:val="center"/>
        </w:trPr>
        <w:tc>
          <w:tcPr>
            <w:tcW w:w="1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9ABEC" w14:textId="2D60D917" w:rsidR="006032E2" w:rsidRPr="00344A35" w:rsidRDefault="006032E2" w:rsidP="006032E2">
            <w:pPr>
              <w:jc w:val="left"/>
              <w:rPr>
                <w:rFonts w:eastAsia="Calibri" w:cstheme="minorHAnsi"/>
                <w:sz w:val="18"/>
                <w:szCs w:val="18"/>
              </w:rPr>
            </w:pPr>
            <w:r w:rsidRPr="00344A35">
              <w:rPr>
                <w:rFonts w:eastAsia="Calibri" w:cstheme="minorHAnsi"/>
                <w:sz w:val="18"/>
                <w:szCs w:val="18"/>
              </w:rPr>
              <w:t xml:space="preserve">A 8.1. Izrada uputa za odabir i </w:t>
            </w:r>
            <w:proofErr w:type="spellStart"/>
            <w:r w:rsidRPr="00344A35">
              <w:rPr>
                <w:rFonts w:eastAsia="Calibri" w:cstheme="minorHAnsi"/>
                <w:sz w:val="18"/>
                <w:szCs w:val="18"/>
              </w:rPr>
              <w:t>izdvanjanje</w:t>
            </w:r>
            <w:proofErr w:type="spellEnd"/>
            <w:r w:rsidRPr="00344A35">
              <w:rPr>
                <w:rFonts w:eastAsia="Calibri" w:cstheme="minorHAnsi"/>
                <w:sz w:val="18"/>
                <w:szCs w:val="18"/>
              </w:rPr>
              <w:t xml:space="preserve"> opasnog građevnog otpada</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154078" w14:textId="77777777" w:rsidR="006032E2" w:rsidRPr="0079127A" w:rsidRDefault="006032E2" w:rsidP="006032E2">
            <w:pPr>
              <w:rPr>
                <w:rFonts w:eastAsia="Calibri" w:cstheme="minorHAnsi"/>
                <w:sz w:val="18"/>
                <w:szCs w:val="18"/>
              </w:rPr>
            </w:pPr>
            <w:r w:rsidRPr="0079127A">
              <w:rPr>
                <w:rFonts w:eastAsia="Calibri" w:cstheme="minorHAnsi"/>
                <w:sz w:val="18"/>
                <w:szCs w:val="18"/>
              </w:rPr>
              <w:t>MINGOR</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7C4855" w14:textId="60BE6CE8" w:rsidR="006032E2" w:rsidRPr="0079127A" w:rsidRDefault="006032E2" w:rsidP="006032E2">
            <w:pPr>
              <w:jc w:val="center"/>
              <w:rPr>
                <w:rFonts w:eastAsia="Calibri" w:cstheme="minorHAnsi"/>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EFCF21" w14:textId="6B90639F" w:rsidR="006032E2" w:rsidRPr="00DE1B14" w:rsidRDefault="006032E2" w:rsidP="006032E2">
            <w:pPr>
              <w:jc w:val="center"/>
              <w:rPr>
                <w:rFonts w:eastAsia="Calibri" w:cstheme="minorHAnsi"/>
                <w:sz w:val="16"/>
                <w:szCs w:val="16"/>
              </w:rPr>
            </w:pPr>
            <w:r w:rsidRPr="00DE1B14">
              <w:rPr>
                <w:sz w:val="16"/>
                <w:szCs w:val="16"/>
              </w:rPr>
              <w:t>MINGOR</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37E9EE32" w14:textId="1ABD5187" w:rsidR="006032E2" w:rsidRPr="0079127A" w:rsidRDefault="006032E2" w:rsidP="00DE1B14">
            <w:pPr>
              <w:rPr>
                <w:rFonts w:eastAsia="Calibri" w:cstheme="minorHAnsi"/>
                <w:sz w:val="18"/>
                <w:szCs w:val="18"/>
              </w:rPr>
            </w:pPr>
            <w:r>
              <w:rPr>
                <w:rFonts w:eastAsia="Calibri" w:cstheme="minorHAnsi"/>
                <w:sz w:val="18"/>
                <w:szCs w:val="18"/>
              </w:rPr>
              <w:t xml:space="preserve">Izrađene </w:t>
            </w:r>
            <w:r w:rsidRPr="006032E2">
              <w:rPr>
                <w:rFonts w:eastAsia="Calibri" w:cstheme="minorHAnsi"/>
                <w:sz w:val="18"/>
                <w:szCs w:val="18"/>
              </w:rPr>
              <w:t>uput</w:t>
            </w:r>
            <w:r>
              <w:rPr>
                <w:rFonts w:eastAsia="Calibri" w:cstheme="minorHAnsi"/>
                <w:sz w:val="18"/>
                <w:szCs w:val="18"/>
              </w:rPr>
              <w:t>e</w:t>
            </w:r>
            <w:r w:rsidRPr="006032E2">
              <w:rPr>
                <w:rFonts w:eastAsia="Calibri" w:cstheme="minorHAnsi"/>
                <w:sz w:val="18"/>
                <w:szCs w:val="18"/>
              </w:rPr>
              <w:t xml:space="preserve"> za odabir i </w:t>
            </w:r>
            <w:proofErr w:type="spellStart"/>
            <w:r w:rsidRPr="006032E2">
              <w:rPr>
                <w:rFonts w:eastAsia="Calibri" w:cstheme="minorHAnsi"/>
                <w:sz w:val="18"/>
                <w:szCs w:val="18"/>
              </w:rPr>
              <w:t>izdvanjanje</w:t>
            </w:r>
            <w:proofErr w:type="spellEnd"/>
            <w:r w:rsidRPr="006032E2">
              <w:rPr>
                <w:rFonts w:eastAsia="Calibri" w:cstheme="minorHAnsi"/>
                <w:sz w:val="18"/>
                <w:szCs w:val="18"/>
              </w:rPr>
              <w:t xml:space="preserve"> opasnog građevnog otpada</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2463B966" w14:textId="4147D2CA" w:rsidR="006032E2" w:rsidRPr="0079127A" w:rsidRDefault="000328BD" w:rsidP="006032E2">
            <w:pPr>
              <w:jc w:val="center"/>
              <w:rPr>
                <w:rFonts w:eastAsia="Calibri" w:cstheme="minorHAnsi"/>
                <w:sz w:val="18"/>
                <w:szCs w:val="18"/>
              </w:rPr>
            </w:pPr>
            <w:r>
              <w:rPr>
                <w:rFonts w:eastAsia="Calibri" w:cstheme="minorHAnsi"/>
                <w:sz w:val="18"/>
                <w:szCs w:val="18"/>
              </w:rPr>
              <w:t>Broj</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20CC519A" w14:textId="0BA54781" w:rsidR="006032E2" w:rsidRPr="0079127A" w:rsidRDefault="000328BD" w:rsidP="006032E2">
            <w:pPr>
              <w:jc w:val="center"/>
              <w:rPr>
                <w:rFonts w:eastAsia="Calibri" w:cstheme="minorHAnsi"/>
                <w:sz w:val="18"/>
                <w:szCs w:val="18"/>
              </w:rPr>
            </w:pPr>
            <w:r>
              <w:rPr>
                <w:rFonts w:eastAsia="Calibri" w:cstheme="minorHAnsi"/>
                <w:sz w:val="18"/>
                <w:szCs w:val="18"/>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2571D3A" w14:textId="049C2DDE" w:rsidR="006032E2" w:rsidRPr="0079127A" w:rsidRDefault="000328BD" w:rsidP="006032E2">
            <w:pPr>
              <w:jc w:val="center"/>
              <w:rPr>
                <w:rFonts w:eastAsia="Calibri" w:cstheme="minorHAnsi"/>
                <w:sz w:val="18"/>
                <w:szCs w:val="18"/>
              </w:rPr>
            </w:pPr>
            <w:r>
              <w:rPr>
                <w:rFonts w:eastAsia="Calibri" w:cstheme="minorHAnsi"/>
                <w:sz w:val="18"/>
                <w:szCs w:val="18"/>
              </w:rPr>
              <w:t>202</w:t>
            </w:r>
            <w:r w:rsidR="00F42B7C">
              <w:rPr>
                <w:rFonts w:eastAsia="Calibri" w:cstheme="minorHAnsi"/>
                <w:sz w:val="18"/>
                <w:szCs w:val="18"/>
              </w:rPr>
              <w:t>7</w:t>
            </w:r>
            <w:r>
              <w:rPr>
                <w:rFonts w:eastAsia="Calibri" w:cstheme="minorHAnsi"/>
                <w:sz w:val="18"/>
                <w:szCs w:val="18"/>
              </w:rPr>
              <w:t>.</w:t>
            </w:r>
          </w:p>
        </w:tc>
      </w:tr>
      <w:tr w:rsidR="0079127A" w:rsidRPr="0079127A" w14:paraId="701CF3DA" w14:textId="77777777" w:rsidTr="002B6978">
        <w:trPr>
          <w:jc w:val="center"/>
        </w:trPr>
        <w:tc>
          <w:tcPr>
            <w:tcW w:w="9207" w:type="dxa"/>
            <w:gridSpan w:val="10"/>
            <w:tcBorders>
              <w:top w:val="single" w:sz="4" w:space="0" w:color="auto"/>
              <w:left w:val="single" w:sz="4" w:space="0" w:color="auto"/>
              <w:bottom w:val="single" w:sz="4" w:space="0" w:color="auto"/>
              <w:right w:val="single" w:sz="4" w:space="0" w:color="auto"/>
            </w:tcBorders>
            <w:shd w:val="clear" w:color="auto" w:fill="5B9BD5"/>
            <w:vAlign w:val="center"/>
            <w:hideMark/>
          </w:tcPr>
          <w:p w14:paraId="7C7358A7" w14:textId="77777777" w:rsidR="0079127A" w:rsidRPr="0079127A" w:rsidRDefault="0079127A">
            <w:pPr>
              <w:rPr>
                <w:rFonts w:eastAsia="Calibri" w:cstheme="minorHAnsi"/>
                <w:b/>
                <w:bCs/>
                <w:sz w:val="18"/>
                <w:szCs w:val="18"/>
              </w:rPr>
            </w:pPr>
            <w:r w:rsidRPr="0079127A">
              <w:rPr>
                <w:rFonts w:eastAsia="Calibri" w:cstheme="minorHAnsi"/>
                <w:b/>
                <w:bCs/>
                <w:sz w:val="18"/>
                <w:szCs w:val="18"/>
              </w:rPr>
              <w:t>Mjera 9. Unaprjeđenje sustava za gospodarenje otpadnim vozilima, otpadnim baterijama i akumulatorima, otpadnom električnom i elektroničkom opremom i otpadnim gumama</w:t>
            </w:r>
          </w:p>
        </w:tc>
      </w:tr>
      <w:tr w:rsidR="0079127A" w:rsidRPr="0079127A" w14:paraId="2A160F6B" w14:textId="77777777" w:rsidTr="00DE1B14">
        <w:trPr>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14:paraId="21C3F5B2" w14:textId="2FB3FF09" w:rsidR="0079127A" w:rsidRPr="00134062" w:rsidRDefault="00AF0942">
            <w:pPr>
              <w:rPr>
                <w:rFonts w:eastAsia="Calibri" w:cstheme="minorHAnsi"/>
                <w:sz w:val="18"/>
                <w:szCs w:val="18"/>
                <w:highlight w:val="yellow"/>
              </w:rPr>
            </w:pPr>
            <w:r w:rsidRPr="00134062">
              <w:rPr>
                <w:rFonts w:eastAsia="Calibri" w:cstheme="minorHAnsi"/>
                <w:sz w:val="18"/>
                <w:szCs w:val="18"/>
              </w:rPr>
              <w:t xml:space="preserve">A 9.1. Izrada studije izvodljivosti potrebnih kapaciteta za obradu posebnih kategorija otpada i unaprjeđenje sustava gospodarenja otpadnim vozilima, otpadnim baterijama i akumulatorima, otpadnom električnom i elektroničkom </w:t>
            </w:r>
            <w:r w:rsidRPr="00134062">
              <w:rPr>
                <w:rFonts w:eastAsia="Calibri" w:cstheme="minorHAnsi"/>
                <w:sz w:val="18"/>
                <w:szCs w:val="18"/>
              </w:rPr>
              <w:lastRenderedPageBreak/>
              <w:t>opremom i otpadnim guma</w:t>
            </w:r>
          </w:p>
        </w:tc>
        <w:tc>
          <w:tcPr>
            <w:tcW w:w="992" w:type="dxa"/>
            <w:tcBorders>
              <w:top w:val="single" w:sz="4" w:space="0" w:color="auto"/>
              <w:left w:val="single" w:sz="4" w:space="0" w:color="auto"/>
              <w:bottom w:val="single" w:sz="4" w:space="0" w:color="auto"/>
              <w:right w:val="single" w:sz="4" w:space="0" w:color="auto"/>
            </w:tcBorders>
            <w:vAlign w:val="center"/>
          </w:tcPr>
          <w:p w14:paraId="75B57F1C" w14:textId="64E75D95" w:rsidR="0079127A" w:rsidRPr="00134062" w:rsidRDefault="00AF0942" w:rsidP="00DE1B14">
            <w:pPr>
              <w:jc w:val="center"/>
              <w:rPr>
                <w:rFonts w:eastAsia="Calibri" w:cstheme="minorHAnsi"/>
                <w:sz w:val="18"/>
                <w:szCs w:val="18"/>
              </w:rPr>
            </w:pPr>
            <w:r w:rsidRPr="00134062">
              <w:rPr>
                <w:rFonts w:eastAsia="Calibri" w:cstheme="minorHAnsi"/>
                <w:sz w:val="18"/>
                <w:szCs w:val="18"/>
              </w:rPr>
              <w:lastRenderedPageBreak/>
              <w:t>FZOEU</w:t>
            </w:r>
          </w:p>
        </w:tc>
        <w:tc>
          <w:tcPr>
            <w:tcW w:w="990" w:type="dxa"/>
            <w:tcBorders>
              <w:top w:val="single" w:sz="4" w:space="0" w:color="auto"/>
              <w:left w:val="single" w:sz="4" w:space="0" w:color="auto"/>
              <w:bottom w:val="single" w:sz="4" w:space="0" w:color="auto"/>
              <w:right w:val="single" w:sz="4" w:space="0" w:color="auto"/>
            </w:tcBorders>
            <w:vAlign w:val="center"/>
          </w:tcPr>
          <w:p w14:paraId="4EDA4005" w14:textId="37115011" w:rsidR="0079127A" w:rsidRPr="00134062" w:rsidRDefault="00AF0942" w:rsidP="00DE1B14">
            <w:pPr>
              <w:jc w:val="center"/>
              <w:rPr>
                <w:rFonts w:eastAsia="Calibri" w:cstheme="minorHAnsi"/>
                <w:sz w:val="18"/>
                <w:szCs w:val="18"/>
              </w:rPr>
            </w:pPr>
            <w:r w:rsidRPr="00134062">
              <w:rPr>
                <w:rFonts w:eastAsia="Calibri" w:cstheme="minorHAnsi"/>
                <w:sz w:val="18"/>
                <w:szCs w:val="18"/>
              </w:rPr>
              <w:t>MINGOR</w:t>
            </w: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25D6DA8E" w14:textId="16CD5216" w:rsidR="0079127A" w:rsidRPr="00134062" w:rsidRDefault="00AF0942" w:rsidP="00DE1B14">
            <w:pPr>
              <w:jc w:val="center"/>
              <w:rPr>
                <w:rFonts w:eastAsia="Calibri" w:cstheme="minorHAnsi"/>
                <w:sz w:val="18"/>
                <w:szCs w:val="18"/>
                <w:highlight w:val="yellow"/>
              </w:rPr>
            </w:pPr>
            <w:r w:rsidRPr="00134062">
              <w:rPr>
                <w:rFonts w:eastAsia="Calibri" w:cstheme="minorHAnsi"/>
                <w:sz w:val="18"/>
                <w:szCs w:val="18"/>
              </w:rPr>
              <w:t>FZOEU</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3E8B5227" w14:textId="77777777" w:rsidR="0079127A" w:rsidRPr="00134062" w:rsidRDefault="0079127A" w:rsidP="00DE1B14">
            <w:pPr>
              <w:jc w:val="center"/>
              <w:rPr>
                <w:rFonts w:eastAsia="Calibri" w:cstheme="minorHAnsi"/>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14:paraId="01DB7079" w14:textId="1B0FE536" w:rsidR="0079127A" w:rsidRPr="00134062" w:rsidRDefault="00AF0942" w:rsidP="00DE1B14">
            <w:pPr>
              <w:jc w:val="center"/>
              <w:rPr>
                <w:rFonts w:eastAsia="Calibri" w:cstheme="minorHAnsi"/>
                <w:sz w:val="18"/>
                <w:szCs w:val="18"/>
              </w:rPr>
            </w:pPr>
            <w:r w:rsidRPr="00134062">
              <w:rPr>
                <w:rFonts w:eastAsia="Calibri" w:cstheme="minorHAnsi"/>
                <w:sz w:val="18"/>
                <w:szCs w:val="18"/>
              </w:rPr>
              <w:t>Broj</w:t>
            </w:r>
          </w:p>
        </w:tc>
        <w:tc>
          <w:tcPr>
            <w:tcW w:w="995" w:type="dxa"/>
            <w:tcBorders>
              <w:top w:val="single" w:sz="4" w:space="0" w:color="auto"/>
              <w:left w:val="single" w:sz="4" w:space="0" w:color="auto"/>
              <w:bottom w:val="single" w:sz="4" w:space="0" w:color="auto"/>
              <w:right w:val="single" w:sz="4" w:space="0" w:color="auto"/>
            </w:tcBorders>
            <w:vAlign w:val="center"/>
          </w:tcPr>
          <w:p w14:paraId="5A767E50" w14:textId="046477EA" w:rsidR="0079127A" w:rsidRPr="00134062" w:rsidRDefault="00AF0942" w:rsidP="00DE1B14">
            <w:pPr>
              <w:jc w:val="center"/>
              <w:rPr>
                <w:rFonts w:eastAsia="Calibri" w:cstheme="minorHAnsi"/>
                <w:sz w:val="18"/>
                <w:szCs w:val="18"/>
              </w:rPr>
            </w:pPr>
            <w:r w:rsidRPr="00134062">
              <w:rPr>
                <w:rFonts w:eastAsia="Calibri" w:cstheme="minorHAnsi"/>
                <w:sz w:val="18"/>
                <w:szCs w:val="18"/>
              </w:rPr>
              <w:t>1</w:t>
            </w:r>
          </w:p>
        </w:tc>
        <w:tc>
          <w:tcPr>
            <w:tcW w:w="994" w:type="dxa"/>
            <w:tcBorders>
              <w:top w:val="single" w:sz="4" w:space="0" w:color="auto"/>
              <w:left w:val="single" w:sz="4" w:space="0" w:color="auto"/>
              <w:bottom w:val="single" w:sz="4" w:space="0" w:color="auto"/>
              <w:right w:val="single" w:sz="4" w:space="0" w:color="auto"/>
            </w:tcBorders>
            <w:vAlign w:val="center"/>
          </w:tcPr>
          <w:p w14:paraId="0ED8B14A" w14:textId="2C4454C5" w:rsidR="0079127A" w:rsidRPr="0079127A" w:rsidRDefault="00AF0942" w:rsidP="00A9766E">
            <w:pPr>
              <w:jc w:val="center"/>
              <w:rPr>
                <w:rFonts w:eastAsia="Calibri" w:cstheme="minorHAnsi"/>
                <w:sz w:val="18"/>
                <w:szCs w:val="18"/>
                <w:highlight w:val="yellow"/>
              </w:rPr>
            </w:pPr>
            <w:r w:rsidRPr="00DE1B14">
              <w:rPr>
                <w:rFonts w:eastAsia="Calibri" w:cstheme="minorHAnsi"/>
                <w:sz w:val="18"/>
                <w:szCs w:val="18"/>
              </w:rPr>
              <w:t>2028.</w:t>
            </w:r>
          </w:p>
        </w:tc>
      </w:tr>
    </w:tbl>
    <w:p w14:paraId="753355D0" w14:textId="77777777" w:rsidR="001649D4" w:rsidRDefault="001649D4" w:rsidP="001649D4">
      <w:pPr>
        <w:rPr>
          <w:rFonts w:cstheme="minorHAnsi"/>
        </w:rPr>
      </w:pPr>
    </w:p>
    <w:p w14:paraId="4D700F0D" w14:textId="7F23FAC1" w:rsidR="001649D4" w:rsidRPr="001649D4" w:rsidRDefault="001649D4" w:rsidP="0018450E">
      <w:pPr>
        <w:pStyle w:val="IRNaslov2"/>
        <w:numPr>
          <w:ilvl w:val="1"/>
          <w:numId w:val="22"/>
        </w:numPr>
        <w:ind w:left="709" w:hanging="709"/>
      </w:pPr>
      <w:bookmarkStart w:id="335" w:name="_Toc123211696"/>
      <w:r w:rsidRPr="001649D4">
        <w:t>Mjere za unaprjeđenje sustava za gospodarenje opasnim otpadom</w:t>
      </w:r>
      <w:bookmarkEnd w:id="335"/>
    </w:p>
    <w:p w14:paraId="5EFE38F7" w14:textId="77777777" w:rsidR="001649D4" w:rsidRDefault="001649D4" w:rsidP="001649D4">
      <w:pPr>
        <w:rPr>
          <w:rFonts w:cstheme="minorHAnsi"/>
        </w:rPr>
      </w:pPr>
      <w:r>
        <w:rPr>
          <w:rFonts w:cstheme="minorHAnsi"/>
        </w:rPr>
        <w:t xml:space="preserve">U svrhu ostvarenja </w:t>
      </w:r>
      <w:r>
        <w:rPr>
          <w:rFonts w:cstheme="minorHAnsi"/>
          <w:b/>
          <w:bCs/>
        </w:rPr>
        <w:t>Cilja 10.</w:t>
      </w:r>
      <w:r>
        <w:rPr>
          <w:rFonts w:cstheme="minorHAnsi"/>
        </w:rPr>
        <w:t xml:space="preserve"> - </w:t>
      </w:r>
      <w:r>
        <w:rPr>
          <w:rFonts w:cstheme="minorHAnsi"/>
          <w:i/>
          <w:iCs/>
        </w:rPr>
        <w:t>Unaprijediti sustav gospodarenja opasnim otpadom</w:t>
      </w:r>
      <w:r>
        <w:rPr>
          <w:rFonts w:cstheme="minorHAnsi"/>
        </w:rPr>
        <w:t xml:space="preserve">, u skladu s Planom gospodarenja otpadom Republike Hrvatske za razdoblje 2017. – 2022. godine u tijeku je provedba projekta </w:t>
      </w:r>
      <w:r>
        <w:rPr>
          <w:rFonts w:cstheme="minorHAnsi"/>
          <w:i/>
          <w:iCs/>
        </w:rPr>
        <w:t>Studija izvedivosti postojećih i potrebnih kapaciteta za obradu opasnog otpada i studija za identifikaciju novih lokacija onečišćenih opasnim otpadom („crne točke“)</w:t>
      </w:r>
      <w:r>
        <w:rPr>
          <w:rFonts w:cstheme="minorHAnsi"/>
        </w:rPr>
        <w:t>. U sklopu predmetnog projekta izrađuje se studija izvodljivosti kojom će se definirati potrebni kapaciteti i načini obrade opasnog otpada koji nastaje u RH te visina investicije i izvori financiranja kao i druge preporuke o mjerama i aktivnostima neophodnim za unaprjeđenje sustava gospodarenja opasnim otpadom. Također u sklopu ovog projekta izrađuje se studija kojom se analizira stanje postojećih lokacija onečišćenih opasnim otpadom „crne točke“ (Cilj 11 ovog Plana), definira se metodologija i kriteriji za identifikaciju novih „crnih točaka“ i potencijalni načini sanacije tih lokacija. U studiji će se također definirati mjere i aktivnosti za identificirane „crne točke“, visina i izvori potrebnih financijskih sredstava. Planirani rok završetka provedbe projekta je srpanj 2023. godine.</w:t>
      </w:r>
    </w:p>
    <w:tbl>
      <w:tblPr>
        <w:tblStyle w:val="Reetkatablice"/>
        <w:tblW w:w="9067" w:type="dxa"/>
        <w:tblLook w:val="04A0" w:firstRow="1" w:lastRow="0" w:firstColumn="1" w:lastColumn="0" w:noHBand="0" w:noVBand="1"/>
      </w:tblPr>
      <w:tblGrid>
        <w:gridCol w:w="4508"/>
        <w:gridCol w:w="4559"/>
      </w:tblGrid>
      <w:tr w:rsidR="001649D4" w14:paraId="749D5E8E" w14:textId="77777777" w:rsidTr="0005151B">
        <w:trPr>
          <w:tblHeader/>
        </w:trPr>
        <w:tc>
          <w:tcPr>
            <w:tcW w:w="9067"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59DC545D" w14:textId="77777777" w:rsidR="001649D4" w:rsidRDefault="001649D4">
            <w:pPr>
              <w:rPr>
                <w:rFonts w:cstheme="minorHAnsi"/>
                <w:b/>
                <w:bCs/>
                <w:sz w:val="18"/>
                <w:szCs w:val="18"/>
              </w:rPr>
            </w:pPr>
            <w:bookmarkStart w:id="336" w:name="_Hlk112238797"/>
            <w:r>
              <w:rPr>
                <w:rFonts w:cstheme="minorHAnsi"/>
                <w:b/>
                <w:bCs/>
                <w:sz w:val="18"/>
                <w:szCs w:val="18"/>
              </w:rPr>
              <w:t>Mjera za ostvarenje Cilja 10. - Unaprijediti sustav gospodarenja opasnim otpadom</w:t>
            </w:r>
          </w:p>
        </w:tc>
      </w:tr>
      <w:tr w:rsidR="001649D4" w14:paraId="66238D8C" w14:textId="77777777" w:rsidTr="0005151B">
        <w:trPr>
          <w:tblHeader/>
        </w:trPr>
        <w:tc>
          <w:tcPr>
            <w:tcW w:w="4508" w:type="dxa"/>
            <w:tcBorders>
              <w:top w:val="single" w:sz="4" w:space="0" w:color="auto"/>
              <w:left w:val="single" w:sz="4" w:space="0" w:color="auto"/>
              <w:bottom w:val="single" w:sz="4" w:space="0" w:color="auto"/>
              <w:right w:val="single" w:sz="4" w:space="0" w:color="auto"/>
            </w:tcBorders>
            <w:shd w:val="clear" w:color="auto" w:fill="002060"/>
            <w:hideMark/>
          </w:tcPr>
          <w:p w14:paraId="54416791" w14:textId="77777777" w:rsidR="001649D4" w:rsidRDefault="001649D4">
            <w:pPr>
              <w:jc w:val="center"/>
              <w:rPr>
                <w:rFonts w:cstheme="minorHAnsi"/>
                <w:b/>
                <w:bCs/>
                <w:sz w:val="18"/>
                <w:szCs w:val="18"/>
              </w:rPr>
            </w:pPr>
            <w:r>
              <w:rPr>
                <w:rFonts w:cstheme="minorHAnsi"/>
                <w:b/>
                <w:bCs/>
                <w:sz w:val="18"/>
                <w:szCs w:val="18"/>
              </w:rPr>
              <w:t>Mjera</w:t>
            </w:r>
          </w:p>
        </w:tc>
        <w:tc>
          <w:tcPr>
            <w:tcW w:w="4559" w:type="dxa"/>
            <w:tcBorders>
              <w:top w:val="single" w:sz="4" w:space="0" w:color="auto"/>
              <w:left w:val="single" w:sz="4" w:space="0" w:color="auto"/>
              <w:bottom w:val="single" w:sz="4" w:space="0" w:color="auto"/>
              <w:right w:val="single" w:sz="4" w:space="0" w:color="auto"/>
            </w:tcBorders>
            <w:shd w:val="clear" w:color="auto" w:fill="002060"/>
            <w:hideMark/>
          </w:tcPr>
          <w:p w14:paraId="6C2F1AC9" w14:textId="77777777" w:rsidR="001649D4" w:rsidRDefault="001649D4">
            <w:pPr>
              <w:jc w:val="center"/>
              <w:rPr>
                <w:rFonts w:cstheme="minorHAnsi"/>
                <w:b/>
                <w:bCs/>
                <w:sz w:val="18"/>
                <w:szCs w:val="18"/>
              </w:rPr>
            </w:pPr>
            <w:r>
              <w:rPr>
                <w:rFonts w:cstheme="minorHAnsi"/>
                <w:b/>
                <w:bCs/>
                <w:sz w:val="18"/>
                <w:szCs w:val="18"/>
              </w:rPr>
              <w:t>Opis mjere</w:t>
            </w:r>
          </w:p>
        </w:tc>
      </w:tr>
      <w:tr w:rsidR="001649D4" w14:paraId="3040F44D" w14:textId="77777777" w:rsidTr="0005151B">
        <w:tc>
          <w:tcPr>
            <w:tcW w:w="4508" w:type="dxa"/>
            <w:tcBorders>
              <w:top w:val="single" w:sz="4" w:space="0" w:color="auto"/>
              <w:left w:val="single" w:sz="4" w:space="0" w:color="auto"/>
              <w:bottom w:val="single" w:sz="4" w:space="0" w:color="auto"/>
              <w:right w:val="single" w:sz="4" w:space="0" w:color="auto"/>
            </w:tcBorders>
            <w:vAlign w:val="center"/>
            <w:hideMark/>
          </w:tcPr>
          <w:p w14:paraId="7CFA2FDD" w14:textId="274BB6CA" w:rsidR="001649D4" w:rsidRDefault="001649D4">
            <w:pPr>
              <w:rPr>
                <w:rFonts w:cstheme="minorHAnsi"/>
                <w:b/>
                <w:bCs/>
                <w:sz w:val="18"/>
                <w:szCs w:val="18"/>
              </w:rPr>
            </w:pPr>
            <w:r>
              <w:rPr>
                <w:rFonts w:cstheme="minorHAnsi"/>
                <w:b/>
                <w:bCs/>
                <w:sz w:val="18"/>
                <w:szCs w:val="18"/>
              </w:rPr>
              <w:t xml:space="preserve">Mjera </w:t>
            </w:r>
            <w:r w:rsidR="00E73B3B">
              <w:rPr>
                <w:rFonts w:cstheme="minorHAnsi"/>
                <w:b/>
                <w:bCs/>
                <w:sz w:val="18"/>
                <w:szCs w:val="18"/>
              </w:rPr>
              <w:t>10</w:t>
            </w:r>
            <w:r>
              <w:rPr>
                <w:rFonts w:cstheme="minorHAnsi"/>
                <w:b/>
                <w:bCs/>
                <w:sz w:val="18"/>
                <w:szCs w:val="18"/>
              </w:rPr>
              <w:t>. Provedba projekta „Studija izvedivosti postojećih i potrebnih kapaciteta za obradu opasnog otpada i studija za identifikaciju novih lokacija onečišćenih opasnim otpadom („crne točke“)“</w:t>
            </w:r>
          </w:p>
        </w:tc>
        <w:tc>
          <w:tcPr>
            <w:tcW w:w="4559" w:type="dxa"/>
            <w:tcBorders>
              <w:top w:val="single" w:sz="4" w:space="0" w:color="auto"/>
              <w:left w:val="single" w:sz="4" w:space="0" w:color="auto"/>
              <w:bottom w:val="single" w:sz="4" w:space="0" w:color="auto"/>
              <w:right w:val="single" w:sz="4" w:space="0" w:color="auto"/>
            </w:tcBorders>
            <w:hideMark/>
          </w:tcPr>
          <w:p w14:paraId="250B22BB" w14:textId="77777777" w:rsidR="001649D4" w:rsidRDefault="001649D4">
            <w:pPr>
              <w:pStyle w:val="Odlomakpopisa"/>
              <w:numPr>
                <w:ilvl w:val="0"/>
                <w:numId w:val="17"/>
              </w:numPr>
              <w:rPr>
                <w:rFonts w:cstheme="minorHAnsi"/>
                <w:sz w:val="18"/>
                <w:szCs w:val="18"/>
              </w:rPr>
            </w:pPr>
            <w:r>
              <w:rPr>
                <w:rFonts w:cstheme="minorHAnsi"/>
                <w:sz w:val="18"/>
                <w:szCs w:val="18"/>
              </w:rPr>
              <w:t>Izrada studije izvedivosti koja će analizirati postojeće kapacitete za obradu opasnog otpada i utvrditi potrebne dodatne kapacitete te dati preporuke za unaprjeđenje sustava;</w:t>
            </w:r>
          </w:p>
          <w:p w14:paraId="374013B6" w14:textId="77777777" w:rsidR="001649D4" w:rsidRDefault="001649D4">
            <w:pPr>
              <w:pStyle w:val="Odlomakpopisa"/>
              <w:numPr>
                <w:ilvl w:val="0"/>
                <w:numId w:val="17"/>
              </w:numPr>
              <w:rPr>
                <w:rFonts w:cstheme="minorHAnsi"/>
                <w:sz w:val="18"/>
                <w:szCs w:val="18"/>
              </w:rPr>
            </w:pPr>
            <w:r>
              <w:rPr>
                <w:rFonts w:cstheme="minorHAnsi"/>
                <w:sz w:val="18"/>
                <w:szCs w:val="18"/>
              </w:rPr>
              <w:t>Izrada studije za identifikaciju novih lokacija onečišćenih opasnim otpadom (“crne točke“).</w:t>
            </w:r>
          </w:p>
        </w:tc>
      </w:tr>
      <w:bookmarkEnd w:id="336"/>
    </w:tbl>
    <w:p w14:paraId="46E8F6E1" w14:textId="67BA74B9" w:rsidR="001649D4" w:rsidRDefault="001649D4" w:rsidP="001649D4">
      <w:pPr>
        <w:rPr>
          <w:rFonts w:cstheme="minorHAnsi"/>
        </w:rPr>
      </w:pPr>
    </w:p>
    <w:tbl>
      <w:tblPr>
        <w:tblStyle w:val="Reetkatablice"/>
        <w:tblW w:w="9076" w:type="dxa"/>
        <w:tblLayout w:type="fixed"/>
        <w:tblLook w:val="04A0" w:firstRow="1" w:lastRow="0" w:firstColumn="1" w:lastColumn="0" w:noHBand="0" w:noVBand="1"/>
      </w:tblPr>
      <w:tblGrid>
        <w:gridCol w:w="1838"/>
        <w:gridCol w:w="850"/>
        <w:gridCol w:w="967"/>
        <w:gridCol w:w="1020"/>
        <w:gridCol w:w="1699"/>
        <w:gridCol w:w="820"/>
        <w:gridCol w:w="896"/>
        <w:gridCol w:w="978"/>
        <w:gridCol w:w="8"/>
      </w:tblGrid>
      <w:tr w:rsidR="001649D4" w14:paraId="1796C3E6" w14:textId="77777777" w:rsidTr="0005151B">
        <w:trPr>
          <w:tblHeader/>
        </w:trPr>
        <w:tc>
          <w:tcPr>
            <w:tcW w:w="9076" w:type="dxa"/>
            <w:gridSpan w:val="9"/>
            <w:tcBorders>
              <w:top w:val="single" w:sz="4" w:space="0" w:color="auto"/>
              <w:left w:val="single" w:sz="4" w:space="0" w:color="auto"/>
              <w:bottom w:val="single" w:sz="4" w:space="0" w:color="auto"/>
              <w:right w:val="single" w:sz="4" w:space="0" w:color="auto"/>
            </w:tcBorders>
            <w:shd w:val="clear" w:color="auto" w:fill="002060"/>
            <w:vAlign w:val="center"/>
            <w:hideMark/>
          </w:tcPr>
          <w:p w14:paraId="7253E576" w14:textId="77777777" w:rsidR="001649D4" w:rsidRDefault="001649D4">
            <w:pPr>
              <w:rPr>
                <w:rFonts w:cstheme="minorHAnsi"/>
                <w:b/>
                <w:bCs/>
                <w:sz w:val="16"/>
                <w:szCs w:val="16"/>
              </w:rPr>
            </w:pPr>
            <w:bookmarkStart w:id="337" w:name="_Hlk112238808"/>
            <w:r>
              <w:rPr>
                <w:rFonts w:cstheme="minorHAnsi"/>
                <w:b/>
                <w:bCs/>
                <w:sz w:val="16"/>
                <w:szCs w:val="16"/>
              </w:rPr>
              <w:t>Mjera za ostvarenje Cilja 10. - Unaprijediti sustav gospodarenja opasnim otpadom</w:t>
            </w:r>
          </w:p>
        </w:tc>
      </w:tr>
      <w:tr w:rsidR="001649D4" w14:paraId="7F84E1F2" w14:textId="77777777" w:rsidTr="0005151B">
        <w:trPr>
          <w:gridAfter w:val="1"/>
          <w:wAfter w:w="8" w:type="dxa"/>
          <w:trHeight w:val="405"/>
          <w:tblHeader/>
        </w:trPr>
        <w:tc>
          <w:tcPr>
            <w:tcW w:w="1838"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0DE614EA" w14:textId="77777777" w:rsidR="001649D4" w:rsidRDefault="001649D4">
            <w:pPr>
              <w:jc w:val="center"/>
              <w:rPr>
                <w:rFonts w:cstheme="minorHAnsi"/>
                <w:b/>
                <w:bCs/>
                <w:sz w:val="16"/>
                <w:szCs w:val="16"/>
              </w:rPr>
            </w:pPr>
            <w:r>
              <w:rPr>
                <w:rFonts w:cstheme="minorHAnsi"/>
                <w:b/>
                <w:bCs/>
                <w:sz w:val="16"/>
                <w:szCs w:val="16"/>
              </w:rPr>
              <w:t>Aktivnost (A)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EBD1DFD" w14:textId="77777777" w:rsidR="001649D4" w:rsidRDefault="001649D4">
            <w:pPr>
              <w:jc w:val="center"/>
              <w:rPr>
                <w:rFonts w:cstheme="minorHAnsi"/>
                <w:b/>
                <w:bCs/>
                <w:sz w:val="16"/>
                <w:szCs w:val="16"/>
              </w:rPr>
            </w:pPr>
            <w:r>
              <w:rPr>
                <w:rFonts w:cstheme="minorHAnsi"/>
                <w:b/>
                <w:bCs/>
                <w:sz w:val="16"/>
                <w:szCs w:val="16"/>
              </w:rPr>
              <w:t>Nositelj</w:t>
            </w:r>
          </w:p>
        </w:tc>
        <w:tc>
          <w:tcPr>
            <w:tcW w:w="96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834499A" w14:textId="77777777" w:rsidR="001649D4" w:rsidRDefault="001649D4">
            <w:pPr>
              <w:jc w:val="center"/>
              <w:rPr>
                <w:rFonts w:cstheme="minorHAnsi"/>
                <w:b/>
                <w:bCs/>
                <w:sz w:val="16"/>
                <w:szCs w:val="16"/>
              </w:rPr>
            </w:pPr>
            <w:proofErr w:type="spellStart"/>
            <w:r>
              <w:rPr>
                <w:rFonts w:cstheme="minorHAnsi"/>
                <w:b/>
                <w:bCs/>
                <w:sz w:val="16"/>
                <w:szCs w:val="16"/>
              </w:rPr>
              <w:t>Sunositelj</w:t>
            </w:r>
            <w:proofErr w:type="spellEnd"/>
          </w:p>
        </w:tc>
        <w:tc>
          <w:tcPr>
            <w:tcW w:w="1020"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18F878DB" w14:textId="77777777" w:rsidR="001649D4" w:rsidRDefault="001649D4">
            <w:pPr>
              <w:jc w:val="center"/>
              <w:rPr>
                <w:rFonts w:cstheme="minorHAnsi"/>
                <w:b/>
                <w:bCs/>
                <w:sz w:val="16"/>
                <w:szCs w:val="16"/>
              </w:rPr>
            </w:pPr>
            <w:r>
              <w:rPr>
                <w:rFonts w:cstheme="minorHAnsi"/>
                <w:b/>
                <w:bCs/>
                <w:sz w:val="16"/>
                <w:szCs w:val="16"/>
              </w:rPr>
              <w:t>Mogući izvori financiranja</w:t>
            </w:r>
          </w:p>
        </w:tc>
        <w:tc>
          <w:tcPr>
            <w:tcW w:w="3415"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F413038" w14:textId="77777777" w:rsidR="001649D4" w:rsidRDefault="001649D4">
            <w:pPr>
              <w:jc w:val="center"/>
              <w:rPr>
                <w:rFonts w:cstheme="minorHAnsi"/>
                <w:b/>
                <w:bCs/>
                <w:sz w:val="16"/>
                <w:szCs w:val="16"/>
              </w:rPr>
            </w:pPr>
            <w:r>
              <w:rPr>
                <w:rFonts w:cstheme="minorHAnsi"/>
                <w:b/>
                <w:bCs/>
                <w:sz w:val="16"/>
                <w:szCs w:val="16"/>
              </w:rPr>
              <w:t>Pokazatelj ostvarenja</w:t>
            </w:r>
          </w:p>
        </w:tc>
        <w:tc>
          <w:tcPr>
            <w:tcW w:w="978"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52E392D5" w14:textId="77777777" w:rsidR="001649D4" w:rsidRDefault="001649D4">
            <w:pPr>
              <w:jc w:val="center"/>
              <w:rPr>
                <w:rFonts w:cstheme="minorHAnsi"/>
                <w:b/>
                <w:bCs/>
                <w:sz w:val="16"/>
                <w:szCs w:val="16"/>
              </w:rPr>
            </w:pPr>
            <w:r>
              <w:rPr>
                <w:rFonts w:cstheme="minorHAnsi"/>
                <w:b/>
                <w:bCs/>
                <w:sz w:val="16"/>
                <w:szCs w:val="16"/>
              </w:rPr>
              <w:t>Rok provedbe</w:t>
            </w:r>
          </w:p>
        </w:tc>
      </w:tr>
      <w:tr w:rsidR="001649D4" w14:paraId="1B0E88E1" w14:textId="77777777" w:rsidTr="0005151B">
        <w:trPr>
          <w:gridAfter w:val="1"/>
          <w:wAfter w:w="8" w:type="dxa"/>
          <w:trHeight w:val="40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7DD08B0" w14:textId="77777777" w:rsidR="001649D4" w:rsidRDefault="001649D4">
            <w:pPr>
              <w:rPr>
                <w:rFonts w:cstheme="minorHAnsi"/>
                <w:b/>
                <w:bCs/>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5A30082" w14:textId="77777777" w:rsidR="001649D4" w:rsidRDefault="001649D4">
            <w:pPr>
              <w:rPr>
                <w:rFonts w:cstheme="minorHAnsi"/>
                <w:b/>
                <w:bCs/>
                <w:sz w:val="16"/>
                <w:szCs w:val="16"/>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9575A63" w14:textId="77777777" w:rsidR="001649D4" w:rsidRDefault="001649D4">
            <w:pPr>
              <w:rPr>
                <w:rFonts w:cstheme="minorHAnsi"/>
                <w:b/>
                <w:bCs/>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673355AA" w14:textId="77777777" w:rsidR="001649D4" w:rsidRDefault="001649D4">
            <w:pPr>
              <w:rPr>
                <w:rFonts w:cstheme="minorHAnsi"/>
                <w:b/>
                <w:bCs/>
                <w:sz w:val="16"/>
                <w:szCs w:val="16"/>
              </w:rPr>
            </w:pPr>
          </w:p>
        </w:tc>
        <w:tc>
          <w:tcPr>
            <w:tcW w:w="169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76A4276" w14:textId="77777777" w:rsidR="001649D4" w:rsidRDefault="001649D4">
            <w:pPr>
              <w:jc w:val="center"/>
              <w:rPr>
                <w:rFonts w:cstheme="minorHAnsi"/>
                <w:b/>
                <w:bCs/>
                <w:sz w:val="16"/>
                <w:szCs w:val="16"/>
              </w:rPr>
            </w:pPr>
            <w:r>
              <w:rPr>
                <w:rFonts w:cstheme="minorHAnsi"/>
                <w:b/>
                <w:bCs/>
                <w:sz w:val="16"/>
                <w:szCs w:val="16"/>
              </w:rPr>
              <w:t>Naziv</w:t>
            </w:r>
          </w:p>
        </w:tc>
        <w:tc>
          <w:tcPr>
            <w:tcW w:w="82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2846B55" w14:textId="77777777" w:rsidR="001649D4" w:rsidRDefault="001649D4">
            <w:pPr>
              <w:jc w:val="center"/>
              <w:rPr>
                <w:rFonts w:cstheme="minorHAnsi"/>
                <w:b/>
                <w:bCs/>
                <w:sz w:val="16"/>
                <w:szCs w:val="16"/>
              </w:rPr>
            </w:pPr>
            <w:r>
              <w:rPr>
                <w:rFonts w:cstheme="minorHAnsi"/>
                <w:b/>
                <w:bCs/>
                <w:sz w:val="16"/>
                <w:szCs w:val="16"/>
              </w:rPr>
              <w:t>Mjerna jedinica</w:t>
            </w:r>
          </w:p>
        </w:tc>
        <w:tc>
          <w:tcPr>
            <w:tcW w:w="89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D1653C7" w14:textId="77777777" w:rsidR="001649D4" w:rsidRDefault="001649D4">
            <w:pPr>
              <w:jc w:val="center"/>
              <w:rPr>
                <w:rFonts w:cstheme="minorHAnsi"/>
                <w:b/>
                <w:bCs/>
                <w:sz w:val="16"/>
                <w:szCs w:val="16"/>
              </w:rPr>
            </w:pPr>
            <w:r>
              <w:rPr>
                <w:rFonts w:cstheme="minorHAnsi"/>
                <w:b/>
                <w:bCs/>
                <w:sz w:val="16"/>
                <w:szCs w:val="16"/>
              </w:rPr>
              <w:t>Ciljana vrijednost</w:t>
            </w: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4C98C01A" w14:textId="77777777" w:rsidR="001649D4" w:rsidRDefault="001649D4">
            <w:pPr>
              <w:rPr>
                <w:rFonts w:cstheme="minorHAnsi"/>
                <w:b/>
                <w:bCs/>
                <w:sz w:val="16"/>
                <w:szCs w:val="16"/>
              </w:rPr>
            </w:pPr>
          </w:p>
        </w:tc>
      </w:tr>
      <w:tr w:rsidR="001649D4" w14:paraId="4FDB5432" w14:textId="77777777" w:rsidTr="0005151B">
        <w:tc>
          <w:tcPr>
            <w:tcW w:w="9076" w:type="dxa"/>
            <w:gridSpan w:val="9"/>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17A5D4A4" w14:textId="1EB037E7" w:rsidR="001649D4" w:rsidRDefault="001649D4">
            <w:pPr>
              <w:rPr>
                <w:rFonts w:cstheme="minorHAnsi"/>
                <w:b/>
                <w:bCs/>
                <w:sz w:val="16"/>
                <w:szCs w:val="16"/>
              </w:rPr>
            </w:pPr>
            <w:r>
              <w:rPr>
                <w:rFonts w:cstheme="minorHAnsi"/>
                <w:b/>
                <w:bCs/>
                <w:sz w:val="16"/>
                <w:szCs w:val="16"/>
              </w:rPr>
              <w:t xml:space="preserve">Mjera </w:t>
            </w:r>
            <w:r w:rsidR="00E73B3B">
              <w:rPr>
                <w:rFonts w:cstheme="minorHAnsi"/>
                <w:b/>
                <w:bCs/>
                <w:sz w:val="16"/>
                <w:szCs w:val="16"/>
              </w:rPr>
              <w:t>10</w:t>
            </w:r>
            <w:r>
              <w:rPr>
                <w:rFonts w:cstheme="minorHAnsi"/>
                <w:b/>
                <w:bCs/>
                <w:sz w:val="16"/>
                <w:szCs w:val="16"/>
              </w:rPr>
              <w:t>. Provedba projekta „Studija izvedivosti postojećih i potrebnih kapaciteta za obradu opasnog otpada i studija za identifikaciju novih lokacija onečišćenih opasnim otpadom („crne točke“)“</w:t>
            </w:r>
          </w:p>
        </w:tc>
      </w:tr>
      <w:tr w:rsidR="001649D4" w14:paraId="19A17C41" w14:textId="77777777" w:rsidTr="0005151B">
        <w:trPr>
          <w:gridAfter w:val="1"/>
          <w:wAfter w:w="8" w:type="dxa"/>
        </w:trPr>
        <w:tc>
          <w:tcPr>
            <w:tcW w:w="1838" w:type="dxa"/>
            <w:tcBorders>
              <w:top w:val="single" w:sz="4" w:space="0" w:color="auto"/>
              <w:left w:val="single" w:sz="4" w:space="0" w:color="auto"/>
              <w:bottom w:val="single" w:sz="4" w:space="0" w:color="auto"/>
              <w:right w:val="single" w:sz="4" w:space="0" w:color="auto"/>
            </w:tcBorders>
            <w:vAlign w:val="center"/>
            <w:hideMark/>
          </w:tcPr>
          <w:p w14:paraId="2C39D9FB" w14:textId="695D6E8F" w:rsidR="001649D4" w:rsidRDefault="001649D4" w:rsidP="009C0112">
            <w:pPr>
              <w:jc w:val="left"/>
              <w:rPr>
                <w:rFonts w:cstheme="minorHAnsi"/>
                <w:sz w:val="16"/>
                <w:szCs w:val="16"/>
              </w:rPr>
            </w:pPr>
            <w:r>
              <w:rPr>
                <w:rFonts w:cstheme="minorHAnsi"/>
                <w:sz w:val="16"/>
                <w:szCs w:val="16"/>
              </w:rPr>
              <w:t xml:space="preserve">Aktivnost </w:t>
            </w:r>
            <w:r w:rsidR="00E73B3B">
              <w:rPr>
                <w:rFonts w:cstheme="minorHAnsi"/>
                <w:sz w:val="16"/>
                <w:szCs w:val="16"/>
              </w:rPr>
              <w:t>10</w:t>
            </w:r>
            <w:r>
              <w:rPr>
                <w:rFonts w:cstheme="minorHAnsi"/>
                <w:sz w:val="16"/>
                <w:szCs w:val="16"/>
              </w:rPr>
              <w:t>.1. Izrada studije izvodljivosti potrebnih kapaciteta za obradu opasnog otpada i unaprjeđenje sustava gospodarenja opasnim otpadom</w:t>
            </w:r>
          </w:p>
        </w:tc>
        <w:tc>
          <w:tcPr>
            <w:tcW w:w="850" w:type="dxa"/>
            <w:tcBorders>
              <w:top w:val="single" w:sz="6" w:space="0" w:color="auto"/>
              <w:left w:val="single" w:sz="6" w:space="0" w:color="auto"/>
              <w:bottom w:val="single" w:sz="6" w:space="0" w:color="auto"/>
              <w:right w:val="single" w:sz="6" w:space="0" w:color="auto"/>
            </w:tcBorders>
            <w:vAlign w:val="center"/>
            <w:hideMark/>
          </w:tcPr>
          <w:p w14:paraId="426C4787" w14:textId="77777777" w:rsidR="001649D4" w:rsidRDefault="001649D4">
            <w:pPr>
              <w:rPr>
                <w:rFonts w:cstheme="minorHAnsi"/>
                <w:sz w:val="16"/>
                <w:szCs w:val="16"/>
              </w:rPr>
            </w:pPr>
            <w:r>
              <w:rPr>
                <w:rFonts w:cstheme="minorHAnsi"/>
                <w:sz w:val="16"/>
                <w:szCs w:val="16"/>
                <w:bdr w:val="none" w:sz="0" w:space="0" w:color="auto" w:frame="1"/>
              </w:rPr>
              <w:t>FZOEU</w:t>
            </w:r>
          </w:p>
        </w:tc>
        <w:tc>
          <w:tcPr>
            <w:tcW w:w="967" w:type="dxa"/>
            <w:tcBorders>
              <w:top w:val="single" w:sz="6" w:space="0" w:color="auto"/>
              <w:left w:val="single" w:sz="6" w:space="0" w:color="auto"/>
              <w:bottom w:val="single" w:sz="6" w:space="0" w:color="auto"/>
              <w:right w:val="single" w:sz="6" w:space="0" w:color="auto"/>
            </w:tcBorders>
            <w:vAlign w:val="center"/>
            <w:hideMark/>
          </w:tcPr>
          <w:p w14:paraId="4F00DB9C" w14:textId="77777777" w:rsidR="001649D4" w:rsidRDefault="001649D4">
            <w:pPr>
              <w:rPr>
                <w:rFonts w:cstheme="minorHAnsi"/>
                <w:sz w:val="16"/>
                <w:szCs w:val="16"/>
              </w:rPr>
            </w:pPr>
            <w:r>
              <w:rPr>
                <w:rFonts w:cstheme="minorHAnsi"/>
                <w:sz w:val="16"/>
                <w:szCs w:val="16"/>
                <w:bdr w:val="none" w:sz="0" w:space="0" w:color="auto" w:frame="1"/>
              </w:rPr>
              <w:t>MINGOR</w:t>
            </w:r>
          </w:p>
        </w:tc>
        <w:tc>
          <w:tcPr>
            <w:tcW w:w="1020" w:type="dxa"/>
            <w:tcBorders>
              <w:top w:val="single" w:sz="6" w:space="0" w:color="auto"/>
              <w:left w:val="single" w:sz="6" w:space="0" w:color="auto"/>
              <w:bottom w:val="single" w:sz="6" w:space="0" w:color="auto"/>
              <w:right w:val="single" w:sz="6" w:space="0" w:color="auto"/>
            </w:tcBorders>
            <w:vAlign w:val="center"/>
            <w:hideMark/>
          </w:tcPr>
          <w:p w14:paraId="6EF5DA24" w14:textId="3849D5DF" w:rsidR="001649D4" w:rsidRDefault="001649D4">
            <w:pPr>
              <w:rPr>
                <w:rFonts w:cstheme="minorHAnsi"/>
                <w:sz w:val="16"/>
                <w:szCs w:val="16"/>
              </w:rPr>
            </w:pPr>
            <w:r>
              <w:rPr>
                <w:rFonts w:cstheme="minorHAnsi"/>
                <w:sz w:val="16"/>
                <w:szCs w:val="16"/>
                <w:bdr w:val="none" w:sz="0" w:space="0" w:color="auto" w:frame="1"/>
              </w:rPr>
              <w:t>FZOEU</w:t>
            </w:r>
          </w:p>
        </w:tc>
        <w:tc>
          <w:tcPr>
            <w:tcW w:w="1699" w:type="dxa"/>
            <w:tcBorders>
              <w:top w:val="single" w:sz="4" w:space="0" w:color="auto"/>
              <w:left w:val="single" w:sz="4" w:space="0" w:color="auto"/>
              <w:bottom w:val="single" w:sz="4" w:space="0" w:color="auto"/>
              <w:right w:val="single" w:sz="4" w:space="0" w:color="auto"/>
            </w:tcBorders>
            <w:vAlign w:val="center"/>
            <w:hideMark/>
          </w:tcPr>
          <w:p w14:paraId="68BE9B8D" w14:textId="77777777" w:rsidR="001649D4" w:rsidRDefault="001649D4">
            <w:pPr>
              <w:rPr>
                <w:rFonts w:cstheme="minorHAnsi"/>
                <w:sz w:val="16"/>
                <w:szCs w:val="16"/>
              </w:rPr>
            </w:pPr>
            <w:r>
              <w:rPr>
                <w:rFonts w:cstheme="minorHAnsi"/>
                <w:sz w:val="16"/>
                <w:szCs w:val="16"/>
              </w:rPr>
              <w:t>Izrađena studija izvodljivosti potrebnih kapaciteta za obradu opasnog otpada i unaprjeđenje sustava gospodarenja opasnim otpadom</w:t>
            </w:r>
          </w:p>
        </w:tc>
        <w:tc>
          <w:tcPr>
            <w:tcW w:w="820" w:type="dxa"/>
            <w:tcBorders>
              <w:top w:val="single" w:sz="4" w:space="0" w:color="auto"/>
              <w:left w:val="single" w:sz="4" w:space="0" w:color="auto"/>
              <w:bottom w:val="single" w:sz="4" w:space="0" w:color="auto"/>
              <w:right w:val="single" w:sz="4" w:space="0" w:color="auto"/>
            </w:tcBorders>
            <w:vAlign w:val="center"/>
            <w:hideMark/>
          </w:tcPr>
          <w:p w14:paraId="73624F74" w14:textId="77777777" w:rsidR="001649D4" w:rsidRDefault="001649D4">
            <w:pPr>
              <w:rPr>
                <w:rFonts w:cstheme="minorHAnsi"/>
                <w:sz w:val="16"/>
                <w:szCs w:val="16"/>
              </w:rPr>
            </w:pPr>
            <w:r>
              <w:rPr>
                <w:rFonts w:cstheme="minorHAnsi"/>
                <w:sz w:val="16"/>
                <w:szCs w:val="16"/>
              </w:rPr>
              <w:t>Broj</w:t>
            </w:r>
          </w:p>
        </w:tc>
        <w:tc>
          <w:tcPr>
            <w:tcW w:w="896" w:type="dxa"/>
            <w:tcBorders>
              <w:top w:val="single" w:sz="4" w:space="0" w:color="auto"/>
              <w:left w:val="single" w:sz="4" w:space="0" w:color="auto"/>
              <w:bottom w:val="single" w:sz="4" w:space="0" w:color="auto"/>
              <w:right w:val="single" w:sz="4" w:space="0" w:color="auto"/>
            </w:tcBorders>
            <w:vAlign w:val="center"/>
            <w:hideMark/>
          </w:tcPr>
          <w:p w14:paraId="1D8F102D" w14:textId="77777777" w:rsidR="001649D4" w:rsidRDefault="001649D4">
            <w:pPr>
              <w:rPr>
                <w:rFonts w:cstheme="minorHAnsi"/>
                <w:sz w:val="16"/>
                <w:szCs w:val="16"/>
              </w:rPr>
            </w:pPr>
            <w:r>
              <w:rPr>
                <w:rFonts w:cstheme="minorHAnsi"/>
                <w:sz w:val="16"/>
                <w:szCs w:val="16"/>
              </w:rPr>
              <w:t>1</w:t>
            </w:r>
          </w:p>
        </w:tc>
        <w:tc>
          <w:tcPr>
            <w:tcW w:w="978" w:type="dxa"/>
            <w:tcBorders>
              <w:top w:val="single" w:sz="4" w:space="0" w:color="auto"/>
              <w:left w:val="single" w:sz="4" w:space="0" w:color="auto"/>
              <w:bottom w:val="single" w:sz="4" w:space="0" w:color="auto"/>
              <w:right w:val="single" w:sz="4" w:space="0" w:color="auto"/>
            </w:tcBorders>
            <w:vAlign w:val="center"/>
            <w:hideMark/>
          </w:tcPr>
          <w:p w14:paraId="146C4BB8" w14:textId="3001DE2E" w:rsidR="001649D4" w:rsidRDefault="001649D4">
            <w:pPr>
              <w:jc w:val="center"/>
              <w:rPr>
                <w:rFonts w:cstheme="minorHAnsi"/>
                <w:sz w:val="16"/>
                <w:szCs w:val="16"/>
              </w:rPr>
            </w:pPr>
            <w:r>
              <w:rPr>
                <w:rFonts w:cstheme="minorHAnsi"/>
                <w:sz w:val="16"/>
                <w:szCs w:val="16"/>
              </w:rPr>
              <w:t>2023.</w:t>
            </w:r>
          </w:p>
        </w:tc>
      </w:tr>
      <w:tr w:rsidR="001649D4" w14:paraId="11DA3249" w14:textId="77777777" w:rsidTr="0005151B">
        <w:trPr>
          <w:gridAfter w:val="1"/>
          <w:wAfter w:w="8" w:type="dxa"/>
        </w:trPr>
        <w:tc>
          <w:tcPr>
            <w:tcW w:w="1838" w:type="dxa"/>
            <w:tcBorders>
              <w:top w:val="single" w:sz="4" w:space="0" w:color="auto"/>
              <w:left w:val="single" w:sz="4" w:space="0" w:color="auto"/>
              <w:bottom w:val="single" w:sz="4" w:space="0" w:color="auto"/>
              <w:right w:val="single" w:sz="4" w:space="0" w:color="auto"/>
            </w:tcBorders>
            <w:vAlign w:val="center"/>
            <w:hideMark/>
          </w:tcPr>
          <w:p w14:paraId="63289C1C" w14:textId="40675564" w:rsidR="001649D4" w:rsidRDefault="001649D4" w:rsidP="009C0112">
            <w:pPr>
              <w:jc w:val="left"/>
              <w:rPr>
                <w:rFonts w:cstheme="minorHAnsi"/>
                <w:sz w:val="16"/>
                <w:szCs w:val="16"/>
              </w:rPr>
            </w:pPr>
            <w:r>
              <w:rPr>
                <w:rFonts w:cstheme="minorHAnsi"/>
                <w:sz w:val="16"/>
                <w:szCs w:val="16"/>
              </w:rPr>
              <w:t xml:space="preserve">Aktivnost </w:t>
            </w:r>
            <w:r w:rsidR="00E73B3B">
              <w:rPr>
                <w:rFonts w:cstheme="minorHAnsi"/>
                <w:sz w:val="16"/>
                <w:szCs w:val="16"/>
              </w:rPr>
              <w:t>10</w:t>
            </w:r>
            <w:r>
              <w:rPr>
                <w:rFonts w:cstheme="minorHAnsi"/>
                <w:sz w:val="16"/>
                <w:szCs w:val="16"/>
              </w:rPr>
              <w:t>.2. Izrada studije kojom se utvrđuju nove lokacije onečišćene opasnim otpadom (»crne točke«)</w:t>
            </w:r>
          </w:p>
        </w:tc>
        <w:tc>
          <w:tcPr>
            <w:tcW w:w="850" w:type="dxa"/>
            <w:tcBorders>
              <w:top w:val="single" w:sz="6" w:space="0" w:color="auto"/>
              <w:left w:val="single" w:sz="6" w:space="0" w:color="auto"/>
              <w:bottom w:val="single" w:sz="6" w:space="0" w:color="auto"/>
              <w:right w:val="single" w:sz="6" w:space="0" w:color="auto"/>
            </w:tcBorders>
            <w:vAlign w:val="center"/>
            <w:hideMark/>
          </w:tcPr>
          <w:p w14:paraId="27F9B77D" w14:textId="77777777" w:rsidR="001649D4" w:rsidRDefault="001649D4">
            <w:pPr>
              <w:rPr>
                <w:rFonts w:cstheme="minorHAnsi"/>
                <w:sz w:val="16"/>
                <w:szCs w:val="16"/>
              </w:rPr>
            </w:pPr>
            <w:r>
              <w:rPr>
                <w:rFonts w:cstheme="minorHAnsi"/>
                <w:sz w:val="16"/>
                <w:szCs w:val="16"/>
                <w:bdr w:val="none" w:sz="0" w:space="0" w:color="auto" w:frame="1"/>
              </w:rPr>
              <w:t>FZOEU</w:t>
            </w:r>
          </w:p>
        </w:tc>
        <w:tc>
          <w:tcPr>
            <w:tcW w:w="967" w:type="dxa"/>
            <w:tcBorders>
              <w:top w:val="single" w:sz="6" w:space="0" w:color="auto"/>
              <w:left w:val="single" w:sz="6" w:space="0" w:color="auto"/>
              <w:bottom w:val="single" w:sz="6" w:space="0" w:color="auto"/>
              <w:right w:val="single" w:sz="6" w:space="0" w:color="auto"/>
            </w:tcBorders>
            <w:vAlign w:val="center"/>
            <w:hideMark/>
          </w:tcPr>
          <w:p w14:paraId="3200FDAB" w14:textId="77777777" w:rsidR="001649D4" w:rsidRDefault="001649D4">
            <w:pPr>
              <w:jc w:val="center"/>
              <w:rPr>
                <w:rFonts w:cstheme="minorHAnsi"/>
                <w:sz w:val="16"/>
                <w:szCs w:val="16"/>
              </w:rPr>
            </w:pPr>
            <w:r>
              <w:rPr>
                <w:rFonts w:cstheme="minorHAnsi"/>
                <w:sz w:val="16"/>
                <w:szCs w:val="16"/>
                <w:bdr w:val="none" w:sz="0" w:space="0" w:color="auto" w:frame="1"/>
              </w:rPr>
              <w:t>MINGOR</w:t>
            </w:r>
          </w:p>
        </w:tc>
        <w:tc>
          <w:tcPr>
            <w:tcW w:w="1020" w:type="dxa"/>
            <w:tcBorders>
              <w:top w:val="single" w:sz="6" w:space="0" w:color="auto"/>
              <w:left w:val="single" w:sz="6" w:space="0" w:color="auto"/>
              <w:bottom w:val="single" w:sz="6" w:space="0" w:color="auto"/>
              <w:right w:val="single" w:sz="6" w:space="0" w:color="auto"/>
            </w:tcBorders>
            <w:vAlign w:val="center"/>
            <w:hideMark/>
          </w:tcPr>
          <w:p w14:paraId="6B1058FE" w14:textId="25C3D30A" w:rsidR="001649D4" w:rsidRDefault="001649D4">
            <w:pPr>
              <w:rPr>
                <w:rFonts w:cstheme="minorHAnsi"/>
                <w:sz w:val="16"/>
                <w:szCs w:val="16"/>
              </w:rPr>
            </w:pPr>
            <w:r>
              <w:rPr>
                <w:rFonts w:cstheme="minorHAnsi"/>
                <w:sz w:val="16"/>
                <w:szCs w:val="16"/>
                <w:bdr w:val="none" w:sz="0" w:space="0" w:color="auto" w:frame="1"/>
              </w:rPr>
              <w:t>FZOEU</w:t>
            </w:r>
          </w:p>
        </w:tc>
        <w:tc>
          <w:tcPr>
            <w:tcW w:w="1699" w:type="dxa"/>
            <w:tcBorders>
              <w:top w:val="single" w:sz="4" w:space="0" w:color="auto"/>
              <w:left w:val="single" w:sz="4" w:space="0" w:color="auto"/>
              <w:bottom w:val="single" w:sz="4" w:space="0" w:color="auto"/>
              <w:right w:val="single" w:sz="4" w:space="0" w:color="auto"/>
            </w:tcBorders>
            <w:vAlign w:val="center"/>
            <w:hideMark/>
          </w:tcPr>
          <w:p w14:paraId="6D32FA3D" w14:textId="77777777" w:rsidR="001649D4" w:rsidRDefault="001649D4">
            <w:pPr>
              <w:rPr>
                <w:rFonts w:cstheme="minorHAnsi"/>
                <w:sz w:val="16"/>
                <w:szCs w:val="16"/>
              </w:rPr>
            </w:pPr>
            <w:r>
              <w:rPr>
                <w:rFonts w:cstheme="minorHAnsi"/>
                <w:sz w:val="16"/>
                <w:szCs w:val="16"/>
              </w:rPr>
              <w:t>Izrada studije kojom se utvrđuju nove lokacije onečišćene opasnim otpadom (»crne točke«)</w:t>
            </w:r>
          </w:p>
        </w:tc>
        <w:tc>
          <w:tcPr>
            <w:tcW w:w="820" w:type="dxa"/>
            <w:tcBorders>
              <w:top w:val="single" w:sz="4" w:space="0" w:color="auto"/>
              <w:left w:val="single" w:sz="4" w:space="0" w:color="auto"/>
              <w:bottom w:val="single" w:sz="4" w:space="0" w:color="auto"/>
              <w:right w:val="single" w:sz="4" w:space="0" w:color="auto"/>
            </w:tcBorders>
            <w:vAlign w:val="center"/>
            <w:hideMark/>
          </w:tcPr>
          <w:p w14:paraId="57B6DAA3" w14:textId="77777777" w:rsidR="001649D4" w:rsidRDefault="001649D4">
            <w:pPr>
              <w:rPr>
                <w:rFonts w:cstheme="minorHAnsi"/>
                <w:sz w:val="16"/>
                <w:szCs w:val="16"/>
              </w:rPr>
            </w:pPr>
            <w:r>
              <w:rPr>
                <w:rFonts w:cstheme="minorHAnsi"/>
                <w:sz w:val="16"/>
                <w:szCs w:val="16"/>
              </w:rPr>
              <w:t>Broj</w:t>
            </w:r>
          </w:p>
        </w:tc>
        <w:tc>
          <w:tcPr>
            <w:tcW w:w="896" w:type="dxa"/>
            <w:tcBorders>
              <w:top w:val="single" w:sz="4" w:space="0" w:color="auto"/>
              <w:left w:val="single" w:sz="4" w:space="0" w:color="auto"/>
              <w:bottom w:val="single" w:sz="4" w:space="0" w:color="auto"/>
              <w:right w:val="single" w:sz="4" w:space="0" w:color="auto"/>
            </w:tcBorders>
            <w:vAlign w:val="center"/>
            <w:hideMark/>
          </w:tcPr>
          <w:p w14:paraId="1CEE8F63" w14:textId="77777777" w:rsidR="001649D4" w:rsidRDefault="001649D4">
            <w:pPr>
              <w:rPr>
                <w:rFonts w:cstheme="minorHAnsi"/>
                <w:sz w:val="16"/>
                <w:szCs w:val="16"/>
              </w:rPr>
            </w:pPr>
            <w:r>
              <w:rPr>
                <w:rFonts w:cstheme="minorHAnsi"/>
                <w:sz w:val="16"/>
                <w:szCs w:val="16"/>
              </w:rPr>
              <w:t>1</w:t>
            </w:r>
          </w:p>
        </w:tc>
        <w:tc>
          <w:tcPr>
            <w:tcW w:w="978" w:type="dxa"/>
            <w:tcBorders>
              <w:top w:val="single" w:sz="4" w:space="0" w:color="auto"/>
              <w:left w:val="single" w:sz="4" w:space="0" w:color="auto"/>
              <w:bottom w:val="single" w:sz="4" w:space="0" w:color="auto"/>
              <w:right w:val="single" w:sz="4" w:space="0" w:color="auto"/>
            </w:tcBorders>
            <w:vAlign w:val="center"/>
            <w:hideMark/>
          </w:tcPr>
          <w:p w14:paraId="06FF7939" w14:textId="77777777" w:rsidR="001649D4" w:rsidRDefault="001649D4">
            <w:pPr>
              <w:jc w:val="center"/>
              <w:rPr>
                <w:rFonts w:cstheme="minorHAnsi"/>
                <w:sz w:val="16"/>
                <w:szCs w:val="16"/>
              </w:rPr>
            </w:pPr>
            <w:r>
              <w:rPr>
                <w:rFonts w:cstheme="minorHAnsi"/>
                <w:sz w:val="16"/>
                <w:szCs w:val="16"/>
              </w:rPr>
              <w:t>2023.</w:t>
            </w:r>
          </w:p>
        </w:tc>
      </w:tr>
      <w:bookmarkEnd w:id="337"/>
    </w:tbl>
    <w:p w14:paraId="7AC7E54B" w14:textId="45770C23" w:rsidR="001649D4" w:rsidRDefault="001649D4" w:rsidP="001649D4">
      <w:pPr>
        <w:rPr>
          <w:rFonts w:cstheme="minorHAnsi"/>
        </w:rPr>
      </w:pPr>
    </w:p>
    <w:p w14:paraId="61B47916" w14:textId="69732AF9" w:rsidR="001649D4" w:rsidRPr="0056410F" w:rsidRDefault="001649D4" w:rsidP="0018450E">
      <w:pPr>
        <w:pStyle w:val="IRNaslov2"/>
        <w:numPr>
          <w:ilvl w:val="1"/>
          <w:numId w:val="22"/>
        </w:numPr>
        <w:ind w:left="709" w:hanging="709"/>
      </w:pPr>
      <w:bookmarkStart w:id="338" w:name="_Toc123211697"/>
      <w:r w:rsidRPr="0056410F">
        <w:lastRenderedPageBreak/>
        <w:t>Mjere za sanaciju lokacija onečišćenih otpadom</w:t>
      </w:r>
      <w:bookmarkEnd w:id="338"/>
    </w:p>
    <w:p w14:paraId="63963128" w14:textId="77777777" w:rsidR="001649D4" w:rsidRDefault="001649D4" w:rsidP="001649D4">
      <w:pPr>
        <w:rPr>
          <w:rFonts w:cstheme="minorHAnsi"/>
        </w:rPr>
      </w:pPr>
      <w:r>
        <w:rPr>
          <w:rFonts w:cstheme="minorHAnsi"/>
        </w:rPr>
        <w:t xml:space="preserve">Skupina mjera i aktivnosti definirane u ovom </w:t>
      </w:r>
      <w:proofErr w:type="spellStart"/>
      <w:r>
        <w:rPr>
          <w:rFonts w:cstheme="minorHAnsi"/>
        </w:rPr>
        <w:t>podpoglavlju</w:t>
      </w:r>
      <w:proofErr w:type="spellEnd"/>
      <w:r>
        <w:rPr>
          <w:rFonts w:cstheme="minorHAnsi"/>
        </w:rPr>
        <w:t xml:space="preserve"> usmjerene su na ostvarenje </w:t>
      </w:r>
      <w:r>
        <w:rPr>
          <w:rFonts w:cstheme="minorHAnsi"/>
          <w:b/>
          <w:bCs/>
        </w:rPr>
        <w:t>Cilja 11 -</w:t>
      </w:r>
      <w:r>
        <w:rPr>
          <w:rFonts w:cstheme="minorHAnsi"/>
        </w:rPr>
        <w:t xml:space="preserve"> </w:t>
      </w:r>
      <w:r>
        <w:rPr>
          <w:rFonts w:cstheme="minorHAnsi"/>
          <w:i/>
          <w:iCs/>
        </w:rPr>
        <w:t>Sanirati lokacije onečišćene otpadom</w:t>
      </w:r>
      <w:r>
        <w:rPr>
          <w:rFonts w:cstheme="minorHAnsi"/>
        </w:rPr>
        <w:t>. Provedbom ovih mjera i aktivnosti osigurat će se sanacija odlagališta neopasnog otpada, sanacija lokacija onečišćenih opasnim otpadom (»crne točke«) te sanacija lokacija onečišćenih uslijed nekontroliranog odbacivanja otpada u okoliš. Također će se provesti mjere usmjerene na sprječavanje odbacivanja otpada u okoliš.</w:t>
      </w:r>
    </w:p>
    <w:tbl>
      <w:tblPr>
        <w:tblStyle w:val="Reetkatablice"/>
        <w:tblW w:w="9067" w:type="dxa"/>
        <w:tblLook w:val="04A0" w:firstRow="1" w:lastRow="0" w:firstColumn="1" w:lastColumn="0" w:noHBand="0" w:noVBand="1"/>
      </w:tblPr>
      <w:tblGrid>
        <w:gridCol w:w="4508"/>
        <w:gridCol w:w="4559"/>
      </w:tblGrid>
      <w:tr w:rsidR="001649D4" w14:paraId="64612287" w14:textId="0CE8E69C" w:rsidTr="001649D4">
        <w:trPr>
          <w:tblHeader/>
        </w:trPr>
        <w:tc>
          <w:tcPr>
            <w:tcW w:w="9067"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13E8C884" w14:textId="2C153D75" w:rsidR="001649D4" w:rsidRDefault="001649D4">
            <w:pPr>
              <w:rPr>
                <w:rFonts w:cstheme="minorHAnsi"/>
                <w:b/>
                <w:bCs/>
                <w:sz w:val="18"/>
                <w:szCs w:val="18"/>
              </w:rPr>
            </w:pPr>
            <w:bookmarkStart w:id="339" w:name="_Hlk112244931"/>
            <w:r>
              <w:rPr>
                <w:rFonts w:cstheme="minorHAnsi"/>
                <w:b/>
                <w:bCs/>
                <w:sz w:val="18"/>
                <w:szCs w:val="18"/>
              </w:rPr>
              <w:t>Mjere za ostvarenje Cilja 11. - Sanirati lokacije onečišćene otpadom</w:t>
            </w:r>
          </w:p>
        </w:tc>
        <w:bookmarkEnd w:id="339"/>
      </w:tr>
      <w:tr w:rsidR="001649D4" w14:paraId="63D71A63" w14:textId="77777777" w:rsidTr="001649D4">
        <w:trPr>
          <w:tblHeader/>
        </w:trPr>
        <w:tc>
          <w:tcPr>
            <w:tcW w:w="4508" w:type="dxa"/>
            <w:tcBorders>
              <w:top w:val="single" w:sz="4" w:space="0" w:color="auto"/>
              <w:left w:val="single" w:sz="4" w:space="0" w:color="auto"/>
              <w:bottom w:val="single" w:sz="4" w:space="0" w:color="auto"/>
              <w:right w:val="single" w:sz="4" w:space="0" w:color="auto"/>
            </w:tcBorders>
            <w:shd w:val="clear" w:color="auto" w:fill="002060"/>
            <w:hideMark/>
          </w:tcPr>
          <w:p w14:paraId="7D76862E" w14:textId="77777777" w:rsidR="001649D4" w:rsidRDefault="001649D4">
            <w:pPr>
              <w:jc w:val="center"/>
              <w:rPr>
                <w:rFonts w:cstheme="minorHAnsi"/>
                <w:b/>
                <w:bCs/>
                <w:sz w:val="18"/>
                <w:szCs w:val="18"/>
              </w:rPr>
            </w:pPr>
            <w:r>
              <w:rPr>
                <w:rFonts w:cstheme="minorHAnsi"/>
                <w:b/>
                <w:bCs/>
                <w:sz w:val="18"/>
                <w:szCs w:val="18"/>
              </w:rPr>
              <w:t>Mjera</w:t>
            </w:r>
          </w:p>
        </w:tc>
        <w:tc>
          <w:tcPr>
            <w:tcW w:w="4559" w:type="dxa"/>
            <w:tcBorders>
              <w:top w:val="single" w:sz="4" w:space="0" w:color="auto"/>
              <w:left w:val="single" w:sz="4" w:space="0" w:color="auto"/>
              <w:bottom w:val="single" w:sz="4" w:space="0" w:color="auto"/>
              <w:right w:val="single" w:sz="4" w:space="0" w:color="auto"/>
            </w:tcBorders>
            <w:shd w:val="clear" w:color="auto" w:fill="002060"/>
            <w:hideMark/>
          </w:tcPr>
          <w:p w14:paraId="47069D8E" w14:textId="77777777" w:rsidR="001649D4" w:rsidRDefault="001649D4">
            <w:pPr>
              <w:jc w:val="center"/>
              <w:rPr>
                <w:rFonts w:cstheme="minorHAnsi"/>
                <w:b/>
                <w:bCs/>
                <w:sz w:val="18"/>
                <w:szCs w:val="18"/>
              </w:rPr>
            </w:pPr>
            <w:r>
              <w:rPr>
                <w:rFonts w:cstheme="minorHAnsi"/>
                <w:b/>
                <w:bCs/>
                <w:sz w:val="18"/>
                <w:szCs w:val="18"/>
              </w:rPr>
              <w:t>Opis mjere</w:t>
            </w:r>
          </w:p>
        </w:tc>
      </w:tr>
      <w:tr w:rsidR="0079127A" w14:paraId="34922C57" w14:textId="77777777" w:rsidTr="001649D4">
        <w:tc>
          <w:tcPr>
            <w:tcW w:w="4508" w:type="dxa"/>
            <w:tcBorders>
              <w:top w:val="single" w:sz="4" w:space="0" w:color="auto"/>
              <w:left w:val="single" w:sz="4" w:space="0" w:color="auto"/>
              <w:bottom w:val="single" w:sz="4" w:space="0" w:color="auto"/>
              <w:right w:val="single" w:sz="4" w:space="0" w:color="auto"/>
            </w:tcBorders>
            <w:vAlign w:val="center"/>
            <w:hideMark/>
          </w:tcPr>
          <w:p w14:paraId="4E1C44F2" w14:textId="5743B751" w:rsidR="0079127A" w:rsidRDefault="0079127A" w:rsidP="0079127A">
            <w:pPr>
              <w:rPr>
                <w:rFonts w:cstheme="minorHAnsi"/>
                <w:b/>
                <w:bCs/>
                <w:sz w:val="18"/>
                <w:szCs w:val="18"/>
              </w:rPr>
            </w:pPr>
            <w:r>
              <w:rPr>
                <w:rFonts w:cstheme="minorHAnsi"/>
                <w:b/>
                <w:bCs/>
                <w:sz w:val="18"/>
                <w:szCs w:val="18"/>
              </w:rPr>
              <w:t xml:space="preserve">Mjera </w:t>
            </w:r>
            <w:r w:rsidR="00E73B3B">
              <w:rPr>
                <w:rFonts w:cstheme="minorHAnsi"/>
                <w:b/>
                <w:bCs/>
                <w:sz w:val="18"/>
                <w:szCs w:val="18"/>
              </w:rPr>
              <w:t>11</w:t>
            </w:r>
            <w:r>
              <w:rPr>
                <w:rFonts w:cstheme="minorHAnsi"/>
                <w:b/>
                <w:bCs/>
                <w:sz w:val="18"/>
                <w:szCs w:val="18"/>
              </w:rPr>
              <w:t>. Sanacija</w:t>
            </w:r>
            <w:r w:rsidR="002B6978">
              <w:rPr>
                <w:rFonts w:cstheme="minorHAnsi"/>
                <w:b/>
                <w:bCs/>
                <w:sz w:val="18"/>
                <w:szCs w:val="18"/>
              </w:rPr>
              <w:t xml:space="preserve"> i zatvaranje</w:t>
            </w:r>
            <w:r>
              <w:rPr>
                <w:rFonts w:cstheme="minorHAnsi"/>
                <w:b/>
                <w:bCs/>
                <w:sz w:val="18"/>
                <w:szCs w:val="18"/>
              </w:rPr>
              <w:t xml:space="preserve"> odlagališta neopasnog otpada</w:t>
            </w:r>
          </w:p>
        </w:tc>
        <w:tc>
          <w:tcPr>
            <w:tcW w:w="4559" w:type="dxa"/>
            <w:tcBorders>
              <w:top w:val="single" w:sz="4" w:space="0" w:color="auto"/>
              <w:left w:val="single" w:sz="4" w:space="0" w:color="auto"/>
              <w:bottom w:val="single" w:sz="4" w:space="0" w:color="auto"/>
              <w:right w:val="single" w:sz="4" w:space="0" w:color="auto"/>
            </w:tcBorders>
            <w:hideMark/>
          </w:tcPr>
          <w:p w14:paraId="2D8DD0DB" w14:textId="3C063BCE" w:rsidR="0079127A" w:rsidRPr="0079127A" w:rsidRDefault="0079127A" w:rsidP="0079127A">
            <w:pPr>
              <w:rPr>
                <w:rFonts w:cstheme="minorHAnsi"/>
                <w:sz w:val="18"/>
                <w:szCs w:val="18"/>
              </w:rPr>
            </w:pPr>
            <w:r w:rsidRPr="0079127A">
              <w:rPr>
                <w:rFonts w:cstheme="minorHAnsi"/>
                <w:sz w:val="18"/>
                <w:szCs w:val="18"/>
              </w:rPr>
              <w:t>Provedba sanacija odlagališta neopasnog otpada u skladu s revidiranim Planom zatvaranja odlagališta neopasnog otpada koji definira koja odlagališta otpada nastavljaju s radom do popunjena kapaciteta ili otvaranja CGO-a.</w:t>
            </w:r>
          </w:p>
        </w:tc>
      </w:tr>
      <w:tr w:rsidR="0079127A" w14:paraId="41971BD6" w14:textId="77777777" w:rsidTr="001649D4">
        <w:tc>
          <w:tcPr>
            <w:tcW w:w="4508" w:type="dxa"/>
            <w:tcBorders>
              <w:top w:val="single" w:sz="4" w:space="0" w:color="auto"/>
              <w:left w:val="single" w:sz="4" w:space="0" w:color="auto"/>
              <w:bottom w:val="single" w:sz="4" w:space="0" w:color="auto"/>
              <w:right w:val="single" w:sz="4" w:space="0" w:color="auto"/>
            </w:tcBorders>
            <w:vAlign w:val="center"/>
            <w:hideMark/>
          </w:tcPr>
          <w:p w14:paraId="66BBC3B8" w14:textId="5BDC7E08" w:rsidR="0079127A" w:rsidRDefault="0079127A" w:rsidP="0079127A">
            <w:pPr>
              <w:rPr>
                <w:rFonts w:cstheme="minorHAnsi"/>
                <w:b/>
                <w:bCs/>
                <w:sz w:val="18"/>
                <w:szCs w:val="18"/>
              </w:rPr>
            </w:pPr>
            <w:r>
              <w:rPr>
                <w:rFonts w:cstheme="minorHAnsi"/>
                <w:b/>
                <w:bCs/>
                <w:sz w:val="18"/>
                <w:szCs w:val="18"/>
              </w:rPr>
              <w:t xml:space="preserve">Mjera </w:t>
            </w:r>
            <w:r w:rsidR="00E73B3B">
              <w:rPr>
                <w:rFonts w:cstheme="minorHAnsi"/>
                <w:b/>
                <w:bCs/>
                <w:sz w:val="18"/>
                <w:szCs w:val="18"/>
              </w:rPr>
              <w:t>12</w:t>
            </w:r>
            <w:r>
              <w:rPr>
                <w:rFonts w:cstheme="minorHAnsi"/>
                <w:b/>
                <w:bCs/>
                <w:sz w:val="18"/>
                <w:szCs w:val="18"/>
              </w:rPr>
              <w:t>. Sanacija lokacija onečišćenih opasnim otpadom (»crne točke«)</w:t>
            </w:r>
          </w:p>
        </w:tc>
        <w:tc>
          <w:tcPr>
            <w:tcW w:w="4559" w:type="dxa"/>
            <w:tcBorders>
              <w:top w:val="single" w:sz="4" w:space="0" w:color="auto"/>
              <w:left w:val="single" w:sz="4" w:space="0" w:color="auto"/>
              <w:bottom w:val="single" w:sz="4" w:space="0" w:color="auto"/>
              <w:right w:val="single" w:sz="4" w:space="0" w:color="auto"/>
            </w:tcBorders>
            <w:hideMark/>
          </w:tcPr>
          <w:p w14:paraId="4C5059F0" w14:textId="3467A511" w:rsidR="0079127A" w:rsidRPr="001543C9" w:rsidRDefault="0079127A" w:rsidP="0079127A">
            <w:pPr>
              <w:rPr>
                <w:rFonts w:cstheme="minorHAnsi"/>
                <w:sz w:val="18"/>
                <w:szCs w:val="18"/>
              </w:rPr>
            </w:pPr>
            <w:r w:rsidRPr="001543C9">
              <w:rPr>
                <w:rFonts w:cstheme="minorHAnsi"/>
                <w:sz w:val="18"/>
                <w:szCs w:val="18"/>
              </w:rPr>
              <w:t xml:space="preserve">Nastavak aktivnosti sanacija lokacija onečišćenih opasnim otpadom tzv. »crnih točaka« definiranih ovim Planom i novo identificiranih lokacija </w:t>
            </w:r>
            <w:bookmarkStart w:id="340" w:name="_Hlk112244991"/>
            <w:r w:rsidRPr="001543C9">
              <w:rPr>
                <w:rFonts w:cstheme="minorHAnsi"/>
                <w:sz w:val="18"/>
                <w:szCs w:val="18"/>
              </w:rPr>
              <w:t xml:space="preserve">»crnih točaka« </w:t>
            </w:r>
            <w:bookmarkEnd w:id="340"/>
            <w:r w:rsidRPr="001543C9">
              <w:rPr>
                <w:rFonts w:cstheme="minorHAnsi"/>
                <w:sz w:val="18"/>
                <w:szCs w:val="18"/>
              </w:rPr>
              <w:t xml:space="preserve">kroz mjeru 12. definiranu za postizanje Cilja 10. - </w:t>
            </w:r>
            <w:r w:rsidRPr="001543C9">
              <w:rPr>
                <w:rFonts w:cstheme="minorHAnsi"/>
                <w:i/>
                <w:iCs/>
                <w:sz w:val="18"/>
                <w:szCs w:val="18"/>
              </w:rPr>
              <w:t>Unaprijediti sustav gospodarenja opasnim otpadom</w:t>
            </w:r>
            <w:r w:rsidRPr="001543C9">
              <w:rPr>
                <w:rFonts w:cstheme="minorHAnsi"/>
                <w:sz w:val="18"/>
                <w:szCs w:val="18"/>
              </w:rPr>
              <w:t>.</w:t>
            </w:r>
          </w:p>
        </w:tc>
      </w:tr>
      <w:tr w:rsidR="0079127A" w14:paraId="1F10D62A" w14:textId="77777777" w:rsidTr="001649D4">
        <w:tc>
          <w:tcPr>
            <w:tcW w:w="4508" w:type="dxa"/>
            <w:tcBorders>
              <w:top w:val="single" w:sz="4" w:space="0" w:color="auto"/>
              <w:left w:val="single" w:sz="4" w:space="0" w:color="auto"/>
              <w:bottom w:val="single" w:sz="4" w:space="0" w:color="auto"/>
              <w:right w:val="single" w:sz="4" w:space="0" w:color="auto"/>
            </w:tcBorders>
            <w:vAlign w:val="center"/>
            <w:hideMark/>
          </w:tcPr>
          <w:p w14:paraId="5D13BDCD" w14:textId="34DBF06B" w:rsidR="0079127A" w:rsidRDefault="0079127A" w:rsidP="0079127A">
            <w:pPr>
              <w:rPr>
                <w:rFonts w:cstheme="minorHAnsi"/>
                <w:b/>
                <w:bCs/>
                <w:sz w:val="18"/>
                <w:szCs w:val="18"/>
              </w:rPr>
            </w:pPr>
            <w:r>
              <w:rPr>
                <w:rFonts w:cstheme="minorHAnsi"/>
                <w:b/>
                <w:bCs/>
                <w:sz w:val="18"/>
                <w:szCs w:val="18"/>
              </w:rPr>
              <w:t xml:space="preserve">Mjera </w:t>
            </w:r>
            <w:r w:rsidR="00E73B3B">
              <w:rPr>
                <w:rFonts w:cstheme="minorHAnsi"/>
                <w:b/>
                <w:bCs/>
                <w:sz w:val="18"/>
                <w:szCs w:val="18"/>
              </w:rPr>
              <w:t>13</w:t>
            </w:r>
            <w:r>
              <w:rPr>
                <w:rFonts w:cstheme="minorHAnsi"/>
                <w:b/>
                <w:bCs/>
                <w:sz w:val="18"/>
                <w:szCs w:val="18"/>
              </w:rPr>
              <w:t>. Sanacija lokacija onečišćenih otpadom odbačenim u okoliš</w:t>
            </w:r>
          </w:p>
        </w:tc>
        <w:tc>
          <w:tcPr>
            <w:tcW w:w="4559" w:type="dxa"/>
            <w:tcBorders>
              <w:top w:val="single" w:sz="4" w:space="0" w:color="auto"/>
              <w:left w:val="single" w:sz="4" w:space="0" w:color="auto"/>
              <w:bottom w:val="single" w:sz="4" w:space="0" w:color="auto"/>
              <w:right w:val="single" w:sz="4" w:space="0" w:color="auto"/>
            </w:tcBorders>
            <w:hideMark/>
          </w:tcPr>
          <w:p w14:paraId="614369E0" w14:textId="77777777" w:rsidR="0079127A" w:rsidRDefault="0079127A" w:rsidP="0079127A">
            <w:pPr>
              <w:rPr>
                <w:rFonts w:cstheme="minorHAnsi"/>
                <w:sz w:val="18"/>
                <w:szCs w:val="18"/>
              </w:rPr>
            </w:pPr>
            <w:r w:rsidRPr="0079127A">
              <w:rPr>
                <w:rFonts w:cstheme="minorHAnsi"/>
                <w:sz w:val="18"/>
                <w:szCs w:val="18"/>
              </w:rPr>
              <w:t>Uklanjanje otpada odbačenog u okoliš, uključujući speleološke objekte te sprječavanje protuzakonitog odbacivanja otpada u okoliš uključujući i sprječavanje ponovnog odbacivanja otpada na saniranim lokacijama.</w:t>
            </w:r>
          </w:p>
          <w:p w14:paraId="5965523D" w14:textId="1A266299" w:rsidR="00B63A84" w:rsidRPr="0079127A" w:rsidRDefault="00F67060" w:rsidP="0079127A">
            <w:pPr>
              <w:rPr>
                <w:rFonts w:cstheme="minorHAnsi"/>
                <w:sz w:val="18"/>
                <w:szCs w:val="18"/>
              </w:rPr>
            </w:pPr>
            <w:r>
              <w:rPr>
                <w:rFonts w:cstheme="minorHAnsi"/>
                <w:sz w:val="18"/>
                <w:szCs w:val="18"/>
              </w:rPr>
              <w:t>Mjera će</w:t>
            </w:r>
            <w:r w:rsidR="00B63A84">
              <w:rPr>
                <w:rFonts w:cstheme="minorHAnsi"/>
                <w:sz w:val="18"/>
                <w:szCs w:val="18"/>
              </w:rPr>
              <w:t xml:space="preserve"> doprinijet i ostvarenju Cilja </w:t>
            </w:r>
            <w:r w:rsidR="00B63A84" w:rsidRPr="00B63A84">
              <w:rPr>
                <w:rFonts w:cstheme="minorHAnsi"/>
                <w:sz w:val="18"/>
                <w:szCs w:val="18"/>
              </w:rPr>
              <w:t xml:space="preserve">4. - </w:t>
            </w:r>
            <w:r w:rsidR="00B63A84" w:rsidRPr="00DE1B14">
              <w:rPr>
                <w:rFonts w:cstheme="minorHAnsi"/>
                <w:i/>
                <w:iCs/>
                <w:sz w:val="18"/>
                <w:szCs w:val="18"/>
              </w:rPr>
              <w:t>Građevni otpad</w:t>
            </w:r>
            <w:r>
              <w:rPr>
                <w:rFonts w:cstheme="minorHAnsi"/>
                <w:i/>
                <w:iCs/>
                <w:sz w:val="18"/>
                <w:szCs w:val="18"/>
              </w:rPr>
              <w:t>.</w:t>
            </w:r>
          </w:p>
        </w:tc>
      </w:tr>
    </w:tbl>
    <w:p w14:paraId="63F4C13A" w14:textId="3CCE8A8E" w:rsidR="001649D4" w:rsidRDefault="001649D4" w:rsidP="001649D4">
      <w:pPr>
        <w:rPr>
          <w:rFonts w:cstheme="minorHAnsi"/>
        </w:rPr>
      </w:pPr>
    </w:p>
    <w:p w14:paraId="3631310A" w14:textId="77777777" w:rsidR="0079127A" w:rsidRPr="0079127A" w:rsidRDefault="0079127A" w:rsidP="0079127A">
      <w:pPr>
        <w:rPr>
          <w:rFonts w:cstheme="minorHAnsi"/>
        </w:rPr>
      </w:pPr>
      <w:r w:rsidRPr="0079127A">
        <w:rPr>
          <w:rFonts w:cstheme="minorHAnsi"/>
        </w:rPr>
        <w:t>S ciljem sanacije i zatvaranja neusklađenih odlagališta u RH predviđa se provedba mjera sanacije i zatvaranja odlagališta u skladu s revidiranim Planom zatvaranja odlagališta neopasnog otpada koji definira odlagališta otpada koja nastavljaju s radom do popunjena kapaciteta ili otvaranja CGO-a.</w:t>
      </w:r>
    </w:p>
    <w:p w14:paraId="18331371" w14:textId="5297B1A9" w:rsidR="0079127A" w:rsidRPr="0079127A" w:rsidRDefault="0079127A" w:rsidP="0079127A">
      <w:pPr>
        <w:rPr>
          <w:rFonts w:cstheme="minorHAnsi"/>
        </w:rPr>
      </w:pPr>
      <w:r w:rsidRPr="0079127A">
        <w:rPr>
          <w:rFonts w:cstheme="minorHAnsi"/>
        </w:rPr>
        <w:t xml:space="preserve">Nastavljaju se aktivnosti sanacija lokacija onečišćenih opasnim otpadom tzv. »crnih točaka« te aktivnosti uklanjanje otpada </w:t>
      </w:r>
      <w:r w:rsidR="00B81DF2">
        <w:rPr>
          <w:rFonts w:cstheme="minorHAnsi"/>
        </w:rPr>
        <w:t xml:space="preserve">uključujući i građevnog </w:t>
      </w:r>
      <w:r w:rsidRPr="0079127A">
        <w:rPr>
          <w:rFonts w:cstheme="minorHAnsi"/>
        </w:rPr>
        <w:t>s lokacija onečišćenih otpadom odbačenim u okoliš i mjere sprječavanja ponovnog odbacivanja poput nabave i postavljanje opreme na saniranim lokacijama (natpisi, rampe, videonadzor i dr.) koje su u nadležnosti jedinica lokalne samouprave.</w:t>
      </w:r>
      <w:r w:rsidR="00B81DF2">
        <w:rPr>
          <w:rFonts w:cstheme="minorHAnsi"/>
        </w:rPr>
        <w:t xml:space="preserve"> </w:t>
      </w:r>
    </w:p>
    <w:p w14:paraId="5AA641DA" w14:textId="7A7DA279" w:rsidR="0079127A" w:rsidRDefault="0079127A" w:rsidP="0079127A">
      <w:pPr>
        <w:rPr>
          <w:rFonts w:cstheme="minorHAnsi"/>
        </w:rPr>
      </w:pPr>
      <w:r w:rsidRPr="0079127A">
        <w:rPr>
          <w:rFonts w:cstheme="minorHAnsi"/>
        </w:rPr>
        <w:t>Nadalje, predviđa se i promocija uspostavljene aplikacije Evidencija lokacija odbačenog otpada (ELOO) s ciljem podizanja svijest građana o količini otpada koji se odlaže nekontrolirano u okoliš i s ciljem vraćanja povjerenja građana u lokalnu samoupravu kada je u pitanju gospodarenje otpadom.</w:t>
      </w:r>
    </w:p>
    <w:tbl>
      <w:tblPr>
        <w:tblStyle w:val="TableGrid5"/>
        <w:tblW w:w="9067" w:type="dxa"/>
        <w:tblLayout w:type="fixed"/>
        <w:tblLook w:val="04A0" w:firstRow="1" w:lastRow="0" w:firstColumn="1" w:lastColumn="0" w:noHBand="0" w:noVBand="1"/>
      </w:tblPr>
      <w:tblGrid>
        <w:gridCol w:w="1836"/>
        <w:gridCol w:w="850"/>
        <w:gridCol w:w="967"/>
        <w:gridCol w:w="1020"/>
        <w:gridCol w:w="1697"/>
        <w:gridCol w:w="820"/>
        <w:gridCol w:w="899"/>
        <w:gridCol w:w="978"/>
      </w:tblGrid>
      <w:tr w:rsidR="0079127A" w:rsidRPr="0079127A" w14:paraId="222E0029" w14:textId="77777777" w:rsidTr="0079127A">
        <w:trPr>
          <w:tblHeader/>
        </w:trPr>
        <w:tc>
          <w:tcPr>
            <w:tcW w:w="9067" w:type="dxa"/>
            <w:gridSpan w:val="8"/>
            <w:tcBorders>
              <w:top w:val="single" w:sz="4" w:space="0" w:color="auto"/>
              <w:left w:val="single" w:sz="4" w:space="0" w:color="auto"/>
              <w:bottom w:val="single" w:sz="4" w:space="0" w:color="auto"/>
              <w:right w:val="single" w:sz="4" w:space="0" w:color="auto"/>
            </w:tcBorders>
            <w:shd w:val="clear" w:color="auto" w:fill="002060"/>
            <w:vAlign w:val="center"/>
            <w:hideMark/>
          </w:tcPr>
          <w:p w14:paraId="3C1C3BC6" w14:textId="77777777" w:rsidR="0079127A" w:rsidRPr="0079127A" w:rsidRDefault="0079127A">
            <w:pPr>
              <w:rPr>
                <w:rFonts w:cstheme="minorHAnsi"/>
                <w:b/>
                <w:bCs/>
                <w:sz w:val="18"/>
                <w:szCs w:val="18"/>
              </w:rPr>
            </w:pPr>
            <w:r w:rsidRPr="0079127A">
              <w:rPr>
                <w:rFonts w:cstheme="minorHAnsi"/>
                <w:b/>
                <w:bCs/>
                <w:sz w:val="18"/>
                <w:szCs w:val="18"/>
              </w:rPr>
              <w:t>Mjere za ostvarenje Cilja 11. - Sanirati lokacije onečišćene otpadom</w:t>
            </w:r>
          </w:p>
        </w:tc>
      </w:tr>
      <w:tr w:rsidR="00B30B78" w:rsidRPr="0079127A" w14:paraId="570CB8E0" w14:textId="77777777" w:rsidTr="00CC41BC">
        <w:trPr>
          <w:trHeight w:val="405"/>
          <w:tblHeader/>
        </w:trPr>
        <w:tc>
          <w:tcPr>
            <w:tcW w:w="1836"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59C8E794" w14:textId="77777777" w:rsidR="00B30B78" w:rsidRPr="0079127A" w:rsidRDefault="00B30B78">
            <w:pPr>
              <w:jc w:val="center"/>
              <w:rPr>
                <w:rFonts w:cstheme="minorHAnsi"/>
                <w:b/>
                <w:bCs/>
                <w:sz w:val="18"/>
                <w:szCs w:val="18"/>
              </w:rPr>
            </w:pPr>
            <w:r w:rsidRPr="0079127A">
              <w:rPr>
                <w:rFonts w:cstheme="minorHAnsi"/>
                <w:b/>
                <w:bCs/>
                <w:sz w:val="18"/>
                <w:szCs w:val="18"/>
              </w:rPr>
              <w:t>Aktivnost (A)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0B690BEF" w14:textId="77777777" w:rsidR="00B30B78" w:rsidRPr="0079127A" w:rsidRDefault="00B30B78">
            <w:pPr>
              <w:jc w:val="center"/>
              <w:rPr>
                <w:rFonts w:cstheme="minorHAnsi"/>
                <w:b/>
                <w:bCs/>
                <w:sz w:val="18"/>
                <w:szCs w:val="18"/>
              </w:rPr>
            </w:pPr>
            <w:r w:rsidRPr="0079127A">
              <w:rPr>
                <w:rFonts w:cstheme="minorHAnsi"/>
                <w:b/>
                <w:bCs/>
                <w:sz w:val="18"/>
                <w:szCs w:val="18"/>
              </w:rPr>
              <w:t>Nositelj</w:t>
            </w:r>
          </w:p>
        </w:tc>
        <w:tc>
          <w:tcPr>
            <w:tcW w:w="96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57FB8A44" w14:textId="77777777" w:rsidR="00B30B78" w:rsidRPr="0079127A" w:rsidRDefault="00B30B78">
            <w:pPr>
              <w:jc w:val="center"/>
              <w:rPr>
                <w:rFonts w:cstheme="minorHAnsi"/>
                <w:b/>
                <w:bCs/>
                <w:sz w:val="18"/>
                <w:szCs w:val="18"/>
              </w:rPr>
            </w:pPr>
            <w:proofErr w:type="spellStart"/>
            <w:r w:rsidRPr="0079127A">
              <w:rPr>
                <w:rFonts w:cstheme="minorHAnsi"/>
                <w:b/>
                <w:bCs/>
                <w:sz w:val="18"/>
                <w:szCs w:val="18"/>
              </w:rPr>
              <w:t>Sunositelj</w:t>
            </w:r>
            <w:proofErr w:type="spellEnd"/>
          </w:p>
        </w:tc>
        <w:tc>
          <w:tcPr>
            <w:tcW w:w="1020"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67F4469D" w14:textId="77777777" w:rsidR="00B30B78" w:rsidRPr="0079127A" w:rsidRDefault="00B30B78">
            <w:pPr>
              <w:jc w:val="center"/>
              <w:rPr>
                <w:rFonts w:cstheme="minorHAnsi"/>
                <w:b/>
                <w:bCs/>
                <w:sz w:val="18"/>
                <w:szCs w:val="18"/>
              </w:rPr>
            </w:pPr>
            <w:r w:rsidRPr="0079127A">
              <w:rPr>
                <w:rFonts w:cstheme="minorHAnsi"/>
                <w:b/>
                <w:bCs/>
                <w:sz w:val="18"/>
                <w:szCs w:val="18"/>
              </w:rPr>
              <w:t>Mogući izvori financiranja</w:t>
            </w:r>
          </w:p>
        </w:tc>
        <w:tc>
          <w:tcPr>
            <w:tcW w:w="3416"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145F52A" w14:textId="77777777" w:rsidR="00B30B78" w:rsidRPr="0079127A" w:rsidRDefault="00B30B78">
            <w:pPr>
              <w:jc w:val="center"/>
              <w:rPr>
                <w:rFonts w:cstheme="minorHAnsi"/>
                <w:b/>
                <w:bCs/>
                <w:sz w:val="18"/>
                <w:szCs w:val="18"/>
              </w:rPr>
            </w:pPr>
            <w:r w:rsidRPr="0079127A">
              <w:rPr>
                <w:rFonts w:cstheme="minorHAnsi"/>
                <w:b/>
                <w:bCs/>
                <w:sz w:val="18"/>
                <w:szCs w:val="18"/>
              </w:rPr>
              <w:t>Pokazatelj ostvarenja</w:t>
            </w:r>
          </w:p>
        </w:tc>
        <w:tc>
          <w:tcPr>
            <w:tcW w:w="978" w:type="dxa"/>
            <w:vMerge w:val="restart"/>
            <w:tcBorders>
              <w:top w:val="single" w:sz="4" w:space="0" w:color="auto"/>
              <w:left w:val="single" w:sz="4" w:space="0" w:color="auto"/>
              <w:right w:val="single" w:sz="4" w:space="0" w:color="auto"/>
            </w:tcBorders>
            <w:shd w:val="clear" w:color="auto" w:fill="002060"/>
            <w:vAlign w:val="center"/>
            <w:hideMark/>
          </w:tcPr>
          <w:p w14:paraId="13DB16F7" w14:textId="77777777" w:rsidR="00B30B78" w:rsidRPr="0079127A" w:rsidRDefault="00B30B78">
            <w:pPr>
              <w:jc w:val="center"/>
              <w:rPr>
                <w:rFonts w:cstheme="minorHAnsi"/>
                <w:b/>
                <w:bCs/>
                <w:sz w:val="18"/>
                <w:szCs w:val="18"/>
              </w:rPr>
            </w:pPr>
            <w:r w:rsidRPr="0079127A">
              <w:rPr>
                <w:rFonts w:cstheme="minorHAnsi"/>
                <w:b/>
                <w:bCs/>
                <w:sz w:val="18"/>
                <w:szCs w:val="18"/>
              </w:rPr>
              <w:t>Rok provedbe</w:t>
            </w:r>
          </w:p>
        </w:tc>
      </w:tr>
      <w:tr w:rsidR="00B30B78" w:rsidRPr="0079127A" w14:paraId="16064AB9" w14:textId="77777777" w:rsidTr="00CC41BC">
        <w:trPr>
          <w:trHeight w:val="405"/>
        </w:trPr>
        <w:tc>
          <w:tcPr>
            <w:tcW w:w="1836" w:type="dxa"/>
            <w:vMerge/>
            <w:tcBorders>
              <w:top w:val="single" w:sz="4" w:space="0" w:color="auto"/>
              <w:left w:val="single" w:sz="4" w:space="0" w:color="auto"/>
              <w:bottom w:val="single" w:sz="4" w:space="0" w:color="auto"/>
              <w:right w:val="single" w:sz="4" w:space="0" w:color="auto"/>
            </w:tcBorders>
            <w:vAlign w:val="center"/>
            <w:hideMark/>
          </w:tcPr>
          <w:p w14:paraId="1E1D5D97" w14:textId="77777777" w:rsidR="00B30B78" w:rsidRPr="0079127A" w:rsidRDefault="00B30B78">
            <w:pPr>
              <w:rPr>
                <w:rFonts w:cstheme="minorHAnsi"/>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79C3921" w14:textId="77777777" w:rsidR="00B30B78" w:rsidRPr="0079127A" w:rsidRDefault="00B30B78">
            <w:pPr>
              <w:rPr>
                <w:rFonts w:cstheme="minorHAnsi"/>
                <w:b/>
                <w:bCs/>
                <w:sz w:val="18"/>
                <w:szCs w:val="18"/>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F488791" w14:textId="77777777" w:rsidR="00B30B78" w:rsidRPr="0079127A" w:rsidRDefault="00B30B78">
            <w:pPr>
              <w:rPr>
                <w:rFonts w:cstheme="minorHAnsi"/>
                <w:b/>
                <w:bCs/>
                <w:sz w:val="18"/>
                <w:szCs w:val="1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4C85CB0C" w14:textId="77777777" w:rsidR="00B30B78" w:rsidRPr="0079127A" w:rsidRDefault="00B30B78">
            <w:pPr>
              <w:rPr>
                <w:rFonts w:cstheme="minorHAnsi"/>
                <w:b/>
                <w:bCs/>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3CB717D" w14:textId="77777777" w:rsidR="00B30B78" w:rsidRPr="0079127A" w:rsidRDefault="00B30B78">
            <w:pPr>
              <w:jc w:val="center"/>
              <w:rPr>
                <w:rFonts w:cstheme="minorHAnsi"/>
                <w:b/>
                <w:bCs/>
                <w:sz w:val="18"/>
                <w:szCs w:val="18"/>
              </w:rPr>
            </w:pPr>
            <w:r w:rsidRPr="0079127A">
              <w:rPr>
                <w:rFonts w:cstheme="minorHAnsi"/>
                <w:b/>
                <w:bCs/>
                <w:sz w:val="18"/>
                <w:szCs w:val="18"/>
              </w:rPr>
              <w:t>Naziv</w:t>
            </w:r>
          </w:p>
        </w:tc>
        <w:tc>
          <w:tcPr>
            <w:tcW w:w="82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ECD91FD" w14:textId="77777777" w:rsidR="00B30B78" w:rsidRPr="0079127A" w:rsidRDefault="00B30B78">
            <w:pPr>
              <w:jc w:val="center"/>
              <w:rPr>
                <w:rFonts w:cstheme="minorHAnsi"/>
                <w:b/>
                <w:bCs/>
                <w:sz w:val="18"/>
                <w:szCs w:val="18"/>
              </w:rPr>
            </w:pPr>
            <w:r w:rsidRPr="0079127A">
              <w:rPr>
                <w:rFonts w:cstheme="minorHAnsi"/>
                <w:b/>
                <w:bCs/>
                <w:sz w:val="18"/>
                <w:szCs w:val="18"/>
              </w:rPr>
              <w:t>Mjerna jedinica</w:t>
            </w:r>
          </w:p>
        </w:tc>
        <w:tc>
          <w:tcPr>
            <w:tcW w:w="89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F667EFC" w14:textId="77777777" w:rsidR="00B30B78" w:rsidRPr="0079127A" w:rsidRDefault="00B30B78">
            <w:pPr>
              <w:jc w:val="center"/>
              <w:rPr>
                <w:rFonts w:cstheme="minorHAnsi"/>
                <w:b/>
                <w:bCs/>
                <w:sz w:val="18"/>
                <w:szCs w:val="18"/>
              </w:rPr>
            </w:pPr>
            <w:r w:rsidRPr="0079127A">
              <w:rPr>
                <w:rFonts w:cstheme="minorHAnsi"/>
                <w:b/>
                <w:bCs/>
                <w:sz w:val="18"/>
                <w:szCs w:val="18"/>
              </w:rPr>
              <w:t>Ciljana vrijednost</w:t>
            </w:r>
          </w:p>
        </w:tc>
        <w:tc>
          <w:tcPr>
            <w:tcW w:w="978" w:type="dxa"/>
            <w:vMerge/>
            <w:tcBorders>
              <w:left w:val="single" w:sz="4" w:space="0" w:color="auto"/>
              <w:bottom w:val="single" w:sz="4" w:space="0" w:color="auto"/>
              <w:right w:val="single" w:sz="4" w:space="0" w:color="auto"/>
            </w:tcBorders>
            <w:vAlign w:val="center"/>
            <w:hideMark/>
          </w:tcPr>
          <w:p w14:paraId="7A226EEC" w14:textId="77777777" w:rsidR="00B30B78" w:rsidRPr="0079127A" w:rsidRDefault="00B30B78">
            <w:pPr>
              <w:rPr>
                <w:rFonts w:cstheme="minorHAnsi"/>
                <w:b/>
                <w:bCs/>
                <w:sz w:val="18"/>
                <w:szCs w:val="18"/>
              </w:rPr>
            </w:pPr>
          </w:p>
        </w:tc>
      </w:tr>
      <w:tr w:rsidR="0079127A" w:rsidRPr="0079127A" w14:paraId="20FFC3C3" w14:textId="77777777" w:rsidTr="0079127A">
        <w:tc>
          <w:tcPr>
            <w:tcW w:w="9067" w:type="dxa"/>
            <w:gridSpan w:val="8"/>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0A6D5FC5" w14:textId="74A307D8" w:rsidR="0079127A" w:rsidRPr="0079127A" w:rsidRDefault="0079127A">
            <w:pPr>
              <w:rPr>
                <w:rFonts w:cstheme="minorHAnsi"/>
                <w:b/>
                <w:bCs/>
                <w:sz w:val="18"/>
                <w:szCs w:val="18"/>
              </w:rPr>
            </w:pPr>
            <w:r w:rsidRPr="0079127A">
              <w:rPr>
                <w:rFonts w:cstheme="minorHAnsi"/>
                <w:b/>
                <w:bCs/>
                <w:sz w:val="18"/>
                <w:szCs w:val="18"/>
              </w:rPr>
              <w:t xml:space="preserve">Mjera </w:t>
            </w:r>
            <w:r w:rsidR="00E73B3B" w:rsidRPr="0079127A">
              <w:rPr>
                <w:rFonts w:cstheme="minorHAnsi"/>
                <w:b/>
                <w:bCs/>
                <w:sz w:val="18"/>
                <w:szCs w:val="18"/>
              </w:rPr>
              <w:t>1</w:t>
            </w:r>
            <w:r w:rsidR="00E73B3B">
              <w:rPr>
                <w:rFonts w:cstheme="minorHAnsi"/>
                <w:b/>
                <w:bCs/>
                <w:sz w:val="18"/>
                <w:szCs w:val="18"/>
              </w:rPr>
              <w:t>1</w:t>
            </w:r>
            <w:r w:rsidRPr="0079127A">
              <w:rPr>
                <w:rFonts w:cstheme="minorHAnsi"/>
                <w:b/>
                <w:bCs/>
                <w:sz w:val="18"/>
                <w:szCs w:val="18"/>
              </w:rPr>
              <w:t>. Sanacija odlagališta neopasnog otpada</w:t>
            </w:r>
          </w:p>
        </w:tc>
      </w:tr>
      <w:tr w:rsidR="0079127A" w:rsidRPr="0079127A" w14:paraId="56789FCF" w14:textId="77777777" w:rsidTr="001543C9">
        <w:tc>
          <w:tcPr>
            <w:tcW w:w="1836" w:type="dxa"/>
            <w:tcBorders>
              <w:top w:val="single" w:sz="4" w:space="0" w:color="auto"/>
              <w:left w:val="single" w:sz="4" w:space="0" w:color="auto"/>
              <w:bottom w:val="single" w:sz="4" w:space="0" w:color="auto"/>
              <w:right w:val="single" w:sz="4" w:space="0" w:color="auto"/>
            </w:tcBorders>
            <w:vAlign w:val="center"/>
            <w:hideMark/>
          </w:tcPr>
          <w:p w14:paraId="0F05D65A" w14:textId="2D70D48B" w:rsidR="0079127A" w:rsidRPr="0079127A" w:rsidRDefault="0079127A" w:rsidP="009C0112">
            <w:pPr>
              <w:jc w:val="left"/>
              <w:rPr>
                <w:rFonts w:cstheme="minorHAnsi"/>
                <w:sz w:val="18"/>
                <w:szCs w:val="18"/>
              </w:rPr>
            </w:pPr>
            <w:r w:rsidRPr="0079127A">
              <w:rPr>
                <w:rFonts w:cstheme="minorHAnsi"/>
                <w:sz w:val="18"/>
                <w:szCs w:val="18"/>
              </w:rPr>
              <w:t xml:space="preserve">A </w:t>
            </w:r>
            <w:r w:rsidR="00E73B3B" w:rsidRPr="0079127A">
              <w:rPr>
                <w:rFonts w:cstheme="minorHAnsi"/>
                <w:sz w:val="18"/>
                <w:szCs w:val="18"/>
              </w:rPr>
              <w:t>1</w:t>
            </w:r>
            <w:r w:rsidR="00E73B3B">
              <w:rPr>
                <w:rFonts w:cstheme="minorHAnsi"/>
                <w:sz w:val="18"/>
                <w:szCs w:val="18"/>
              </w:rPr>
              <w:t>1</w:t>
            </w:r>
            <w:r w:rsidRPr="0079127A">
              <w:rPr>
                <w:rFonts w:cstheme="minorHAnsi"/>
                <w:sz w:val="18"/>
                <w:szCs w:val="18"/>
              </w:rPr>
              <w:t>.1. Izrada dokumentacije i sanacijski radovi na odlagalištu neopasnog otpada</w:t>
            </w:r>
          </w:p>
        </w:tc>
        <w:tc>
          <w:tcPr>
            <w:tcW w:w="850" w:type="dxa"/>
            <w:tcBorders>
              <w:top w:val="single" w:sz="6" w:space="0" w:color="auto"/>
              <w:left w:val="single" w:sz="6" w:space="0" w:color="auto"/>
              <w:bottom w:val="single" w:sz="6" w:space="0" w:color="auto"/>
              <w:right w:val="single" w:sz="6" w:space="0" w:color="auto"/>
            </w:tcBorders>
            <w:vAlign w:val="center"/>
            <w:hideMark/>
          </w:tcPr>
          <w:p w14:paraId="6DFCEB3F" w14:textId="77777777" w:rsidR="0079127A" w:rsidRPr="0079127A" w:rsidRDefault="0079127A">
            <w:pPr>
              <w:rPr>
                <w:rFonts w:cstheme="minorHAnsi"/>
                <w:sz w:val="18"/>
                <w:szCs w:val="18"/>
              </w:rPr>
            </w:pPr>
            <w:r w:rsidRPr="0079127A">
              <w:rPr>
                <w:rFonts w:cstheme="minorHAnsi"/>
                <w:sz w:val="18"/>
                <w:szCs w:val="18"/>
              </w:rPr>
              <w:t>JLS</w:t>
            </w:r>
          </w:p>
        </w:tc>
        <w:tc>
          <w:tcPr>
            <w:tcW w:w="967" w:type="dxa"/>
            <w:tcBorders>
              <w:top w:val="single" w:sz="6" w:space="0" w:color="auto"/>
              <w:left w:val="single" w:sz="6" w:space="0" w:color="auto"/>
              <w:bottom w:val="single" w:sz="6" w:space="0" w:color="auto"/>
              <w:right w:val="single" w:sz="6" w:space="0" w:color="auto"/>
            </w:tcBorders>
            <w:vAlign w:val="center"/>
            <w:hideMark/>
          </w:tcPr>
          <w:p w14:paraId="1AD9C4B4" w14:textId="77777777" w:rsidR="0079127A" w:rsidRPr="0079127A" w:rsidRDefault="0079127A">
            <w:pPr>
              <w:rPr>
                <w:rFonts w:cstheme="minorHAnsi"/>
                <w:sz w:val="18"/>
                <w:szCs w:val="18"/>
              </w:rPr>
            </w:pPr>
            <w:r w:rsidRPr="0079127A">
              <w:rPr>
                <w:rFonts w:cstheme="minorHAnsi"/>
                <w:sz w:val="18"/>
                <w:szCs w:val="18"/>
              </w:rPr>
              <w:t>-</w:t>
            </w:r>
          </w:p>
        </w:tc>
        <w:tc>
          <w:tcPr>
            <w:tcW w:w="1020" w:type="dxa"/>
            <w:tcBorders>
              <w:top w:val="single" w:sz="6" w:space="0" w:color="auto"/>
              <w:left w:val="single" w:sz="6" w:space="0" w:color="auto"/>
              <w:bottom w:val="single" w:sz="6" w:space="0" w:color="auto"/>
              <w:right w:val="single" w:sz="6" w:space="0" w:color="auto"/>
            </w:tcBorders>
            <w:vAlign w:val="center"/>
            <w:hideMark/>
          </w:tcPr>
          <w:p w14:paraId="2F5BE7C3" w14:textId="77777777" w:rsidR="0079127A" w:rsidRPr="001543C9" w:rsidRDefault="0079127A">
            <w:pPr>
              <w:rPr>
                <w:rFonts w:cstheme="minorHAnsi"/>
                <w:sz w:val="18"/>
                <w:szCs w:val="18"/>
              </w:rPr>
            </w:pPr>
            <w:r w:rsidRPr="001543C9">
              <w:rPr>
                <w:rFonts w:cstheme="minorHAnsi"/>
                <w:sz w:val="18"/>
                <w:szCs w:val="18"/>
              </w:rPr>
              <w:t>JLS/FZOEU/EU/NPOO</w:t>
            </w:r>
          </w:p>
        </w:tc>
        <w:tc>
          <w:tcPr>
            <w:tcW w:w="1697" w:type="dxa"/>
            <w:tcBorders>
              <w:top w:val="single" w:sz="4" w:space="0" w:color="auto"/>
              <w:left w:val="single" w:sz="4" w:space="0" w:color="auto"/>
              <w:bottom w:val="single" w:sz="4" w:space="0" w:color="auto"/>
              <w:right w:val="single" w:sz="4" w:space="0" w:color="auto"/>
            </w:tcBorders>
            <w:vAlign w:val="center"/>
            <w:hideMark/>
          </w:tcPr>
          <w:p w14:paraId="73D6EA6B" w14:textId="77777777" w:rsidR="0079127A" w:rsidRPr="0079127A" w:rsidRDefault="0079127A">
            <w:pPr>
              <w:rPr>
                <w:rFonts w:cstheme="minorHAnsi"/>
                <w:sz w:val="18"/>
                <w:szCs w:val="18"/>
              </w:rPr>
            </w:pPr>
            <w:r w:rsidRPr="0079127A">
              <w:rPr>
                <w:rFonts w:cstheme="minorHAnsi"/>
                <w:sz w:val="18"/>
                <w:szCs w:val="18"/>
              </w:rPr>
              <w:t>Sanirana odlagališta neopasnog otpada</w:t>
            </w:r>
          </w:p>
        </w:tc>
        <w:tc>
          <w:tcPr>
            <w:tcW w:w="820" w:type="dxa"/>
            <w:tcBorders>
              <w:top w:val="single" w:sz="4" w:space="0" w:color="auto"/>
              <w:left w:val="single" w:sz="4" w:space="0" w:color="auto"/>
              <w:bottom w:val="single" w:sz="4" w:space="0" w:color="auto"/>
              <w:right w:val="single" w:sz="4" w:space="0" w:color="auto"/>
            </w:tcBorders>
            <w:vAlign w:val="center"/>
            <w:hideMark/>
          </w:tcPr>
          <w:p w14:paraId="16EC0F1F" w14:textId="77777777" w:rsidR="0079127A" w:rsidRPr="0079127A" w:rsidRDefault="0079127A">
            <w:pPr>
              <w:rPr>
                <w:rFonts w:cstheme="minorHAnsi"/>
                <w:sz w:val="18"/>
                <w:szCs w:val="18"/>
              </w:rPr>
            </w:pPr>
            <w:r w:rsidRPr="0079127A">
              <w:rPr>
                <w:rFonts w:cstheme="minorHAnsi"/>
                <w:sz w:val="18"/>
                <w:szCs w:val="18"/>
              </w:rPr>
              <w:t>Broj</w:t>
            </w:r>
          </w:p>
        </w:tc>
        <w:tc>
          <w:tcPr>
            <w:tcW w:w="899" w:type="dxa"/>
            <w:tcBorders>
              <w:top w:val="single" w:sz="4" w:space="0" w:color="auto"/>
              <w:left w:val="single" w:sz="4" w:space="0" w:color="auto"/>
              <w:bottom w:val="single" w:sz="4" w:space="0" w:color="auto"/>
              <w:right w:val="single" w:sz="4" w:space="0" w:color="auto"/>
            </w:tcBorders>
            <w:vAlign w:val="center"/>
          </w:tcPr>
          <w:p w14:paraId="790CE2AA" w14:textId="25DBB4CF" w:rsidR="0079127A" w:rsidRPr="0079127A" w:rsidRDefault="002B6978">
            <w:pPr>
              <w:rPr>
                <w:rFonts w:cstheme="minorHAnsi"/>
                <w:sz w:val="18"/>
                <w:szCs w:val="18"/>
              </w:rPr>
            </w:pPr>
            <w:r>
              <w:rPr>
                <w:rFonts w:cstheme="minorHAnsi"/>
                <w:sz w:val="18"/>
                <w:szCs w:val="18"/>
              </w:rPr>
              <w:t>80</w:t>
            </w:r>
          </w:p>
        </w:tc>
        <w:tc>
          <w:tcPr>
            <w:tcW w:w="978" w:type="dxa"/>
            <w:tcBorders>
              <w:top w:val="single" w:sz="4" w:space="0" w:color="auto"/>
              <w:left w:val="single" w:sz="4" w:space="0" w:color="auto"/>
              <w:bottom w:val="single" w:sz="4" w:space="0" w:color="auto"/>
              <w:right w:val="single" w:sz="4" w:space="0" w:color="auto"/>
            </w:tcBorders>
            <w:vAlign w:val="center"/>
            <w:hideMark/>
          </w:tcPr>
          <w:p w14:paraId="7E607BC1" w14:textId="77777777" w:rsidR="0079127A" w:rsidRPr="0079127A" w:rsidRDefault="0079127A">
            <w:pPr>
              <w:jc w:val="center"/>
              <w:rPr>
                <w:rFonts w:cstheme="minorHAnsi"/>
                <w:sz w:val="18"/>
                <w:szCs w:val="18"/>
              </w:rPr>
            </w:pPr>
            <w:r w:rsidRPr="0079127A">
              <w:rPr>
                <w:rFonts w:cstheme="minorHAnsi"/>
                <w:sz w:val="18"/>
                <w:szCs w:val="18"/>
              </w:rPr>
              <w:t>2028.</w:t>
            </w:r>
          </w:p>
        </w:tc>
      </w:tr>
      <w:tr w:rsidR="0079127A" w:rsidRPr="0079127A" w14:paraId="1423FDC9" w14:textId="77777777" w:rsidTr="0079127A">
        <w:tc>
          <w:tcPr>
            <w:tcW w:w="9067" w:type="dxa"/>
            <w:gridSpan w:val="8"/>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6C97BC69" w14:textId="5C96A1B3" w:rsidR="0079127A" w:rsidRPr="0079127A" w:rsidRDefault="0079127A">
            <w:pPr>
              <w:rPr>
                <w:rFonts w:cstheme="minorHAnsi"/>
                <w:sz w:val="18"/>
                <w:szCs w:val="18"/>
              </w:rPr>
            </w:pPr>
            <w:r w:rsidRPr="0079127A">
              <w:rPr>
                <w:rFonts w:cstheme="minorHAnsi"/>
                <w:b/>
                <w:bCs/>
                <w:sz w:val="18"/>
                <w:szCs w:val="18"/>
              </w:rPr>
              <w:t xml:space="preserve">Mjera </w:t>
            </w:r>
            <w:r w:rsidR="00E73B3B" w:rsidRPr="0079127A">
              <w:rPr>
                <w:rFonts w:cstheme="minorHAnsi"/>
                <w:b/>
                <w:bCs/>
                <w:sz w:val="18"/>
                <w:szCs w:val="18"/>
              </w:rPr>
              <w:t>1</w:t>
            </w:r>
            <w:r w:rsidR="00E73B3B">
              <w:rPr>
                <w:rFonts w:cstheme="minorHAnsi"/>
                <w:b/>
                <w:bCs/>
                <w:sz w:val="18"/>
                <w:szCs w:val="18"/>
              </w:rPr>
              <w:t>2</w:t>
            </w:r>
            <w:r w:rsidRPr="0079127A">
              <w:rPr>
                <w:rFonts w:cstheme="minorHAnsi"/>
                <w:b/>
                <w:bCs/>
                <w:sz w:val="18"/>
                <w:szCs w:val="18"/>
              </w:rPr>
              <w:t>. Sanacija lokacija onečišćenih opasnim otpadom (»crne točke«)</w:t>
            </w:r>
          </w:p>
        </w:tc>
      </w:tr>
      <w:tr w:rsidR="0079127A" w:rsidRPr="0079127A" w14:paraId="6E4B3A21" w14:textId="77777777" w:rsidTr="001543C9">
        <w:tc>
          <w:tcPr>
            <w:tcW w:w="1836" w:type="dxa"/>
            <w:tcBorders>
              <w:top w:val="single" w:sz="4" w:space="0" w:color="auto"/>
              <w:left w:val="single" w:sz="4" w:space="0" w:color="auto"/>
              <w:bottom w:val="single" w:sz="4" w:space="0" w:color="auto"/>
              <w:right w:val="single" w:sz="4" w:space="0" w:color="auto"/>
            </w:tcBorders>
            <w:vAlign w:val="center"/>
            <w:hideMark/>
          </w:tcPr>
          <w:p w14:paraId="43CBC264" w14:textId="19C63BA1" w:rsidR="0079127A" w:rsidRPr="0079127A" w:rsidRDefault="0079127A" w:rsidP="009C0112">
            <w:pPr>
              <w:jc w:val="left"/>
              <w:rPr>
                <w:rFonts w:cstheme="minorHAnsi"/>
                <w:sz w:val="18"/>
                <w:szCs w:val="18"/>
              </w:rPr>
            </w:pPr>
            <w:r w:rsidRPr="0079127A">
              <w:rPr>
                <w:rFonts w:cstheme="minorHAnsi"/>
                <w:sz w:val="18"/>
                <w:szCs w:val="18"/>
              </w:rPr>
              <w:t xml:space="preserve">A </w:t>
            </w:r>
            <w:r w:rsidR="00E73B3B" w:rsidRPr="0079127A">
              <w:rPr>
                <w:rFonts w:cstheme="minorHAnsi"/>
                <w:sz w:val="18"/>
                <w:szCs w:val="18"/>
              </w:rPr>
              <w:t>1</w:t>
            </w:r>
            <w:r w:rsidR="00E73B3B">
              <w:rPr>
                <w:rFonts w:cstheme="minorHAnsi"/>
                <w:sz w:val="18"/>
                <w:szCs w:val="18"/>
              </w:rPr>
              <w:t>2</w:t>
            </w:r>
            <w:r w:rsidRPr="0079127A">
              <w:rPr>
                <w:rFonts w:cstheme="minorHAnsi"/>
                <w:sz w:val="18"/>
                <w:szCs w:val="18"/>
              </w:rPr>
              <w:t xml:space="preserve">.1. Izrada dokumentacije i sanacijski radovi za lokacije onečišćene opasnim otpadom (»crne točke«) </w:t>
            </w:r>
            <w:r w:rsidRPr="0079127A">
              <w:rPr>
                <w:rFonts w:cstheme="minorHAnsi"/>
                <w:sz w:val="18"/>
                <w:szCs w:val="18"/>
              </w:rPr>
              <w:lastRenderedPageBreak/>
              <w:t xml:space="preserve">definirane ovim Planom i novo identificirane lokacije »crnih točaka« kroz mjeru </w:t>
            </w:r>
            <w:r w:rsidRPr="009C0112">
              <w:rPr>
                <w:rFonts w:cstheme="minorHAnsi"/>
                <w:sz w:val="18"/>
                <w:szCs w:val="18"/>
              </w:rPr>
              <w:t xml:space="preserve">12. </w:t>
            </w:r>
          </w:p>
        </w:tc>
        <w:tc>
          <w:tcPr>
            <w:tcW w:w="850" w:type="dxa"/>
            <w:tcBorders>
              <w:top w:val="single" w:sz="6" w:space="0" w:color="auto"/>
              <w:left w:val="single" w:sz="6" w:space="0" w:color="auto"/>
              <w:bottom w:val="single" w:sz="6" w:space="0" w:color="auto"/>
              <w:right w:val="single" w:sz="6" w:space="0" w:color="auto"/>
            </w:tcBorders>
            <w:vAlign w:val="center"/>
            <w:hideMark/>
          </w:tcPr>
          <w:p w14:paraId="7AED3CE8" w14:textId="77777777" w:rsidR="0079127A" w:rsidRPr="0079127A" w:rsidRDefault="0079127A">
            <w:pPr>
              <w:rPr>
                <w:rFonts w:cstheme="minorHAnsi"/>
                <w:sz w:val="18"/>
                <w:szCs w:val="18"/>
              </w:rPr>
            </w:pPr>
            <w:r w:rsidRPr="0079127A">
              <w:rPr>
                <w:rFonts w:cstheme="minorHAnsi"/>
                <w:sz w:val="18"/>
                <w:szCs w:val="18"/>
              </w:rPr>
              <w:lastRenderedPageBreak/>
              <w:t>Ovisno o projektu</w:t>
            </w:r>
          </w:p>
        </w:tc>
        <w:tc>
          <w:tcPr>
            <w:tcW w:w="967" w:type="dxa"/>
            <w:tcBorders>
              <w:top w:val="single" w:sz="6" w:space="0" w:color="auto"/>
              <w:left w:val="single" w:sz="6" w:space="0" w:color="auto"/>
              <w:bottom w:val="single" w:sz="6" w:space="0" w:color="auto"/>
              <w:right w:val="single" w:sz="6" w:space="0" w:color="auto"/>
            </w:tcBorders>
            <w:vAlign w:val="center"/>
            <w:hideMark/>
          </w:tcPr>
          <w:p w14:paraId="7A469487" w14:textId="77777777" w:rsidR="0079127A" w:rsidRPr="0079127A" w:rsidRDefault="0079127A">
            <w:pPr>
              <w:jc w:val="center"/>
              <w:rPr>
                <w:rFonts w:cstheme="minorHAnsi"/>
                <w:sz w:val="18"/>
                <w:szCs w:val="18"/>
              </w:rPr>
            </w:pPr>
            <w:r w:rsidRPr="0079127A">
              <w:rPr>
                <w:rFonts w:cstheme="minorHAnsi"/>
                <w:sz w:val="18"/>
                <w:szCs w:val="18"/>
              </w:rPr>
              <w:t>Ovisno o projektu</w:t>
            </w:r>
          </w:p>
        </w:tc>
        <w:tc>
          <w:tcPr>
            <w:tcW w:w="1020" w:type="dxa"/>
            <w:tcBorders>
              <w:top w:val="single" w:sz="6" w:space="0" w:color="auto"/>
              <w:left w:val="single" w:sz="6" w:space="0" w:color="auto"/>
              <w:bottom w:val="single" w:sz="6" w:space="0" w:color="auto"/>
              <w:right w:val="single" w:sz="6" w:space="0" w:color="auto"/>
            </w:tcBorders>
            <w:vAlign w:val="center"/>
            <w:hideMark/>
          </w:tcPr>
          <w:p w14:paraId="00BCEFD0" w14:textId="77777777" w:rsidR="0079127A" w:rsidRPr="0079127A" w:rsidRDefault="0079127A">
            <w:pPr>
              <w:rPr>
                <w:rFonts w:cstheme="minorHAnsi"/>
                <w:sz w:val="18"/>
                <w:szCs w:val="18"/>
              </w:rPr>
            </w:pPr>
            <w:r w:rsidRPr="0079127A">
              <w:rPr>
                <w:rFonts w:cstheme="minorHAnsi"/>
                <w:sz w:val="18"/>
                <w:szCs w:val="18"/>
              </w:rPr>
              <w:t>Ovisno o projektu</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B48C046" w14:textId="77777777" w:rsidR="0079127A" w:rsidRPr="0079127A" w:rsidRDefault="0079127A">
            <w:pPr>
              <w:rPr>
                <w:rFonts w:cstheme="minorHAnsi"/>
                <w:sz w:val="18"/>
                <w:szCs w:val="18"/>
              </w:rPr>
            </w:pPr>
            <w:r w:rsidRPr="0079127A">
              <w:rPr>
                <w:rFonts w:cstheme="minorHAnsi"/>
                <w:sz w:val="18"/>
                <w:szCs w:val="18"/>
              </w:rPr>
              <w:t>Sanirana lokacija onečišćena opasnim otpadom (»crna točka«)</w:t>
            </w:r>
          </w:p>
        </w:tc>
        <w:tc>
          <w:tcPr>
            <w:tcW w:w="820" w:type="dxa"/>
            <w:tcBorders>
              <w:top w:val="single" w:sz="4" w:space="0" w:color="auto"/>
              <w:left w:val="single" w:sz="4" w:space="0" w:color="auto"/>
              <w:bottom w:val="single" w:sz="4" w:space="0" w:color="auto"/>
              <w:right w:val="single" w:sz="4" w:space="0" w:color="auto"/>
            </w:tcBorders>
            <w:vAlign w:val="center"/>
            <w:hideMark/>
          </w:tcPr>
          <w:p w14:paraId="610522BB" w14:textId="77777777" w:rsidR="0079127A" w:rsidRPr="0079127A" w:rsidRDefault="0079127A">
            <w:pPr>
              <w:rPr>
                <w:rFonts w:cstheme="minorHAnsi"/>
                <w:sz w:val="18"/>
                <w:szCs w:val="18"/>
              </w:rPr>
            </w:pPr>
            <w:r w:rsidRPr="0079127A">
              <w:rPr>
                <w:rFonts w:cstheme="minorHAnsi"/>
                <w:sz w:val="18"/>
                <w:szCs w:val="18"/>
              </w:rPr>
              <w:t>Broj</w:t>
            </w:r>
          </w:p>
        </w:tc>
        <w:tc>
          <w:tcPr>
            <w:tcW w:w="899" w:type="dxa"/>
            <w:tcBorders>
              <w:top w:val="single" w:sz="4" w:space="0" w:color="auto"/>
              <w:left w:val="single" w:sz="4" w:space="0" w:color="auto"/>
              <w:bottom w:val="single" w:sz="4" w:space="0" w:color="auto"/>
              <w:right w:val="single" w:sz="4" w:space="0" w:color="auto"/>
            </w:tcBorders>
            <w:vAlign w:val="center"/>
          </w:tcPr>
          <w:p w14:paraId="1D125B7E" w14:textId="79266E50" w:rsidR="0079127A" w:rsidRPr="0079127A" w:rsidRDefault="00B8433F">
            <w:pPr>
              <w:rPr>
                <w:rFonts w:cstheme="minorHAnsi"/>
                <w:sz w:val="18"/>
                <w:szCs w:val="18"/>
              </w:rPr>
            </w:pPr>
            <w:r>
              <w:rPr>
                <w:rFonts w:cstheme="minorHAnsi"/>
                <w:sz w:val="18"/>
                <w:szCs w:val="18"/>
              </w:rPr>
              <w:t>8</w:t>
            </w:r>
          </w:p>
        </w:tc>
        <w:tc>
          <w:tcPr>
            <w:tcW w:w="978" w:type="dxa"/>
            <w:tcBorders>
              <w:top w:val="single" w:sz="4" w:space="0" w:color="auto"/>
              <w:left w:val="single" w:sz="4" w:space="0" w:color="auto"/>
              <w:bottom w:val="single" w:sz="4" w:space="0" w:color="auto"/>
              <w:right w:val="single" w:sz="4" w:space="0" w:color="auto"/>
            </w:tcBorders>
            <w:vAlign w:val="center"/>
            <w:hideMark/>
          </w:tcPr>
          <w:p w14:paraId="644CB867" w14:textId="77777777" w:rsidR="0079127A" w:rsidRPr="0079127A" w:rsidRDefault="0079127A">
            <w:pPr>
              <w:jc w:val="center"/>
              <w:rPr>
                <w:rFonts w:cstheme="minorHAnsi"/>
                <w:sz w:val="18"/>
                <w:szCs w:val="18"/>
              </w:rPr>
            </w:pPr>
            <w:r w:rsidRPr="0079127A">
              <w:rPr>
                <w:rFonts w:cstheme="minorHAnsi"/>
                <w:sz w:val="18"/>
                <w:szCs w:val="18"/>
              </w:rPr>
              <w:t>2028.</w:t>
            </w:r>
          </w:p>
        </w:tc>
      </w:tr>
      <w:tr w:rsidR="0079127A" w:rsidRPr="0079127A" w14:paraId="03EEB78C" w14:textId="77777777" w:rsidTr="0079127A">
        <w:tc>
          <w:tcPr>
            <w:tcW w:w="9067" w:type="dxa"/>
            <w:gridSpan w:val="8"/>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570207B6" w14:textId="64EA3CAB" w:rsidR="0079127A" w:rsidRPr="0079127A" w:rsidRDefault="0079127A">
            <w:pPr>
              <w:rPr>
                <w:rFonts w:cstheme="minorHAnsi"/>
                <w:b/>
                <w:bCs/>
                <w:sz w:val="18"/>
                <w:szCs w:val="18"/>
              </w:rPr>
            </w:pPr>
            <w:r w:rsidRPr="0079127A">
              <w:rPr>
                <w:rFonts w:cstheme="minorHAnsi"/>
                <w:b/>
                <w:bCs/>
                <w:sz w:val="18"/>
                <w:szCs w:val="18"/>
              </w:rPr>
              <w:t xml:space="preserve">Mjera </w:t>
            </w:r>
            <w:r w:rsidR="00E73B3B" w:rsidRPr="0079127A">
              <w:rPr>
                <w:rFonts w:cstheme="minorHAnsi"/>
                <w:b/>
                <w:bCs/>
                <w:sz w:val="18"/>
                <w:szCs w:val="18"/>
              </w:rPr>
              <w:t>1</w:t>
            </w:r>
            <w:r w:rsidR="00E73B3B">
              <w:rPr>
                <w:rFonts w:cstheme="minorHAnsi"/>
                <w:b/>
                <w:bCs/>
                <w:sz w:val="18"/>
                <w:szCs w:val="18"/>
              </w:rPr>
              <w:t>3</w:t>
            </w:r>
            <w:r w:rsidRPr="0079127A">
              <w:rPr>
                <w:rFonts w:cstheme="minorHAnsi"/>
                <w:b/>
                <w:bCs/>
                <w:sz w:val="18"/>
                <w:szCs w:val="18"/>
              </w:rPr>
              <w:t>. Sanacija lokacija onečišćenih otpadom odbačenim u okoliš</w:t>
            </w:r>
          </w:p>
        </w:tc>
      </w:tr>
      <w:tr w:rsidR="0079127A" w:rsidRPr="0079127A" w14:paraId="6FC33653" w14:textId="77777777" w:rsidTr="0079127A">
        <w:tc>
          <w:tcPr>
            <w:tcW w:w="1836" w:type="dxa"/>
            <w:tcBorders>
              <w:top w:val="single" w:sz="4" w:space="0" w:color="auto"/>
              <w:left w:val="single" w:sz="4" w:space="0" w:color="auto"/>
              <w:bottom w:val="single" w:sz="4" w:space="0" w:color="auto"/>
              <w:right w:val="single" w:sz="4" w:space="0" w:color="auto"/>
            </w:tcBorders>
            <w:vAlign w:val="center"/>
            <w:hideMark/>
          </w:tcPr>
          <w:p w14:paraId="780434F2" w14:textId="1F61BCFE" w:rsidR="0079127A" w:rsidRPr="0079127A" w:rsidRDefault="0079127A" w:rsidP="009C0112">
            <w:pPr>
              <w:jc w:val="left"/>
              <w:rPr>
                <w:rFonts w:cstheme="minorHAnsi"/>
                <w:sz w:val="18"/>
                <w:szCs w:val="18"/>
              </w:rPr>
            </w:pPr>
            <w:r w:rsidRPr="0079127A">
              <w:rPr>
                <w:rFonts w:cstheme="minorHAnsi"/>
                <w:sz w:val="18"/>
                <w:szCs w:val="18"/>
              </w:rPr>
              <w:t xml:space="preserve">A </w:t>
            </w:r>
            <w:r w:rsidR="00E73B3B" w:rsidRPr="0079127A">
              <w:rPr>
                <w:rFonts w:cstheme="minorHAnsi"/>
                <w:sz w:val="18"/>
                <w:szCs w:val="18"/>
              </w:rPr>
              <w:t>1</w:t>
            </w:r>
            <w:r w:rsidR="00E73B3B">
              <w:rPr>
                <w:rFonts w:cstheme="minorHAnsi"/>
                <w:sz w:val="18"/>
                <w:szCs w:val="18"/>
              </w:rPr>
              <w:t>3</w:t>
            </w:r>
            <w:r w:rsidRPr="0079127A">
              <w:rPr>
                <w:rFonts w:cstheme="minorHAnsi"/>
                <w:sz w:val="18"/>
                <w:szCs w:val="18"/>
              </w:rPr>
              <w:t xml:space="preserve">.1. </w:t>
            </w:r>
            <w:r w:rsidR="00B73C9A" w:rsidRPr="00B73C9A">
              <w:rPr>
                <w:rFonts w:cstheme="minorHAnsi"/>
                <w:sz w:val="18"/>
                <w:szCs w:val="18"/>
              </w:rPr>
              <w:t>Uklanjanje otpada s lokacija onečišćenih otpadom odbačenim u okoliš i mjere sprječavanja ponovnog odbacivanja te nabava i postavljanje opreme na saniranim lokacijama odbačenog otpada</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7025DE" w14:textId="77777777" w:rsidR="0079127A" w:rsidRPr="0079127A" w:rsidRDefault="0079127A">
            <w:pPr>
              <w:rPr>
                <w:rFonts w:cstheme="minorHAnsi"/>
                <w:sz w:val="18"/>
                <w:szCs w:val="18"/>
              </w:rPr>
            </w:pPr>
            <w:r w:rsidRPr="0079127A">
              <w:rPr>
                <w:rFonts w:cstheme="minorHAnsi"/>
                <w:sz w:val="18"/>
                <w:szCs w:val="18"/>
              </w:rPr>
              <w:t>JLS</w:t>
            </w:r>
          </w:p>
        </w:tc>
        <w:tc>
          <w:tcPr>
            <w:tcW w:w="967" w:type="dxa"/>
            <w:tcBorders>
              <w:top w:val="single" w:sz="4" w:space="0" w:color="auto"/>
              <w:left w:val="single" w:sz="4" w:space="0" w:color="auto"/>
              <w:bottom w:val="single" w:sz="4" w:space="0" w:color="auto"/>
              <w:right w:val="single" w:sz="4" w:space="0" w:color="auto"/>
            </w:tcBorders>
            <w:vAlign w:val="center"/>
            <w:hideMark/>
          </w:tcPr>
          <w:p w14:paraId="6D699C86" w14:textId="77777777" w:rsidR="0079127A" w:rsidRPr="0079127A" w:rsidRDefault="0079127A">
            <w:pPr>
              <w:rPr>
                <w:rFonts w:cstheme="minorHAnsi"/>
                <w:sz w:val="18"/>
                <w:szCs w:val="18"/>
              </w:rPr>
            </w:pPr>
            <w:r w:rsidRPr="0079127A">
              <w:rPr>
                <w:rFonts w:cstheme="minorHAnsi"/>
                <w:sz w:val="18"/>
                <w:szCs w:val="18"/>
              </w:rPr>
              <w:t>-</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7A6A995" w14:textId="39DBE0DC" w:rsidR="0079127A" w:rsidRPr="0079127A" w:rsidRDefault="0079127A">
            <w:pPr>
              <w:rPr>
                <w:rFonts w:cstheme="minorHAnsi"/>
                <w:sz w:val="18"/>
                <w:szCs w:val="18"/>
              </w:rPr>
            </w:pPr>
            <w:r w:rsidRPr="0079127A">
              <w:rPr>
                <w:rFonts w:cstheme="minorHAnsi"/>
                <w:sz w:val="18"/>
                <w:szCs w:val="18"/>
              </w:rPr>
              <w:t>JLS/FZOEU</w:t>
            </w:r>
            <w:r w:rsidR="00B8433F">
              <w:rPr>
                <w:rFonts w:cstheme="minorHAnsi"/>
                <w:sz w:val="18"/>
                <w:szCs w:val="18"/>
              </w:rPr>
              <w:t>/EU</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FC477FF" w14:textId="77777777" w:rsidR="0079127A" w:rsidRPr="0079127A" w:rsidRDefault="0079127A">
            <w:pPr>
              <w:rPr>
                <w:rFonts w:cstheme="minorHAnsi"/>
                <w:sz w:val="18"/>
                <w:szCs w:val="18"/>
              </w:rPr>
            </w:pPr>
            <w:r w:rsidRPr="0079127A">
              <w:rPr>
                <w:rFonts w:cstheme="minorHAnsi"/>
                <w:sz w:val="18"/>
                <w:szCs w:val="18"/>
              </w:rPr>
              <w:t>Sanirane lokacije onečišćene otpadom odbačenim u okoliš</w:t>
            </w:r>
          </w:p>
        </w:tc>
        <w:tc>
          <w:tcPr>
            <w:tcW w:w="820" w:type="dxa"/>
            <w:tcBorders>
              <w:top w:val="single" w:sz="4" w:space="0" w:color="auto"/>
              <w:left w:val="single" w:sz="4" w:space="0" w:color="auto"/>
              <w:bottom w:val="single" w:sz="4" w:space="0" w:color="auto"/>
              <w:right w:val="single" w:sz="4" w:space="0" w:color="auto"/>
            </w:tcBorders>
            <w:vAlign w:val="center"/>
            <w:hideMark/>
          </w:tcPr>
          <w:p w14:paraId="4F3C3453" w14:textId="77777777" w:rsidR="0079127A" w:rsidRPr="0079127A" w:rsidRDefault="0079127A">
            <w:pPr>
              <w:rPr>
                <w:rFonts w:cstheme="minorHAnsi"/>
                <w:sz w:val="18"/>
                <w:szCs w:val="18"/>
              </w:rPr>
            </w:pPr>
            <w:r w:rsidRPr="0079127A">
              <w:rPr>
                <w:rFonts w:cstheme="minorHAnsi"/>
                <w:sz w:val="18"/>
                <w:szCs w:val="18"/>
              </w:rPr>
              <w:t>Broj/godišnje</w:t>
            </w:r>
          </w:p>
        </w:tc>
        <w:tc>
          <w:tcPr>
            <w:tcW w:w="899" w:type="dxa"/>
            <w:tcBorders>
              <w:top w:val="single" w:sz="4" w:space="0" w:color="auto"/>
              <w:left w:val="single" w:sz="4" w:space="0" w:color="auto"/>
              <w:bottom w:val="single" w:sz="4" w:space="0" w:color="auto"/>
              <w:right w:val="single" w:sz="4" w:space="0" w:color="auto"/>
            </w:tcBorders>
            <w:vAlign w:val="center"/>
            <w:hideMark/>
          </w:tcPr>
          <w:p w14:paraId="53B020F4" w14:textId="77777777" w:rsidR="0079127A" w:rsidRPr="0079127A" w:rsidRDefault="0079127A">
            <w:pPr>
              <w:rPr>
                <w:rFonts w:cstheme="minorHAnsi"/>
                <w:sz w:val="18"/>
                <w:szCs w:val="18"/>
              </w:rPr>
            </w:pPr>
            <w:r w:rsidRPr="0079127A">
              <w:rPr>
                <w:rFonts w:cstheme="minorHAnsi"/>
                <w:sz w:val="18"/>
                <w:szCs w:val="18"/>
              </w:rPr>
              <w:t>200</w:t>
            </w:r>
          </w:p>
        </w:tc>
        <w:tc>
          <w:tcPr>
            <w:tcW w:w="978" w:type="dxa"/>
            <w:tcBorders>
              <w:top w:val="single" w:sz="4" w:space="0" w:color="auto"/>
              <w:left w:val="single" w:sz="4" w:space="0" w:color="auto"/>
              <w:bottom w:val="single" w:sz="4" w:space="0" w:color="auto"/>
              <w:right w:val="single" w:sz="4" w:space="0" w:color="auto"/>
            </w:tcBorders>
            <w:vAlign w:val="center"/>
            <w:hideMark/>
          </w:tcPr>
          <w:p w14:paraId="26ED1173" w14:textId="77777777" w:rsidR="0079127A" w:rsidRPr="0079127A" w:rsidRDefault="0079127A">
            <w:pPr>
              <w:jc w:val="center"/>
              <w:rPr>
                <w:rFonts w:cstheme="minorHAnsi"/>
                <w:sz w:val="18"/>
                <w:szCs w:val="18"/>
              </w:rPr>
            </w:pPr>
            <w:r w:rsidRPr="0079127A">
              <w:rPr>
                <w:rFonts w:cstheme="minorHAnsi"/>
                <w:sz w:val="18"/>
                <w:szCs w:val="18"/>
              </w:rPr>
              <w:t>2028.</w:t>
            </w:r>
          </w:p>
        </w:tc>
      </w:tr>
      <w:tr w:rsidR="00BF051A" w:rsidRPr="0079127A" w14:paraId="5F2D5B13" w14:textId="77777777" w:rsidTr="0079127A">
        <w:tc>
          <w:tcPr>
            <w:tcW w:w="1836" w:type="dxa"/>
            <w:tcBorders>
              <w:top w:val="single" w:sz="4" w:space="0" w:color="auto"/>
              <w:left w:val="single" w:sz="4" w:space="0" w:color="auto"/>
              <w:bottom w:val="single" w:sz="4" w:space="0" w:color="auto"/>
              <w:right w:val="single" w:sz="4" w:space="0" w:color="auto"/>
            </w:tcBorders>
            <w:vAlign w:val="center"/>
          </w:tcPr>
          <w:p w14:paraId="0B9F4D36" w14:textId="015974B0" w:rsidR="00BF051A" w:rsidRPr="0079127A" w:rsidRDefault="00BF051A" w:rsidP="009C0112">
            <w:pPr>
              <w:jc w:val="left"/>
              <w:rPr>
                <w:rFonts w:cstheme="minorHAnsi"/>
                <w:sz w:val="18"/>
                <w:szCs w:val="18"/>
              </w:rPr>
            </w:pPr>
            <w:r w:rsidRPr="00BF051A">
              <w:rPr>
                <w:rFonts w:cstheme="minorHAnsi"/>
                <w:sz w:val="18"/>
                <w:szCs w:val="18"/>
              </w:rPr>
              <w:t>A 13.2. Nabava tehnološke opreme (nadzorne kamere) radi efikasnijeg sprečavanja ilegalnog odbacivanja otpada</w:t>
            </w:r>
          </w:p>
        </w:tc>
        <w:tc>
          <w:tcPr>
            <w:tcW w:w="850" w:type="dxa"/>
            <w:tcBorders>
              <w:top w:val="single" w:sz="4" w:space="0" w:color="auto"/>
              <w:left w:val="single" w:sz="4" w:space="0" w:color="auto"/>
              <w:bottom w:val="single" w:sz="4" w:space="0" w:color="auto"/>
              <w:right w:val="single" w:sz="4" w:space="0" w:color="auto"/>
            </w:tcBorders>
            <w:vAlign w:val="center"/>
          </w:tcPr>
          <w:p w14:paraId="7961BC4C" w14:textId="605B727E" w:rsidR="00BF051A" w:rsidRPr="0079127A" w:rsidRDefault="00BF051A">
            <w:pPr>
              <w:rPr>
                <w:rFonts w:cstheme="minorHAnsi"/>
                <w:sz w:val="18"/>
                <w:szCs w:val="18"/>
              </w:rPr>
            </w:pPr>
            <w:r>
              <w:rPr>
                <w:rFonts w:cstheme="minorHAnsi"/>
                <w:sz w:val="18"/>
                <w:szCs w:val="18"/>
              </w:rPr>
              <w:t>MINGOR</w:t>
            </w:r>
          </w:p>
        </w:tc>
        <w:tc>
          <w:tcPr>
            <w:tcW w:w="967" w:type="dxa"/>
            <w:tcBorders>
              <w:top w:val="single" w:sz="4" w:space="0" w:color="auto"/>
              <w:left w:val="single" w:sz="4" w:space="0" w:color="auto"/>
              <w:bottom w:val="single" w:sz="4" w:space="0" w:color="auto"/>
              <w:right w:val="single" w:sz="4" w:space="0" w:color="auto"/>
            </w:tcBorders>
            <w:vAlign w:val="center"/>
          </w:tcPr>
          <w:p w14:paraId="3581ABD7" w14:textId="3B91C824" w:rsidR="00BF051A" w:rsidRPr="0079127A" w:rsidRDefault="00BF051A">
            <w:pPr>
              <w:rPr>
                <w:rFonts w:cstheme="minorHAnsi"/>
                <w:sz w:val="18"/>
                <w:szCs w:val="18"/>
              </w:rPr>
            </w:pPr>
            <w:r>
              <w:rPr>
                <w:rFonts w:cstheme="minorHAnsi"/>
                <w:sz w:val="18"/>
                <w:szCs w:val="18"/>
              </w:rPr>
              <w:t>DIRH/JLS/JRS</w:t>
            </w:r>
          </w:p>
        </w:tc>
        <w:tc>
          <w:tcPr>
            <w:tcW w:w="1020" w:type="dxa"/>
            <w:tcBorders>
              <w:top w:val="single" w:sz="4" w:space="0" w:color="auto"/>
              <w:left w:val="single" w:sz="4" w:space="0" w:color="auto"/>
              <w:bottom w:val="single" w:sz="4" w:space="0" w:color="auto"/>
              <w:right w:val="single" w:sz="4" w:space="0" w:color="auto"/>
            </w:tcBorders>
            <w:vAlign w:val="center"/>
          </w:tcPr>
          <w:p w14:paraId="4AAA373D" w14:textId="4DF6680C" w:rsidR="00BF051A" w:rsidRPr="0079127A" w:rsidRDefault="00BF051A">
            <w:pPr>
              <w:rPr>
                <w:rFonts w:cstheme="minorHAnsi"/>
                <w:sz w:val="18"/>
                <w:szCs w:val="18"/>
              </w:rPr>
            </w:pPr>
            <w:r>
              <w:rPr>
                <w:rFonts w:cstheme="minorHAnsi"/>
                <w:sz w:val="18"/>
                <w:szCs w:val="18"/>
              </w:rPr>
              <w:t>MINGOR</w:t>
            </w:r>
          </w:p>
        </w:tc>
        <w:tc>
          <w:tcPr>
            <w:tcW w:w="1697" w:type="dxa"/>
            <w:tcBorders>
              <w:top w:val="single" w:sz="4" w:space="0" w:color="auto"/>
              <w:left w:val="single" w:sz="4" w:space="0" w:color="auto"/>
              <w:bottom w:val="single" w:sz="4" w:space="0" w:color="auto"/>
              <w:right w:val="single" w:sz="4" w:space="0" w:color="auto"/>
            </w:tcBorders>
            <w:vAlign w:val="center"/>
          </w:tcPr>
          <w:p w14:paraId="7F15FAB8" w14:textId="0C5BE2BF" w:rsidR="00BF051A" w:rsidRPr="0079127A" w:rsidRDefault="00BF051A" w:rsidP="00BF051A">
            <w:pPr>
              <w:jc w:val="left"/>
              <w:rPr>
                <w:rFonts w:cstheme="minorHAnsi"/>
                <w:sz w:val="18"/>
                <w:szCs w:val="18"/>
              </w:rPr>
            </w:pPr>
            <w:r w:rsidRPr="00BF051A">
              <w:rPr>
                <w:rFonts w:cstheme="minorHAnsi"/>
                <w:sz w:val="18"/>
                <w:szCs w:val="18"/>
              </w:rPr>
              <w:t>Nabavljena tehnološka opreme (nadzorne kamere) radi efikasnijeg sprečavanja ilegalnog odbacivanja otpada</w:t>
            </w:r>
          </w:p>
        </w:tc>
        <w:tc>
          <w:tcPr>
            <w:tcW w:w="820" w:type="dxa"/>
            <w:tcBorders>
              <w:top w:val="single" w:sz="4" w:space="0" w:color="auto"/>
              <w:left w:val="single" w:sz="4" w:space="0" w:color="auto"/>
              <w:bottom w:val="single" w:sz="4" w:space="0" w:color="auto"/>
              <w:right w:val="single" w:sz="4" w:space="0" w:color="auto"/>
            </w:tcBorders>
            <w:vAlign w:val="center"/>
          </w:tcPr>
          <w:p w14:paraId="094063B3" w14:textId="00A2AD2B" w:rsidR="00BF051A" w:rsidRPr="0079127A" w:rsidRDefault="00BF051A">
            <w:pPr>
              <w:rPr>
                <w:rFonts w:cstheme="minorHAnsi"/>
                <w:sz w:val="18"/>
                <w:szCs w:val="18"/>
              </w:rPr>
            </w:pPr>
            <w:r>
              <w:rPr>
                <w:rFonts w:cstheme="minorHAnsi"/>
                <w:sz w:val="18"/>
                <w:szCs w:val="18"/>
              </w:rPr>
              <w:t xml:space="preserve">Broj </w:t>
            </w:r>
          </w:p>
        </w:tc>
        <w:tc>
          <w:tcPr>
            <w:tcW w:w="899" w:type="dxa"/>
            <w:tcBorders>
              <w:top w:val="single" w:sz="4" w:space="0" w:color="auto"/>
              <w:left w:val="single" w:sz="4" w:space="0" w:color="auto"/>
              <w:bottom w:val="single" w:sz="4" w:space="0" w:color="auto"/>
              <w:right w:val="single" w:sz="4" w:space="0" w:color="auto"/>
            </w:tcBorders>
            <w:vAlign w:val="center"/>
          </w:tcPr>
          <w:p w14:paraId="063D9170" w14:textId="7BD9EAD6" w:rsidR="00BF051A" w:rsidRPr="0079127A" w:rsidRDefault="00BF051A">
            <w:pPr>
              <w:rPr>
                <w:rFonts w:cstheme="minorHAnsi"/>
                <w:sz w:val="18"/>
                <w:szCs w:val="18"/>
              </w:rPr>
            </w:pPr>
            <w:r>
              <w:rPr>
                <w:rFonts w:cstheme="minorHAnsi"/>
                <w:sz w:val="18"/>
                <w:szCs w:val="18"/>
              </w:rPr>
              <w:t>5</w:t>
            </w:r>
          </w:p>
        </w:tc>
        <w:tc>
          <w:tcPr>
            <w:tcW w:w="978" w:type="dxa"/>
            <w:tcBorders>
              <w:top w:val="single" w:sz="4" w:space="0" w:color="auto"/>
              <w:left w:val="single" w:sz="4" w:space="0" w:color="auto"/>
              <w:bottom w:val="single" w:sz="4" w:space="0" w:color="auto"/>
              <w:right w:val="single" w:sz="4" w:space="0" w:color="auto"/>
            </w:tcBorders>
            <w:vAlign w:val="center"/>
          </w:tcPr>
          <w:p w14:paraId="03012D23" w14:textId="69965C83" w:rsidR="00BF051A" w:rsidRPr="0079127A" w:rsidRDefault="00BF051A">
            <w:pPr>
              <w:jc w:val="center"/>
              <w:rPr>
                <w:rFonts w:cstheme="minorHAnsi"/>
                <w:sz w:val="18"/>
                <w:szCs w:val="18"/>
              </w:rPr>
            </w:pPr>
            <w:r>
              <w:rPr>
                <w:rFonts w:cstheme="minorHAnsi"/>
                <w:sz w:val="18"/>
                <w:szCs w:val="18"/>
              </w:rPr>
              <w:t>2027.</w:t>
            </w:r>
          </w:p>
        </w:tc>
      </w:tr>
      <w:tr w:rsidR="0079127A" w:rsidRPr="0079127A" w14:paraId="438B818B" w14:textId="77777777" w:rsidTr="0079127A">
        <w:tc>
          <w:tcPr>
            <w:tcW w:w="1836" w:type="dxa"/>
            <w:tcBorders>
              <w:top w:val="single" w:sz="4" w:space="0" w:color="auto"/>
              <w:left w:val="single" w:sz="4" w:space="0" w:color="auto"/>
              <w:bottom w:val="single" w:sz="4" w:space="0" w:color="auto"/>
              <w:right w:val="single" w:sz="4" w:space="0" w:color="auto"/>
            </w:tcBorders>
            <w:vAlign w:val="center"/>
            <w:hideMark/>
          </w:tcPr>
          <w:p w14:paraId="7C273202" w14:textId="3C6DA6E3" w:rsidR="0079127A" w:rsidRPr="0079127A" w:rsidRDefault="0079127A" w:rsidP="009C0112">
            <w:pPr>
              <w:jc w:val="left"/>
              <w:rPr>
                <w:rFonts w:cstheme="minorHAnsi"/>
                <w:sz w:val="18"/>
                <w:szCs w:val="18"/>
              </w:rPr>
            </w:pPr>
            <w:r w:rsidRPr="0079127A">
              <w:rPr>
                <w:rFonts w:cstheme="minorHAnsi"/>
                <w:sz w:val="18"/>
                <w:szCs w:val="18"/>
              </w:rPr>
              <w:t xml:space="preserve">A </w:t>
            </w:r>
            <w:r w:rsidR="00E73B3B" w:rsidRPr="0079127A">
              <w:rPr>
                <w:rFonts w:cstheme="minorHAnsi"/>
                <w:sz w:val="18"/>
                <w:szCs w:val="18"/>
              </w:rPr>
              <w:t>1</w:t>
            </w:r>
            <w:r w:rsidR="00E73B3B">
              <w:rPr>
                <w:rFonts w:cstheme="minorHAnsi"/>
                <w:sz w:val="18"/>
                <w:szCs w:val="18"/>
              </w:rPr>
              <w:t>3</w:t>
            </w:r>
            <w:r w:rsidRPr="0079127A">
              <w:rPr>
                <w:rFonts w:cstheme="minorHAnsi"/>
                <w:sz w:val="18"/>
                <w:szCs w:val="18"/>
              </w:rPr>
              <w:t>.3. Promocija aplikacije ELOO</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B66F84" w14:textId="77777777" w:rsidR="0079127A" w:rsidRPr="0079127A" w:rsidRDefault="0079127A">
            <w:pPr>
              <w:rPr>
                <w:rFonts w:cstheme="minorHAnsi"/>
                <w:sz w:val="18"/>
                <w:szCs w:val="18"/>
              </w:rPr>
            </w:pPr>
            <w:r w:rsidRPr="0079127A">
              <w:rPr>
                <w:rFonts w:cstheme="minorHAnsi"/>
                <w:sz w:val="18"/>
                <w:szCs w:val="18"/>
              </w:rPr>
              <w:t>MINGOR</w:t>
            </w:r>
          </w:p>
        </w:tc>
        <w:tc>
          <w:tcPr>
            <w:tcW w:w="967" w:type="dxa"/>
            <w:tcBorders>
              <w:top w:val="single" w:sz="4" w:space="0" w:color="auto"/>
              <w:left w:val="single" w:sz="4" w:space="0" w:color="auto"/>
              <w:bottom w:val="single" w:sz="4" w:space="0" w:color="auto"/>
              <w:right w:val="single" w:sz="4" w:space="0" w:color="auto"/>
            </w:tcBorders>
            <w:vAlign w:val="center"/>
            <w:hideMark/>
          </w:tcPr>
          <w:p w14:paraId="1FE0C6F0" w14:textId="77777777" w:rsidR="0079127A" w:rsidRPr="0079127A" w:rsidRDefault="0079127A">
            <w:pPr>
              <w:rPr>
                <w:rFonts w:cstheme="minorHAnsi"/>
                <w:sz w:val="18"/>
                <w:szCs w:val="18"/>
              </w:rPr>
            </w:pPr>
            <w:r w:rsidRPr="0079127A">
              <w:rPr>
                <w:rFonts w:cstheme="minorHAnsi"/>
                <w:sz w:val="18"/>
                <w:szCs w:val="18"/>
              </w:rPr>
              <w:t>-</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D3CB092" w14:textId="74BD25C3" w:rsidR="0079127A" w:rsidRPr="0079127A" w:rsidRDefault="00B8433F">
            <w:pPr>
              <w:rPr>
                <w:rFonts w:cstheme="minorHAnsi"/>
                <w:sz w:val="18"/>
                <w:szCs w:val="18"/>
              </w:rPr>
            </w:pPr>
            <w:r>
              <w:rPr>
                <w:rFonts w:cstheme="minorHAnsi"/>
                <w:sz w:val="18"/>
                <w:szCs w:val="18"/>
              </w:rPr>
              <w:t>MINGOR</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C4E7A2C" w14:textId="77777777" w:rsidR="0079127A" w:rsidRPr="0079127A" w:rsidRDefault="0079127A">
            <w:pPr>
              <w:rPr>
                <w:rFonts w:cstheme="minorHAnsi"/>
                <w:sz w:val="18"/>
                <w:szCs w:val="18"/>
              </w:rPr>
            </w:pPr>
            <w:r w:rsidRPr="0079127A">
              <w:rPr>
                <w:rFonts w:cstheme="minorHAnsi"/>
                <w:sz w:val="18"/>
                <w:szCs w:val="18"/>
              </w:rPr>
              <w:t>Provedene promotivne kampanje na temu aplikacije ELOO</w:t>
            </w:r>
          </w:p>
        </w:tc>
        <w:tc>
          <w:tcPr>
            <w:tcW w:w="820" w:type="dxa"/>
            <w:tcBorders>
              <w:top w:val="single" w:sz="4" w:space="0" w:color="auto"/>
              <w:left w:val="single" w:sz="4" w:space="0" w:color="auto"/>
              <w:bottom w:val="single" w:sz="4" w:space="0" w:color="auto"/>
              <w:right w:val="single" w:sz="4" w:space="0" w:color="auto"/>
            </w:tcBorders>
            <w:vAlign w:val="center"/>
            <w:hideMark/>
          </w:tcPr>
          <w:p w14:paraId="19B1DF79" w14:textId="77777777" w:rsidR="0079127A" w:rsidRPr="0079127A" w:rsidRDefault="0079127A">
            <w:pPr>
              <w:rPr>
                <w:rFonts w:cstheme="minorHAnsi"/>
                <w:sz w:val="18"/>
                <w:szCs w:val="18"/>
              </w:rPr>
            </w:pPr>
            <w:r w:rsidRPr="0079127A">
              <w:rPr>
                <w:rFonts w:cstheme="minorHAnsi"/>
                <w:sz w:val="18"/>
                <w:szCs w:val="18"/>
              </w:rPr>
              <w:t>Broj</w:t>
            </w:r>
          </w:p>
        </w:tc>
        <w:tc>
          <w:tcPr>
            <w:tcW w:w="899" w:type="dxa"/>
            <w:tcBorders>
              <w:top w:val="single" w:sz="4" w:space="0" w:color="auto"/>
              <w:left w:val="single" w:sz="4" w:space="0" w:color="auto"/>
              <w:bottom w:val="single" w:sz="4" w:space="0" w:color="auto"/>
              <w:right w:val="single" w:sz="4" w:space="0" w:color="auto"/>
            </w:tcBorders>
            <w:vAlign w:val="center"/>
            <w:hideMark/>
          </w:tcPr>
          <w:p w14:paraId="57D6F79A" w14:textId="77777777" w:rsidR="0079127A" w:rsidRPr="0079127A" w:rsidRDefault="0079127A">
            <w:pPr>
              <w:rPr>
                <w:rFonts w:cstheme="minorHAnsi"/>
                <w:sz w:val="18"/>
                <w:szCs w:val="18"/>
              </w:rPr>
            </w:pPr>
            <w:r w:rsidRPr="0079127A">
              <w:rPr>
                <w:rFonts w:cstheme="minorHAnsi"/>
                <w:sz w:val="18"/>
                <w:szCs w:val="18"/>
              </w:rPr>
              <w:t>4</w:t>
            </w:r>
          </w:p>
        </w:tc>
        <w:tc>
          <w:tcPr>
            <w:tcW w:w="978" w:type="dxa"/>
            <w:tcBorders>
              <w:top w:val="single" w:sz="4" w:space="0" w:color="auto"/>
              <w:left w:val="single" w:sz="4" w:space="0" w:color="auto"/>
              <w:bottom w:val="single" w:sz="4" w:space="0" w:color="auto"/>
              <w:right w:val="single" w:sz="4" w:space="0" w:color="auto"/>
            </w:tcBorders>
            <w:vAlign w:val="center"/>
            <w:hideMark/>
          </w:tcPr>
          <w:p w14:paraId="6CE5B632" w14:textId="175EA134" w:rsidR="0079127A" w:rsidRPr="0079127A" w:rsidRDefault="0079127A">
            <w:pPr>
              <w:jc w:val="center"/>
              <w:rPr>
                <w:rFonts w:cstheme="minorHAnsi"/>
                <w:sz w:val="18"/>
                <w:szCs w:val="18"/>
              </w:rPr>
            </w:pPr>
            <w:r w:rsidRPr="0079127A">
              <w:rPr>
                <w:rFonts w:cstheme="minorHAnsi"/>
                <w:sz w:val="18"/>
                <w:szCs w:val="18"/>
              </w:rPr>
              <w:t>202</w:t>
            </w:r>
            <w:r w:rsidR="00B8433F">
              <w:rPr>
                <w:rFonts w:cstheme="minorHAnsi"/>
                <w:sz w:val="18"/>
                <w:szCs w:val="18"/>
              </w:rPr>
              <w:t>6.</w:t>
            </w:r>
          </w:p>
        </w:tc>
      </w:tr>
    </w:tbl>
    <w:p w14:paraId="5662F226" w14:textId="77777777" w:rsidR="0079127A" w:rsidRDefault="0079127A" w:rsidP="001649D4">
      <w:pPr>
        <w:rPr>
          <w:rFonts w:cstheme="minorHAnsi"/>
        </w:rPr>
      </w:pPr>
    </w:p>
    <w:p w14:paraId="56524973" w14:textId="16C0F891" w:rsidR="001649D4" w:rsidRPr="0056410F" w:rsidRDefault="001649D4" w:rsidP="0018450E">
      <w:pPr>
        <w:pStyle w:val="IRNaslov2"/>
        <w:numPr>
          <w:ilvl w:val="1"/>
          <w:numId w:val="22"/>
        </w:numPr>
        <w:ind w:left="709" w:hanging="709"/>
      </w:pPr>
      <w:bookmarkStart w:id="341" w:name="_Toc123211698"/>
      <w:r w:rsidRPr="0056410F">
        <w:t>Mjere za unaprjeđenje informacijskog sustava gospodarenja otpadom</w:t>
      </w:r>
      <w:bookmarkEnd w:id="341"/>
    </w:p>
    <w:p w14:paraId="2DD893A6" w14:textId="77777777" w:rsidR="001649D4" w:rsidRDefault="001649D4" w:rsidP="001649D4">
      <w:pPr>
        <w:rPr>
          <w:rFonts w:cstheme="minorHAnsi"/>
          <w:highlight w:val="yellow"/>
        </w:rPr>
      </w:pPr>
      <w:r>
        <w:rPr>
          <w:rFonts w:cstheme="minorHAnsi"/>
        </w:rPr>
        <w:t xml:space="preserve">Skupina mjera i aktivnosti definirane u ovom </w:t>
      </w:r>
      <w:proofErr w:type="spellStart"/>
      <w:r>
        <w:rPr>
          <w:rFonts w:cstheme="minorHAnsi"/>
        </w:rPr>
        <w:t>podpoglavlju</w:t>
      </w:r>
      <w:proofErr w:type="spellEnd"/>
      <w:r>
        <w:rPr>
          <w:rFonts w:cstheme="minorHAnsi"/>
        </w:rPr>
        <w:t xml:space="preserve"> usmjerene su na ostvarenje </w:t>
      </w:r>
      <w:r>
        <w:rPr>
          <w:rFonts w:cstheme="minorHAnsi"/>
          <w:b/>
          <w:bCs/>
        </w:rPr>
        <w:t>Cilja 12. -</w:t>
      </w:r>
      <w:r>
        <w:rPr>
          <w:rFonts w:cstheme="minorHAnsi"/>
        </w:rPr>
        <w:t xml:space="preserve"> </w:t>
      </w:r>
      <w:r>
        <w:rPr>
          <w:rFonts w:cstheme="minorHAnsi"/>
          <w:i/>
          <w:iCs/>
        </w:rPr>
        <w:t>Unaprijediti informacijski sustav gospodarenja otpadom</w:t>
      </w:r>
      <w:r>
        <w:rPr>
          <w:rFonts w:cstheme="minorHAnsi"/>
        </w:rPr>
        <w:t>. Unaprjeđenjem informacijskog sustava osigurat će učinkovitije praćenja podataka o otpadu, cjelovitiji i pouzdaniji podaci, kvalitetnija priprema izvješća o gospodarenju otpadom i ispunjenje izvještajnih obveza prema EK te kvalitetnije i preciznije planiranje sustava za gospodarenje otpadom.</w:t>
      </w:r>
    </w:p>
    <w:tbl>
      <w:tblPr>
        <w:tblStyle w:val="Reetkatablice"/>
        <w:tblW w:w="9067" w:type="dxa"/>
        <w:tblLook w:val="04A0" w:firstRow="1" w:lastRow="0" w:firstColumn="1" w:lastColumn="0" w:noHBand="0" w:noVBand="1"/>
      </w:tblPr>
      <w:tblGrid>
        <w:gridCol w:w="4508"/>
        <w:gridCol w:w="4559"/>
      </w:tblGrid>
      <w:tr w:rsidR="001649D4" w14:paraId="215A2119" w14:textId="77777777" w:rsidTr="0056410F">
        <w:trPr>
          <w:tblHeader/>
        </w:trPr>
        <w:tc>
          <w:tcPr>
            <w:tcW w:w="9067"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68A51D18" w14:textId="77777777" w:rsidR="001649D4" w:rsidRDefault="001649D4">
            <w:pPr>
              <w:rPr>
                <w:rFonts w:cstheme="minorHAnsi"/>
                <w:b/>
                <w:bCs/>
                <w:sz w:val="18"/>
                <w:szCs w:val="18"/>
              </w:rPr>
            </w:pPr>
            <w:bookmarkStart w:id="342" w:name="_Hlk112947123"/>
            <w:r>
              <w:rPr>
                <w:rFonts w:cstheme="minorHAnsi"/>
                <w:b/>
                <w:bCs/>
                <w:sz w:val="18"/>
                <w:szCs w:val="18"/>
              </w:rPr>
              <w:t xml:space="preserve">Mjere za ostvarenje Cilja 12. - </w:t>
            </w:r>
            <w:bookmarkStart w:id="343" w:name="_Hlk112950976"/>
            <w:r>
              <w:rPr>
                <w:rFonts w:cstheme="minorHAnsi"/>
                <w:b/>
                <w:bCs/>
                <w:sz w:val="18"/>
                <w:szCs w:val="18"/>
              </w:rPr>
              <w:t>Unaprijediti informacijski sustav gospodarenja otpadom</w:t>
            </w:r>
            <w:bookmarkEnd w:id="343"/>
          </w:p>
        </w:tc>
      </w:tr>
      <w:tr w:rsidR="001649D4" w14:paraId="48ACD2FB" w14:textId="77777777" w:rsidTr="0056410F">
        <w:trPr>
          <w:tblHeader/>
        </w:trPr>
        <w:tc>
          <w:tcPr>
            <w:tcW w:w="4508" w:type="dxa"/>
            <w:tcBorders>
              <w:top w:val="single" w:sz="4" w:space="0" w:color="auto"/>
              <w:left w:val="single" w:sz="4" w:space="0" w:color="auto"/>
              <w:bottom w:val="single" w:sz="4" w:space="0" w:color="auto"/>
              <w:right w:val="single" w:sz="4" w:space="0" w:color="auto"/>
            </w:tcBorders>
            <w:shd w:val="clear" w:color="auto" w:fill="002060"/>
            <w:hideMark/>
          </w:tcPr>
          <w:p w14:paraId="19B48DD5" w14:textId="77777777" w:rsidR="001649D4" w:rsidRDefault="001649D4">
            <w:pPr>
              <w:jc w:val="center"/>
              <w:rPr>
                <w:rFonts w:cstheme="minorHAnsi"/>
                <w:b/>
                <w:bCs/>
                <w:sz w:val="18"/>
                <w:szCs w:val="18"/>
              </w:rPr>
            </w:pPr>
            <w:r>
              <w:rPr>
                <w:rFonts w:cstheme="minorHAnsi"/>
                <w:b/>
                <w:bCs/>
                <w:sz w:val="18"/>
                <w:szCs w:val="18"/>
              </w:rPr>
              <w:t>Mjera</w:t>
            </w:r>
          </w:p>
        </w:tc>
        <w:tc>
          <w:tcPr>
            <w:tcW w:w="4559" w:type="dxa"/>
            <w:tcBorders>
              <w:top w:val="single" w:sz="4" w:space="0" w:color="auto"/>
              <w:left w:val="single" w:sz="4" w:space="0" w:color="auto"/>
              <w:bottom w:val="single" w:sz="4" w:space="0" w:color="auto"/>
              <w:right w:val="single" w:sz="4" w:space="0" w:color="auto"/>
            </w:tcBorders>
            <w:shd w:val="clear" w:color="auto" w:fill="002060"/>
            <w:hideMark/>
          </w:tcPr>
          <w:p w14:paraId="3EB1DE60" w14:textId="77777777" w:rsidR="001649D4" w:rsidRDefault="001649D4">
            <w:pPr>
              <w:jc w:val="center"/>
              <w:rPr>
                <w:rFonts w:cstheme="minorHAnsi"/>
                <w:b/>
                <w:bCs/>
                <w:sz w:val="18"/>
                <w:szCs w:val="18"/>
              </w:rPr>
            </w:pPr>
            <w:r>
              <w:rPr>
                <w:rFonts w:cstheme="minorHAnsi"/>
                <w:b/>
                <w:bCs/>
                <w:sz w:val="18"/>
                <w:szCs w:val="18"/>
              </w:rPr>
              <w:t>Opis mjere</w:t>
            </w:r>
          </w:p>
        </w:tc>
      </w:tr>
      <w:tr w:rsidR="001649D4" w14:paraId="49081623" w14:textId="77777777" w:rsidTr="0056410F">
        <w:tc>
          <w:tcPr>
            <w:tcW w:w="4508" w:type="dxa"/>
            <w:tcBorders>
              <w:top w:val="single" w:sz="4" w:space="0" w:color="auto"/>
              <w:left w:val="single" w:sz="4" w:space="0" w:color="auto"/>
              <w:bottom w:val="single" w:sz="4" w:space="0" w:color="auto"/>
              <w:right w:val="single" w:sz="4" w:space="0" w:color="auto"/>
            </w:tcBorders>
            <w:vAlign w:val="center"/>
            <w:hideMark/>
          </w:tcPr>
          <w:p w14:paraId="2926B350" w14:textId="55A81C58" w:rsidR="001649D4" w:rsidRDefault="001649D4">
            <w:pPr>
              <w:rPr>
                <w:rFonts w:cstheme="minorHAnsi"/>
                <w:b/>
                <w:bCs/>
                <w:sz w:val="18"/>
                <w:szCs w:val="18"/>
              </w:rPr>
            </w:pPr>
            <w:r>
              <w:rPr>
                <w:rFonts w:cstheme="minorHAnsi"/>
                <w:b/>
                <w:bCs/>
                <w:sz w:val="18"/>
                <w:szCs w:val="18"/>
              </w:rPr>
              <w:t xml:space="preserve">Mjera </w:t>
            </w:r>
            <w:r w:rsidR="00E73B3B">
              <w:rPr>
                <w:rFonts w:cstheme="minorHAnsi"/>
                <w:b/>
                <w:bCs/>
                <w:sz w:val="18"/>
                <w:szCs w:val="18"/>
              </w:rPr>
              <w:t>14</w:t>
            </w:r>
            <w:r>
              <w:rPr>
                <w:rFonts w:cstheme="minorHAnsi"/>
                <w:b/>
                <w:bCs/>
                <w:sz w:val="18"/>
                <w:szCs w:val="18"/>
              </w:rPr>
              <w:t>. Izrada i/ili unaprjeđenje aplikacija koje su dio informacijskog sustava gospodarenja otpadom</w:t>
            </w:r>
          </w:p>
        </w:tc>
        <w:tc>
          <w:tcPr>
            <w:tcW w:w="4559" w:type="dxa"/>
            <w:tcBorders>
              <w:top w:val="single" w:sz="4" w:space="0" w:color="auto"/>
              <w:left w:val="single" w:sz="4" w:space="0" w:color="auto"/>
              <w:bottom w:val="single" w:sz="4" w:space="0" w:color="auto"/>
              <w:right w:val="single" w:sz="4" w:space="0" w:color="auto"/>
            </w:tcBorders>
            <w:hideMark/>
          </w:tcPr>
          <w:p w14:paraId="4CB9CC85" w14:textId="77777777" w:rsidR="001649D4" w:rsidRDefault="001649D4">
            <w:pPr>
              <w:rPr>
                <w:rFonts w:cstheme="minorHAnsi"/>
                <w:sz w:val="18"/>
                <w:szCs w:val="18"/>
              </w:rPr>
            </w:pPr>
            <w:r>
              <w:rPr>
                <w:rFonts w:cstheme="minorHAnsi"/>
                <w:sz w:val="18"/>
                <w:szCs w:val="18"/>
              </w:rPr>
              <w:t>Uspostava i/ili unaprjeđenje podataka i aplikacija koje su sastavni dio Informacijskog sustava gospodarenja otpadom MINGOR:</w:t>
            </w:r>
          </w:p>
          <w:p w14:paraId="0EE7D699" w14:textId="77777777" w:rsidR="001649D4" w:rsidRDefault="001649D4">
            <w:pPr>
              <w:pStyle w:val="Odlomakpopisa"/>
              <w:numPr>
                <w:ilvl w:val="0"/>
                <w:numId w:val="18"/>
              </w:numPr>
              <w:rPr>
                <w:rFonts w:cstheme="minorHAnsi"/>
                <w:sz w:val="18"/>
                <w:szCs w:val="18"/>
              </w:rPr>
            </w:pPr>
            <w:r>
              <w:rPr>
                <w:rFonts w:cstheme="minorHAnsi"/>
                <w:sz w:val="18"/>
                <w:szCs w:val="18"/>
              </w:rPr>
              <w:t>e-ONTO;</w:t>
            </w:r>
          </w:p>
          <w:p w14:paraId="6F205B9C" w14:textId="77777777" w:rsidR="001649D4" w:rsidRDefault="001649D4">
            <w:pPr>
              <w:pStyle w:val="Odlomakpopisa"/>
              <w:numPr>
                <w:ilvl w:val="0"/>
                <w:numId w:val="18"/>
              </w:numPr>
              <w:rPr>
                <w:rFonts w:cstheme="minorHAnsi"/>
                <w:sz w:val="18"/>
                <w:szCs w:val="18"/>
              </w:rPr>
            </w:pPr>
            <w:r>
              <w:rPr>
                <w:rFonts w:cstheme="minorHAnsi"/>
                <w:sz w:val="18"/>
                <w:szCs w:val="18"/>
              </w:rPr>
              <w:t>aplikaciju za rad Registra djelatnosti gospodarenja otpadom;</w:t>
            </w:r>
          </w:p>
          <w:p w14:paraId="47675A12" w14:textId="77777777" w:rsidR="001649D4" w:rsidRDefault="001649D4">
            <w:pPr>
              <w:pStyle w:val="Odlomakpopisa"/>
              <w:numPr>
                <w:ilvl w:val="0"/>
                <w:numId w:val="18"/>
              </w:numPr>
              <w:rPr>
                <w:rFonts w:cstheme="minorHAnsi"/>
                <w:sz w:val="18"/>
                <w:szCs w:val="18"/>
              </w:rPr>
            </w:pPr>
            <w:r>
              <w:rPr>
                <w:rFonts w:cstheme="minorHAnsi"/>
                <w:sz w:val="18"/>
                <w:szCs w:val="18"/>
              </w:rPr>
              <w:t>aplikaciju Registra onečišćavanja okoliša;</w:t>
            </w:r>
          </w:p>
          <w:p w14:paraId="62F73BAE" w14:textId="77777777" w:rsidR="001649D4" w:rsidRDefault="001649D4">
            <w:pPr>
              <w:pStyle w:val="Odlomakpopisa"/>
              <w:numPr>
                <w:ilvl w:val="0"/>
                <w:numId w:val="18"/>
              </w:numPr>
              <w:rPr>
                <w:rFonts w:cstheme="minorHAnsi"/>
                <w:sz w:val="18"/>
                <w:szCs w:val="18"/>
              </w:rPr>
            </w:pPr>
            <w:r>
              <w:rPr>
                <w:rFonts w:cstheme="minorHAnsi"/>
                <w:sz w:val="18"/>
                <w:szCs w:val="18"/>
              </w:rPr>
              <w:t>aplikaciju za prekogranični promet otpadom;</w:t>
            </w:r>
          </w:p>
          <w:p w14:paraId="41B96591" w14:textId="77777777" w:rsidR="001649D4" w:rsidRDefault="001649D4">
            <w:pPr>
              <w:pStyle w:val="Odlomakpopisa"/>
              <w:numPr>
                <w:ilvl w:val="0"/>
                <w:numId w:val="18"/>
              </w:numPr>
              <w:rPr>
                <w:rFonts w:cstheme="minorHAnsi"/>
                <w:sz w:val="18"/>
                <w:szCs w:val="18"/>
              </w:rPr>
            </w:pPr>
            <w:r>
              <w:rPr>
                <w:rFonts w:cstheme="minorHAnsi"/>
                <w:sz w:val="18"/>
                <w:szCs w:val="18"/>
              </w:rPr>
              <w:t>aplikaciju za evidenciju lokacija odbačenog otpada;</w:t>
            </w:r>
          </w:p>
          <w:p w14:paraId="007A3FF9" w14:textId="77777777" w:rsidR="001649D4" w:rsidRDefault="001649D4">
            <w:pPr>
              <w:pStyle w:val="Odlomakpopisa"/>
              <w:numPr>
                <w:ilvl w:val="0"/>
                <w:numId w:val="18"/>
              </w:numPr>
              <w:rPr>
                <w:rFonts w:cstheme="minorHAnsi"/>
                <w:sz w:val="18"/>
                <w:szCs w:val="18"/>
              </w:rPr>
            </w:pPr>
            <w:r>
              <w:rPr>
                <w:rFonts w:cstheme="minorHAnsi"/>
                <w:sz w:val="18"/>
                <w:szCs w:val="18"/>
              </w:rPr>
              <w:t>aplikaciju za izvješća o radu davatelja usluge;</w:t>
            </w:r>
          </w:p>
          <w:p w14:paraId="6CF4F431" w14:textId="77777777" w:rsidR="001649D4" w:rsidRDefault="001649D4">
            <w:pPr>
              <w:pStyle w:val="Odlomakpopisa"/>
              <w:numPr>
                <w:ilvl w:val="0"/>
                <w:numId w:val="18"/>
              </w:numPr>
              <w:rPr>
                <w:rFonts w:cstheme="minorHAnsi"/>
                <w:sz w:val="18"/>
                <w:szCs w:val="18"/>
              </w:rPr>
            </w:pPr>
            <w:r>
              <w:rPr>
                <w:rFonts w:cstheme="minorHAnsi"/>
                <w:sz w:val="18"/>
                <w:szCs w:val="18"/>
              </w:rPr>
              <w:t>aplikaciju za operatere odlagališta i praćenje odlaganja biorazgradivog komunalnog otpada;</w:t>
            </w:r>
          </w:p>
          <w:p w14:paraId="0C48F99C" w14:textId="77777777" w:rsidR="001649D4" w:rsidRDefault="001649D4">
            <w:pPr>
              <w:pStyle w:val="Odlomakpopisa"/>
              <w:numPr>
                <w:ilvl w:val="0"/>
                <w:numId w:val="18"/>
              </w:numPr>
              <w:rPr>
                <w:rFonts w:cstheme="minorHAnsi"/>
                <w:sz w:val="18"/>
                <w:szCs w:val="18"/>
              </w:rPr>
            </w:pPr>
            <w:r>
              <w:rPr>
                <w:rFonts w:cstheme="minorHAnsi"/>
                <w:sz w:val="18"/>
                <w:szCs w:val="18"/>
              </w:rPr>
              <w:lastRenderedPageBreak/>
              <w:t xml:space="preserve">portal sprječavanja nastanka otpada i aplikaciju za praćenje projekata i aktivnosti sprječavanja nastanka otpada, ponovne uporabe i </w:t>
            </w:r>
            <w:proofErr w:type="spellStart"/>
            <w:r>
              <w:rPr>
                <w:rFonts w:cstheme="minorHAnsi"/>
                <w:sz w:val="18"/>
                <w:szCs w:val="18"/>
              </w:rPr>
              <w:t>izobrazno</w:t>
            </w:r>
            <w:proofErr w:type="spellEnd"/>
            <w:r>
              <w:rPr>
                <w:rFonts w:cstheme="minorHAnsi"/>
                <w:sz w:val="18"/>
                <w:szCs w:val="18"/>
              </w:rPr>
              <w:t>-informativnih aktivnosti;</w:t>
            </w:r>
          </w:p>
          <w:p w14:paraId="669C93C9" w14:textId="77777777" w:rsidR="001649D4" w:rsidRDefault="001649D4">
            <w:pPr>
              <w:pStyle w:val="Odlomakpopisa"/>
              <w:numPr>
                <w:ilvl w:val="0"/>
                <w:numId w:val="18"/>
              </w:numPr>
              <w:rPr>
                <w:rFonts w:cstheme="minorHAnsi"/>
                <w:sz w:val="18"/>
                <w:szCs w:val="18"/>
              </w:rPr>
            </w:pPr>
            <w:r>
              <w:rPr>
                <w:rFonts w:cstheme="minorHAnsi"/>
                <w:sz w:val="18"/>
                <w:szCs w:val="18"/>
              </w:rPr>
              <w:t>Registar s proširenom odgovornosti proizvođača;</w:t>
            </w:r>
          </w:p>
          <w:p w14:paraId="1FDE761D" w14:textId="77777777" w:rsidR="001649D4" w:rsidRDefault="001649D4">
            <w:pPr>
              <w:pStyle w:val="Odlomakpopisa"/>
              <w:numPr>
                <w:ilvl w:val="0"/>
                <w:numId w:val="18"/>
              </w:numPr>
              <w:rPr>
                <w:rFonts w:cstheme="minorHAnsi"/>
                <w:sz w:val="18"/>
                <w:szCs w:val="18"/>
              </w:rPr>
            </w:pPr>
            <w:r>
              <w:rPr>
                <w:rFonts w:cstheme="minorHAnsi"/>
                <w:sz w:val="18"/>
                <w:szCs w:val="18"/>
              </w:rPr>
              <w:t>aplikacija za podatke o nusproizvodima i ukidanju statusa otpada;</w:t>
            </w:r>
          </w:p>
          <w:p w14:paraId="572B53E5" w14:textId="77777777" w:rsidR="00BE4320" w:rsidRDefault="001649D4">
            <w:pPr>
              <w:pStyle w:val="Odlomakpopisa"/>
              <w:numPr>
                <w:ilvl w:val="0"/>
                <w:numId w:val="18"/>
              </w:numPr>
              <w:rPr>
                <w:rFonts w:cstheme="minorHAnsi"/>
                <w:sz w:val="18"/>
                <w:szCs w:val="18"/>
              </w:rPr>
            </w:pPr>
            <w:r>
              <w:rPr>
                <w:rFonts w:cstheme="minorHAnsi"/>
                <w:sz w:val="18"/>
                <w:szCs w:val="18"/>
              </w:rPr>
              <w:t>aplikacija za podatke o korištenju mulja u poljoprivredi i biološki obrađenom otpadu na mjestu nastanka</w:t>
            </w:r>
          </w:p>
          <w:p w14:paraId="5997B407" w14:textId="77777777" w:rsidR="001649D4" w:rsidRDefault="00BE4320">
            <w:pPr>
              <w:pStyle w:val="Odlomakpopisa"/>
              <w:numPr>
                <w:ilvl w:val="0"/>
                <w:numId w:val="18"/>
              </w:numPr>
              <w:rPr>
                <w:rFonts w:cstheme="minorHAnsi"/>
                <w:sz w:val="18"/>
                <w:szCs w:val="18"/>
              </w:rPr>
            </w:pPr>
            <w:r>
              <w:rPr>
                <w:rFonts w:cstheme="minorHAnsi"/>
                <w:sz w:val="18"/>
                <w:szCs w:val="18"/>
              </w:rPr>
              <w:t xml:space="preserve">aplikacija za </w:t>
            </w:r>
            <w:r w:rsidR="00B61789">
              <w:rPr>
                <w:rFonts w:cstheme="minorHAnsi"/>
                <w:sz w:val="18"/>
                <w:szCs w:val="18"/>
              </w:rPr>
              <w:t>procjenu učinka Zakona o gospodarenju otpadom</w:t>
            </w:r>
            <w:r w:rsidR="001649D4">
              <w:rPr>
                <w:rFonts w:cstheme="minorHAnsi"/>
                <w:sz w:val="18"/>
                <w:szCs w:val="18"/>
              </w:rPr>
              <w:t>.</w:t>
            </w:r>
          </w:p>
          <w:p w14:paraId="5B830508" w14:textId="77777777" w:rsidR="00F67060" w:rsidRDefault="00F67060" w:rsidP="00F67060">
            <w:pPr>
              <w:rPr>
                <w:rFonts w:cstheme="minorHAnsi"/>
                <w:sz w:val="18"/>
                <w:szCs w:val="18"/>
              </w:rPr>
            </w:pPr>
          </w:p>
          <w:p w14:paraId="64BD2B21" w14:textId="01F628AC" w:rsidR="00F67060" w:rsidRDefault="00F67060" w:rsidP="00F67060">
            <w:pPr>
              <w:rPr>
                <w:rFonts w:cstheme="minorHAnsi"/>
                <w:i/>
                <w:iCs/>
                <w:sz w:val="18"/>
                <w:szCs w:val="18"/>
              </w:rPr>
            </w:pPr>
            <w:r>
              <w:rPr>
                <w:rFonts w:cstheme="minorHAnsi"/>
                <w:sz w:val="18"/>
                <w:szCs w:val="18"/>
              </w:rPr>
              <w:t xml:space="preserve">Mjera će doprinijet i ostvarenju Cilja </w:t>
            </w:r>
            <w:r w:rsidRPr="00B63A84">
              <w:rPr>
                <w:rFonts w:cstheme="minorHAnsi"/>
                <w:sz w:val="18"/>
                <w:szCs w:val="18"/>
              </w:rPr>
              <w:t xml:space="preserve">4. - </w:t>
            </w:r>
            <w:r w:rsidRPr="00A44E90">
              <w:rPr>
                <w:rFonts w:cstheme="minorHAnsi"/>
                <w:i/>
                <w:iCs/>
                <w:sz w:val="18"/>
                <w:szCs w:val="18"/>
              </w:rPr>
              <w:t>Građevni otpad</w:t>
            </w:r>
          </w:p>
          <w:p w14:paraId="3466062F" w14:textId="34456194" w:rsidR="00F67060" w:rsidRPr="00DE1B14" w:rsidRDefault="00F67060" w:rsidP="00DE1B14">
            <w:pPr>
              <w:rPr>
                <w:rFonts w:cstheme="minorHAnsi"/>
                <w:sz w:val="18"/>
                <w:szCs w:val="18"/>
              </w:rPr>
            </w:pPr>
          </w:p>
        </w:tc>
      </w:tr>
      <w:tr w:rsidR="00B30B78" w14:paraId="2ECBE2E4" w14:textId="77777777" w:rsidTr="0056410F">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46071E" w14:textId="2D54398E" w:rsidR="00B30B78" w:rsidRDefault="00B30B78" w:rsidP="00B30B78">
            <w:pPr>
              <w:rPr>
                <w:rFonts w:cstheme="minorHAnsi"/>
                <w:b/>
                <w:bCs/>
                <w:sz w:val="18"/>
                <w:szCs w:val="18"/>
              </w:rPr>
            </w:pPr>
            <w:r>
              <w:rPr>
                <w:rFonts w:cstheme="minorHAnsi"/>
                <w:b/>
                <w:bCs/>
                <w:sz w:val="18"/>
                <w:szCs w:val="18"/>
              </w:rPr>
              <w:lastRenderedPageBreak/>
              <w:t xml:space="preserve">Mjera </w:t>
            </w:r>
            <w:r w:rsidR="00E73B3B">
              <w:rPr>
                <w:rFonts w:cstheme="minorHAnsi"/>
                <w:b/>
                <w:bCs/>
                <w:sz w:val="18"/>
                <w:szCs w:val="18"/>
              </w:rPr>
              <w:t>15</w:t>
            </w:r>
            <w:r>
              <w:rPr>
                <w:rFonts w:cstheme="minorHAnsi"/>
                <w:b/>
                <w:bCs/>
                <w:sz w:val="18"/>
                <w:szCs w:val="18"/>
              </w:rPr>
              <w:t>. Izrada informacijskog sustava FZOEU za pripremu i provedbu projekata</w:t>
            </w:r>
          </w:p>
        </w:tc>
        <w:tc>
          <w:tcPr>
            <w:tcW w:w="4559" w:type="dxa"/>
            <w:tcBorders>
              <w:top w:val="single" w:sz="4" w:space="0" w:color="auto"/>
              <w:left w:val="single" w:sz="4" w:space="0" w:color="auto"/>
              <w:bottom w:val="single" w:sz="4" w:space="0" w:color="auto"/>
              <w:right w:val="single" w:sz="4" w:space="0" w:color="auto"/>
            </w:tcBorders>
            <w:hideMark/>
          </w:tcPr>
          <w:p w14:paraId="578BF1E6" w14:textId="3B566F59" w:rsidR="00B30B78" w:rsidRPr="00B30B78" w:rsidRDefault="00B30B78" w:rsidP="00B30B78">
            <w:pPr>
              <w:rPr>
                <w:rFonts w:cstheme="minorHAnsi"/>
                <w:sz w:val="18"/>
                <w:szCs w:val="18"/>
              </w:rPr>
            </w:pPr>
            <w:r w:rsidRPr="00B30B78">
              <w:rPr>
                <w:rFonts w:cstheme="minorHAnsi"/>
                <w:sz w:val="18"/>
                <w:szCs w:val="18"/>
              </w:rPr>
              <w:t>Izrada informacijskog sustava za pripremu i provedbu projekata FZOEU. Informacijski sustav treba biti povezan s informacijskim sustavom MINGOR-a, kao i s drugim institucijama koje su povezane s FZOEU radi kontrole, razmjene i usklađivanja podataka vezanih uz posebne kategorije otpada i ostale projekte FZOEU.</w:t>
            </w:r>
          </w:p>
        </w:tc>
      </w:tr>
      <w:tr w:rsidR="00B30B78" w14:paraId="68E4C167" w14:textId="77777777" w:rsidTr="0056410F">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0CEFC" w14:textId="1330D168" w:rsidR="00B30B78" w:rsidRDefault="00B30B78" w:rsidP="00B30B78">
            <w:pPr>
              <w:rPr>
                <w:rFonts w:cstheme="minorHAnsi"/>
                <w:b/>
                <w:bCs/>
                <w:sz w:val="18"/>
                <w:szCs w:val="18"/>
              </w:rPr>
            </w:pPr>
            <w:r w:rsidRPr="00B30B78">
              <w:rPr>
                <w:rFonts w:cstheme="minorHAnsi"/>
                <w:b/>
                <w:bCs/>
                <w:sz w:val="18"/>
                <w:szCs w:val="18"/>
              </w:rPr>
              <w:t xml:space="preserve">Mjera </w:t>
            </w:r>
            <w:r w:rsidR="00E73B3B" w:rsidRPr="00B30B78">
              <w:rPr>
                <w:rFonts w:cstheme="minorHAnsi"/>
                <w:b/>
                <w:bCs/>
                <w:sz w:val="18"/>
                <w:szCs w:val="18"/>
              </w:rPr>
              <w:t>1</w:t>
            </w:r>
            <w:r w:rsidR="00E73B3B">
              <w:rPr>
                <w:rFonts w:cstheme="minorHAnsi"/>
                <w:b/>
                <w:bCs/>
                <w:sz w:val="18"/>
                <w:szCs w:val="18"/>
              </w:rPr>
              <w:t>6</w:t>
            </w:r>
            <w:r w:rsidRPr="00B30B78">
              <w:rPr>
                <w:rFonts w:cstheme="minorHAnsi"/>
                <w:b/>
                <w:bCs/>
                <w:sz w:val="18"/>
                <w:szCs w:val="18"/>
              </w:rPr>
              <w:t>. Izrada plana monitoringa provedbe Plana gospodarenja otpadom Republike Hrvatske</w:t>
            </w:r>
          </w:p>
        </w:tc>
        <w:tc>
          <w:tcPr>
            <w:tcW w:w="4559" w:type="dxa"/>
            <w:tcBorders>
              <w:top w:val="single" w:sz="4" w:space="0" w:color="auto"/>
              <w:left w:val="single" w:sz="4" w:space="0" w:color="auto"/>
              <w:bottom w:val="single" w:sz="4" w:space="0" w:color="auto"/>
              <w:right w:val="single" w:sz="4" w:space="0" w:color="auto"/>
            </w:tcBorders>
          </w:tcPr>
          <w:p w14:paraId="7CE1436E" w14:textId="7DFA886A" w:rsidR="00B30B78" w:rsidRPr="00B30B78" w:rsidRDefault="00B30B78" w:rsidP="00B30B78">
            <w:pPr>
              <w:rPr>
                <w:rFonts w:cstheme="minorHAnsi"/>
                <w:sz w:val="18"/>
                <w:szCs w:val="18"/>
              </w:rPr>
            </w:pPr>
            <w:r w:rsidRPr="00B30B78">
              <w:rPr>
                <w:rFonts w:cstheme="minorHAnsi"/>
                <w:sz w:val="18"/>
                <w:szCs w:val="18"/>
              </w:rPr>
              <w:t>Izrada plana kojim će se osigurati praćenje provedbe mjera i aktivnosti definiranih ovim Planom</w:t>
            </w:r>
          </w:p>
        </w:tc>
      </w:tr>
      <w:bookmarkEnd w:id="342"/>
    </w:tbl>
    <w:p w14:paraId="5ECC129A" w14:textId="7F955E70" w:rsidR="001649D4" w:rsidRDefault="001649D4" w:rsidP="001649D4">
      <w:pPr>
        <w:rPr>
          <w:rFonts w:cstheme="minorHAnsi"/>
          <w:highlight w:val="yellow"/>
        </w:rPr>
      </w:pPr>
    </w:p>
    <w:p w14:paraId="25B5583A" w14:textId="52DE4DEF" w:rsidR="00B30B78" w:rsidRPr="00B30B78" w:rsidRDefault="00B30B78" w:rsidP="00B30B78">
      <w:pPr>
        <w:shd w:val="clear" w:color="auto" w:fill="002060"/>
        <w:rPr>
          <w:b/>
          <w:bCs/>
        </w:rPr>
      </w:pPr>
      <w:r w:rsidRPr="00B30B78">
        <w:rPr>
          <w:b/>
          <w:bCs/>
        </w:rPr>
        <w:t xml:space="preserve">Mjera </w:t>
      </w:r>
      <w:r w:rsidR="00E73B3B" w:rsidRPr="00B30B78">
        <w:rPr>
          <w:b/>
          <w:bCs/>
        </w:rPr>
        <w:t>1</w:t>
      </w:r>
      <w:r w:rsidR="00E73B3B">
        <w:rPr>
          <w:b/>
          <w:bCs/>
        </w:rPr>
        <w:t>4</w:t>
      </w:r>
      <w:r w:rsidRPr="00B30B78">
        <w:rPr>
          <w:b/>
          <w:bCs/>
        </w:rPr>
        <w:t xml:space="preserve">. Izrada i/ili unaprjeđenje aplikacija koje su dio informacijskog sustava gospodarenja otpadom </w:t>
      </w:r>
    </w:p>
    <w:p w14:paraId="337D22C4" w14:textId="58849624" w:rsidR="00BE4320" w:rsidRDefault="00B30B78" w:rsidP="00B30B78">
      <w:r>
        <w:t>Pouzdani podaci nužni su za učinkovito planiranje i praćenje sustava gospodarenja otpadom, a time i posredno za postizanje ciljeva EU. Mjera propisuje uspostavu novih aplikacija i unaprjeđenje već postojećih aplikacija, čime će se omogućit bolja kontrola pošiljki otpada, uključujući i prekogranični promet otpada. Olakšat će se prijava, praćenje i izvješćivanje podataka o otpadu te će se izbjeći dvostruki zahtjevi za izvješćivanjem, čime će se smanjiti administrativno opterećenje gospodarstva. Nadalje,</w:t>
      </w:r>
      <w:r w:rsidR="004F4738">
        <w:t xml:space="preserve"> aplikacij</w:t>
      </w:r>
      <w:r w:rsidR="00606E60">
        <w:t>om</w:t>
      </w:r>
      <w:r w:rsidR="004F4738">
        <w:t xml:space="preserve"> za Registar </w:t>
      </w:r>
      <w:r w:rsidR="004F4738" w:rsidRPr="004F4738">
        <w:t>djelatnosti gospodarenja otpadom</w:t>
      </w:r>
      <w:r w:rsidR="004F4738">
        <w:t xml:space="preserve"> </w:t>
      </w:r>
      <w:r>
        <w:t>olakšat će se pristup informacijama o ovlaštenim tvrtkama za gospodarenje otpadom te osuvremeniti i ubrzati razmjenu informacija između nadležnih tijela u postupku izdavanja dozvola i ovlaštenja za gospodarenje otpadom.</w:t>
      </w:r>
      <w:r w:rsidR="004F4738">
        <w:t xml:space="preserve"> Također će se</w:t>
      </w:r>
      <w:r w:rsidR="00606E60">
        <w:t xml:space="preserve"> istom</w:t>
      </w:r>
      <w:r w:rsidR="004F4738">
        <w:t xml:space="preserve"> uspostaviti automatizirani monitorin</w:t>
      </w:r>
      <w:r w:rsidR="00606E60">
        <w:t>g</w:t>
      </w:r>
      <w:r w:rsidR="004F4738">
        <w:t xml:space="preserve"> dozvoljenih kapaciteta za odlaganje biorazgradivog komunalnog otpada kako se ne bi premašila ciljana vrijednost propisana </w:t>
      </w:r>
      <w:r w:rsidR="00344A35">
        <w:t>Zakonom</w:t>
      </w:r>
      <w:r w:rsidR="004F4738">
        <w:t>.</w:t>
      </w:r>
      <w:r w:rsidR="00B73C9A">
        <w:t xml:space="preserve"> </w:t>
      </w:r>
      <w:r>
        <w:t>Uspostava Registra posebnih kategorija otpada nužna je za provedbu i praćenje provedbe obveza proširene odgovornosti proizvođača.</w:t>
      </w:r>
      <w:r w:rsidR="00BE4320">
        <w:t xml:space="preserve"> </w:t>
      </w:r>
      <w:r w:rsidR="006A00F2">
        <w:t xml:space="preserve">Za </w:t>
      </w:r>
      <w:r w:rsidR="007546C5" w:rsidRPr="007546C5">
        <w:t xml:space="preserve">procjenu učinka Zakona o gospodarenju otpadom </w:t>
      </w:r>
      <w:r w:rsidR="006A00F2">
        <w:t>potrebno je uspostaviti za</w:t>
      </w:r>
      <w:r w:rsidR="007546C5">
        <w:t>se</w:t>
      </w:r>
      <w:r w:rsidR="006A00F2">
        <w:t>bnu aplikaciju.</w:t>
      </w:r>
      <w:r w:rsidR="007546C5" w:rsidRPr="007546C5">
        <w:t xml:space="preserve"> </w:t>
      </w:r>
    </w:p>
    <w:p w14:paraId="45538B04" w14:textId="6912E1AC" w:rsidR="00B73C9A" w:rsidRDefault="00B73C9A" w:rsidP="00B30B78">
      <w:r>
        <w:t>Nadalje, p</w:t>
      </w:r>
      <w:r w:rsidRPr="00B73C9A">
        <w:t xml:space="preserve">odaci o građevnom otpadu predstavljaju problem posebno za male proizvođače građevnog otpada i obrađivače građevnog otpada te mogu rezultirati </w:t>
      </w:r>
      <w:r>
        <w:t>necjelovitim</w:t>
      </w:r>
      <w:r w:rsidRPr="00B73C9A">
        <w:t xml:space="preserve"> dostupnim informacijama o nastanku i obradi građevnog otpada. U svrhu izbjegavanja nepotpunih informacija</w:t>
      </w:r>
      <w:r w:rsidR="00F67060">
        <w:t xml:space="preserve"> o građevnom otpadu</w:t>
      </w:r>
      <w:r w:rsidRPr="00B73C9A">
        <w:t xml:space="preserve">, ova mjera uključuje </w:t>
      </w:r>
      <w:r>
        <w:t>provedbu</w:t>
      </w:r>
      <w:r w:rsidRPr="00B73C9A">
        <w:t xml:space="preserve"> integracije aplikacija EONTO i ROO. Navedeno će standardizirati upravljanje podacima o ponovnoj uporabi i recikliranju građevnog otpada te podacima o ostalim postupcima obrade građevnog otpada. Dijeljenje zajedničkih informacija između te dvije aplikacije rezultirati će smanjenjem pogrešaka pri unosu podataka i olakšati unakrsnu kontrolu podataka</w:t>
      </w:r>
      <w:r w:rsidR="00F67060">
        <w:t xml:space="preserve"> o svim vrstama otpada</w:t>
      </w:r>
      <w:r w:rsidRPr="00B73C9A">
        <w:t>. Prilikom provedbe ove aktivnosti uzet će se u obzir nedostaci utvrđeni projektom „Poboljšanje toka i kvalitete podataka o građevnom otpadu i otpadu od istraživanja i eksploatacije mineralnih sirovina u Republici Hrvatskoj ”(2017., HAOP, Građevinski fakultet Sveučilišta u Zagrebu).</w:t>
      </w:r>
    </w:p>
    <w:p w14:paraId="763EFBC1" w14:textId="3E6B838B" w:rsidR="00B73C9A" w:rsidRDefault="00B73C9A" w:rsidP="00B30B78">
      <w:r w:rsidRPr="00B73C9A">
        <w:lastRenderedPageBreak/>
        <w:t>Analiza podataka iz aplikacije ELOO potvrdila je postojanje velikog broja divljih odlagališta</w:t>
      </w:r>
      <w:r>
        <w:t xml:space="preserve"> građevnog i komunalnog otpada</w:t>
      </w:r>
      <w:r w:rsidRPr="00B73C9A">
        <w:t xml:space="preserve"> na području RH. Nužno je unaprjeđenje postojeće aplikacije u smislu poboljšanja korisničkog sučelja postojeće mobilne aplikacije u svrhu olakšavanja korisnicima prijave lokacija divljih odlagališta.</w:t>
      </w:r>
    </w:p>
    <w:p w14:paraId="66AEE672" w14:textId="77777777" w:rsidR="00B73C9A" w:rsidRDefault="00B73C9A" w:rsidP="00B30B78"/>
    <w:p w14:paraId="3CBB1942" w14:textId="7180DAF6" w:rsidR="00B30B78" w:rsidRPr="00B30B78" w:rsidRDefault="00B30B78" w:rsidP="00B30B78">
      <w:pPr>
        <w:shd w:val="clear" w:color="auto" w:fill="002060"/>
        <w:rPr>
          <w:b/>
          <w:bCs/>
        </w:rPr>
      </w:pPr>
      <w:r w:rsidRPr="00B30B78">
        <w:rPr>
          <w:b/>
          <w:bCs/>
        </w:rPr>
        <w:t xml:space="preserve">Mjera </w:t>
      </w:r>
      <w:r w:rsidR="00E73B3B" w:rsidRPr="00B30B78">
        <w:rPr>
          <w:b/>
          <w:bCs/>
        </w:rPr>
        <w:t>1</w:t>
      </w:r>
      <w:r w:rsidR="00E73B3B">
        <w:rPr>
          <w:b/>
          <w:bCs/>
        </w:rPr>
        <w:t>5</w:t>
      </w:r>
      <w:r w:rsidRPr="00B30B78">
        <w:rPr>
          <w:b/>
          <w:bCs/>
        </w:rPr>
        <w:t xml:space="preserve">. Izrada informacijskog sustava FZOEU za pripremu i provedbu projekata </w:t>
      </w:r>
    </w:p>
    <w:p w14:paraId="1A0FBA5F" w14:textId="668CA5A2" w:rsidR="00B30B78" w:rsidRDefault="00B30B78" w:rsidP="00B30B78">
      <w:r>
        <w:t xml:space="preserve">Ovom mjerom uspostaviti će se učinkovit sustav koji će unaprijediti poslovne procese FZOEU. Isto podrazumijeva učinkovitu podršku internim procesima FZOEU, kao i međusobnu komunikaciju s informacijskim sustavima MINGOR-a i drugih institucija u cilju integracije poslovnih procesa koje provodi FZOEU. Uz navedeno, pojednostaviti će se i modernizirati komunikacija s poreznim obveznicima i korisnicima putem javnog portala. </w:t>
      </w:r>
    </w:p>
    <w:p w14:paraId="3705F03E" w14:textId="775D012E" w:rsidR="00B30B78" w:rsidRPr="00B30B78" w:rsidRDefault="00B30B78" w:rsidP="00B30B78">
      <w:pPr>
        <w:shd w:val="clear" w:color="auto" w:fill="002060"/>
        <w:rPr>
          <w:b/>
          <w:bCs/>
        </w:rPr>
      </w:pPr>
      <w:r w:rsidRPr="00B30B78">
        <w:rPr>
          <w:b/>
          <w:bCs/>
        </w:rPr>
        <w:t xml:space="preserve">Mjera </w:t>
      </w:r>
      <w:r w:rsidR="00E73B3B" w:rsidRPr="00B30B78">
        <w:rPr>
          <w:b/>
          <w:bCs/>
        </w:rPr>
        <w:t>1</w:t>
      </w:r>
      <w:r w:rsidR="00E73B3B">
        <w:rPr>
          <w:b/>
          <w:bCs/>
        </w:rPr>
        <w:t>6</w:t>
      </w:r>
      <w:r w:rsidRPr="00B30B78">
        <w:rPr>
          <w:b/>
          <w:bCs/>
        </w:rPr>
        <w:t xml:space="preserve">. Izrada plana monitoringa provedbe Plana gospodarenja otpadom Republike Hrvatske </w:t>
      </w:r>
    </w:p>
    <w:p w14:paraId="42F07825" w14:textId="7F123B38" w:rsidR="00B30B78" w:rsidRDefault="00B30B78" w:rsidP="00B30B78">
      <w:r>
        <w:t xml:space="preserve">Planira se izraditi plan praćenja provedbe mjera i aktivnosti definiranih ovim planom. U planu će se definirati način praćenja napretka svake od definiranih mjera i aktivnosti, od procedure prikupljanja relevantnih podataka do ocjene statusa provedbe i gdje je primjenjivo učinka provedbe. </w:t>
      </w:r>
      <w:r w:rsidR="00280EDD">
        <w:t xml:space="preserve">Također, planira se osnovati povjerenstvo </w:t>
      </w:r>
      <w:r w:rsidR="00280EDD" w:rsidRPr="00901F35">
        <w:t>koje će biti nadležno za sustavno i kontinuirano praćenje provedbe Plana gospodarenja otpadom, koordiniranje i usklađivanje aktivnosti nositelja provedbe navedenog Plana kako bi se mjere i aktivnosti u gospodarenju otpadom provodile na način i u rokovima utvrđenim Planom</w:t>
      </w:r>
      <w:r w:rsidR="00280EDD">
        <w:t>.</w:t>
      </w:r>
    </w:p>
    <w:p w14:paraId="2054DD36" w14:textId="72B71118" w:rsidR="00B30B78" w:rsidRDefault="00B30B78" w:rsidP="001649D4">
      <w:pPr>
        <w:rPr>
          <w:rFonts w:cstheme="minorHAnsi"/>
          <w:highlight w:val="yellow"/>
        </w:rPr>
      </w:pPr>
    </w:p>
    <w:tbl>
      <w:tblPr>
        <w:tblStyle w:val="TableGrid5"/>
        <w:tblW w:w="9206" w:type="dxa"/>
        <w:tblLayout w:type="fixed"/>
        <w:tblLook w:val="04A0" w:firstRow="1" w:lastRow="0" w:firstColumn="1" w:lastColumn="0" w:noHBand="0" w:noVBand="1"/>
      </w:tblPr>
      <w:tblGrid>
        <w:gridCol w:w="1696"/>
        <w:gridCol w:w="992"/>
        <w:gridCol w:w="967"/>
        <w:gridCol w:w="1160"/>
        <w:gridCol w:w="1556"/>
        <w:gridCol w:w="820"/>
        <w:gridCol w:w="1023"/>
        <w:gridCol w:w="992"/>
      </w:tblGrid>
      <w:tr w:rsidR="00B30B78" w:rsidRPr="00B30B78" w14:paraId="07616350" w14:textId="77777777" w:rsidTr="005D52A0">
        <w:trPr>
          <w:tblHeader/>
        </w:trPr>
        <w:tc>
          <w:tcPr>
            <w:tcW w:w="9206" w:type="dxa"/>
            <w:gridSpan w:val="8"/>
            <w:tcBorders>
              <w:top w:val="single" w:sz="4" w:space="0" w:color="auto"/>
              <w:left w:val="single" w:sz="4" w:space="0" w:color="auto"/>
              <w:bottom w:val="single" w:sz="4" w:space="0" w:color="auto"/>
              <w:right w:val="single" w:sz="4" w:space="0" w:color="auto"/>
            </w:tcBorders>
            <w:shd w:val="clear" w:color="auto" w:fill="002060"/>
            <w:vAlign w:val="center"/>
            <w:hideMark/>
          </w:tcPr>
          <w:p w14:paraId="663481B8" w14:textId="77777777" w:rsidR="00B30B78" w:rsidRPr="00B30B78" w:rsidRDefault="00B30B78">
            <w:pPr>
              <w:rPr>
                <w:rFonts w:cstheme="minorHAnsi"/>
                <w:b/>
                <w:bCs/>
                <w:sz w:val="18"/>
                <w:szCs w:val="18"/>
              </w:rPr>
            </w:pPr>
            <w:r w:rsidRPr="00B30B78">
              <w:rPr>
                <w:rFonts w:cstheme="minorHAnsi"/>
                <w:b/>
                <w:bCs/>
                <w:sz w:val="18"/>
                <w:szCs w:val="18"/>
              </w:rPr>
              <w:t>Mjere za ostvarenje Cilja 12. - Unaprijediti informacijski sustav gospodarenja otpadom</w:t>
            </w:r>
          </w:p>
        </w:tc>
      </w:tr>
      <w:tr w:rsidR="00B30B78" w:rsidRPr="00B30B78" w14:paraId="20193D77" w14:textId="77777777" w:rsidTr="005D52A0">
        <w:trPr>
          <w:trHeight w:val="405"/>
          <w:tblHeader/>
        </w:trPr>
        <w:tc>
          <w:tcPr>
            <w:tcW w:w="1696"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3E2BA404" w14:textId="77777777" w:rsidR="00B30B78" w:rsidRPr="00B30B78" w:rsidRDefault="00B30B78">
            <w:pPr>
              <w:jc w:val="center"/>
              <w:rPr>
                <w:rFonts w:cstheme="minorHAnsi"/>
                <w:b/>
                <w:bCs/>
                <w:sz w:val="18"/>
                <w:szCs w:val="18"/>
              </w:rPr>
            </w:pPr>
            <w:r w:rsidRPr="00B30B78">
              <w:rPr>
                <w:rFonts w:cstheme="minorHAnsi"/>
                <w:b/>
                <w:bCs/>
                <w:sz w:val="18"/>
                <w:szCs w:val="18"/>
              </w:rPr>
              <w:t>Aktivnost (A)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2B4010E2" w14:textId="77777777" w:rsidR="00B30B78" w:rsidRPr="00B30B78" w:rsidRDefault="00B30B78">
            <w:pPr>
              <w:jc w:val="center"/>
              <w:rPr>
                <w:rFonts w:cstheme="minorHAnsi"/>
                <w:b/>
                <w:bCs/>
                <w:sz w:val="18"/>
                <w:szCs w:val="18"/>
              </w:rPr>
            </w:pPr>
            <w:r w:rsidRPr="00B30B78">
              <w:rPr>
                <w:rFonts w:cstheme="minorHAnsi"/>
                <w:b/>
                <w:bCs/>
                <w:sz w:val="18"/>
                <w:szCs w:val="18"/>
              </w:rPr>
              <w:t>Nositelj</w:t>
            </w:r>
          </w:p>
        </w:tc>
        <w:tc>
          <w:tcPr>
            <w:tcW w:w="96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53D4895D" w14:textId="77777777" w:rsidR="00B30B78" w:rsidRPr="00B30B78" w:rsidRDefault="00B30B78">
            <w:pPr>
              <w:jc w:val="center"/>
              <w:rPr>
                <w:rFonts w:cstheme="minorHAnsi"/>
                <w:b/>
                <w:bCs/>
                <w:sz w:val="18"/>
                <w:szCs w:val="18"/>
              </w:rPr>
            </w:pPr>
            <w:proofErr w:type="spellStart"/>
            <w:r w:rsidRPr="00B30B78">
              <w:rPr>
                <w:rFonts w:cstheme="minorHAnsi"/>
                <w:b/>
                <w:bCs/>
                <w:sz w:val="18"/>
                <w:szCs w:val="18"/>
              </w:rPr>
              <w:t>Sunositelj</w:t>
            </w:r>
            <w:proofErr w:type="spellEnd"/>
          </w:p>
        </w:tc>
        <w:tc>
          <w:tcPr>
            <w:tcW w:w="1160"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1BA697C5" w14:textId="77777777" w:rsidR="00B30B78" w:rsidRPr="00B30B78" w:rsidRDefault="00B30B78">
            <w:pPr>
              <w:jc w:val="center"/>
              <w:rPr>
                <w:rFonts w:cstheme="minorHAnsi"/>
                <w:b/>
                <w:bCs/>
                <w:sz w:val="18"/>
                <w:szCs w:val="18"/>
              </w:rPr>
            </w:pPr>
            <w:r w:rsidRPr="00B30B78">
              <w:rPr>
                <w:rFonts w:cstheme="minorHAnsi"/>
                <w:b/>
                <w:bCs/>
                <w:sz w:val="18"/>
                <w:szCs w:val="18"/>
              </w:rPr>
              <w:t>Mogući izvori financiranja</w:t>
            </w:r>
          </w:p>
        </w:tc>
        <w:tc>
          <w:tcPr>
            <w:tcW w:w="3399"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1191204" w14:textId="77777777" w:rsidR="00B30B78" w:rsidRPr="00B30B78" w:rsidRDefault="00B30B78">
            <w:pPr>
              <w:jc w:val="center"/>
              <w:rPr>
                <w:rFonts w:cstheme="minorHAnsi"/>
                <w:b/>
                <w:bCs/>
                <w:sz w:val="18"/>
                <w:szCs w:val="18"/>
              </w:rPr>
            </w:pPr>
            <w:r w:rsidRPr="00B30B78">
              <w:rPr>
                <w:rFonts w:cstheme="minorHAnsi"/>
                <w:b/>
                <w:bCs/>
                <w:sz w:val="18"/>
                <w:szCs w:val="18"/>
              </w:rPr>
              <w:t>Pokazatelj ostvarenja</w:t>
            </w:r>
          </w:p>
        </w:tc>
        <w:tc>
          <w:tcPr>
            <w:tcW w:w="992" w:type="dxa"/>
            <w:vMerge w:val="restart"/>
            <w:tcBorders>
              <w:top w:val="single" w:sz="4" w:space="0" w:color="auto"/>
              <w:left w:val="single" w:sz="4" w:space="0" w:color="auto"/>
              <w:right w:val="single" w:sz="4" w:space="0" w:color="auto"/>
            </w:tcBorders>
            <w:shd w:val="clear" w:color="auto" w:fill="002060"/>
            <w:vAlign w:val="center"/>
            <w:hideMark/>
          </w:tcPr>
          <w:p w14:paraId="19D51F2A" w14:textId="77777777" w:rsidR="00B30B78" w:rsidRPr="00B30B78" w:rsidRDefault="00B30B78">
            <w:pPr>
              <w:jc w:val="center"/>
              <w:rPr>
                <w:rFonts w:cstheme="minorHAnsi"/>
                <w:b/>
                <w:bCs/>
                <w:sz w:val="18"/>
                <w:szCs w:val="18"/>
              </w:rPr>
            </w:pPr>
            <w:r w:rsidRPr="00B30B78">
              <w:rPr>
                <w:rFonts w:cstheme="minorHAnsi"/>
                <w:b/>
                <w:bCs/>
                <w:sz w:val="18"/>
                <w:szCs w:val="18"/>
              </w:rPr>
              <w:t>Rok provedbe</w:t>
            </w:r>
          </w:p>
        </w:tc>
      </w:tr>
      <w:tr w:rsidR="00B30B78" w:rsidRPr="00B30B78" w14:paraId="436D08E5" w14:textId="77777777" w:rsidTr="005D52A0">
        <w:trPr>
          <w:trHeight w:val="405"/>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0357C258" w14:textId="77777777" w:rsidR="00B30B78" w:rsidRPr="00B30B78" w:rsidRDefault="00B30B78">
            <w:pPr>
              <w:rPr>
                <w:rFonts w:cstheme="minorHAnsi"/>
                <w:b/>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C761B7" w14:textId="77777777" w:rsidR="00B30B78" w:rsidRPr="00B30B78" w:rsidRDefault="00B30B78">
            <w:pPr>
              <w:rPr>
                <w:rFonts w:cstheme="minorHAnsi"/>
                <w:b/>
                <w:bCs/>
                <w:sz w:val="18"/>
                <w:szCs w:val="18"/>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73FC88B6" w14:textId="77777777" w:rsidR="00B30B78" w:rsidRPr="00B30B78" w:rsidRDefault="00B30B78">
            <w:pPr>
              <w:rPr>
                <w:rFonts w:cstheme="minorHAnsi"/>
                <w:b/>
                <w:bCs/>
                <w:sz w:val="18"/>
                <w:szCs w:val="18"/>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3A15A926" w14:textId="77777777" w:rsidR="00B30B78" w:rsidRPr="00B30B78" w:rsidRDefault="00B30B78">
            <w:pPr>
              <w:rPr>
                <w:rFonts w:cstheme="minorHAnsi"/>
                <w:b/>
                <w:bCs/>
                <w:sz w:val="18"/>
                <w:szCs w:val="18"/>
              </w:rPr>
            </w:pPr>
          </w:p>
        </w:tc>
        <w:tc>
          <w:tcPr>
            <w:tcW w:w="155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C06FA88" w14:textId="77777777" w:rsidR="00B30B78" w:rsidRPr="00B30B78" w:rsidRDefault="00B30B78">
            <w:pPr>
              <w:jc w:val="center"/>
              <w:rPr>
                <w:rFonts w:cstheme="minorHAnsi"/>
                <w:b/>
                <w:bCs/>
                <w:sz w:val="18"/>
                <w:szCs w:val="18"/>
              </w:rPr>
            </w:pPr>
            <w:r w:rsidRPr="00B30B78">
              <w:rPr>
                <w:rFonts w:cstheme="minorHAnsi"/>
                <w:b/>
                <w:bCs/>
                <w:sz w:val="18"/>
                <w:szCs w:val="18"/>
              </w:rPr>
              <w:t>Naziv</w:t>
            </w:r>
          </w:p>
        </w:tc>
        <w:tc>
          <w:tcPr>
            <w:tcW w:w="82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2C62A8A" w14:textId="77777777" w:rsidR="00B30B78" w:rsidRPr="00B30B78" w:rsidRDefault="00B30B78">
            <w:pPr>
              <w:jc w:val="center"/>
              <w:rPr>
                <w:rFonts w:cstheme="minorHAnsi"/>
                <w:b/>
                <w:bCs/>
                <w:sz w:val="18"/>
                <w:szCs w:val="18"/>
              </w:rPr>
            </w:pPr>
            <w:r w:rsidRPr="00B30B78">
              <w:rPr>
                <w:rFonts w:cstheme="minorHAnsi"/>
                <w:b/>
                <w:bCs/>
                <w:sz w:val="18"/>
                <w:szCs w:val="18"/>
              </w:rPr>
              <w:t>Mjerna jedinica</w:t>
            </w:r>
          </w:p>
        </w:tc>
        <w:tc>
          <w:tcPr>
            <w:tcW w:w="1023"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75AE924" w14:textId="77777777" w:rsidR="00B30B78" w:rsidRPr="00B30B78" w:rsidRDefault="00B30B78">
            <w:pPr>
              <w:jc w:val="center"/>
              <w:rPr>
                <w:rFonts w:cstheme="minorHAnsi"/>
                <w:b/>
                <w:bCs/>
                <w:sz w:val="18"/>
                <w:szCs w:val="18"/>
              </w:rPr>
            </w:pPr>
            <w:r w:rsidRPr="00B30B78">
              <w:rPr>
                <w:rFonts w:cstheme="minorHAnsi"/>
                <w:b/>
                <w:bCs/>
                <w:sz w:val="18"/>
                <w:szCs w:val="18"/>
              </w:rPr>
              <w:t>Ciljana vrijednost</w:t>
            </w:r>
          </w:p>
        </w:tc>
        <w:tc>
          <w:tcPr>
            <w:tcW w:w="992" w:type="dxa"/>
            <w:vMerge/>
            <w:tcBorders>
              <w:left w:val="single" w:sz="4" w:space="0" w:color="auto"/>
              <w:bottom w:val="single" w:sz="4" w:space="0" w:color="auto"/>
              <w:right w:val="single" w:sz="4" w:space="0" w:color="auto"/>
            </w:tcBorders>
            <w:vAlign w:val="center"/>
            <w:hideMark/>
          </w:tcPr>
          <w:p w14:paraId="25AEF155" w14:textId="77777777" w:rsidR="00B30B78" w:rsidRPr="00B30B78" w:rsidRDefault="00B30B78">
            <w:pPr>
              <w:rPr>
                <w:rFonts w:cstheme="minorHAnsi"/>
                <w:b/>
                <w:bCs/>
                <w:sz w:val="18"/>
                <w:szCs w:val="18"/>
              </w:rPr>
            </w:pPr>
          </w:p>
        </w:tc>
      </w:tr>
      <w:tr w:rsidR="00B30B78" w:rsidRPr="00B30B78" w14:paraId="61B45B7C" w14:textId="77777777" w:rsidTr="005D52A0">
        <w:tc>
          <w:tcPr>
            <w:tcW w:w="9206" w:type="dxa"/>
            <w:gridSpan w:val="8"/>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48FB09D0" w14:textId="46033E9E" w:rsidR="00B30B78" w:rsidRPr="00B30B78" w:rsidRDefault="00B30B78">
            <w:pPr>
              <w:rPr>
                <w:rFonts w:cstheme="minorHAnsi"/>
                <w:b/>
                <w:bCs/>
                <w:sz w:val="18"/>
                <w:szCs w:val="18"/>
              </w:rPr>
            </w:pPr>
            <w:r w:rsidRPr="00B30B78">
              <w:rPr>
                <w:rFonts w:cstheme="minorHAnsi"/>
                <w:b/>
                <w:bCs/>
                <w:sz w:val="18"/>
                <w:szCs w:val="18"/>
              </w:rPr>
              <w:t>Mjera 1</w:t>
            </w:r>
            <w:r w:rsidR="00E73B3B">
              <w:rPr>
                <w:rFonts w:cstheme="minorHAnsi"/>
                <w:b/>
                <w:bCs/>
                <w:sz w:val="18"/>
                <w:szCs w:val="18"/>
              </w:rPr>
              <w:t>4</w:t>
            </w:r>
            <w:r w:rsidRPr="00B30B78">
              <w:rPr>
                <w:rFonts w:cstheme="minorHAnsi"/>
                <w:b/>
                <w:bCs/>
                <w:sz w:val="18"/>
                <w:szCs w:val="18"/>
              </w:rPr>
              <w:t>. Izrada i/ili unaprjeđenje aplikacija koje su dio informacijskog sustava gospodarenja otpadom</w:t>
            </w:r>
          </w:p>
        </w:tc>
      </w:tr>
      <w:tr w:rsidR="00B30B78" w:rsidRPr="00B30B78" w14:paraId="42A1F7A9" w14:textId="77777777" w:rsidTr="005D52A0">
        <w:tc>
          <w:tcPr>
            <w:tcW w:w="1696" w:type="dxa"/>
            <w:tcBorders>
              <w:top w:val="single" w:sz="4" w:space="0" w:color="auto"/>
              <w:left w:val="single" w:sz="4" w:space="0" w:color="auto"/>
              <w:bottom w:val="single" w:sz="4" w:space="0" w:color="auto"/>
              <w:right w:val="single" w:sz="4" w:space="0" w:color="auto"/>
            </w:tcBorders>
            <w:vAlign w:val="center"/>
            <w:hideMark/>
          </w:tcPr>
          <w:p w14:paraId="5F26859A" w14:textId="05860573" w:rsidR="00B30B78" w:rsidRPr="00B30B78" w:rsidRDefault="00B30B78" w:rsidP="00E54322">
            <w:pPr>
              <w:jc w:val="left"/>
              <w:rPr>
                <w:rFonts w:cstheme="minorHAnsi"/>
                <w:sz w:val="18"/>
                <w:szCs w:val="18"/>
              </w:rPr>
            </w:pPr>
            <w:r w:rsidRPr="00B30B78">
              <w:rPr>
                <w:rFonts w:cstheme="minorHAnsi"/>
                <w:sz w:val="18"/>
                <w:szCs w:val="18"/>
              </w:rPr>
              <w:t xml:space="preserve">A </w:t>
            </w:r>
            <w:r w:rsidR="00E73B3B" w:rsidRPr="00B30B78">
              <w:rPr>
                <w:rFonts w:cstheme="minorHAnsi"/>
                <w:sz w:val="18"/>
                <w:szCs w:val="18"/>
              </w:rPr>
              <w:t>1</w:t>
            </w:r>
            <w:r w:rsidR="00E73B3B">
              <w:rPr>
                <w:rFonts w:cstheme="minorHAnsi"/>
                <w:sz w:val="18"/>
                <w:szCs w:val="18"/>
              </w:rPr>
              <w:t>4</w:t>
            </w:r>
            <w:r w:rsidRPr="00B30B78">
              <w:rPr>
                <w:rFonts w:cstheme="minorHAnsi"/>
                <w:sz w:val="18"/>
                <w:szCs w:val="18"/>
              </w:rPr>
              <w:t>.1. Uspostava Registra proizvođača s proširenom odgovornosti</w:t>
            </w:r>
          </w:p>
        </w:tc>
        <w:tc>
          <w:tcPr>
            <w:tcW w:w="992" w:type="dxa"/>
            <w:tcBorders>
              <w:top w:val="single" w:sz="6" w:space="0" w:color="auto"/>
              <w:left w:val="single" w:sz="6" w:space="0" w:color="auto"/>
              <w:bottom w:val="single" w:sz="6" w:space="0" w:color="auto"/>
              <w:right w:val="single" w:sz="6" w:space="0" w:color="auto"/>
            </w:tcBorders>
            <w:vAlign w:val="center"/>
            <w:hideMark/>
          </w:tcPr>
          <w:p w14:paraId="63E051D0" w14:textId="77777777" w:rsidR="00B30B78" w:rsidRPr="00B30B78" w:rsidRDefault="00B30B78">
            <w:pPr>
              <w:rPr>
                <w:rFonts w:cstheme="minorHAnsi"/>
                <w:sz w:val="18"/>
                <w:szCs w:val="18"/>
              </w:rPr>
            </w:pPr>
            <w:r w:rsidRPr="00B30B78">
              <w:rPr>
                <w:rFonts w:cstheme="minorHAnsi"/>
                <w:sz w:val="18"/>
                <w:szCs w:val="18"/>
              </w:rPr>
              <w:t>FZOEU</w:t>
            </w:r>
          </w:p>
        </w:tc>
        <w:tc>
          <w:tcPr>
            <w:tcW w:w="967" w:type="dxa"/>
            <w:tcBorders>
              <w:top w:val="single" w:sz="6" w:space="0" w:color="auto"/>
              <w:left w:val="single" w:sz="6" w:space="0" w:color="auto"/>
              <w:bottom w:val="single" w:sz="6" w:space="0" w:color="auto"/>
              <w:right w:val="single" w:sz="6" w:space="0" w:color="auto"/>
            </w:tcBorders>
            <w:vAlign w:val="center"/>
            <w:hideMark/>
          </w:tcPr>
          <w:p w14:paraId="2FAF95D8" w14:textId="77777777" w:rsidR="00B30B78" w:rsidRPr="00B30B78" w:rsidRDefault="00B30B78">
            <w:pPr>
              <w:rPr>
                <w:rFonts w:cstheme="minorHAnsi"/>
                <w:sz w:val="18"/>
                <w:szCs w:val="18"/>
              </w:rPr>
            </w:pPr>
            <w:r w:rsidRPr="00B30B78">
              <w:rPr>
                <w:rFonts w:cstheme="minorHAnsi"/>
                <w:sz w:val="18"/>
                <w:szCs w:val="18"/>
              </w:rPr>
              <w:t>MINGOR</w:t>
            </w:r>
          </w:p>
        </w:tc>
        <w:tc>
          <w:tcPr>
            <w:tcW w:w="1160" w:type="dxa"/>
            <w:tcBorders>
              <w:top w:val="single" w:sz="6" w:space="0" w:color="auto"/>
              <w:left w:val="single" w:sz="6" w:space="0" w:color="auto"/>
              <w:bottom w:val="single" w:sz="6" w:space="0" w:color="auto"/>
              <w:right w:val="single" w:sz="6" w:space="0" w:color="auto"/>
            </w:tcBorders>
            <w:vAlign w:val="center"/>
            <w:hideMark/>
          </w:tcPr>
          <w:p w14:paraId="7E144DEA" w14:textId="77777777" w:rsidR="00B30B78" w:rsidRPr="00B30B78" w:rsidRDefault="00B30B78">
            <w:pPr>
              <w:rPr>
                <w:rFonts w:cstheme="minorHAnsi"/>
                <w:sz w:val="18"/>
                <w:szCs w:val="18"/>
              </w:rPr>
            </w:pPr>
            <w:r w:rsidRPr="00B30B78">
              <w:rPr>
                <w:rFonts w:cstheme="minorHAnsi"/>
                <w:sz w:val="18"/>
                <w:szCs w:val="18"/>
              </w:rPr>
              <w:t>FZOEU</w:t>
            </w:r>
          </w:p>
        </w:tc>
        <w:tc>
          <w:tcPr>
            <w:tcW w:w="1556" w:type="dxa"/>
            <w:tcBorders>
              <w:top w:val="single" w:sz="4" w:space="0" w:color="auto"/>
              <w:left w:val="single" w:sz="4" w:space="0" w:color="auto"/>
              <w:bottom w:val="single" w:sz="4" w:space="0" w:color="auto"/>
              <w:right w:val="single" w:sz="4" w:space="0" w:color="auto"/>
            </w:tcBorders>
            <w:vAlign w:val="center"/>
            <w:hideMark/>
          </w:tcPr>
          <w:p w14:paraId="6BFE1107" w14:textId="77777777" w:rsidR="00B30B78" w:rsidRPr="00B30B78" w:rsidRDefault="00B30B78" w:rsidP="00E54322">
            <w:pPr>
              <w:jc w:val="left"/>
              <w:rPr>
                <w:rFonts w:cstheme="minorHAnsi"/>
                <w:sz w:val="18"/>
                <w:szCs w:val="18"/>
              </w:rPr>
            </w:pPr>
            <w:r w:rsidRPr="00B30B78">
              <w:rPr>
                <w:rFonts w:cstheme="minorHAnsi"/>
                <w:sz w:val="18"/>
                <w:szCs w:val="18"/>
              </w:rPr>
              <w:t>Funkcionalan Registar proizvođača s proširenom odgovornošću</w:t>
            </w:r>
          </w:p>
        </w:tc>
        <w:tc>
          <w:tcPr>
            <w:tcW w:w="820" w:type="dxa"/>
            <w:tcBorders>
              <w:top w:val="single" w:sz="4" w:space="0" w:color="auto"/>
              <w:left w:val="single" w:sz="4" w:space="0" w:color="auto"/>
              <w:bottom w:val="single" w:sz="4" w:space="0" w:color="auto"/>
              <w:right w:val="single" w:sz="4" w:space="0" w:color="auto"/>
            </w:tcBorders>
            <w:vAlign w:val="center"/>
            <w:hideMark/>
          </w:tcPr>
          <w:p w14:paraId="0CE01FAC" w14:textId="77777777" w:rsidR="00B30B78" w:rsidRPr="00B30B78" w:rsidRDefault="00B30B78">
            <w:pPr>
              <w:rPr>
                <w:rFonts w:cstheme="minorHAnsi"/>
                <w:sz w:val="18"/>
                <w:szCs w:val="18"/>
              </w:rPr>
            </w:pPr>
            <w:r w:rsidRPr="00B30B78">
              <w:rPr>
                <w:rFonts w:cstheme="minorHAnsi"/>
                <w:sz w:val="18"/>
                <w:szCs w:val="18"/>
              </w:rPr>
              <w:t>Broj</w:t>
            </w:r>
          </w:p>
        </w:tc>
        <w:tc>
          <w:tcPr>
            <w:tcW w:w="1023" w:type="dxa"/>
            <w:tcBorders>
              <w:top w:val="single" w:sz="4" w:space="0" w:color="auto"/>
              <w:left w:val="single" w:sz="4" w:space="0" w:color="auto"/>
              <w:bottom w:val="single" w:sz="4" w:space="0" w:color="auto"/>
              <w:right w:val="single" w:sz="4" w:space="0" w:color="auto"/>
            </w:tcBorders>
            <w:vAlign w:val="center"/>
            <w:hideMark/>
          </w:tcPr>
          <w:p w14:paraId="0D2BD324" w14:textId="77777777" w:rsidR="00B30B78" w:rsidRPr="00B30B78" w:rsidRDefault="00B30B78">
            <w:pPr>
              <w:rPr>
                <w:rFonts w:cstheme="minorHAnsi"/>
                <w:sz w:val="18"/>
                <w:szCs w:val="18"/>
              </w:rPr>
            </w:pPr>
            <w:r w:rsidRPr="00B30B78">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4FD4C2" w14:textId="77777777" w:rsidR="00B30B78" w:rsidRPr="00B30B78" w:rsidRDefault="00B30B78">
            <w:pPr>
              <w:jc w:val="center"/>
              <w:rPr>
                <w:rFonts w:cstheme="minorHAnsi"/>
                <w:sz w:val="18"/>
                <w:szCs w:val="18"/>
              </w:rPr>
            </w:pPr>
            <w:r w:rsidRPr="00B30B78">
              <w:rPr>
                <w:rFonts w:cstheme="minorHAnsi"/>
                <w:sz w:val="18"/>
                <w:szCs w:val="18"/>
              </w:rPr>
              <w:t>2023.</w:t>
            </w:r>
          </w:p>
        </w:tc>
      </w:tr>
      <w:tr w:rsidR="00B30B78" w:rsidRPr="00B30B78" w14:paraId="6FB1073F" w14:textId="77777777" w:rsidTr="005D52A0">
        <w:tc>
          <w:tcPr>
            <w:tcW w:w="1696" w:type="dxa"/>
            <w:tcBorders>
              <w:top w:val="single" w:sz="4" w:space="0" w:color="auto"/>
              <w:left w:val="single" w:sz="4" w:space="0" w:color="auto"/>
              <w:bottom w:val="single" w:sz="4" w:space="0" w:color="auto"/>
              <w:right w:val="single" w:sz="4" w:space="0" w:color="auto"/>
            </w:tcBorders>
            <w:vAlign w:val="center"/>
            <w:hideMark/>
          </w:tcPr>
          <w:p w14:paraId="5AA6D86C" w14:textId="018BBC49" w:rsidR="00B30B78" w:rsidRPr="00B30B78" w:rsidRDefault="00B30B78" w:rsidP="00E54322">
            <w:pPr>
              <w:jc w:val="left"/>
              <w:rPr>
                <w:rFonts w:cstheme="minorHAnsi"/>
                <w:sz w:val="18"/>
                <w:szCs w:val="18"/>
              </w:rPr>
            </w:pPr>
            <w:r w:rsidRPr="00B30B78">
              <w:rPr>
                <w:rFonts w:cstheme="minorHAnsi"/>
                <w:sz w:val="18"/>
                <w:szCs w:val="18"/>
              </w:rPr>
              <w:t xml:space="preserve">A </w:t>
            </w:r>
            <w:r w:rsidR="00E73B3B" w:rsidRPr="00B30B78">
              <w:rPr>
                <w:rFonts w:cstheme="minorHAnsi"/>
                <w:sz w:val="18"/>
                <w:szCs w:val="18"/>
              </w:rPr>
              <w:t>1</w:t>
            </w:r>
            <w:r w:rsidR="00E73B3B">
              <w:rPr>
                <w:rFonts w:cstheme="minorHAnsi"/>
                <w:sz w:val="18"/>
                <w:szCs w:val="18"/>
              </w:rPr>
              <w:t>4</w:t>
            </w:r>
            <w:r w:rsidRPr="00B30B78">
              <w:rPr>
                <w:rFonts w:cstheme="minorHAnsi"/>
                <w:sz w:val="18"/>
                <w:szCs w:val="18"/>
              </w:rPr>
              <w:t>.2. Uspostava aplikacije Evidencija javne usluge</w:t>
            </w:r>
          </w:p>
        </w:tc>
        <w:tc>
          <w:tcPr>
            <w:tcW w:w="992" w:type="dxa"/>
            <w:tcBorders>
              <w:top w:val="single" w:sz="6" w:space="0" w:color="auto"/>
              <w:left w:val="single" w:sz="6" w:space="0" w:color="auto"/>
              <w:bottom w:val="single" w:sz="6" w:space="0" w:color="auto"/>
              <w:right w:val="single" w:sz="6" w:space="0" w:color="auto"/>
            </w:tcBorders>
            <w:vAlign w:val="center"/>
            <w:hideMark/>
          </w:tcPr>
          <w:p w14:paraId="4DC992C2" w14:textId="77777777" w:rsidR="00B30B78" w:rsidRPr="00B30B78" w:rsidRDefault="00B30B78">
            <w:pPr>
              <w:rPr>
                <w:rFonts w:cstheme="minorHAnsi"/>
                <w:sz w:val="18"/>
                <w:szCs w:val="18"/>
              </w:rPr>
            </w:pPr>
            <w:r w:rsidRPr="00B30B78">
              <w:rPr>
                <w:rFonts w:cstheme="minorHAnsi"/>
                <w:sz w:val="18"/>
                <w:szCs w:val="18"/>
              </w:rPr>
              <w:t>MINGOR</w:t>
            </w:r>
          </w:p>
        </w:tc>
        <w:tc>
          <w:tcPr>
            <w:tcW w:w="967" w:type="dxa"/>
            <w:tcBorders>
              <w:top w:val="single" w:sz="6" w:space="0" w:color="auto"/>
              <w:left w:val="single" w:sz="6" w:space="0" w:color="auto"/>
              <w:bottom w:val="single" w:sz="6" w:space="0" w:color="auto"/>
              <w:right w:val="single" w:sz="6" w:space="0" w:color="auto"/>
            </w:tcBorders>
            <w:vAlign w:val="center"/>
            <w:hideMark/>
          </w:tcPr>
          <w:p w14:paraId="490FE90E" w14:textId="77777777" w:rsidR="00B30B78" w:rsidRPr="00B30B78" w:rsidRDefault="00B30B78">
            <w:pPr>
              <w:rPr>
                <w:rFonts w:cstheme="minorHAnsi"/>
                <w:sz w:val="18"/>
                <w:szCs w:val="18"/>
              </w:rPr>
            </w:pPr>
            <w:r w:rsidRPr="00B30B78">
              <w:rPr>
                <w:rFonts w:cstheme="minorHAnsi"/>
                <w:sz w:val="18"/>
                <w:szCs w:val="18"/>
              </w:rPr>
              <w:t>-</w:t>
            </w:r>
          </w:p>
        </w:tc>
        <w:tc>
          <w:tcPr>
            <w:tcW w:w="1160" w:type="dxa"/>
            <w:tcBorders>
              <w:top w:val="single" w:sz="6" w:space="0" w:color="auto"/>
              <w:left w:val="single" w:sz="6" w:space="0" w:color="auto"/>
              <w:bottom w:val="single" w:sz="6" w:space="0" w:color="auto"/>
              <w:right w:val="single" w:sz="6" w:space="0" w:color="auto"/>
            </w:tcBorders>
            <w:vAlign w:val="center"/>
            <w:hideMark/>
          </w:tcPr>
          <w:p w14:paraId="026C89FE" w14:textId="77777777" w:rsidR="00B30B78" w:rsidRPr="00B30B78" w:rsidRDefault="00B30B78">
            <w:pPr>
              <w:rPr>
                <w:rFonts w:cstheme="minorHAnsi"/>
                <w:sz w:val="18"/>
                <w:szCs w:val="18"/>
              </w:rPr>
            </w:pPr>
            <w:r w:rsidRPr="00B30B78">
              <w:rPr>
                <w:rFonts w:cstheme="minorHAnsi"/>
                <w:sz w:val="18"/>
                <w:szCs w:val="18"/>
              </w:rPr>
              <w:t>MINGOR</w:t>
            </w:r>
          </w:p>
        </w:tc>
        <w:tc>
          <w:tcPr>
            <w:tcW w:w="1556" w:type="dxa"/>
            <w:tcBorders>
              <w:top w:val="single" w:sz="4" w:space="0" w:color="auto"/>
              <w:left w:val="single" w:sz="4" w:space="0" w:color="auto"/>
              <w:bottom w:val="single" w:sz="4" w:space="0" w:color="auto"/>
              <w:right w:val="single" w:sz="4" w:space="0" w:color="auto"/>
            </w:tcBorders>
            <w:vAlign w:val="center"/>
            <w:hideMark/>
          </w:tcPr>
          <w:p w14:paraId="18F688D4" w14:textId="77777777" w:rsidR="00B30B78" w:rsidRPr="00B30B78" w:rsidRDefault="00B30B78" w:rsidP="00E54322">
            <w:pPr>
              <w:jc w:val="left"/>
              <w:rPr>
                <w:rFonts w:cstheme="minorHAnsi"/>
                <w:sz w:val="18"/>
                <w:szCs w:val="18"/>
              </w:rPr>
            </w:pPr>
            <w:r w:rsidRPr="00B30B78">
              <w:rPr>
                <w:rFonts w:cstheme="minorHAnsi"/>
                <w:sz w:val="18"/>
                <w:szCs w:val="18"/>
              </w:rPr>
              <w:t>Funkcionalna aplikacija Evidencije javne usluge</w:t>
            </w:r>
          </w:p>
        </w:tc>
        <w:tc>
          <w:tcPr>
            <w:tcW w:w="820" w:type="dxa"/>
            <w:tcBorders>
              <w:top w:val="single" w:sz="4" w:space="0" w:color="auto"/>
              <w:left w:val="single" w:sz="4" w:space="0" w:color="auto"/>
              <w:bottom w:val="single" w:sz="4" w:space="0" w:color="auto"/>
              <w:right w:val="single" w:sz="4" w:space="0" w:color="auto"/>
            </w:tcBorders>
            <w:vAlign w:val="center"/>
            <w:hideMark/>
          </w:tcPr>
          <w:p w14:paraId="44EBDF4B" w14:textId="77777777" w:rsidR="00B30B78" w:rsidRPr="00B30B78" w:rsidRDefault="00B30B78">
            <w:pPr>
              <w:rPr>
                <w:rFonts w:cstheme="minorHAnsi"/>
                <w:sz w:val="18"/>
                <w:szCs w:val="18"/>
              </w:rPr>
            </w:pPr>
            <w:r w:rsidRPr="00B30B78">
              <w:rPr>
                <w:rFonts w:cstheme="minorHAnsi"/>
                <w:sz w:val="18"/>
                <w:szCs w:val="18"/>
              </w:rPr>
              <w:t>Broj</w:t>
            </w:r>
          </w:p>
        </w:tc>
        <w:tc>
          <w:tcPr>
            <w:tcW w:w="1023" w:type="dxa"/>
            <w:tcBorders>
              <w:top w:val="single" w:sz="4" w:space="0" w:color="auto"/>
              <w:left w:val="single" w:sz="4" w:space="0" w:color="auto"/>
              <w:bottom w:val="single" w:sz="4" w:space="0" w:color="auto"/>
              <w:right w:val="single" w:sz="4" w:space="0" w:color="auto"/>
            </w:tcBorders>
            <w:vAlign w:val="center"/>
            <w:hideMark/>
          </w:tcPr>
          <w:p w14:paraId="27E22C85" w14:textId="77777777" w:rsidR="00B30B78" w:rsidRPr="00B30B78" w:rsidRDefault="00B30B78">
            <w:pPr>
              <w:rPr>
                <w:rFonts w:cstheme="minorHAnsi"/>
                <w:sz w:val="18"/>
                <w:szCs w:val="18"/>
              </w:rPr>
            </w:pPr>
            <w:r w:rsidRPr="00B30B78">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D2AFDA" w14:textId="77777777" w:rsidR="00B30B78" w:rsidRPr="00B30B78" w:rsidRDefault="00B30B78">
            <w:pPr>
              <w:jc w:val="center"/>
              <w:rPr>
                <w:rFonts w:cstheme="minorHAnsi"/>
                <w:sz w:val="18"/>
                <w:szCs w:val="18"/>
              </w:rPr>
            </w:pPr>
            <w:r w:rsidRPr="00B30B78">
              <w:rPr>
                <w:rFonts w:cstheme="minorHAnsi"/>
                <w:sz w:val="18"/>
                <w:szCs w:val="18"/>
              </w:rPr>
              <w:t>2024.</w:t>
            </w:r>
          </w:p>
        </w:tc>
      </w:tr>
      <w:tr w:rsidR="00B30B78" w:rsidRPr="00B30B78" w14:paraId="222CE8C9" w14:textId="77777777" w:rsidTr="005D52A0">
        <w:tc>
          <w:tcPr>
            <w:tcW w:w="1696" w:type="dxa"/>
            <w:tcBorders>
              <w:top w:val="single" w:sz="4" w:space="0" w:color="auto"/>
              <w:left w:val="single" w:sz="4" w:space="0" w:color="auto"/>
              <w:bottom w:val="single" w:sz="4" w:space="0" w:color="auto"/>
              <w:right w:val="single" w:sz="4" w:space="0" w:color="auto"/>
            </w:tcBorders>
            <w:vAlign w:val="center"/>
            <w:hideMark/>
          </w:tcPr>
          <w:p w14:paraId="756FFFE8" w14:textId="68C2F623" w:rsidR="00B30B78" w:rsidRPr="00B30B78" w:rsidRDefault="00B30B78" w:rsidP="00E54322">
            <w:pPr>
              <w:jc w:val="left"/>
              <w:rPr>
                <w:rFonts w:cstheme="minorHAnsi"/>
                <w:sz w:val="18"/>
                <w:szCs w:val="18"/>
              </w:rPr>
            </w:pPr>
            <w:r w:rsidRPr="00B30B78">
              <w:rPr>
                <w:rFonts w:cstheme="minorHAnsi"/>
                <w:sz w:val="18"/>
                <w:szCs w:val="18"/>
              </w:rPr>
              <w:t xml:space="preserve">A </w:t>
            </w:r>
            <w:r w:rsidR="00E73B3B" w:rsidRPr="00B30B78">
              <w:rPr>
                <w:rFonts w:cstheme="minorHAnsi"/>
                <w:sz w:val="18"/>
                <w:szCs w:val="18"/>
              </w:rPr>
              <w:t>1</w:t>
            </w:r>
            <w:r w:rsidR="00E73B3B">
              <w:rPr>
                <w:rFonts w:cstheme="minorHAnsi"/>
                <w:sz w:val="18"/>
                <w:szCs w:val="18"/>
              </w:rPr>
              <w:t>4</w:t>
            </w:r>
            <w:r w:rsidRPr="00B30B78">
              <w:rPr>
                <w:rFonts w:cstheme="minorHAnsi"/>
                <w:sz w:val="18"/>
                <w:szCs w:val="18"/>
              </w:rPr>
              <w:t>.3. Nadogradnja Portala sprječavanje nastanka otpada</w:t>
            </w:r>
          </w:p>
        </w:tc>
        <w:tc>
          <w:tcPr>
            <w:tcW w:w="992" w:type="dxa"/>
            <w:tcBorders>
              <w:top w:val="single" w:sz="6" w:space="0" w:color="auto"/>
              <w:left w:val="single" w:sz="6" w:space="0" w:color="auto"/>
              <w:bottom w:val="single" w:sz="6" w:space="0" w:color="auto"/>
              <w:right w:val="single" w:sz="6" w:space="0" w:color="auto"/>
            </w:tcBorders>
            <w:vAlign w:val="center"/>
            <w:hideMark/>
          </w:tcPr>
          <w:p w14:paraId="64B96994" w14:textId="77777777" w:rsidR="00B30B78" w:rsidRPr="00B30B78" w:rsidRDefault="00B30B78">
            <w:pPr>
              <w:rPr>
                <w:rFonts w:cstheme="minorHAnsi"/>
                <w:sz w:val="18"/>
                <w:szCs w:val="18"/>
              </w:rPr>
            </w:pPr>
            <w:r w:rsidRPr="00B30B78">
              <w:rPr>
                <w:rFonts w:cstheme="minorHAnsi"/>
                <w:sz w:val="18"/>
                <w:szCs w:val="18"/>
              </w:rPr>
              <w:t>MINGOR</w:t>
            </w:r>
          </w:p>
        </w:tc>
        <w:tc>
          <w:tcPr>
            <w:tcW w:w="967" w:type="dxa"/>
            <w:tcBorders>
              <w:top w:val="single" w:sz="6" w:space="0" w:color="auto"/>
              <w:left w:val="single" w:sz="6" w:space="0" w:color="auto"/>
              <w:bottom w:val="single" w:sz="6" w:space="0" w:color="auto"/>
              <w:right w:val="single" w:sz="6" w:space="0" w:color="auto"/>
            </w:tcBorders>
            <w:vAlign w:val="center"/>
            <w:hideMark/>
          </w:tcPr>
          <w:p w14:paraId="38144E2C" w14:textId="77777777" w:rsidR="00B30B78" w:rsidRPr="00B30B78" w:rsidRDefault="00B30B78">
            <w:pPr>
              <w:rPr>
                <w:rFonts w:cstheme="minorHAnsi"/>
                <w:sz w:val="18"/>
                <w:szCs w:val="18"/>
              </w:rPr>
            </w:pPr>
            <w:r w:rsidRPr="00B30B78">
              <w:rPr>
                <w:rFonts w:cstheme="minorHAnsi"/>
                <w:sz w:val="18"/>
                <w:szCs w:val="18"/>
              </w:rPr>
              <w:t>-</w:t>
            </w:r>
          </w:p>
        </w:tc>
        <w:tc>
          <w:tcPr>
            <w:tcW w:w="1160" w:type="dxa"/>
            <w:tcBorders>
              <w:top w:val="single" w:sz="6" w:space="0" w:color="auto"/>
              <w:left w:val="single" w:sz="6" w:space="0" w:color="auto"/>
              <w:bottom w:val="single" w:sz="6" w:space="0" w:color="auto"/>
              <w:right w:val="single" w:sz="6" w:space="0" w:color="auto"/>
            </w:tcBorders>
            <w:vAlign w:val="center"/>
            <w:hideMark/>
          </w:tcPr>
          <w:p w14:paraId="7E07CE0A" w14:textId="77777777" w:rsidR="00B30B78" w:rsidRPr="00B30B78" w:rsidRDefault="00B30B78">
            <w:pPr>
              <w:rPr>
                <w:rFonts w:cstheme="minorHAnsi"/>
                <w:sz w:val="18"/>
                <w:szCs w:val="18"/>
              </w:rPr>
            </w:pPr>
            <w:r w:rsidRPr="00B30B78">
              <w:rPr>
                <w:rFonts w:cstheme="minorHAnsi"/>
                <w:sz w:val="18"/>
                <w:szCs w:val="18"/>
              </w:rPr>
              <w:t>MINGOR</w:t>
            </w:r>
          </w:p>
        </w:tc>
        <w:tc>
          <w:tcPr>
            <w:tcW w:w="1556" w:type="dxa"/>
            <w:tcBorders>
              <w:top w:val="single" w:sz="4" w:space="0" w:color="auto"/>
              <w:left w:val="single" w:sz="4" w:space="0" w:color="auto"/>
              <w:bottom w:val="single" w:sz="4" w:space="0" w:color="auto"/>
              <w:right w:val="single" w:sz="4" w:space="0" w:color="auto"/>
            </w:tcBorders>
            <w:vAlign w:val="center"/>
            <w:hideMark/>
          </w:tcPr>
          <w:p w14:paraId="0C785098" w14:textId="77777777" w:rsidR="00B30B78" w:rsidRPr="00B30B78" w:rsidRDefault="00B30B78" w:rsidP="00E54322">
            <w:pPr>
              <w:jc w:val="left"/>
              <w:rPr>
                <w:rFonts w:cstheme="minorHAnsi"/>
                <w:sz w:val="18"/>
                <w:szCs w:val="18"/>
              </w:rPr>
            </w:pPr>
            <w:r w:rsidRPr="00B30B78">
              <w:rPr>
                <w:rFonts w:cstheme="minorHAnsi"/>
                <w:sz w:val="18"/>
                <w:szCs w:val="18"/>
              </w:rPr>
              <w:t>Nadograđen Portal sprječavanja nastanka otpada</w:t>
            </w:r>
          </w:p>
        </w:tc>
        <w:tc>
          <w:tcPr>
            <w:tcW w:w="820" w:type="dxa"/>
            <w:tcBorders>
              <w:top w:val="single" w:sz="4" w:space="0" w:color="auto"/>
              <w:left w:val="single" w:sz="4" w:space="0" w:color="auto"/>
              <w:bottom w:val="single" w:sz="4" w:space="0" w:color="auto"/>
              <w:right w:val="single" w:sz="4" w:space="0" w:color="auto"/>
            </w:tcBorders>
            <w:vAlign w:val="center"/>
            <w:hideMark/>
          </w:tcPr>
          <w:p w14:paraId="7EB88D8A" w14:textId="77777777" w:rsidR="00B30B78" w:rsidRPr="00B30B78" w:rsidRDefault="00B30B78">
            <w:pPr>
              <w:rPr>
                <w:rFonts w:cstheme="minorHAnsi"/>
                <w:sz w:val="18"/>
                <w:szCs w:val="18"/>
                <w:highlight w:val="yellow"/>
              </w:rPr>
            </w:pPr>
            <w:r w:rsidRPr="00B30B78">
              <w:rPr>
                <w:rFonts w:cstheme="minorHAnsi"/>
                <w:sz w:val="18"/>
                <w:szCs w:val="18"/>
              </w:rPr>
              <w:t>Broj</w:t>
            </w:r>
          </w:p>
        </w:tc>
        <w:tc>
          <w:tcPr>
            <w:tcW w:w="1023" w:type="dxa"/>
            <w:tcBorders>
              <w:top w:val="single" w:sz="4" w:space="0" w:color="auto"/>
              <w:left w:val="single" w:sz="4" w:space="0" w:color="auto"/>
              <w:bottom w:val="single" w:sz="4" w:space="0" w:color="auto"/>
              <w:right w:val="single" w:sz="4" w:space="0" w:color="auto"/>
            </w:tcBorders>
            <w:vAlign w:val="center"/>
            <w:hideMark/>
          </w:tcPr>
          <w:p w14:paraId="091ADB6D" w14:textId="77777777" w:rsidR="00B30B78" w:rsidRPr="00B30B78" w:rsidRDefault="00B30B78">
            <w:pPr>
              <w:rPr>
                <w:rFonts w:cstheme="minorHAnsi"/>
                <w:sz w:val="18"/>
                <w:szCs w:val="18"/>
                <w:highlight w:val="yellow"/>
              </w:rPr>
            </w:pPr>
            <w:r w:rsidRPr="00B30B78">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60947A" w14:textId="77777777" w:rsidR="00B30B78" w:rsidRPr="00B30B78" w:rsidRDefault="00B30B78">
            <w:pPr>
              <w:jc w:val="center"/>
              <w:rPr>
                <w:rFonts w:cstheme="minorHAnsi"/>
                <w:sz w:val="18"/>
                <w:szCs w:val="18"/>
              </w:rPr>
            </w:pPr>
            <w:r w:rsidRPr="00B30B78">
              <w:rPr>
                <w:rFonts w:cstheme="minorHAnsi"/>
                <w:sz w:val="18"/>
                <w:szCs w:val="18"/>
              </w:rPr>
              <w:t>2025.</w:t>
            </w:r>
          </w:p>
        </w:tc>
      </w:tr>
      <w:tr w:rsidR="00B30B78" w:rsidRPr="00B30B78" w14:paraId="1143037D" w14:textId="77777777" w:rsidTr="005D52A0">
        <w:tc>
          <w:tcPr>
            <w:tcW w:w="1696" w:type="dxa"/>
            <w:tcBorders>
              <w:top w:val="single" w:sz="4" w:space="0" w:color="auto"/>
              <w:left w:val="single" w:sz="4" w:space="0" w:color="auto"/>
              <w:bottom w:val="single" w:sz="4" w:space="0" w:color="auto"/>
              <w:right w:val="single" w:sz="4" w:space="0" w:color="auto"/>
            </w:tcBorders>
            <w:vAlign w:val="center"/>
            <w:hideMark/>
          </w:tcPr>
          <w:p w14:paraId="2FEB200B" w14:textId="1A6990B5" w:rsidR="00B30B78" w:rsidRPr="00B30B78" w:rsidRDefault="00B30B78" w:rsidP="00E54322">
            <w:pPr>
              <w:jc w:val="left"/>
              <w:rPr>
                <w:rFonts w:cstheme="minorHAnsi"/>
                <w:sz w:val="18"/>
                <w:szCs w:val="18"/>
              </w:rPr>
            </w:pPr>
            <w:r w:rsidRPr="00B30B78">
              <w:rPr>
                <w:rFonts w:cstheme="minorHAnsi"/>
                <w:sz w:val="18"/>
                <w:szCs w:val="18"/>
              </w:rPr>
              <w:t xml:space="preserve">A </w:t>
            </w:r>
            <w:r w:rsidR="00E73B3B" w:rsidRPr="00B30B78">
              <w:rPr>
                <w:rFonts w:cstheme="minorHAnsi"/>
                <w:sz w:val="18"/>
                <w:szCs w:val="18"/>
              </w:rPr>
              <w:t>1</w:t>
            </w:r>
            <w:r w:rsidR="00E73B3B">
              <w:rPr>
                <w:rFonts w:cstheme="minorHAnsi"/>
                <w:sz w:val="18"/>
                <w:szCs w:val="18"/>
              </w:rPr>
              <w:t>4</w:t>
            </w:r>
            <w:r w:rsidRPr="00B30B78">
              <w:rPr>
                <w:rFonts w:cstheme="minorHAnsi"/>
                <w:sz w:val="18"/>
                <w:szCs w:val="18"/>
              </w:rPr>
              <w:t>.4 Uspostava aplikacije za nusproizvode i ukidanje statusa otpada</w:t>
            </w:r>
          </w:p>
        </w:tc>
        <w:tc>
          <w:tcPr>
            <w:tcW w:w="992" w:type="dxa"/>
            <w:tcBorders>
              <w:top w:val="single" w:sz="6" w:space="0" w:color="auto"/>
              <w:left w:val="single" w:sz="6" w:space="0" w:color="auto"/>
              <w:bottom w:val="single" w:sz="6" w:space="0" w:color="auto"/>
              <w:right w:val="single" w:sz="6" w:space="0" w:color="auto"/>
            </w:tcBorders>
            <w:vAlign w:val="center"/>
            <w:hideMark/>
          </w:tcPr>
          <w:p w14:paraId="6A39023C" w14:textId="77777777" w:rsidR="00B30B78" w:rsidRPr="00B30B78" w:rsidRDefault="00B30B78">
            <w:pPr>
              <w:rPr>
                <w:rFonts w:cstheme="minorHAnsi"/>
                <w:sz w:val="18"/>
                <w:szCs w:val="18"/>
              </w:rPr>
            </w:pPr>
            <w:r w:rsidRPr="00B30B78">
              <w:rPr>
                <w:rFonts w:cstheme="minorHAnsi"/>
                <w:sz w:val="18"/>
                <w:szCs w:val="18"/>
              </w:rPr>
              <w:t>MINGOR</w:t>
            </w:r>
          </w:p>
        </w:tc>
        <w:tc>
          <w:tcPr>
            <w:tcW w:w="967" w:type="dxa"/>
            <w:tcBorders>
              <w:top w:val="single" w:sz="6" w:space="0" w:color="auto"/>
              <w:left w:val="single" w:sz="6" w:space="0" w:color="auto"/>
              <w:bottom w:val="single" w:sz="6" w:space="0" w:color="auto"/>
              <w:right w:val="single" w:sz="6" w:space="0" w:color="auto"/>
            </w:tcBorders>
            <w:vAlign w:val="center"/>
            <w:hideMark/>
          </w:tcPr>
          <w:p w14:paraId="2817B980" w14:textId="77777777" w:rsidR="00B30B78" w:rsidRPr="00B30B78" w:rsidRDefault="00B30B78">
            <w:pPr>
              <w:rPr>
                <w:rFonts w:cstheme="minorHAnsi"/>
                <w:sz w:val="18"/>
                <w:szCs w:val="18"/>
              </w:rPr>
            </w:pPr>
            <w:r w:rsidRPr="00B30B78">
              <w:rPr>
                <w:rFonts w:cstheme="minorHAnsi"/>
                <w:sz w:val="18"/>
                <w:szCs w:val="18"/>
              </w:rPr>
              <w:t>-</w:t>
            </w:r>
          </w:p>
        </w:tc>
        <w:tc>
          <w:tcPr>
            <w:tcW w:w="1160" w:type="dxa"/>
            <w:tcBorders>
              <w:top w:val="single" w:sz="6" w:space="0" w:color="auto"/>
              <w:left w:val="single" w:sz="6" w:space="0" w:color="auto"/>
              <w:bottom w:val="single" w:sz="6" w:space="0" w:color="auto"/>
              <w:right w:val="single" w:sz="6" w:space="0" w:color="auto"/>
            </w:tcBorders>
            <w:vAlign w:val="center"/>
            <w:hideMark/>
          </w:tcPr>
          <w:p w14:paraId="31342716" w14:textId="77777777" w:rsidR="00B30B78" w:rsidRPr="00B30B78" w:rsidRDefault="00B30B78">
            <w:pPr>
              <w:rPr>
                <w:rFonts w:cstheme="minorHAnsi"/>
                <w:sz w:val="18"/>
                <w:szCs w:val="18"/>
              </w:rPr>
            </w:pPr>
            <w:r w:rsidRPr="00B30B78">
              <w:rPr>
                <w:rFonts w:cstheme="minorHAnsi"/>
                <w:sz w:val="18"/>
                <w:szCs w:val="18"/>
              </w:rPr>
              <w:t>MINGOR</w:t>
            </w:r>
          </w:p>
        </w:tc>
        <w:tc>
          <w:tcPr>
            <w:tcW w:w="1556" w:type="dxa"/>
            <w:tcBorders>
              <w:top w:val="single" w:sz="4" w:space="0" w:color="auto"/>
              <w:left w:val="single" w:sz="4" w:space="0" w:color="auto"/>
              <w:bottom w:val="single" w:sz="4" w:space="0" w:color="auto"/>
              <w:right w:val="single" w:sz="4" w:space="0" w:color="auto"/>
            </w:tcBorders>
            <w:vAlign w:val="center"/>
            <w:hideMark/>
          </w:tcPr>
          <w:p w14:paraId="38CC4AB0" w14:textId="77777777" w:rsidR="00B30B78" w:rsidRPr="00B30B78" w:rsidRDefault="00B30B78" w:rsidP="00E54322">
            <w:pPr>
              <w:jc w:val="left"/>
              <w:rPr>
                <w:rFonts w:cstheme="minorHAnsi"/>
                <w:sz w:val="18"/>
                <w:szCs w:val="18"/>
              </w:rPr>
            </w:pPr>
            <w:r w:rsidRPr="00B30B78">
              <w:rPr>
                <w:rFonts w:cstheme="minorHAnsi"/>
                <w:sz w:val="18"/>
                <w:szCs w:val="18"/>
              </w:rPr>
              <w:t>Funkcionalna aplikacija za nusproizvode i ukidanje statusa otpada</w:t>
            </w:r>
          </w:p>
        </w:tc>
        <w:tc>
          <w:tcPr>
            <w:tcW w:w="820" w:type="dxa"/>
            <w:tcBorders>
              <w:top w:val="single" w:sz="4" w:space="0" w:color="auto"/>
              <w:left w:val="single" w:sz="4" w:space="0" w:color="auto"/>
              <w:bottom w:val="single" w:sz="4" w:space="0" w:color="auto"/>
              <w:right w:val="single" w:sz="4" w:space="0" w:color="auto"/>
            </w:tcBorders>
            <w:vAlign w:val="center"/>
            <w:hideMark/>
          </w:tcPr>
          <w:p w14:paraId="105A17A9" w14:textId="77777777" w:rsidR="00B30B78" w:rsidRPr="00B30B78" w:rsidRDefault="00B30B78">
            <w:pPr>
              <w:rPr>
                <w:rFonts w:cstheme="minorHAnsi"/>
                <w:sz w:val="18"/>
                <w:szCs w:val="18"/>
              </w:rPr>
            </w:pPr>
            <w:r w:rsidRPr="00B30B78">
              <w:rPr>
                <w:rFonts w:cstheme="minorHAnsi"/>
                <w:sz w:val="18"/>
                <w:szCs w:val="18"/>
              </w:rPr>
              <w:t>Broj</w:t>
            </w:r>
          </w:p>
        </w:tc>
        <w:tc>
          <w:tcPr>
            <w:tcW w:w="1023" w:type="dxa"/>
            <w:tcBorders>
              <w:top w:val="single" w:sz="4" w:space="0" w:color="auto"/>
              <w:left w:val="single" w:sz="4" w:space="0" w:color="auto"/>
              <w:bottom w:val="single" w:sz="4" w:space="0" w:color="auto"/>
              <w:right w:val="single" w:sz="4" w:space="0" w:color="auto"/>
            </w:tcBorders>
            <w:vAlign w:val="center"/>
            <w:hideMark/>
          </w:tcPr>
          <w:p w14:paraId="6B4A5A13" w14:textId="77777777" w:rsidR="00B30B78" w:rsidRPr="00B30B78" w:rsidRDefault="00B30B78">
            <w:pPr>
              <w:rPr>
                <w:rFonts w:cstheme="minorHAnsi"/>
                <w:sz w:val="18"/>
                <w:szCs w:val="18"/>
              </w:rPr>
            </w:pPr>
            <w:r w:rsidRPr="00B30B78">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6E8723" w14:textId="77777777" w:rsidR="00B30B78" w:rsidRPr="00B30B78" w:rsidRDefault="00B30B78">
            <w:pPr>
              <w:jc w:val="center"/>
              <w:rPr>
                <w:rFonts w:cstheme="minorHAnsi"/>
                <w:sz w:val="18"/>
                <w:szCs w:val="18"/>
              </w:rPr>
            </w:pPr>
            <w:r w:rsidRPr="00B30B78">
              <w:rPr>
                <w:rFonts w:cstheme="minorHAnsi"/>
                <w:sz w:val="18"/>
                <w:szCs w:val="18"/>
              </w:rPr>
              <w:t>2025.</w:t>
            </w:r>
          </w:p>
        </w:tc>
      </w:tr>
      <w:tr w:rsidR="00B30B78" w:rsidRPr="00B30B78" w14:paraId="5523258A" w14:textId="77777777" w:rsidTr="005D52A0">
        <w:tc>
          <w:tcPr>
            <w:tcW w:w="1696" w:type="dxa"/>
            <w:tcBorders>
              <w:top w:val="single" w:sz="4" w:space="0" w:color="auto"/>
              <w:left w:val="single" w:sz="4" w:space="0" w:color="auto"/>
              <w:bottom w:val="single" w:sz="4" w:space="0" w:color="auto"/>
              <w:right w:val="single" w:sz="4" w:space="0" w:color="auto"/>
            </w:tcBorders>
            <w:vAlign w:val="center"/>
            <w:hideMark/>
          </w:tcPr>
          <w:p w14:paraId="52E9879C" w14:textId="5EE13596" w:rsidR="00B30B78" w:rsidRPr="00B30B78" w:rsidRDefault="00B30B78" w:rsidP="00E54322">
            <w:pPr>
              <w:jc w:val="left"/>
              <w:rPr>
                <w:rFonts w:cstheme="minorHAnsi"/>
                <w:sz w:val="18"/>
                <w:szCs w:val="18"/>
              </w:rPr>
            </w:pPr>
            <w:r w:rsidRPr="00B30B78">
              <w:rPr>
                <w:rFonts w:cstheme="minorHAnsi"/>
                <w:sz w:val="18"/>
                <w:szCs w:val="18"/>
              </w:rPr>
              <w:t xml:space="preserve">A </w:t>
            </w:r>
            <w:r w:rsidR="00E73B3B" w:rsidRPr="00B30B78">
              <w:rPr>
                <w:rFonts w:cstheme="minorHAnsi"/>
                <w:sz w:val="18"/>
                <w:szCs w:val="18"/>
              </w:rPr>
              <w:t>1</w:t>
            </w:r>
            <w:r w:rsidR="00E73B3B">
              <w:rPr>
                <w:rFonts w:cstheme="minorHAnsi"/>
                <w:sz w:val="18"/>
                <w:szCs w:val="18"/>
              </w:rPr>
              <w:t>4</w:t>
            </w:r>
            <w:r w:rsidRPr="00B30B78">
              <w:rPr>
                <w:rFonts w:cstheme="minorHAnsi"/>
                <w:sz w:val="18"/>
                <w:szCs w:val="18"/>
              </w:rPr>
              <w:t xml:space="preserve">.5. Uspostava aplikacije za korištenje mulja u poljoprivredi i biološku obradu </w:t>
            </w:r>
            <w:r w:rsidRPr="00B30B78">
              <w:rPr>
                <w:rFonts w:cstheme="minorHAnsi"/>
                <w:sz w:val="18"/>
                <w:szCs w:val="18"/>
              </w:rPr>
              <w:lastRenderedPageBreak/>
              <w:t>otpada na mjestu nastanka</w:t>
            </w:r>
          </w:p>
        </w:tc>
        <w:tc>
          <w:tcPr>
            <w:tcW w:w="992" w:type="dxa"/>
            <w:tcBorders>
              <w:top w:val="single" w:sz="6" w:space="0" w:color="auto"/>
              <w:left w:val="single" w:sz="6" w:space="0" w:color="auto"/>
              <w:bottom w:val="single" w:sz="6" w:space="0" w:color="auto"/>
              <w:right w:val="single" w:sz="6" w:space="0" w:color="auto"/>
            </w:tcBorders>
            <w:vAlign w:val="center"/>
            <w:hideMark/>
          </w:tcPr>
          <w:p w14:paraId="64044429" w14:textId="77777777" w:rsidR="00B30B78" w:rsidRPr="00B30B78" w:rsidRDefault="00B30B78">
            <w:pPr>
              <w:rPr>
                <w:rFonts w:cstheme="minorHAnsi"/>
                <w:sz w:val="18"/>
                <w:szCs w:val="18"/>
              </w:rPr>
            </w:pPr>
            <w:r w:rsidRPr="00B30B78">
              <w:rPr>
                <w:rFonts w:cstheme="minorHAnsi"/>
                <w:sz w:val="18"/>
                <w:szCs w:val="18"/>
              </w:rPr>
              <w:lastRenderedPageBreak/>
              <w:t>MINGOR</w:t>
            </w:r>
          </w:p>
        </w:tc>
        <w:tc>
          <w:tcPr>
            <w:tcW w:w="967" w:type="dxa"/>
            <w:tcBorders>
              <w:top w:val="single" w:sz="6" w:space="0" w:color="auto"/>
              <w:left w:val="single" w:sz="6" w:space="0" w:color="auto"/>
              <w:bottom w:val="single" w:sz="6" w:space="0" w:color="auto"/>
              <w:right w:val="single" w:sz="6" w:space="0" w:color="auto"/>
            </w:tcBorders>
            <w:vAlign w:val="center"/>
            <w:hideMark/>
          </w:tcPr>
          <w:p w14:paraId="12B7C698" w14:textId="77777777" w:rsidR="00B30B78" w:rsidRPr="00B30B78" w:rsidRDefault="00B30B78">
            <w:pPr>
              <w:rPr>
                <w:rFonts w:cstheme="minorHAnsi"/>
                <w:sz w:val="18"/>
                <w:szCs w:val="18"/>
              </w:rPr>
            </w:pPr>
            <w:r w:rsidRPr="00B30B78">
              <w:rPr>
                <w:rFonts w:cstheme="minorHAnsi"/>
                <w:sz w:val="18"/>
                <w:szCs w:val="18"/>
              </w:rPr>
              <w:t>-</w:t>
            </w:r>
          </w:p>
        </w:tc>
        <w:tc>
          <w:tcPr>
            <w:tcW w:w="1160" w:type="dxa"/>
            <w:tcBorders>
              <w:top w:val="single" w:sz="6" w:space="0" w:color="auto"/>
              <w:left w:val="single" w:sz="6" w:space="0" w:color="auto"/>
              <w:bottom w:val="single" w:sz="6" w:space="0" w:color="auto"/>
              <w:right w:val="single" w:sz="6" w:space="0" w:color="auto"/>
            </w:tcBorders>
            <w:vAlign w:val="center"/>
            <w:hideMark/>
          </w:tcPr>
          <w:p w14:paraId="2F4A65B3" w14:textId="77777777" w:rsidR="00B30B78" w:rsidRPr="00B30B78" w:rsidRDefault="00B30B78">
            <w:pPr>
              <w:rPr>
                <w:rFonts w:cstheme="minorHAnsi"/>
                <w:sz w:val="18"/>
                <w:szCs w:val="18"/>
              </w:rPr>
            </w:pPr>
            <w:r w:rsidRPr="00B30B78">
              <w:rPr>
                <w:rFonts w:cstheme="minorHAnsi"/>
                <w:sz w:val="18"/>
                <w:szCs w:val="18"/>
              </w:rPr>
              <w:t>MINGOR</w:t>
            </w:r>
          </w:p>
        </w:tc>
        <w:tc>
          <w:tcPr>
            <w:tcW w:w="1556" w:type="dxa"/>
            <w:tcBorders>
              <w:top w:val="single" w:sz="4" w:space="0" w:color="auto"/>
              <w:left w:val="single" w:sz="4" w:space="0" w:color="auto"/>
              <w:bottom w:val="single" w:sz="4" w:space="0" w:color="auto"/>
              <w:right w:val="single" w:sz="4" w:space="0" w:color="auto"/>
            </w:tcBorders>
            <w:vAlign w:val="center"/>
            <w:hideMark/>
          </w:tcPr>
          <w:p w14:paraId="542C4B82" w14:textId="77777777" w:rsidR="00B30B78" w:rsidRPr="00B30B78" w:rsidRDefault="00B30B78" w:rsidP="00E54322">
            <w:pPr>
              <w:jc w:val="left"/>
              <w:rPr>
                <w:rFonts w:cstheme="minorHAnsi"/>
                <w:sz w:val="18"/>
                <w:szCs w:val="18"/>
              </w:rPr>
            </w:pPr>
            <w:r w:rsidRPr="00B30B78">
              <w:rPr>
                <w:rFonts w:cstheme="minorHAnsi"/>
                <w:sz w:val="18"/>
                <w:szCs w:val="18"/>
              </w:rPr>
              <w:t xml:space="preserve">Funkcionalna aplikacija za korištenje mulja u poljoprivredi i biološku obradu </w:t>
            </w:r>
            <w:r w:rsidRPr="00B30B78">
              <w:rPr>
                <w:rFonts w:cstheme="minorHAnsi"/>
                <w:sz w:val="18"/>
                <w:szCs w:val="18"/>
              </w:rPr>
              <w:lastRenderedPageBreak/>
              <w:t>otpada na mjestu nastanka</w:t>
            </w:r>
          </w:p>
        </w:tc>
        <w:tc>
          <w:tcPr>
            <w:tcW w:w="820" w:type="dxa"/>
            <w:tcBorders>
              <w:top w:val="single" w:sz="4" w:space="0" w:color="auto"/>
              <w:left w:val="single" w:sz="4" w:space="0" w:color="auto"/>
              <w:bottom w:val="single" w:sz="4" w:space="0" w:color="auto"/>
              <w:right w:val="single" w:sz="4" w:space="0" w:color="auto"/>
            </w:tcBorders>
            <w:vAlign w:val="center"/>
            <w:hideMark/>
          </w:tcPr>
          <w:p w14:paraId="42599F01" w14:textId="77777777" w:rsidR="00B30B78" w:rsidRPr="00B30B78" w:rsidRDefault="00B30B78">
            <w:pPr>
              <w:rPr>
                <w:rFonts w:cstheme="minorHAnsi"/>
                <w:sz w:val="18"/>
                <w:szCs w:val="18"/>
              </w:rPr>
            </w:pPr>
            <w:r w:rsidRPr="00B30B78">
              <w:rPr>
                <w:rFonts w:cstheme="minorHAnsi"/>
                <w:sz w:val="18"/>
                <w:szCs w:val="18"/>
              </w:rPr>
              <w:lastRenderedPageBreak/>
              <w:t>Broj</w:t>
            </w:r>
          </w:p>
        </w:tc>
        <w:tc>
          <w:tcPr>
            <w:tcW w:w="1023" w:type="dxa"/>
            <w:tcBorders>
              <w:top w:val="single" w:sz="4" w:space="0" w:color="auto"/>
              <w:left w:val="single" w:sz="4" w:space="0" w:color="auto"/>
              <w:bottom w:val="single" w:sz="4" w:space="0" w:color="auto"/>
              <w:right w:val="single" w:sz="4" w:space="0" w:color="auto"/>
            </w:tcBorders>
            <w:vAlign w:val="center"/>
            <w:hideMark/>
          </w:tcPr>
          <w:p w14:paraId="0335CEF8" w14:textId="77777777" w:rsidR="00B30B78" w:rsidRPr="00B30B78" w:rsidRDefault="00B30B78">
            <w:pPr>
              <w:rPr>
                <w:rFonts w:cstheme="minorHAnsi"/>
                <w:sz w:val="18"/>
                <w:szCs w:val="18"/>
              </w:rPr>
            </w:pPr>
            <w:r w:rsidRPr="00B30B78">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51BF42" w14:textId="77777777" w:rsidR="00B30B78" w:rsidRPr="00B30B78" w:rsidRDefault="00B30B78">
            <w:pPr>
              <w:jc w:val="center"/>
              <w:rPr>
                <w:rFonts w:cstheme="minorHAnsi"/>
                <w:sz w:val="18"/>
                <w:szCs w:val="18"/>
              </w:rPr>
            </w:pPr>
            <w:r w:rsidRPr="00B30B78">
              <w:rPr>
                <w:rFonts w:cstheme="minorHAnsi"/>
                <w:sz w:val="18"/>
                <w:szCs w:val="18"/>
              </w:rPr>
              <w:t>2025.</w:t>
            </w:r>
          </w:p>
        </w:tc>
      </w:tr>
      <w:tr w:rsidR="00B30B78" w:rsidRPr="00B30B78" w14:paraId="34FB589D" w14:textId="77777777" w:rsidTr="005D52A0">
        <w:tc>
          <w:tcPr>
            <w:tcW w:w="1696" w:type="dxa"/>
            <w:tcBorders>
              <w:top w:val="single" w:sz="4" w:space="0" w:color="auto"/>
              <w:left w:val="single" w:sz="4" w:space="0" w:color="auto"/>
              <w:bottom w:val="single" w:sz="4" w:space="0" w:color="auto"/>
              <w:right w:val="single" w:sz="4" w:space="0" w:color="auto"/>
            </w:tcBorders>
            <w:vAlign w:val="center"/>
            <w:hideMark/>
          </w:tcPr>
          <w:p w14:paraId="4063F274" w14:textId="00D1A06D" w:rsidR="00B30B78" w:rsidRPr="00B30B78" w:rsidRDefault="00B30B78" w:rsidP="00E54322">
            <w:pPr>
              <w:jc w:val="left"/>
              <w:rPr>
                <w:rFonts w:cstheme="minorHAnsi"/>
                <w:sz w:val="18"/>
                <w:szCs w:val="18"/>
              </w:rPr>
            </w:pPr>
            <w:r w:rsidRPr="00B30B78">
              <w:rPr>
                <w:rFonts w:cstheme="minorHAnsi"/>
                <w:sz w:val="18"/>
                <w:szCs w:val="18"/>
              </w:rPr>
              <w:t xml:space="preserve">A </w:t>
            </w:r>
            <w:r w:rsidR="00E73B3B" w:rsidRPr="00B30B78">
              <w:rPr>
                <w:rFonts w:cstheme="minorHAnsi"/>
                <w:sz w:val="18"/>
                <w:szCs w:val="18"/>
              </w:rPr>
              <w:t>1</w:t>
            </w:r>
            <w:r w:rsidR="00E73B3B">
              <w:rPr>
                <w:rFonts w:cstheme="minorHAnsi"/>
                <w:sz w:val="18"/>
                <w:szCs w:val="18"/>
              </w:rPr>
              <w:t>4</w:t>
            </w:r>
            <w:r w:rsidRPr="00B30B78">
              <w:rPr>
                <w:rFonts w:cstheme="minorHAnsi"/>
                <w:sz w:val="18"/>
                <w:szCs w:val="18"/>
              </w:rPr>
              <w:t>.6. Nadogradnja Registra onečišćavanja okoliša</w:t>
            </w:r>
          </w:p>
        </w:tc>
        <w:tc>
          <w:tcPr>
            <w:tcW w:w="992" w:type="dxa"/>
            <w:tcBorders>
              <w:top w:val="single" w:sz="6" w:space="0" w:color="auto"/>
              <w:left w:val="single" w:sz="6" w:space="0" w:color="auto"/>
              <w:bottom w:val="single" w:sz="6" w:space="0" w:color="auto"/>
              <w:right w:val="single" w:sz="6" w:space="0" w:color="auto"/>
            </w:tcBorders>
            <w:vAlign w:val="center"/>
            <w:hideMark/>
          </w:tcPr>
          <w:p w14:paraId="55592561" w14:textId="77777777" w:rsidR="00B30B78" w:rsidRPr="00B30B78" w:rsidRDefault="00B30B78">
            <w:pPr>
              <w:rPr>
                <w:rFonts w:cstheme="minorHAnsi"/>
                <w:sz w:val="18"/>
                <w:szCs w:val="18"/>
              </w:rPr>
            </w:pPr>
            <w:r w:rsidRPr="00B30B78">
              <w:rPr>
                <w:rFonts w:cstheme="minorHAnsi"/>
                <w:sz w:val="18"/>
                <w:szCs w:val="18"/>
              </w:rPr>
              <w:t>MINGOR</w:t>
            </w:r>
          </w:p>
        </w:tc>
        <w:tc>
          <w:tcPr>
            <w:tcW w:w="967" w:type="dxa"/>
            <w:tcBorders>
              <w:top w:val="single" w:sz="6" w:space="0" w:color="auto"/>
              <w:left w:val="single" w:sz="6" w:space="0" w:color="auto"/>
              <w:bottom w:val="single" w:sz="6" w:space="0" w:color="auto"/>
              <w:right w:val="single" w:sz="6" w:space="0" w:color="auto"/>
            </w:tcBorders>
            <w:vAlign w:val="center"/>
            <w:hideMark/>
          </w:tcPr>
          <w:p w14:paraId="57FBE0E4" w14:textId="77777777" w:rsidR="00B30B78" w:rsidRPr="00B30B78" w:rsidRDefault="00B30B78">
            <w:pPr>
              <w:rPr>
                <w:rFonts w:cstheme="minorHAnsi"/>
                <w:sz w:val="18"/>
                <w:szCs w:val="18"/>
              </w:rPr>
            </w:pPr>
            <w:r w:rsidRPr="00B30B78">
              <w:rPr>
                <w:rFonts w:cstheme="minorHAnsi"/>
                <w:sz w:val="18"/>
                <w:szCs w:val="18"/>
              </w:rPr>
              <w:t>-</w:t>
            </w:r>
          </w:p>
        </w:tc>
        <w:tc>
          <w:tcPr>
            <w:tcW w:w="1160" w:type="dxa"/>
            <w:tcBorders>
              <w:top w:val="single" w:sz="6" w:space="0" w:color="auto"/>
              <w:left w:val="single" w:sz="6" w:space="0" w:color="auto"/>
              <w:bottom w:val="single" w:sz="6" w:space="0" w:color="auto"/>
              <w:right w:val="single" w:sz="6" w:space="0" w:color="auto"/>
            </w:tcBorders>
            <w:vAlign w:val="center"/>
            <w:hideMark/>
          </w:tcPr>
          <w:p w14:paraId="74EF5ED2" w14:textId="77777777" w:rsidR="00B30B78" w:rsidRPr="00B30B78" w:rsidRDefault="00B30B78">
            <w:pPr>
              <w:rPr>
                <w:rFonts w:cstheme="minorHAnsi"/>
                <w:sz w:val="18"/>
                <w:szCs w:val="18"/>
              </w:rPr>
            </w:pPr>
            <w:r w:rsidRPr="00B30B78">
              <w:rPr>
                <w:rFonts w:cstheme="minorHAnsi"/>
                <w:sz w:val="18"/>
                <w:szCs w:val="18"/>
              </w:rPr>
              <w:t>MINGOR</w:t>
            </w:r>
          </w:p>
        </w:tc>
        <w:tc>
          <w:tcPr>
            <w:tcW w:w="1556" w:type="dxa"/>
            <w:tcBorders>
              <w:top w:val="single" w:sz="4" w:space="0" w:color="auto"/>
              <w:left w:val="single" w:sz="4" w:space="0" w:color="auto"/>
              <w:bottom w:val="single" w:sz="4" w:space="0" w:color="auto"/>
              <w:right w:val="single" w:sz="4" w:space="0" w:color="auto"/>
            </w:tcBorders>
            <w:vAlign w:val="center"/>
            <w:hideMark/>
          </w:tcPr>
          <w:p w14:paraId="1E158FE2" w14:textId="77777777" w:rsidR="00B30B78" w:rsidRPr="00B30B78" w:rsidRDefault="00B30B78" w:rsidP="00E54322">
            <w:pPr>
              <w:jc w:val="left"/>
              <w:rPr>
                <w:rFonts w:cstheme="minorHAnsi"/>
                <w:sz w:val="18"/>
                <w:szCs w:val="18"/>
              </w:rPr>
            </w:pPr>
            <w:r w:rsidRPr="00B30B78">
              <w:rPr>
                <w:rFonts w:cstheme="minorHAnsi"/>
                <w:sz w:val="18"/>
                <w:szCs w:val="18"/>
              </w:rPr>
              <w:t>Nadograđen Registar onečišćenja okoliša</w:t>
            </w:r>
          </w:p>
        </w:tc>
        <w:tc>
          <w:tcPr>
            <w:tcW w:w="820" w:type="dxa"/>
            <w:tcBorders>
              <w:top w:val="single" w:sz="4" w:space="0" w:color="auto"/>
              <w:left w:val="single" w:sz="4" w:space="0" w:color="auto"/>
              <w:bottom w:val="single" w:sz="4" w:space="0" w:color="auto"/>
              <w:right w:val="single" w:sz="4" w:space="0" w:color="auto"/>
            </w:tcBorders>
            <w:vAlign w:val="center"/>
            <w:hideMark/>
          </w:tcPr>
          <w:p w14:paraId="3C3D92AA" w14:textId="77777777" w:rsidR="00B30B78" w:rsidRPr="00B30B78" w:rsidRDefault="00B30B78">
            <w:pPr>
              <w:rPr>
                <w:rFonts w:cstheme="minorHAnsi"/>
                <w:sz w:val="18"/>
                <w:szCs w:val="18"/>
              </w:rPr>
            </w:pPr>
            <w:r w:rsidRPr="00B30B78">
              <w:rPr>
                <w:rFonts w:cstheme="minorHAnsi"/>
                <w:sz w:val="18"/>
                <w:szCs w:val="18"/>
              </w:rPr>
              <w:t>Broj</w:t>
            </w:r>
          </w:p>
        </w:tc>
        <w:tc>
          <w:tcPr>
            <w:tcW w:w="1023" w:type="dxa"/>
            <w:tcBorders>
              <w:top w:val="single" w:sz="4" w:space="0" w:color="auto"/>
              <w:left w:val="single" w:sz="4" w:space="0" w:color="auto"/>
              <w:bottom w:val="single" w:sz="4" w:space="0" w:color="auto"/>
              <w:right w:val="single" w:sz="4" w:space="0" w:color="auto"/>
            </w:tcBorders>
            <w:vAlign w:val="center"/>
            <w:hideMark/>
          </w:tcPr>
          <w:p w14:paraId="21305B20" w14:textId="77777777" w:rsidR="00B30B78" w:rsidRPr="00B30B78" w:rsidRDefault="00B30B78">
            <w:pPr>
              <w:rPr>
                <w:rFonts w:cstheme="minorHAnsi"/>
                <w:sz w:val="18"/>
                <w:szCs w:val="18"/>
              </w:rPr>
            </w:pPr>
            <w:r w:rsidRPr="00B30B78">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24AC85" w14:textId="77777777" w:rsidR="00B30B78" w:rsidRPr="00B30B78" w:rsidRDefault="00B30B78">
            <w:pPr>
              <w:jc w:val="center"/>
              <w:rPr>
                <w:rFonts w:cstheme="minorHAnsi"/>
                <w:sz w:val="18"/>
                <w:szCs w:val="18"/>
              </w:rPr>
            </w:pPr>
            <w:r w:rsidRPr="00B30B78">
              <w:rPr>
                <w:rFonts w:cstheme="minorHAnsi"/>
                <w:sz w:val="18"/>
                <w:szCs w:val="18"/>
              </w:rPr>
              <w:t>2027.</w:t>
            </w:r>
          </w:p>
        </w:tc>
      </w:tr>
      <w:tr w:rsidR="0028147C" w:rsidRPr="00B30B78" w14:paraId="63D2A2CD" w14:textId="77777777" w:rsidTr="005D52A0">
        <w:tc>
          <w:tcPr>
            <w:tcW w:w="1696" w:type="dxa"/>
            <w:tcBorders>
              <w:top w:val="single" w:sz="4" w:space="0" w:color="auto"/>
              <w:left w:val="single" w:sz="4" w:space="0" w:color="auto"/>
              <w:bottom w:val="single" w:sz="4" w:space="0" w:color="auto"/>
              <w:right w:val="single" w:sz="4" w:space="0" w:color="auto"/>
            </w:tcBorders>
            <w:vAlign w:val="center"/>
          </w:tcPr>
          <w:p w14:paraId="55ECD17C" w14:textId="279E3D81" w:rsidR="0028147C" w:rsidRPr="00B30B78" w:rsidRDefault="0028147C" w:rsidP="00904F56">
            <w:pPr>
              <w:jc w:val="left"/>
              <w:rPr>
                <w:rFonts w:cstheme="minorHAnsi"/>
                <w:sz w:val="18"/>
                <w:szCs w:val="18"/>
              </w:rPr>
            </w:pPr>
            <w:r w:rsidRPr="00B30B78">
              <w:rPr>
                <w:rFonts w:cstheme="minorHAnsi"/>
                <w:sz w:val="18"/>
                <w:szCs w:val="18"/>
              </w:rPr>
              <w:t>A 1</w:t>
            </w:r>
            <w:r>
              <w:rPr>
                <w:rFonts w:cstheme="minorHAnsi"/>
                <w:sz w:val="18"/>
                <w:szCs w:val="18"/>
              </w:rPr>
              <w:t>4</w:t>
            </w:r>
            <w:r w:rsidRPr="00B30B78">
              <w:rPr>
                <w:rFonts w:cstheme="minorHAnsi"/>
                <w:sz w:val="18"/>
                <w:szCs w:val="18"/>
              </w:rPr>
              <w:t>.</w:t>
            </w:r>
            <w:r>
              <w:rPr>
                <w:rFonts w:cstheme="minorHAnsi"/>
                <w:sz w:val="18"/>
                <w:szCs w:val="18"/>
              </w:rPr>
              <w:t>7</w:t>
            </w:r>
            <w:r w:rsidRPr="00B30B78">
              <w:rPr>
                <w:rFonts w:cstheme="minorHAnsi"/>
                <w:sz w:val="18"/>
                <w:szCs w:val="18"/>
              </w:rPr>
              <w:t xml:space="preserve">. </w:t>
            </w:r>
            <w:r w:rsidR="00904F56" w:rsidRPr="00904F56">
              <w:rPr>
                <w:rFonts w:cstheme="minorHAnsi"/>
                <w:sz w:val="18"/>
                <w:szCs w:val="18"/>
              </w:rPr>
              <w:t>Uspostava i nadogradnja središnje digitalne aplikacije za provođenje postupaka u vezi s prekograničnim prometom otpadom</w:t>
            </w:r>
            <w:r w:rsidR="00904F56" w:rsidRPr="00904F56" w:rsidDel="00904F56">
              <w:rPr>
                <w:rFonts w:cstheme="minorHAnsi"/>
                <w:sz w:val="18"/>
                <w:szCs w:val="18"/>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792D6E9D" w14:textId="1B4EDB54" w:rsidR="0028147C" w:rsidRPr="00B30B78" w:rsidRDefault="0028147C" w:rsidP="0028147C">
            <w:pPr>
              <w:rPr>
                <w:rFonts w:cstheme="minorHAnsi"/>
                <w:sz w:val="18"/>
                <w:szCs w:val="18"/>
              </w:rPr>
            </w:pPr>
            <w:r w:rsidRPr="00B30B78">
              <w:rPr>
                <w:rFonts w:cstheme="minorHAnsi"/>
                <w:sz w:val="18"/>
                <w:szCs w:val="18"/>
              </w:rPr>
              <w:t>MINGOR</w:t>
            </w:r>
          </w:p>
        </w:tc>
        <w:tc>
          <w:tcPr>
            <w:tcW w:w="967" w:type="dxa"/>
            <w:tcBorders>
              <w:top w:val="single" w:sz="6" w:space="0" w:color="auto"/>
              <w:left w:val="single" w:sz="6" w:space="0" w:color="auto"/>
              <w:bottom w:val="single" w:sz="6" w:space="0" w:color="auto"/>
              <w:right w:val="single" w:sz="6" w:space="0" w:color="auto"/>
            </w:tcBorders>
            <w:vAlign w:val="center"/>
          </w:tcPr>
          <w:p w14:paraId="5EF984CE" w14:textId="3B40DC37" w:rsidR="0028147C" w:rsidRPr="00B30B78" w:rsidRDefault="0028147C" w:rsidP="0028147C">
            <w:pPr>
              <w:rPr>
                <w:rFonts w:cstheme="minorHAnsi"/>
                <w:sz w:val="18"/>
                <w:szCs w:val="18"/>
              </w:rPr>
            </w:pPr>
            <w:r w:rsidRPr="00B30B78">
              <w:rPr>
                <w:rFonts w:cstheme="minorHAnsi"/>
                <w:sz w:val="18"/>
                <w:szCs w:val="18"/>
              </w:rPr>
              <w:t>-</w:t>
            </w:r>
          </w:p>
        </w:tc>
        <w:tc>
          <w:tcPr>
            <w:tcW w:w="1160" w:type="dxa"/>
            <w:tcBorders>
              <w:top w:val="single" w:sz="6" w:space="0" w:color="auto"/>
              <w:left w:val="single" w:sz="6" w:space="0" w:color="auto"/>
              <w:bottom w:val="single" w:sz="6" w:space="0" w:color="auto"/>
              <w:right w:val="single" w:sz="6" w:space="0" w:color="auto"/>
            </w:tcBorders>
            <w:vAlign w:val="center"/>
          </w:tcPr>
          <w:p w14:paraId="2568B1C6" w14:textId="1900540A" w:rsidR="0028147C" w:rsidRPr="00B30B78" w:rsidRDefault="0028147C" w:rsidP="0028147C">
            <w:pPr>
              <w:rPr>
                <w:rFonts w:cstheme="minorHAnsi"/>
                <w:sz w:val="18"/>
                <w:szCs w:val="18"/>
              </w:rPr>
            </w:pPr>
            <w:r w:rsidRPr="00B30B78">
              <w:rPr>
                <w:rFonts w:cstheme="minorHAnsi"/>
                <w:sz w:val="18"/>
                <w:szCs w:val="18"/>
              </w:rPr>
              <w:t>MINGOR</w:t>
            </w:r>
            <w:r w:rsidR="00904F56">
              <w:rPr>
                <w:rFonts w:cstheme="minorHAnsi"/>
                <w:sz w:val="18"/>
                <w:szCs w:val="18"/>
              </w:rPr>
              <w:t>/EU</w:t>
            </w:r>
          </w:p>
        </w:tc>
        <w:tc>
          <w:tcPr>
            <w:tcW w:w="1556" w:type="dxa"/>
            <w:tcBorders>
              <w:top w:val="single" w:sz="4" w:space="0" w:color="auto"/>
              <w:left w:val="single" w:sz="4" w:space="0" w:color="auto"/>
              <w:bottom w:val="single" w:sz="4" w:space="0" w:color="auto"/>
              <w:right w:val="single" w:sz="4" w:space="0" w:color="auto"/>
            </w:tcBorders>
            <w:vAlign w:val="center"/>
          </w:tcPr>
          <w:p w14:paraId="3C78B1BA" w14:textId="7CAA547A" w:rsidR="0028147C" w:rsidRPr="00B30B78" w:rsidRDefault="00904F56" w:rsidP="0028147C">
            <w:pPr>
              <w:jc w:val="left"/>
              <w:rPr>
                <w:rFonts w:cstheme="minorHAnsi"/>
                <w:sz w:val="18"/>
                <w:szCs w:val="18"/>
              </w:rPr>
            </w:pPr>
            <w:r w:rsidRPr="00904F56">
              <w:rPr>
                <w:rFonts w:cstheme="minorHAnsi"/>
                <w:sz w:val="18"/>
                <w:szCs w:val="18"/>
              </w:rPr>
              <w:t>Funkcionalna središnja digitalne aplikacije za provođenje postupaka u vezi s prekograničnim prometom otpadom</w:t>
            </w:r>
          </w:p>
        </w:tc>
        <w:tc>
          <w:tcPr>
            <w:tcW w:w="820" w:type="dxa"/>
            <w:tcBorders>
              <w:top w:val="single" w:sz="4" w:space="0" w:color="auto"/>
              <w:left w:val="single" w:sz="4" w:space="0" w:color="auto"/>
              <w:bottom w:val="single" w:sz="4" w:space="0" w:color="auto"/>
              <w:right w:val="single" w:sz="4" w:space="0" w:color="auto"/>
            </w:tcBorders>
            <w:vAlign w:val="center"/>
          </w:tcPr>
          <w:p w14:paraId="7D46FA44" w14:textId="77236147" w:rsidR="0028147C" w:rsidRPr="00B30B78" w:rsidRDefault="0028147C" w:rsidP="0028147C">
            <w:pPr>
              <w:rPr>
                <w:rFonts w:cstheme="minorHAnsi"/>
                <w:sz w:val="18"/>
                <w:szCs w:val="18"/>
              </w:rPr>
            </w:pPr>
            <w:r w:rsidRPr="00B30B78">
              <w:rPr>
                <w:rFonts w:cstheme="minorHAnsi"/>
                <w:sz w:val="18"/>
                <w:szCs w:val="18"/>
              </w:rPr>
              <w:t>Broj</w:t>
            </w:r>
          </w:p>
        </w:tc>
        <w:tc>
          <w:tcPr>
            <w:tcW w:w="1023" w:type="dxa"/>
            <w:tcBorders>
              <w:top w:val="single" w:sz="4" w:space="0" w:color="auto"/>
              <w:left w:val="single" w:sz="4" w:space="0" w:color="auto"/>
              <w:bottom w:val="single" w:sz="4" w:space="0" w:color="auto"/>
              <w:right w:val="single" w:sz="4" w:space="0" w:color="auto"/>
            </w:tcBorders>
            <w:vAlign w:val="center"/>
          </w:tcPr>
          <w:p w14:paraId="26FC10C5" w14:textId="2357D4EF" w:rsidR="0028147C" w:rsidRPr="00B30B78" w:rsidRDefault="0028147C" w:rsidP="0028147C">
            <w:pPr>
              <w:rPr>
                <w:rFonts w:cstheme="minorHAnsi"/>
                <w:sz w:val="18"/>
                <w:szCs w:val="18"/>
              </w:rPr>
            </w:pPr>
            <w:r w:rsidRPr="00B30B78">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2F1C1807" w14:textId="17E329E5" w:rsidR="0028147C" w:rsidRPr="00B30B78" w:rsidRDefault="0028147C" w:rsidP="0028147C">
            <w:pPr>
              <w:jc w:val="center"/>
              <w:rPr>
                <w:rFonts w:cstheme="minorHAnsi"/>
                <w:sz w:val="18"/>
                <w:szCs w:val="18"/>
              </w:rPr>
            </w:pPr>
            <w:r w:rsidRPr="00B30B78">
              <w:rPr>
                <w:rFonts w:cstheme="minorHAnsi"/>
                <w:sz w:val="18"/>
                <w:szCs w:val="18"/>
              </w:rPr>
              <w:t>202</w:t>
            </w:r>
            <w:r w:rsidR="00904F56">
              <w:rPr>
                <w:rFonts w:cstheme="minorHAnsi"/>
                <w:sz w:val="18"/>
                <w:szCs w:val="18"/>
              </w:rPr>
              <w:t>7</w:t>
            </w:r>
            <w:r w:rsidRPr="00B30B78">
              <w:rPr>
                <w:rFonts w:cstheme="minorHAnsi"/>
                <w:sz w:val="18"/>
                <w:szCs w:val="18"/>
              </w:rPr>
              <w:t>.</w:t>
            </w:r>
          </w:p>
        </w:tc>
      </w:tr>
      <w:tr w:rsidR="0028147C" w:rsidRPr="00B30B78" w14:paraId="2AFC69E3" w14:textId="77777777" w:rsidTr="005D52A0">
        <w:tc>
          <w:tcPr>
            <w:tcW w:w="1696" w:type="dxa"/>
            <w:tcBorders>
              <w:top w:val="single" w:sz="4" w:space="0" w:color="auto"/>
              <w:left w:val="single" w:sz="4" w:space="0" w:color="auto"/>
              <w:bottom w:val="single" w:sz="4" w:space="0" w:color="auto"/>
              <w:right w:val="single" w:sz="4" w:space="0" w:color="auto"/>
            </w:tcBorders>
            <w:vAlign w:val="center"/>
          </w:tcPr>
          <w:p w14:paraId="2A91E5AB" w14:textId="75E825D5" w:rsidR="0028147C" w:rsidRPr="00B30B78" w:rsidRDefault="0028147C" w:rsidP="0028147C">
            <w:pPr>
              <w:jc w:val="left"/>
              <w:rPr>
                <w:rFonts w:cstheme="minorHAnsi"/>
                <w:sz w:val="18"/>
                <w:szCs w:val="18"/>
              </w:rPr>
            </w:pPr>
            <w:r>
              <w:rPr>
                <w:rFonts w:cstheme="minorHAnsi"/>
                <w:sz w:val="18"/>
                <w:szCs w:val="18"/>
              </w:rPr>
              <w:t xml:space="preserve">A 14.8. </w:t>
            </w:r>
            <w:r w:rsidR="00904F56" w:rsidRPr="00904F56">
              <w:rPr>
                <w:rFonts w:cstheme="minorHAnsi"/>
                <w:sz w:val="18"/>
                <w:szCs w:val="18"/>
              </w:rPr>
              <w:t>Unaprjeđenje elektronskog Očevidnika o nastanku i tijeku otpada (e-ONTO)</w:t>
            </w:r>
          </w:p>
        </w:tc>
        <w:tc>
          <w:tcPr>
            <w:tcW w:w="992" w:type="dxa"/>
            <w:tcBorders>
              <w:top w:val="single" w:sz="6" w:space="0" w:color="auto"/>
              <w:left w:val="single" w:sz="6" w:space="0" w:color="auto"/>
              <w:bottom w:val="single" w:sz="6" w:space="0" w:color="auto"/>
              <w:right w:val="single" w:sz="6" w:space="0" w:color="auto"/>
            </w:tcBorders>
            <w:vAlign w:val="center"/>
          </w:tcPr>
          <w:p w14:paraId="3A248B7E" w14:textId="73E7E093" w:rsidR="0028147C" w:rsidRPr="00B30B78" w:rsidRDefault="0028147C" w:rsidP="0028147C">
            <w:pPr>
              <w:rPr>
                <w:rFonts w:cstheme="minorHAnsi"/>
                <w:sz w:val="18"/>
                <w:szCs w:val="18"/>
              </w:rPr>
            </w:pPr>
            <w:r w:rsidRPr="00B30B78">
              <w:rPr>
                <w:rFonts w:cstheme="minorHAnsi"/>
                <w:sz w:val="18"/>
                <w:szCs w:val="18"/>
              </w:rPr>
              <w:t>MINGOR</w:t>
            </w:r>
          </w:p>
        </w:tc>
        <w:tc>
          <w:tcPr>
            <w:tcW w:w="967" w:type="dxa"/>
            <w:tcBorders>
              <w:top w:val="single" w:sz="6" w:space="0" w:color="auto"/>
              <w:left w:val="single" w:sz="6" w:space="0" w:color="auto"/>
              <w:bottom w:val="single" w:sz="6" w:space="0" w:color="auto"/>
              <w:right w:val="single" w:sz="6" w:space="0" w:color="auto"/>
            </w:tcBorders>
            <w:vAlign w:val="center"/>
          </w:tcPr>
          <w:p w14:paraId="2708275C" w14:textId="219F6A75" w:rsidR="0028147C" w:rsidRPr="00B30B78" w:rsidRDefault="0028147C" w:rsidP="0028147C">
            <w:pPr>
              <w:rPr>
                <w:rFonts w:cstheme="minorHAnsi"/>
                <w:sz w:val="18"/>
                <w:szCs w:val="18"/>
              </w:rPr>
            </w:pPr>
            <w:r w:rsidRPr="00B30B78">
              <w:rPr>
                <w:rFonts w:cstheme="minorHAnsi"/>
                <w:sz w:val="18"/>
                <w:szCs w:val="18"/>
              </w:rPr>
              <w:t>-</w:t>
            </w:r>
          </w:p>
        </w:tc>
        <w:tc>
          <w:tcPr>
            <w:tcW w:w="1160" w:type="dxa"/>
            <w:tcBorders>
              <w:top w:val="single" w:sz="6" w:space="0" w:color="auto"/>
              <w:left w:val="single" w:sz="6" w:space="0" w:color="auto"/>
              <w:bottom w:val="single" w:sz="6" w:space="0" w:color="auto"/>
              <w:right w:val="single" w:sz="6" w:space="0" w:color="auto"/>
            </w:tcBorders>
            <w:vAlign w:val="center"/>
          </w:tcPr>
          <w:p w14:paraId="7EDAABF1" w14:textId="7BC3C911" w:rsidR="0028147C" w:rsidRPr="00B30B78" w:rsidRDefault="0028147C" w:rsidP="0028147C">
            <w:pPr>
              <w:rPr>
                <w:rFonts w:cstheme="minorHAnsi"/>
                <w:sz w:val="18"/>
                <w:szCs w:val="18"/>
              </w:rPr>
            </w:pPr>
            <w:r w:rsidRPr="00B30B78">
              <w:rPr>
                <w:rFonts w:cstheme="minorHAnsi"/>
                <w:sz w:val="18"/>
                <w:szCs w:val="18"/>
              </w:rPr>
              <w:t>MINGOR</w:t>
            </w:r>
          </w:p>
        </w:tc>
        <w:tc>
          <w:tcPr>
            <w:tcW w:w="1556" w:type="dxa"/>
            <w:tcBorders>
              <w:top w:val="single" w:sz="4" w:space="0" w:color="auto"/>
              <w:left w:val="single" w:sz="4" w:space="0" w:color="auto"/>
              <w:bottom w:val="single" w:sz="4" w:space="0" w:color="auto"/>
              <w:right w:val="single" w:sz="4" w:space="0" w:color="auto"/>
            </w:tcBorders>
            <w:vAlign w:val="center"/>
          </w:tcPr>
          <w:p w14:paraId="26032D3F" w14:textId="66005C21" w:rsidR="0028147C" w:rsidRPr="00B30B78" w:rsidRDefault="00904F56" w:rsidP="0028147C">
            <w:pPr>
              <w:jc w:val="left"/>
              <w:rPr>
                <w:rFonts w:cstheme="minorHAnsi"/>
                <w:sz w:val="18"/>
                <w:szCs w:val="18"/>
              </w:rPr>
            </w:pPr>
            <w:r w:rsidRPr="00904F56">
              <w:rPr>
                <w:rFonts w:cstheme="minorHAnsi"/>
                <w:sz w:val="18"/>
                <w:szCs w:val="18"/>
              </w:rPr>
              <w:t>Unaprijeđen elektronski Očevidnik o nastanku i tijeku otpada (e-ONTO)</w:t>
            </w:r>
          </w:p>
        </w:tc>
        <w:tc>
          <w:tcPr>
            <w:tcW w:w="820" w:type="dxa"/>
            <w:tcBorders>
              <w:top w:val="single" w:sz="4" w:space="0" w:color="auto"/>
              <w:left w:val="single" w:sz="4" w:space="0" w:color="auto"/>
              <w:bottom w:val="single" w:sz="4" w:space="0" w:color="auto"/>
              <w:right w:val="single" w:sz="4" w:space="0" w:color="auto"/>
            </w:tcBorders>
            <w:vAlign w:val="center"/>
          </w:tcPr>
          <w:p w14:paraId="62EB848E" w14:textId="563CB790" w:rsidR="0028147C" w:rsidRPr="00B30B78" w:rsidRDefault="0028147C" w:rsidP="0028147C">
            <w:pPr>
              <w:rPr>
                <w:rFonts w:cstheme="minorHAnsi"/>
                <w:sz w:val="18"/>
                <w:szCs w:val="18"/>
              </w:rPr>
            </w:pPr>
            <w:r w:rsidRPr="00B30B78">
              <w:rPr>
                <w:rFonts w:cstheme="minorHAnsi"/>
                <w:sz w:val="18"/>
                <w:szCs w:val="18"/>
              </w:rPr>
              <w:t>Broj</w:t>
            </w:r>
          </w:p>
        </w:tc>
        <w:tc>
          <w:tcPr>
            <w:tcW w:w="1023" w:type="dxa"/>
            <w:tcBorders>
              <w:top w:val="single" w:sz="4" w:space="0" w:color="auto"/>
              <w:left w:val="single" w:sz="4" w:space="0" w:color="auto"/>
              <w:bottom w:val="single" w:sz="4" w:space="0" w:color="auto"/>
              <w:right w:val="single" w:sz="4" w:space="0" w:color="auto"/>
            </w:tcBorders>
            <w:vAlign w:val="center"/>
          </w:tcPr>
          <w:p w14:paraId="00491E0C" w14:textId="725AED92" w:rsidR="0028147C" w:rsidRPr="00B30B78" w:rsidRDefault="0028147C" w:rsidP="0028147C">
            <w:pPr>
              <w:rPr>
                <w:rFonts w:cstheme="minorHAnsi"/>
                <w:sz w:val="18"/>
                <w:szCs w:val="18"/>
              </w:rPr>
            </w:pPr>
            <w:r w:rsidRPr="00B30B78">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10125966" w14:textId="2F336A17" w:rsidR="0028147C" w:rsidRPr="00B30B78" w:rsidRDefault="0028147C" w:rsidP="0028147C">
            <w:pPr>
              <w:jc w:val="center"/>
              <w:rPr>
                <w:rFonts w:cstheme="minorHAnsi"/>
                <w:sz w:val="18"/>
                <w:szCs w:val="18"/>
              </w:rPr>
            </w:pPr>
            <w:r>
              <w:rPr>
                <w:rFonts w:cstheme="minorHAnsi"/>
                <w:sz w:val="18"/>
                <w:szCs w:val="18"/>
              </w:rPr>
              <w:t>202</w:t>
            </w:r>
            <w:r w:rsidR="00904F56">
              <w:rPr>
                <w:rFonts w:cstheme="minorHAnsi"/>
                <w:sz w:val="18"/>
                <w:szCs w:val="18"/>
              </w:rPr>
              <w:t>8</w:t>
            </w:r>
            <w:r>
              <w:rPr>
                <w:rFonts w:cstheme="minorHAnsi"/>
                <w:sz w:val="18"/>
                <w:szCs w:val="18"/>
              </w:rPr>
              <w:t>.</w:t>
            </w:r>
          </w:p>
        </w:tc>
      </w:tr>
      <w:tr w:rsidR="0028147C" w:rsidRPr="00B30B78" w14:paraId="0D420232" w14:textId="77777777" w:rsidTr="005D52A0">
        <w:tc>
          <w:tcPr>
            <w:tcW w:w="1696" w:type="dxa"/>
            <w:tcBorders>
              <w:top w:val="single" w:sz="4" w:space="0" w:color="auto"/>
              <w:left w:val="single" w:sz="4" w:space="0" w:color="auto"/>
              <w:bottom w:val="single" w:sz="4" w:space="0" w:color="auto"/>
              <w:right w:val="single" w:sz="4" w:space="0" w:color="auto"/>
            </w:tcBorders>
            <w:vAlign w:val="center"/>
            <w:hideMark/>
          </w:tcPr>
          <w:p w14:paraId="602AB4A3" w14:textId="522A0076" w:rsidR="0028147C" w:rsidRPr="00B30B78" w:rsidRDefault="0028147C" w:rsidP="0028147C">
            <w:pPr>
              <w:jc w:val="left"/>
              <w:rPr>
                <w:rFonts w:cstheme="minorHAnsi"/>
                <w:sz w:val="18"/>
                <w:szCs w:val="18"/>
              </w:rPr>
            </w:pPr>
            <w:r w:rsidRPr="00B30B78">
              <w:rPr>
                <w:rFonts w:cstheme="minorHAnsi"/>
                <w:sz w:val="18"/>
                <w:szCs w:val="18"/>
              </w:rPr>
              <w:t>A 1</w:t>
            </w:r>
            <w:r>
              <w:rPr>
                <w:rFonts w:cstheme="minorHAnsi"/>
                <w:sz w:val="18"/>
                <w:szCs w:val="18"/>
              </w:rPr>
              <w:t>4</w:t>
            </w:r>
            <w:r w:rsidRPr="00B30B78">
              <w:rPr>
                <w:rFonts w:cstheme="minorHAnsi"/>
                <w:sz w:val="18"/>
                <w:szCs w:val="18"/>
              </w:rPr>
              <w:t>.</w:t>
            </w:r>
            <w:r w:rsidR="00904F56">
              <w:rPr>
                <w:rFonts w:cstheme="minorHAnsi"/>
                <w:sz w:val="18"/>
                <w:szCs w:val="18"/>
              </w:rPr>
              <w:t>9</w:t>
            </w:r>
            <w:r w:rsidRPr="00B30B78">
              <w:rPr>
                <w:rFonts w:cstheme="minorHAnsi"/>
                <w:sz w:val="18"/>
                <w:szCs w:val="18"/>
              </w:rPr>
              <w:t>. Nadogradnja registra djelatnosti gospodarenja otpadom</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60C008" w14:textId="77777777" w:rsidR="0028147C" w:rsidRPr="00B30B78" w:rsidRDefault="0028147C" w:rsidP="0028147C">
            <w:pPr>
              <w:rPr>
                <w:rFonts w:cstheme="minorHAnsi"/>
                <w:sz w:val="18"/>
                <w:szCs w:val="18"/>
              </w:rPr>
            </w:pPr>
            <w:r w:rsidRPr="00B30B78">
              <w:rPr>
                <w:rFonts w:cstheme="minorHAnsi"/>
                <w:sz w:val="18"/>
                <w:szCs w:val="18"/>
              </w:rPr>
              <w:t>MINGOR</w:t>
            </w:r>
          </w:p>
        </w:tc>
        <w:tc>
          <w:tcPr>
            <w:tcW w:w="967" w:type="dxa"/>
            <w:tcBorders>
              <w:top w:val="single" w:sz="4" w:space="0" w:color="auto"/>
              <w:left w:val="single" w:sz="4" w:space="0" w:color="auto"/>
              <w:bottom w:val="single" w:sz="4" w:space="0" w:color="auto"/>
              <w:right w:val="single" w:sz="4" w:space="0" w:color="auto"/>
            </w:tcBorders>
            <w:vAlign w:val="center"/>
            <w:hideMark/>
          </w:tcPr>
          <w:p w14:paraId="57B3E58C" w14:textId="77777777" w:rsidR="0028147C" w:rsidRPr="00B30B78" w:rsidRDefault="0028147C" w:rsidP="0028147C">
            <w:pPr>
              <w:rPr>
                <w:rFonts w:cstheme="minorHAnsi"/>
                <w:sz w:val="18"/>
                <w:szCs w:val="18"/>
              </w:rPr>
            </w:pPr>
            <w:r w:rsidRPr="00B30B78">
              <w:rPr>
                <w:rFonts w:cstheme="minorHAnsi"/>
                <w:sz w:val="18"/>
                <w:szCs w:val="18"/>
              </w:rPr>
              <w:t>-</w:t>
            </w:r>
          </w:p>
        </w:tc>
        <w:tc>
          <w:tcPr>
            <w:tcW w:w="1160" w:type="dxa"/>
            <w:tcBorders>
              <w:top w:val="single" w:sz="4" w:space="0" w:color="auto"/>
              <w:left w:val="single" w:sz="4" w:space="0" w:color="auto"/>
              <w:bottom w:val="single" w:sz="4" w:space="0" w:color="auto"/>
              <w:right w:val="single" w:sz="4" w:space="0" w:color="auto"/>
            </w:tcBorders>
            <w:vAlign w:val="center"/>
            <w:hideMark/>
          </w:tcPr>
          <w:p w14:paraId="2B7A0241" w14:textId="77777777" w:rsidR="0028147C" w:rsidRPr="00B30B78" w:rsidRDefault="0028147C" w:rsidP="0028147C">
            <w:pPr>
              <w:rPr>
                <w:rFonts w:cstheme="minorHAnsi"/>
                <w:sz w:val="18"/>
                <w:szCs w:val="18"/>
              </w:rPr>
            </w:pPr>
            <w:r w:rsidRPr="00B30B78">
              <w:rPr>
                <w:rFonts w:cstheme="minorHAnsi"/>
                <w:sz w:val="18"/>
                <w:szCs w:val="18"/>
              </w:rPr>
              <w:t>MINGOR</w:t>
            </w:r>
          </w:p>
        </w:tc>
        <w:tc>
          <w:tcPr>
            <w:tcW w:w="1556" w:type="dxa"/>
            <w:tcBorders>
              <w:top w:val="single" w:sz="4" w:space="0" w:color="auto"/>
              <w:left w:val="single" w:sz="4" w:space="0" w:color="auto"/>
              <w:bottom w:val="single" w:sz="4" w:space="0" w:color="auto"/>
              <w:right w:val="single" w:sz="4" w:space="0" w:color="auto"/>
            </w:tcBorders>
            <w:vAlign w:val="center"/>
            <w:hideMark/>
          </w:tcPr>
          <w:p w14:paraId="02B53BA7" w14:textId="77777777" w:rsidR="0028147C" w:rsidRPr="00B30B78" w:rsidRDefault="0028147C" w:rsidP="0028147C">
            <w:pPr>
              <w:jc w:val="left"/>
              <w:rPr>
                <w:rFonts w:cstheme="minorHAnsi"/>
                <w:sz w:val="18"/>
                <w:szCs w:val="18"/>
              </w:rPr>
            </w:pPr>
            <w:r w:rsidRPr="00B30B78">
              <w:rPr>
                <w:rFonts w:cstheme="minorHAnsi"/>
                <w:sz w:val="18"/>
                <w:szCs w:val="18"/>
              </w:rPr>
              <w:t>Nadograđen registar djelatnosti gospodarenja otpadom</w:t>
            </w:r>
          </w:p>
        </w:tc>
        <w:tc>
          <w:tcPr>
            <w:tcW w:w="820" w:type="dxa"/>
            <w:tcBorders>
              <w:top w:val="single" w:sz="4" w:space="0" w:color="auto"/>
              <w:left w:val="single" w:sz="4" w:space="0" w:color="auto"/>
              <w:bottom w:val="single" w:sz="4" w:space="0" w:color="auto"/>
              <w:right w:val="single" w:sz="4" w:space="0" w:color="auto"/>
            </w:tcBorders>
            <w:vAlign w:val="center"/>
            <w:hideMark/>
          </w:tcPr>
          <w:p w14:paraId="7DBE2671" w14:textId="77777777" w:rsidR="0028147C" w:rsidRPr="00B30B78" w:rsidRDefault="0028147C" w:rsidP="0028147C">
            <w:pPr>
              <w:rPr>
                <w:rFonts w:cstheme="minorHAnsi"/>
                <w:sz w:val="18"/>
                <w:szCs w:val="18"/>
              </w:rPr>
            </w:pPr>
            <w:r w:rsidRPr="00B30B78">
              <w:rPr>
                <w:rFonts w:cstheme="minorHAnsi"/>
                <w:sz w:val="18"/>
                <w:szCs w:val="18"/>
              </w:rPr>
              <w:t>Broj</w:t>
            </w:r>
          </w:p>
        </w:tc>
        <w:tc>
          <w:tcPr>
            <w:tcW w:w="1023" w:type="dxa"/>
            <w:tcBorders>
              <w:top w:val="single" w:sz="4" w:space="0" w:color="auto"/>
              <w:left w:val="single" w:sz="4" w:space="0" w:color="auto"/>
              <w:bottom w:val="single" w:sz="4" w:space="0" w:color="auto"/>
              <w:right w:val="single" w:sz="4" w:space="0" w:color="auto"/>
            </w:tcBorders>
            <w:vAlign w:val="center"/>
            <w:hideMark/>
          </w:tcPr>
          <w:p w14:paraId="02D5C6C6" w14:textId="77777777" w:rsidR="0028147C" w:rsidRPr="00B30B78" w:rsidRDefault="0028147C" w:rsidP="0028147C">
            <w:pPr>
              <w:rPr>
                <w:rFonts w:cstheme="minorHAnsi"/>
                <w:sz w:val="18"/>
                <w:szCs w:val="18"/>
              </w:rPr>
            </w:pPr>
            <w:r w:rsidRPr="00B30B78">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375EF0" w14:textId="77777777" w:rsidR="0028147C" w:rsidRPr="00B30B78" w:rsidRDefault="0028147C" w:rsidP="0028147C">
            <w:pPr>
              <w:jc w:val="center"/>
              <w:rPr>
                <w:rFonts w:cstheme="minorHAnsi"/>
                <w:sz w:val="18"/>
                <w:szCs w:val="18"/>
              </w:rPr>
            </w:pPr>
            <w:r w:rsidRPr="00B30B78">
              <w:rPr>
                <w:rFonts w:cstheme="minorHAnsi"/>
                <w:sz w:val="18"/>
                <w:szCs w:val="18"/>
              </w:rPr>
              <w:t>2028.</w:t>
            </w:r>
          </w:p>
        </w:tc>
      </w:tr>
      <w:tr w:rsidR="00904F56" w:rsidRPr="00B30B78" w14:paraId="6EF86881" w14:textId="77777777" w:rsidTr="005D52A0">
        <w:tc>
          <w:tcPr>
            <w:tcW w:w="1696" w:type="dxa"/>
            <w:tcBorders>
              <w:top w:val="single" w:sz="4" w:space="0" w:color="auto"/>
              <w:left w:val="single" w:sz="4" w:space="0" w:color="auto"/>
              <w:bottom w:val="single" w:sz="4" w:space="0" w:color="auto"/>
              <w:right w:val="single" w:sz="4" w:space="0" w:color="auto"/>
            </w:tcBorders>
            <w:vAlign w:val="center"/>
          </w:tcPr>
          <w:p w14:paraId="4320A8CF" w14:textId="16232DFC" w:rsidR="00904F56" w:rsidRPr="00B30B78" w:rsidRDefault="00904F56" w:rsidP="0028147C">
            <w:pPr>
              <w:jc w:val="left"/>
              <w:rPr>
                <w:rFonts w:cstheme="minorHAnsi"/>
                <w:sz w:val="18"/>
                <w:szCs w:val="18"/>
              </w:rPr>
            </w:pPr>
            <w:r>
              <w:rPr>
                <w:rFonts w:cstheme="minorHAnsi"/>
                <w:sz w:val="18"/>
                <w:szCs w:val="18"/>
              </w:rPr>
              <w:t xml:space="preserve">14.10. </w:t>
            </w:r>
            <w:r w:rsidRPr="00904F56">
              <w:rPr>
                <w:rFonts w:cstheme="minorHAnsi"/>
                <w:sz w:val="18"/>
                <w:szCs w:val="18"/>
              </w:rPr>
              <w:t>Unaprjeđenje aplikacije za evidenciju lokacija odbačenog otpada</w:t>
            </w:r>
          </w:p>
        </w:tc>
        <w:tc>
          <w:tcPr>
            <w:tcW w:w="992" w:type="dxa"/>
            <w:tcBorders>
              <w:top w:val="single" w:sz="4" w:space="0" w:color="auto"/>
              <w:left w:val="single" w:sz="4" w:space="0" w:color="auto"/>
              <w:bottom w:val="single" w:sz="4" w:space="0" w:color="auto"/>
              <w:right w:val="single" w:sz="4" w:space="0" w:color="auto"/>
            </w:tcBorders>
            <w:vAlign w:val="center"/>
          </w:tcPr>
          <w:p w14:paraId="56F8F353" w14:textId="63B8C0A3" w:rsidR="00904F56" w:rsidRPr="00B30B78" w:rsidRDefault="00904F56" w:rsidP="0028147C">
            <w:pPr>
              <w:rPr>
                <w:rFonts w:cstheme="minorHAnsi"/>
                <w:sz w:val="18"/>
                <w:szCs w:val="18"/>
              </w:rPr>
            </w:pPr>
            <w:r>
              <w:rPr>
                <w:rFonts w:cstheme="minorHAnsi"/>
                <w:sz w:val="18"/>
                <w:szCs w:val="18"/>
              </w:rPr>
              <w:t>MINGOR</w:t>
            </w:r>
          </w:p>
        </w:tc>
        <w:tc>
          <w:tcPr>
            <w:tcW w:w="967" w:type="dxa"/>
            <w:tcBorders>
              <w:top w:val="single" w:sz="4" w:space="0" w:color="auto"/>
              <w:left w:val="single" w:sz="4" w:space="0" w:color="auto"/>
              <w:bottom w:val="single" w:sz="4" w:space="0" w:color="auto"/>
              <w:right w:val="single" w:sz="4" w:space="0" w:color="auto"/>
            </w:tcBorders>
            <w:vAlign w:val="center"/>
          </w:tcPr>
          <w:p w14:paraId="279BA719" w14:textId="41C320E8" w:rsidR="00904F56" w:rsidRPr="00B30B78" w:rsidRDefault="00904F56" w:rsidP="0028147C">
            <w:pPr>
              <w:rPr>
                <w:rFonts w:cstheme="minorHAnsi"/>
                <w:sz w:val="18"/>
                <w:szCs w:val="18"/>
              </w:rPr>
            </w:pPr>
            <w:r>
              <w:rPr>
                <w:rFonts w:cstheme="minorHAnsi"/>
                <w:sz w:val="18"/>
                <w:szCs w:val="18"/>
              </w:rPr>
              <w:t>-</w:t>
            </w:r>
          </w:p>
        </w:tc>
        <w:tc>
          <w:tcPr>
            <w:tcW w:w="1160" w:type="dxa"/>
            <w:tcBorders>
              <w:top w:val="single" w:sz="4" w:space="0" w:color="auto"/>
              <w:left w:val="single" w:sz="4" w:space="0" w:color="auto"/>
              <w:bottom w:val="single" w:sz="4" w:space="0" w:color="auto"/>
              <w:right w:val="single" w:sz="4" w:space="0" w:color="auto"/>
            </w:tcBorders>
            <w:vAlign w:val="center"/>
          </w:tcPr>
          <w:p w14:paraId="19662BCC" w14:textId="75D22923" w:rsidR="00904F56" w:rsidRPr="00B30B78" w:rsidRDefault="00904F56" w:rsidP="0028147C">
            <w:pPr>
              <w:rPr>
                <w:rFonts w:cstheme="minorHAnsi"/>
                <w:sz w:val="18"/>
                <w:szCs w:val="18"/>
              </w:rPr>
            </w:pPr>
            <w:r>
              <w:rPr>
                <w:rFonts w:cstheme="minorHAnsi"/>
                <w:sz w:val="18"/>
                <w:szCs w:val="18"/>
              </w:rPr>
              <w:t>MINGOR</w:t>
            </w:r>
          </w:p>
        </w:tc>
        <w:tc>
          <w:tcPr>
            <w:tcW w:w="1556" w:type="dxa"/>
            <w:tcBorders>
              <w:top w:val="single" w:sz="4" w:space="0" w:color="auto"/>
              <w:left w:val="single" w:sz="4" w:space="0" w:color="auto"/>
              <w:bottom w:val="single" w:sz="4" w:space="0" w:color="auto"/>
              <w:right w:val="single" w:sz="4" w:space="0" w:color="auto"/>
            </w:tcBorders>
            <w:vAlign w:val="center"/>
          </w:tcPr>
          <w:p w14:paraId="7FAAF00C" w14:textId="4C6F450C" w:rsidR="00904F56" w:rsidRPr="00B30B78" w:rsidRDefault="00904F56" w:rsidP="0028147C">
            <w:pPr>
              <w:jc w:val="left"/>
              <w:rPr>
                <w:rFonts w:cstheme="minorHAnsi"/>
                <w:sz w:val="18"/>
                <w:szCs w:val="18"/>
              </w:rPr>
            </w:pPr>
            <w:r w:rsidRPr="00904F56">
              <w:rPr>
                <w:rFonts w:cstheme="minorHAnsi"/>
                <w:sz w:val="18"/>
                <w:szCs w:val="18"/>
              </w:rPr>
              <w:t>Unaprijeđena aplikacija za evidenciju lokacija odbačenog otpada</w:t>
            </w:r>
          </w:p>
        </w:tc>
        <w:tc>
          <w:tcPr>
            <w:tcW w:w="820" w:type="dxa"/>
            <w:tcBorders>
              <w:top w:val="single" w:sz="4" w:space="0" w:color="auto"/>
              <w:left w:val="single" w:sz="4" w:space="0" w:color="auto"/>
              <w:bottom w:val="single" w:sz="4" w:space="0" w:color="auto"/>
              <w:right w:val="single" w:sz="4" w:space="0" w:color="auto"/>
            </w:tcBorders>
            <w:vAlign w:val="center"/>
          </w:tcPr>
          <w:p w14:paraId="5BC7EC60" w14:textId="66E164FA" w:rsidR="00904F56" w:rsidRPr="00B30B78" w:rsidRDefault="00904F56" w:rsidP="0028147C">
            <w:pPr>
              <w:rPr>
                <w:rFonts w:cstheme="minorHAnsi"/>
                <w:sz w:val="18"/>
                <w:szCs w:val="18"/>
              </w:rPr>
            </w:pPr>
            <w:r>
              <w:rPr>
                <w:rFonts w:cstheme="minorHAnsi"/>
                <w:sz w:val="18"/>
                <w:szCs w:val="18"/>
              </w:rPr>
              <w:t>Broj</w:t>
            </w:r>
          </w:p>
        </w:tc>
        <w:tc>
          <w:tcPr>
            <w:tcW w:w="1023" w:type="dxa"/>
            <w:tcBorders>
              <w:top w:val="single" w:sz="4" w:space="0" w:color="auto"/>
              <w:left w:val="single" w:sz="4" w:space="0" w:color="auto"/>
              <w:bottom w:val="single" w:sz="4" w:space="0" w:color="auto"/>
              <w:right w:val="single" w:sz="4" w:space="0" w:color="auto"/>
            </w:tcBorders>
            <w:vAlign w:val="center"/>
          </w:tcPr>
          <w:p w14:paraId="1FC40DFF" w14:textId="6FEBB12B" w:rsidR="00904F56" w:rsidRPr="00B30B78" w:rsidRDefault="00904F56" w:rsidP="0028147C">
            <w:pPr>
              <w:rPr>
                <w:rFonts w:cstheme="minorHAnsi"/>
                <w:sz w:val="18"/>
                <w:szCs w:val="18"/>
              </w:rPr>
            </w:pPr>
            <w:r>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3F59B16D" w14:textId="3FF8C378" w:rsidR="00904F56" w:rsidRPr="00B30B78" w:rsidRDefault="00904F56" w:rsidP="0028147C">
            <w:pPr>
              <w:jc w:val="center"/>
              <w:rPr>
                <w:rFonts w:cstheme="minorHAnsi"/>
                <w:sz w:val="18"/>
                <w:szCs w:val="18"/>
              </w:rPr>
            </w:pPr>
            <w:r>
              <w:rPr>
                <w:rFonts w:cstheme="minorHAnsi"/>
                <w:sz w:val="18"/>
                <w:szCs w:val="18"/>
              </w:rPr>
              <w:t>2028.</w:t>
            </w:r>
          </w:p>
        </w:tc>
      </w:tr>
      <w:tr w:rsidR="0028147C" w:rsidRPr="00B30B78" w14:paraId="5C64A056" w14:textId="77777777" w:rsidTr="005D52A0">
        <w:tc>
          <w:tcPr>
            <w:tcW w:w="1696" w:type="dxa"/>
            <w:tcBorders>
              <w:top w:val="single" w:sz="4" w:space="0" w:color="auto"/>
              <w:left w:val="single" w:sz="4" w:space="0" w:color="auto"/>
              <w:bottom w:val="single" w:sz="4" w:space="0" w:color="auto"/>
              <w:right w:val="single" w:sz="4" w:space="0" w:color="auto"/>
            </w:tcBorders>
            <w:vAlign w:val="center"/>
            <w:hideMark/>
          </w:tcPr>
          <w:p w14:paraId="68CE4592" w14:textId="6881ACA2" w:rsidR="0028147C" w:rsidRPr="00B30B78" w:rsidRDefault="0028147C" w:rsidP="0028147C">
            <w:pPr>
              <w:jc w:val="left"/>
              <w:rPr>
                <w:rFonts w:cstheme="minorHAnsi"/>
                <w:sz w:val="18"/>
                <w:szCs w:val="18"/>
              </w:rPr>
            </w:pPr>
            <w:r w:rsidRPr="00B30B78">
              <w:rPr>
                <w:rFonts w:cstheme="minorHAnsi"/>
                <w:sz w:val="18"/>
                <w:szCs w:val="18"/>
              </w:rPr>
              <w:t>A 1</w:t>
            </w:r>
            <w:r>
              <w:rPr>
                <w:rFonts w:cstheme="minorHAnsi"/>
                <w:sz w:val="18"/>
                <w:szCs w:val="18"/>
              </w:rPr>
              <w:t>4</w:t>
            </w:r>
            <w:r w:rsidRPr="00B30B78">
              <w:rPr>
                <w:rFonts w:cstheme="minorHAnsi"/>
                <w:sz w:val="18"/>
                <w:szCs w:val="18"/>
              </w:rPr>
              <w:t>.1</w:t>
            </w:r>
            <w:r w:rsidR="00904F56">
              <w:rPr>
                <w:rFonts w:cstheme="minorHAnsi"/>
                <w:sz w:val="18"/>
                <w:szCs w:val="18"/>
              </w:rPr>
              <w:t>1</w:t>
            </w:r>
            <w:r w:rsidRPr="00B30B78">
              <w:rPr>
                <w:rFonts w:cstheme="minorHAnsi"/>
                <w:sz w:val="18"/>
                <w:szCs w:val="18"/>
              </w:rPr>
              <w:t>. Unaprjeđenje zajedničke IT platforme gospodarenja otpadom u RH, kao dio nacionalne platforme zaštite okoliša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4FED85" w14:textId="77777777" w:rsidR="0028147C" w:rsidRPr="00B30B78" w:rsidRDefault="0028147C" w:rsidP="0028147C">
            <w:pPr>
              <w:rPr>
                <w:rFonts w:cstheme="minorHAnsi"/>
                <w:sz w:val="18"/>
                <w:szCs w:val="18"/>
              </w:rPr>
            </w:pPr>
            <w:r w:rsidRPr="00B30B78">
              <w:rPr>
                <w:rFonts w:cstheme="minorHAnsi"/>
                <w:sz w:val="18"/>
                <w:szCs w:val="18"/>
              </w:rPr>
              <w:t>MINGOR</w:t>
            </w:r>
          </w:p>
        </w:tc>
        <w:tc>
          <w:tcPr>
            <w:tcW w:w="967" w:type="dxa"/>
            <w:tcBorders>
              <w:top w:val="single" w:sz="4" w:space="0" w:color="auto"/>
              <w:left w:val="single" w:sz="4" w:space="0" w:color="auto"/>
              <w:bottom w:val="single" w:sz="4" w:space="0" w:color="auto"/>
              <w:right w:val="single" w:sz="4" w:space="0" w:color="auto"/>
            </w:tcBorders>
            <w:vAlign w:val="center"/>
            <w:hideMark/>
          </w:tcPr>
          <w:p w14:paraId="3157EE58" w14:textId="77777777" w:rsidR="0028147C" w:rsidRPr="00B30B78" w:rsidRDefault="0028147C" w:rsidP="0028147C">
            <w:pPr>
              <w:rPr>
                <w:rFonts w:cstheme="minorHAnsi"/>
                <w:sz w:val="18"/>
                <w:szCs w:val="18"/>
              </w:rPr>
            </w:pPr>
            <w:r w:rsidRPr="00B30B78">
              <w:rPr>
                <w:rFonts w:cstheme="minorHAnsi"/>
                <w:sz w:val="18"/>
                <w:szCs w:val="18"/>
              </w:rPr>
              <w:t>-</w:t>
            </w:r>
          </w:p>
        </w:tc>
        <w:tc>
          <w:tcPr>
            <w:tcW w:w="1160" w:type="dxa"/>
            <w:tcBorders>
              <w:top w:val="single" w:sz="4" w:space="0" w:color="auto"/>
              <w:left w:val="single" w:sz="4" w:space="0" w:color="auto"/>
              <w:bottom w:val="single" w:sz="4" w:space="0" w:color="auto"/>
              <w:right w:val="single" w:sz="4" w:space="0" w:color="auto"/>
            </w:tcBorders>
            <w:vAlign w:val="center"/>
            <w:hideMark/>
          </w:tcPr>
          <w:p w14:paraId="155F7672" w14:textId="77777777" w:rsidR="0028147C" w:rsidRPr="00B30B78" w:rsidRDefault="0028147C" w:rsidP="0028147C">
            <w:pPr>
              <w:rPr>
                <w:rFonts w:cstheme="minorHAnsi"/>
                <w:sz w:val="18"/>
                <w:szCs w:val="18"/>
              </w:rPr>
            </w:pPr>
            <w:r w:rsidRPr="00B30B78">
              <w:rPr>
                <w:rFonts w:cstheme="minorHAnsi"/>
                <w:sz w:val="18"/>
                <w:szCs w:val="18"/>
              </w:rPr>
              <w:t>MINGOR</w:t>
            </w:r>
          </w:p>
        </w:tc>
        <w:tc>
          <w:tcPr>
            <w:tcW w:w="1556" w:type="dxa"/>
            <w:tcBorders>
              <w:top w:val="single" w:sz="4" w:space="0" w:color="auto"/>
              <w:left w:val="single" w:sz="4" w:space="0" w:color="auto"/>
              <w:bottom w:val="single" w:sz="4" w:space="0" w:color="auto"/>
              <w:right w:val="single" w:sz="4" w:space="0" w:color="auto"/>
            </w:tcBorders>
            <w:vAlign w:val="center"/>
            <w:hideMark/>
          </w:tcPr>
          <w:p w14:paraId="0A4FAA0A" w14:textId="77777777" w:rsidR="0028147C" w:rsidRPr="00B30B78" w:rsidRDefault="0028147C" w:rsidP="0028147C">
            <w:pPr>
              <w:jc w:val="left"/>
              <w:rPr>
                <w:rFonts w:cstheme="minorHAnsi"/>
                <w:sz w:val="18"/>
                <w:szCs w:val="18"/>
              </w:rPr>
            </w:pPr>
            <w:r w:rsidRPr="00B30B78">
              <w:rPr>
                <w:rFonts w:cstheme="minorHAnsi"/>
                <w:sz w:val="18"/>
                <w:szCs w:val="18"/>
              </w:rPr>
              <w:t>Unaprijeđena zajednička IT platforma gospodarenja otpadom u RH, kao dio nacionalne platforme zaštite okoliša</w:t>
            </w:r>
          </w:p>
        </w:tc>
        <w:tc>
          <w:tcPr>
            <w:tcW w:w="820" w:type="dxa"/>
            <w:tcBorders>
              <w:top w:val="single" w:sz="4" w:space="0" w:color="auto"/>
              <w:left w:val="single" w:sz="4" w:space="0" w:color="auto"/>
              <w:bottom w:val="single" w:sz="4" w:space="0" w:color="auto"/>
              <w:right w:val="single" w:sz="4" w:space="0" w:color="auto"/>
            </w:tcBorders>
            <w:vAlign w:val="center"/>
            <w:hideMark/>
          </w:tcPr>
          <w:p w14:paraId="2D3B0512" w14:textId="77777777" w:rsidR="0028147C" w:rsidRPr="00B30B78" w:rsidRDefault="0028147C" w:rsidP="0028147C">
            <w:pPr>
              <w:rPr>
                <w:rFonts w:cstheme="minorHAnsi"/>
                <w:sz w:val="18"/>
                <w:szCs w:val="18"/>
              </w:rPr>
            </w:pPr>
            <w:r w:rsidRPr="00B30B78">
              <w:rPr>
                <w:rFonts w:cstheme="minorHAnsi"/>
                <w:sz w:val="18"/>
                <w:szCs w:val="18"/>
              </w:rPr>
              <w:t>Broj</w:t>
            </w:r>
          </w:p>
        </w:tc>
        <w:tc>
          <w:tcPr>
            <w:tcW w:w="1023" w:type="dxa"/>
            <w:tcBorders>
              <w:top w:val="single" w:sz="4" w:space="0" w:color="auto"/>
              <w:left w:val="single" w:sz="4" w:space="0" w:color="auto"/>
              <w:bottom w:val="single" w:sz="4" w:space="0" w:color="auto"/>
              <w:right w:val="single" w:sz="4" w:space="0" w:color="auto"/>
            </w:tcBorders>
            <w:vAlign w:val="center"/>
            <w:hideMark/>
          </w:tcPr>
          <w:p w14:paraId="4C3E494C" w14:textId="77777777" w:rsidR="0028147C" w:rsidRPr="00B30B78" w:rsidRDefault="0028147C" w:rsidP="0028147C">
            <w:pPr>
              <w:rPr>
                <w:rFonts w:cstheme="minorHAnsi"/>
                <w:sz w:val="18"/>
                <w:szCs w:val="18"/>
              </w:rPr>
            </w:pPr>
            <w:r w:rsidRPr="00B30B78">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8EC693" w14:textId="77777777" w:rsidR="0028147C" w:rsidRPr="00B30B78" w:rsidRDefault="0028147C" w:rsidP="0028147C">
            <w:pPr>
              <w:jc w:val="center"/>
              <w:rPr>
                <w:rFonts w:cstheme="minorHAnsi"/>
                <w:sz w:val="18"/>
                <w:szCs w:val="18"/>
              </w:rPr>
            </w:pPr>
            <w:r w:rsidRPr="00B30B78">
              <w:rPr>
                <w:rFonts w:cstheme="minorHAnsi"/>
                <w:sz w:val="18"/>
                <w:szCs w:val="18"/>
              </w:rPr>
              <w:t>2028.</w:t>
            </w:r>
          </w:p>
        </w:tc>
      </w:tr>
      <w:tr w:rsidR="0028147C" w:rsidRPr="00B30B78" w14:paraId="7B0F1AFF" w14:textId="77777777" w:rsidTr="005D52A0">
        <w:tc>
          <w:tcPr>
            <w:tcW w:w="9206" w:type="dxa"/>
            <w:gridSpan w:val="8"/>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1B67E028" w14:textId="406C242B" w:rsidR="0028147C" w:rsidRPr="00B30B78" w:rsidRDefault="0028147C" w:rsidP="0028147C">
            <w:pPr>
              <w:rPr>
                <w:rFonts w:cstheme="minorHAnsi"/>
                <w:sz w:val="18"/>
                <w:szCs w:val="18"/>
              </w:rPr>
            </w:pPr>
            <w:r w:rsidRPr="00B30B78">
              <w:rPr>
                <w:rFonts w:cstheme="minorHAnsi"/>
                <w:b/>
                <w:bCs/>
                <w:sz w:val="18"/>
                <w:szCs w:val="18"/>
              </w:rPr>
              <w:t>Mjera 1</w:t>
            </w:r>
            <w:r>
              <w:rPr>
                <w:rFonts w:cstheme="minorHAnsi"/>
                <w:b/>
                <w:bCs/>
                <w:sz w:val="18"/>
                <w:szCs w:val="18"/>
              </w:rPr>
              <w:t>5</w:t>
            </w:r>
            <w:r w:rsidRPr="00B30B78">
              <w:rPr>
                <w:rFonts w:cstheme="minorHAnsi"/>
                <w:b/>
                <w:bCs/>
                <w:sz w:val="18"/>
                <w:szCs w:val="18"/>
              </w:rPr>
              <w:t>. Izrada informacijskog sustava FZOEU za pripremu i provedbu projekata</w:t>
            </w:r>
          </w:p>
        </w:tc>
      </w:tr>
      <w:tr w:rsidR="0028147C" w:rsidRPr="00B30B78" w14:paraId="5C8959EA" w14:textId="77777777" w:rsidTr="005D52A0">
        <w:tc>
          <w:tcPr>
            <w:tcW w:w="1696" w:type="dxa"/>
            <w:tcBorders>
              <w:top w:val="single" w:sz="4" w:space="0" w:color="auto"/>
              <w:left w:val="single" w:sz="4" w:space="0" w:color="auto"/>
              <w:bottom w:val="single" w:sz="4" w:space="0" w:color="auto"/>
              <w:right w:val="single" w:sz="4" w:space="0" w:color="auto"/>
            </w:tcBorders>
            <w:vAlign w:val="center"/>
            <w:hideMark/>
          </w:tcPr>
          <w:p w14:paraId="0D8B98E2" w14:textId="0FB465D5" w:rsidR="0028147C" w:rsidRPr="00B30B78" w:rsidRDefault="0028147C" w:rsidP="0028147C">
            <w:pPr>
              <w:jc w:val="left"/>
              <w:rPr>
                <w:rFonts w:cstheme="minorHAnsi"/>
                <w:sz w:val="18"/>
                <w:szCs w:val="18"/>
              </w:rPr>
            </w:pPr>
            <w:r w:rsidRPr="00B30B78">
              <w:rPr>
                <w:rFonts w:cstheme="minorHAnsi"/>
                <w:sz w:val="18"/>
                <w:szCs w:val="18"/>
              </w:rPr>
              <w:t>A 1</w:t>
            </w:r>
            <w:r>
              <w:rPr>
                <w:rFonts w:cstheme="minorHAnsi"/>
                <w:sz w:val="18"/>
                <w:szCs w:val="18"/>
              </w:rPr>
              <w:t>5</w:t>
            </w:r>
            <w:r w:rsidRPr="00B30B78">
              <w:rPr>
                <w:rFonts w:cstheme="minorHAnsi"/>
                <w:sz w:val="18"/>
                <w:szCs w:val="18"/>
              </w:rPr>
              <w:t>.1. Izrada jedinstvenog informacijskog sustava FZOEU za pripremu i provedbu projekata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74CD79" w14:textId="77777777" w:rsidR="0028147C" w:rsidRPr="00B30B78" w:rsidRDefault="0028147C" w:rsidP="0028147C">
            <w:pPr>
              <w:rPr>
                <w:rFonts w:cstheme="minorHAnsi"/>
                <w:sz w:val="18"/>
                <w:szCs w:val="18"/>
              </w:rPr>
            </w:pPr>
            <w:r w:rsidRPr="00B30B78">
              <w:rPr>
                <w:rFonts w:cstheme="minorHAnsi"/>
                <w:sz w:val="18"/>
                <w:szCs w:val="18"/>
              </w:rPr>
              <w:t>FZOEU</w:t>
            </w:r>
          </w:p>
        </w:tc>
        <w:tc>
          <w:tcPr>
            <w:tcW w:w="967" w:type="dxa"/>
            <w:tcBorders>
              <w:top w:val="single" w:sz="4" w:space="0" w:color="auto"/>
              <w:left w:val="single" w:sz="4" w:space="0" w:color="auto"/>
              <w:bottom w:val="single" w:sz="4" w:space="0" w:color="auto"/>
              <w:right w:val="single" w:sz="4" w:space="0" w:color="auto"/>
            </w:tcBorders>
            <w:vAlign w:val="center"/>
            <w:hideMark/>
          </w:tcPr>
          <w:p w14:paraId="7EFB7DB6" w14:textId="77777777" w:rsidR="0028147C" w:rsidRPr="00B30B78" w:rsidRDefault="0028147C" w:rsidP="0028147C">
            <w:pPr>
              <w:rPr>
                <w:rFonts w:cstheme="minorHAnsi"/>
                <w:sz w:val="18"/>
                <w:szCs w:val="18"/>
              </w:rPr>
            </w:pPr>
            <w:r w:rsidRPr="00B30B78">
              <w:rPr>
                <w:rFonts w:cstheme="minorHAnsi"/>
                <w:sz w:val="18"/>
                <w:szCs w:val="18"/>
              </w:rPr>
              <w:t>-</w:t>
            </w:r>
          </w:p>
        </w:tc>
        <w:tc>
          <w:tcPr>
            <w:tcW w:w="1160" w:type="dxa"/>
            <w:tcBorders>
              <w:top w:val="single" w:sz="4" w:space="0" w:color="auto"/>
              <w:left w:val="single" w:sz="4" w:space="0" w:color="auto"/>
              <w:bottom w:val="single" w:sz="4" w:space="0" w:color="auto"/>
              <w:right w:val="single" w:sz="4" w:space="0" w:color="auto"/>
            </w:tcBorders>
            <w:vAlign w:val="center"/>
            <w:hideMark/>
          </w:tcPr>
          <w:p w14:paraId="11129865" w14:textId="19A678AC" w:rsidR="0028147C" w:rsidRPr="00B30B78" w:rsidRDefault="0028147C" w:rsidP="0028147C">
            <w:pPr>
              <w:rPr>
                <w:rFonts w:cstheme="minorHAnsi"/>
                <w:sz w:val="18"/>
                <w:szCs w:val="18"/>
              </w:rPr>
            </w:pPr>
            <w:r w:rsidRPr="00B30B78">
              <w:rPr>
                <w:rFonts w:cstheme="minorHAnsi"/>
                <w:sz w:val="18"/>
                <w:szCs w:val="18"/>
              </w:rPr>
              <w:t>FZOEU</w:t>
            </w:r>
          </w:p>
        </w:tc>
        <w:tc>
          <w:tcPr>
            <w:tcW w:w="1556" w:type="dxa"/>
            <w:tcBorders>
              <w:top w:val="single" w:sz="4" w:space="0" w:color="auto"/>
              <w:left w:val="single" w:sz="4" w:space="0" w:color="auto"/>
              <w:bottom w:val="single" w:sz="4" w:space="0" w:color="auto"/>
              <w:right w:val="single" w:sz="4" w:space="0" w:color="auto"/>
            </w:tcBorders>
            <w:vAlign w:val="center"/>
            <w:hideMark/>
          </w:tcPr>
          <w:p w14:paraId="116D161D" w14:textId="77777777" w:rsidR="0028147C" w:rsidRPr="00B30B78" w:rsidRDefault="0028147C" w:rsidP="0028147C">
            <w:pPr>
              <w:rPr>
                <w:rFonts w:cstheme="minorHAnsi"/>
                <w:sz w:val="18"/>
                <w:szCs w:val="18"/>
              </w:rPr>
            </w:pPr>
            <w:r w:rsidRPr="00B30B78">
              <w:rPr>
                <w:rFonts w:cstheme="minorHAnsi"/>
                <w:sz w:val="18"/>
                <w:szCs w:val="18"/>
              </w:rPr>
              <w:t>Funkcionalni jedinstveni informacijski sustav FZOEU za pripremu i provedbu projekata</w:t>
            </w:r>
          </w:p>
        </w:tc>
        <w:tc>
          <w:tcPr>
            <w:tcW w:w="820" w:type="dxa"/>
            <w:tcBorders>
              <w:top w:val="single" w:sz="4" w:space="0" w:color="auto"/>
              <w:left w:val="single" w:sz="4" w:space="0" w:color="auto"/>
              <w:bottom w:val="single" w:sz="4" w:space="0" w:color="auto"/>
              <w:right w:val="single" w:sz="4" w:space="0" w:color="auto"/>
            </w:tcBorders>
            <w:vAlign w:val="center"/>
            <w:hideMark/>
          </w:tcPr>
          <w:p w14:paraId="20F60B96" w14:textId="77777777" w:rsidR="0028147C" w:rsidRPr="00B30B78" w:rsidRDefault="0028147C" w:rsidP="0028147C">
            <w:pPr>
              <w:rPr>
                <w:rFonts w:cstheme="minorHAnsi"/>
                <w:sz w:val="18"/>
                <w:szCs w:val="18"/>
              </w:rPr>
            </w:pPr>
            <w:r w:rsidRPr="00B30B78">
              <w:rPr>
                <w:rFonts w:cstheme="minorHAnsi"/>
                <w:sz w:val="18"/>
                <w:szCs w:val="18"/>
              </w:rPr>
              <w:t>Broj</w:t>
            </w:r>
          </w:p>
        </w:tc>
        <w:tc>
          <w:tcPr>
            <w:tcW w:w="1023" w:type="dxa"/>
            <w:tcBorders>
              <w:top w:val="single" w:sz="4" w:space="0" w:color="auto"/>
              <w:left w:val="single" w:sz="4" w:space="0" w:color="auto"/>
              <w:bottom w:val="single" w:sz="4" w:space="0" w:color="auto"/>
              <w:right w:val="single" w:sz="4" w:space="0" w:color="auto"/>
            </w:tcBorders>
            <w:vAlign w:val="center"/>
            <w:hideMark/>
          </w:tcPr>
          <w:p w14:paraId="1A27440C" w14:textId="77777777" w:rsidR="0028147C" w:rsidRPr="00B30B78" w:rsidRDefault="0028147C" w:rsidP="0028147C">
            <w:pPr>
              <w:rPr>
                <w:rFonts w:cstheme="minorHAnsi"/>
                <w:sz w:val="18"/>
                <w:szCs w:val="18"/>
              </w:rPr>
            </w:pPr>
            <w:r w:rsidRPr="00B30B78">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6A4FEE" w14:textId="77777777" w:rsidR="0028147C" w:rsidRPr="00B30B78" w:rsidRDefault="0028147C" w:rsidP="0028147C">
            <w:pPr>
              <w:jc w:val="center"/>
              <w:rPr>
                <w:rFonts w:cstheme="minorHAnsi"/>
                <w:sz w:val="18"/>
                <w:szCs w:val="18"/>
              </w:rPr>
            </w:pPr>
            <w:r w:rsidRPr="00B30B78">
              <w:rPr>
                <w:rFonts w:cstheme="minorHAnsi"/>
                <w:sz w:val="18"/>
                <w:szCs w:val="18"/>
              </w:rPr>
              <w:t>2024.</w:t>
            </w:r>
          </w:p>
        </w:tc>
      </w:tr>
      <w:tr w:rsidR="0028147C" w:rsidRPr="00B30B78" w14:paraId="11EDCAB1" w14:textId="77777777" w:rsidTr="005D52A0">
        <w:tc>
          <w:tcPr>
            <w:tcW w:w="9206" w:type="dxa"/>
            <w:gridSpan w:val="8"/>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1C4B5AF9" w14:textId="16B3588D" w:rsidR="0028147C" w:rsidRPr="00B30B78" w:rsidRDefault="0028147C" w:rsidP="0028147C">
            <w:pPr>
              <w:rPr>
                <w:rFonts w:cstheme="minorHAnsi"/>
                <w:b/>
                <w:bCs/>
                <w:sz w:val="18"/>
                <w:szCs w:val="18"/>
              </w:rPr>
            </w:pPr>
            <w:r w:rsidRPr="00B30B78">
              <w:rPr>
                <w:rFonts w:cstheme="minorHAnsi"/>
                <w:b/>
                <w:bCs/>
                <w:sz w:val="18"/>
                <w:szCs w:val="18"/>
              </w:rPr>
              <w:t>Mjera 1</w:t>
            </w:r>
            <w:r>
              <w:rPr>
                <w:rFonts w:cstheme="minorHAnsi"/>
                <w:b/>
                <w:bCs/>
                <w:sz w:val="18"/>
                <w:szCs w:val="18"/>
              </w:rPr>
              <w:t>6</w:t>
            </w:r>
            <w:r w:rsidRPr="00B30B78">
              <w:rPr>
                <w:rFonts w:cstheme="minorHAnsi"/>
                <w:b/>
                <w:bCs/>
                <w:sz w:val="18"/>
                <w:szCs w:val="18"/>
              </w:rPr>
              <w:t>. Izrada plana monitoringa provedbe Plana gospodarenja otpadom Republike Hrvatske</w:t>
            </w:r>
          </w:p>
        </w:tc>
      </w:tr>
      <w:tr w:rsidR="0028147C" w:rsidRPr="00B30B78" w14:paraId="5B8F5210" w14:textId="77777777" w:rsidTr="005D52A0">
        <w:tc>
          <w:tcPr>
            <w:tcW w:w="1696" w:type="dxa"/>
            <w:tcBorders>
              <w:top w:val="single" w:sz="4" w:space="0" w:color="auto"/>
              <w:left w:val="single" w:sz="4" w:space="0" w:color="auto"/>
              <w:bottom w:val="single" w:sz="4" w:space="0" w:color="auto"/>
              <w:right w:val="single" w:sz="4" w:space="0" w:color="auto"/>
            </w:tcBorders>
            <w:vAlign w:val="center"/>
            <w:hideMark/>
          </w:tcPr>
          <w:p w14:paraId="6A859FAC" w14:textId="7958C73A" w:rsidR="0028147C" w:rsidRPr="00B30B78" w:rsidRDefault="0028147C" w:rsidP="0028147C">
            <w:pPr>
              <w:jc w:val="left"/>
              <w:rPr>
                <w:rFonts w:cstheme="minorHAnsi"/>
                <w:sz w:val="18"/>
                <w:szCs w:val="18"/>
              </w:rPr>
            </w:pPr>
            <w:r w:rsidRPr="00B30B78">
              <w:rPr>
                <w:rFonts w:cstheme="minorHAnsi"/>
                <w:sz w:val="18"/>
                <w:szCs w:val="18"/>
              </w:rPr>
              <w:t>A 1</w:t>
            </w:r>
            <w:r>
              <w:rPr>
                <w:rFonts w:cstheme="minorHAnsi"/>
                <w:sz w:val="18"/>
                <w:szCs w:val="18"/>
              </w:rPr>
              <w:t>6</w:t>
            </w:r>
            <w:r w:rsidRPr="00B30B78">
              <w:rPr>
                <w:rFonts w:cstheme="minorHAnsi"/>
                <w:sz w:val="18"/>
                <w:szCs w:val="18"/>
              </w:rPr>
              <w:t>.1. Izrada plana praćenja provedbe Plana gospodarenja otpadom</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4B6C3E" w14:textId="7089A0A9" w:rsidR="0028147C" w:rsidRPr="00B30B78" w:rsidRDefault="0028147C" w:rsidP="0028147C">
            <w:pPr>
              <w:rPr>
                <w:rFonts w:cstheme="minorHAnsi"/>
                <w:sz w:val="18"/>
                <w:szCs w:val="18"/>
              </w:rPr>
            </w:pPr>
            <w:r w:rsidRPr="00B30B78">
              <w:rPr>
                <w:rFonts w:cstheme="minorHAnsi"/>
                <w:sz w:val="18"/>
                <w:szCs w:val="18"/>
              </w:rPr>
              <w:t>M</w:t>
            </w:r>
            <w:r>
              <w:rPr>
                <w:rFonts w:cstheme="minorHAnsi"/>
                <w:sz w:val="18"/>
                <w:szCs w:val="18"/>
              </w:rPr>
              <w:t>IN</w:t>
            </w:r>
            <w:r w:rsidRPr="00B30B78">
              <w:rPr>
                <w:rFonts w:cstheme="minorHAnsi"/>
                <w:sz w:val="18"/>
                <w:szCs w:val="18"/>
              </w:rPr>
              <w:t>GOR</w:t>
            </w:r>
          </w:p>
        </w:tc>
        <w:tc>
          <w:tcPr>
            <w:tcW w:w="967" w:type="dxa"/>
            <w:tcBorders>
              <w:top w:val="single" w:sz="4" w:space="0" w:color="auto"/>
              <w:left w:val="single" w:sz="4" w:space="0" w:color="auto"/>
              <w:bottom w:val="single" w:sz="4" w:space="0" w:color="auto"/>
              <w:right w:val="single" w:sz="4" w:space="0" w:color="auto"/>
            </w:tcBorders>
            <w:vAlign w:val="center"/>
            <w:hideMark/>
          </w:tcPr>
          <w:p w14:paraId="1F844970" w14:textId="77777777" w:rsidR="0028147C" w:rsidRPr="00B30B78" w:rsidRDefault="0028147C" w:rsidP="0028147C">
            <w:pPr>
              <w:rPr>
                <w:rFonts w:cstheme="minorHAnsi"/>
                <w:sz w:val="18"/>
                <w:szCs w:val="18"/>
              </w:rPr>
            </w:pPr>
            <w:r w:rsidRPr="00B30B78">
              <w:rPr>
                <w:rFonts w:cstheme="minorHAnsi"/>
                <w:sz w:val="18"/>
                <w:szCs w:val="18"/>
              </w:rPr>
              <w:t>-</w:t>
            </w:r>
          </w:p>
        </w:tc>
        <w:tc>
          <w:tcPr>
            <w:tcW w:w="1160" w:type="dxa"/>
            <w:tcBorders>
              <w:top w:val="single" w:sz="4" w:space="0" w:color="auto"/>
              <w:left w:val="single" w:sz="4" w:space="0" w:color="auto"/>
              <w:bottom w:val="single" w:sz="4" w:space="0" w:color="auto"/>
              <w:right w:val="single" w:sz="4" w:space="0" w:color="auto"/>
            </w:tcBorders>
            <w:vAlign w:val="center"/>
            <w:hideMark/>
          </w:tcPr>
          <w:p w14:paraId="31020908" w14:textId="7EF26D5D" w:rsidR="0028147C" w:rsidRPr="00B30B78" w:rsidRDefault="0028147C" w:rsidP="0028147C">
            <w:pPr>
              <w:rPr>
                <w:rFonts w:cstheme="minorHAnsi"/>
                <w:sz w:val="18"/>
                <w:szCs w:val="18"/>
              </w:rPr>
            </w:pPr>
            <w:r w:rsidRPr="00B30B78">
              <w:rPr>
                <w:rFonts w:cstheme="minorHAnsi"/>
                <w:sz w:val="18"/>
                <w:szCs w:val="18"/>
              </w:rPr>
              <w:t>M</w:t>
            </w:r>
            <w:r>
              <w:rPr>
                <w:rFonts w:cstheme="minorHAnsi"/>
                <w:sz w:val="18"/>
                <w:szCs w:val="18"/>
              </w:rPr>
              <w:t>IN</w:t>
            </w:r>
            <w:r w:rsidRPr="00B30B78">
              <w:rPr>
                <w:rFonts w:cstheme="minorHAnsi"/>
                <w:sz w:val="18"/>
                <w:szCs w:val="18"/>
              </w:rPr>
              <w:t>GOR</w:t>
            </w:r>
          </w:p>
        </w:tc>
        <w:tc>
          <w:tcPr>
            <w:tcW w:w="1556" w:type="dxa"/>
            <w:tcBorders>
              <w:top w:val="single" w:sz="4" w:space="0" w:color="auto"/>
              <w:left w:val="single" w:sz="4" w:space="0" w:color="auto"/>
              <w:bottom w:val="single" w:sz="4" w:space="0" w:color="auto"/>
              <w:right w:val="single" w:sz="4" w:space="0" w:color="auto"/>
            </w:tcBorders>
            <w:vAlign w:val="center"/>
            <w:hideMark/>
          </w:tcPr>
          <w:p w14:paraId="36214C5A" w14:textId="77777777" w:rsidR="0028147C" w:rsidRPr="00B30B78" w:rsidRDefault="0028147C" w:rsidP="0028147C">
            <w:pPr>
              <w:rPr>
                <w:rFonts w:cstheme="minorHAnsi"/>
                <w:sz w:val="18"/>
                <w:szCs w:val="18"/>
              </w:rPr>
            </w:pPr>
            <w:r w:rsidRPr="00B30B78">
              <w:rPr>
                <w:rFonts w:cstheme="minorHAnsi"/>
                <w:sz w:val="18"/>
                <w:szCs w:val="18"/>
              </w:rPr>
              <w:t>Izrađen plan praćenja provedbe Plana gospodarenja otpadom</w:t>
            </w:r>
          </w:p>
        </w:tc>
        <w:tc>
          <w:tcPr>
            <w:tcW w:w="820" w:type="dxa"/>
            <w:tcBorders>
              <w:top w:val="single" w:sz="4" w:space="0" w:color="auto"/>
              <w:left w:val="single" w:sz="4" w:space="0" w:color="auto"/>
              <w:bottom w:val="single" w:sz="4" w:space="0" w:color="auto"/>
              <w:right w:val="single" w:sz="4" w:space="0" w:color="auto"/>
            </w:tcBorders>
            <w:vAlign w:val="center"/>
            <w:hideMark/>
          </w:tcPr>
          <w:p w14:paraId="367AE75F" w14:textId="77777777" w:rsidR="0028147C" w:rsidRPr="00B30B78" w:rsidRDefault="0028147C" w:rsidP="0028147C">
            <w:pPr>
              <w:rPr>
                <w:rFonts w:cstheme="minorHAnsi"/>
                <w:sz w:val="18"/>
                <w:szCs w:val="18"/>
              </w:rPr>
            </w:pPr>
            <w:r w:rsidRPr="00B30B78">
              <w:rPr>
                <w:rFonts w:cstheme="minorHAnsi"/>
                <w:sz w:val="18"/>
                <w:szCs w:val="18"/>
              </w:rPr>
              <w:t>Broj</w:t>
            </w:r>
          </w:p>
        </w:tc>
        <w:tc>
          <w:tcPr>
            <w:tcW w:w="1023" w:type="dxa"/>
            <w:tcBorders>
              <w:top w:val="single" w:sz="4" w:space="0" w:color="auto"/>
              <w:left w:val="single" w:sz="4" w:space="0" w:color="auto"/>
              <w:bottom w:val="single" w:sz="4" w:space="0" w:color="auto"/>
              <w:right w:val="single" w:sz="4" w:space="0" w:color="auto"/>
            </w:tcBorders>
            <w:vAlign w:val="center"/>
            <w:hideMark/>
          </w:tcPr>
          <w:p w14:paraId="240AF6B7" w14:textId="77777777" w:rsidR="0028147C" w:rsidRPr="00B30B78" w:rsidRDefault="0028147C" w:rsidP="0028147C">
            <w:pPr>
              <w:rPr>
                <w:rFonts w:cstheme="minorHAnsi"/>
                <w:sz w:val="18"/>
                <w:szCs w:val="18"/>
              </w:rPr>
            </w:pPr>
            <w:r w:rsidRPr="00B30B78">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A77DBB" w14:textId="77777777" w:rsidR="0028147C" w:rsidRPr="00B30B78" w:rsidRDefault="0028147C" w:rsidP="0028147C">
            <w:pPr>
              <w:jc w:val="center"/>
              <w:rPr>
                <w:rFonts w:cstheme="minorHAnsi"/>
                <w:sz w:val="18"/>
                <w:szCs w:val="18"/>
              </w:rPr>
            </w:pPr>
            <w:r w:rsidRPr="00B30B78">
              <w:rPr>
                <w:rFonts w:cstheme="minorHAnsi"/>
                <w:sz w:val="18"/>
                <w:szCs w:val="18"/>
              </w:rPr>
              <w:t>2023.</w:t>
            </w:r>
          </w:p>
        </w:tc>
      </w:tr>
      <w:tr w:rsidR="00280EDD" w:rsidRPr="00B30B78" w14:paraId="785B36F9" w14:textId="77777777" w:rsidTr="005D52A0">
        <w:tc>
          <w:tcPr>
            <w:tcW w:w="1696" w:type="dxa"/>
            <w:tcBorders>
              <w:top w:val="single" w:sz="4" w:space="0" w:color="auto"/>
              <w:left w:val="single" w:sz="4" w:space="0" w:color="auto"/>
              <w:bottom w:val="single" w:sz="4" w:space="0" w:color="auto"/>
              <w:right w:val="single" w:sz="4" w:space="0" w:color="auto"/>
            </w:tcBorders>
            <w:vAlign w:val="center"/>
          </w:tcPr>
          <w:p w14:paraId="570147CE" w14:textId="4D59938C" w:rsidR="00280EDD" w:rsidRPr="00B30B78" w:rsidRDefault="00280EDD" w:rsidP="0028147C">
            <w:pPr>
              <w:jc w:val="left"/>
              <w:rPr>
                <w:rFonts w:cstheme="minorHAnsi"/>
                <w:sz w:val="18"/>
                <w:szCs w:val="18"/>
              </w:rPr>
            </w:pPr>
            <w:r>
              <w:rPr>
                <w:rFonts w:cstheme="minorHAnsi"/>
                <w:sz w:val="18"/>
                <w:szCs w:val="18"/>
              </w:rPr>
              <w:t xml:space="preserve">A 16.2. Osnivanje Povjerenstva za </w:t>
            </w:r>
            <w:r>
              <w:rPr>
                <w:rFonts w:cstheme="minorHAnsi"/>
                <w:sz w:val="18"/>
                <w:szCs w:val="18"/>
              </w:rPr>
              <w:lastRenderedPageBreak/>
              <w:t>praćenje provedbe Plana gospodarenja otpadom</w:t>
            </w:r>
          </w:p>
        </w:tc>
        <w:tc>
          <w:tcPr>
            <w:tcW w:w="992" w:type="dxa"/>
            <w:tcBorders>
              <w:top w:val="single" w:sz="4" w:space="0" w:color="auto"/>
              <w:left w:val="single" w:sz="4" w:space="0" w:color="auto"/>
              <w:bottom w:val="single" w:sz="4" w:space="0" w:color="auto"/>
              <w:right w:val="single" w:sz="4" w:space="0" w:color="auto"/>
            </w:tcBorders>
            <w:vAlign w:val="center"/>
          </w:tcPr>
          <w:p w14:paraId="672C7F8D" w14:textId="007E436C" w:rsidR="00280EDD" w:rsidRPr="00B30B78" w:rsidRDefault="00280EDD" w:rsidP="0028147C">
            <w:pPr>
              <w:rPr>
                <w:rFonts w:cstheme="minorHAnsi"/>
                <w:sz w:val="18"/>
                <w:szCs w:val="18"/>
              </w:rPr>
            </w:pPr>
            <w:r>
              <w:rPr>
                <w:rFonts w:cstheme="minorHAnsi"/>
                <w:sz w:val="18"/>
                <w:szCs w:val="18"/>
              </w:rPr>
              <w:lastRenderedPageBreak/>
              <w:t>MINGOR</w:t>
            </w:r>
          </w:p>
        </w:tc>
        <w:tc>
          <w:tcPr>
            <w:tcW w:w="967" w:type="dxa"/>
            <w:tcBorders>
              <w:top w:val="single" w:sz="4" w:space="0" w:color="auto"/>
              <w:left w:val="single" w:sz="4" w:space="0" w:color="auto"/>
              <w:bottom w:val="single" w:sz="4" w:space="0" w:color="auto"/>
              <w:right w:val="single" w:sz="4" w:space="0" w:color="auto"/>
            </w:tcBorders>
            <w:vAlign w:val="center"/>
          </w:tcPr>
          <w:p w14:paraId="31263CA2" w14:textId="06ED2662" w:rsidR="00280EDD" w:rsidRPr="00B30B78" w:rsidRDefault="00280EDD" w:rsidP="0028147C">
            <w:pPr>
              <w:rPr>
                <w:rFonts w:cstheme="minorHAnsi"/>
                <w:sz w:val="18"/>
                <w:szCs w:val="18"/>
              </w:rPr>
            </w:pPr>
            <w:r>
              <w:rPr>
                <w:rFonts w:cstheme="minorHAnsi"/>
                <w:sz w:val="18"/>
                <w:szCs w:val="18"/>
              </w:rPr>
              <w:t>-</w:t>
            </w:r>
          </w:p>
        </w:tc>
        <w:tc>
          <w:tcPr>
            <w:tcW w:w="1160" w:type="dxa"/>
            <w:tcBorders>
              <w:top w:val="single" w:sz="4" w:space="0" w:color="auto"/>
              <w:left w:val="single" w:sz="4" w:space="0" w:color="auto"/>
              <w:bottom w:val="single" w:sz="4" w:space="0" w:color="auto"/>
              <w:right w:val="single" w:sz="4" w:space="0" w:color="auto"/>
            </w:tcBorders>
            <w:vAlign w:val="center"/>
          </w:tcPr>
          <w:p w14:paraId="22F0E8B9" w14:textId="52E62E28" w:rsidR="00280EDD" w:rsidRPr="00B30B78" w:rsidRDefault="00280EDD" w:rsidP="0028147C">
            <w:pPr>
              <w:rPr>
                <w:rFonts w:cstheme="minorHAnsi"/>
                <w:sz w:val="18"/>
                <w:szCs w:val="18"/>
              </w:rPr>
            </w:pPr>
            <w:r>
              <w:rPr>
                <w:rFonts w:cstheme="minorHAnsi"/>
                <w:sz w:val="18"/>
                <w:szCs w:val="18"/>
              </w:rPr>
              <w:t>MINGOR</w:t>
            </w:r>
          </w:p>
        </w:tc>
        <w:tc>
          <w:tcPr>
            <w:tcW w:w="1556" w:type="dxa"/>
            <w:tcBorders>
              <w:top w:val="single" w:sz="4" w:space="0" w:color="auto"/>
              <w:left w:val="single" w:sz="4" w:space="0" w:color="auto"/>
              <w:bottom w:val="single" w:sz="4" w:space="0" w:color="auto"/>
              <w:right w:val="single" w:sz="4" w:space="0" w:color="auto"/>
            </w:tcBorders>
            <w:vAlign w:val="center"/>
          </w:tcPr>
          <w:p w14:paraId="0F1CBAD5" w14:textId="680A56FF" w:rsidR="00280EDD" w:rsidRPr="00B30B78" w:rsidRDefault="00280EDD" w:rsidP="0028147C">
            <w:pPr>
              <w:rPr>
                <w:rFonts w:cstheme="minorHAnsi"/>
                <w:sz w:val="18"/>
                <w:szCs w:val="18"/>
              </w:rPr>
            </w:pPr>
            <w:r>
              <w:rPr>
                <w:rFonts w:cstheme="minorHAnsi"/>
                <w:sz w:val="18"/>
                <w:szCs w:val="18"/>
              </w:rPr>
              <w:t xml:space="preserve">Osnovano Povjerenstvo za </w:t>
            </w:r>
            <w:r>
              <w:rPr>
                <w:rFonts w:cstheme="minorHAnsi"/>
                <w:sz w:val="18"/>
                <w:szCs w:val="18"/>
              </w:rPr>
              <w:lastRenderedPageBreak/>
              <w:t>praćenje provedbe Plana gospodarenja otpadom</w:t>
            </w:r>
          </w:p>
        </w:tc>
        <w:tc>
          <w:tcPr>
            <w:tcW w:w="820" w:type="dxa"/>
            <w:tcBorders>
              <w:top w:val="single" w:sz="4" w:space="0" w:color="auto"/>
              <w:left w:val="single" w:sz="4" w:space="0" w:color="auto"/>
              <w:bottom w:val="single" w:sz="4" w:space="0" w:color="auto"/>
              <w:right w:val="single" w:sz="4" w:space="0" w:color="auto"/>
            </w:tcBorders>
            <w:vAlign w:val="center"/>
          </w:tcPr>
          <w:p w14:paraId="5C3824A4" w14:textId="0F760FAA" w:rsidR="00280EDD" w:rsidRPr="00B30B78" w:rsidRDefault="00280EDD" w:rsidP="0028147C">
            <w:pPr>
              <w:rPr>
                <w:rFonts w:cstheme="minorHAnsi"/>
                <w:sz w:val="18"/>
                <w:szCs w:val="18"/>
              </w:rPr>
            </w:pPr>
            <w:r>
              <w:rPr>
                <w:rFonts w:cstheme="minorHAnsi"/>
                <w:sz w:val="18"/>
                <w:szCs w:val="18"/>
              </w:rPr>
              <w:lastRenderedPageBreak/>
              <w:t>Broj</w:t>
            </w:r>
          </w:p>
        </w:tc>
        <w:tc>
          <w:tcPr>
            <w:tcW w:w="1023" w:type="dxa"/>
            <w:tcBorders>
              <w:top w:val="single" w:sz="4" w:space="0" w:color="auto"/>
              <w:left w:val="single" w:sz="4" w:space="0" w:color="auto"/>
              <w:bottom w:val="single" w:sz="4" w:space="0" w:color="auto"/>
              <w:right w:val="single" w:sz="4" w:space="0" w:color="auto"/>
            </w:tcBorders>
            <w:vAlign w:val="center"/>
          </w:tcPr>
          <w:p w14:paraId="70E2884F" w14:textId="3F43A554" w:rsidR="00280EDD" w:rsidRPr="00B30B78" w:rsidRDefault="00280EDD" w:rsidP="0028147C">
            <w:pPr>
              <w:rPr>
                <w:rFonts w:cstheme="minorHAnsi"/>
                <w:sz w:val="18"/>
                <w:szCs w:val="18"/>
              </w:rPr>
            </w:pPr>
            <w:r>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3D942BA5" w14:textId="212A66AD" w:rsidR="00280EDD" w:rsidRPr="00B30B78" w:rsidRDefault="00280EDD" w:rsidP="0028147C">
            <w:pPr>
              <w:jc w:val="center"/>
              <w:rPr>
                <w:rFonts w:cstheme="minorHAnsi"/>
                <w:sz w:val="18"/>
                <w:szCs w:val="18"/>
              </w:rPr>
            </w:pPr>
            <w:r>
              <w:rPr>
                <w:rFonts w:cstheme="minorHAnsi"/>
                <w:sz w:val="18"/>
                <w:szCs w:val="18"/>
              </w:rPr>
              <w:t>2023.</w:t>
            </w:r>
          </w:p>
        </w:tc>
      </w:tr>
    </w:tbl>
    <w:p w14:paraId="7417B390" w14:textId="4C50803E" w:rsidR="00B30B78" w:rsidRDefault="00B30B78" w:rsidP="001649D4">
      <w:pPr>
        <w:rPr>
          <w:rFonts w:cstheme="minorHAnsi"/>
          <w:highlight w:val="yellow"/>
        </w:rPr>
      </w:pPr>
    </w:p>
    <w:p w14:paraId="32520451" w14:textId="1E40D5DD" w:rsidR="001649D4" w:rsidRPr="0056410F" w:rsidRDefault="001649D4" w:rsidP="0018450E">
      <w:pPr>
        <w:pStyle w:val="IRNaslov2"/>
        <w:pageBreakBefore/>
        <w:numPr>
          <w:ilvl w:val="1"/>
          <w:numId w:val="22"/>
        </w:numPr>
        <w:ind w:left="709" w:hanging="709"/>
      </w:pPr>
      <w:bookmarkStart w:id="344" w:name="_Toc123211699"/>
      <w:r w:rsidRPr="0056410F">
        <w:lastRenderedPageBreak/>
        <w:t>Mjere za unaprjeđenje nadzora nad gospodarenjem otpadom</w:t>
      </w:r>
      <w:bookmarkEnd w:id="344"/>
    </w:p>
    <w:p w14:paraId="0F7C76AA" w14:textId="77777777" w:rsidR="001649D4" w:rsidRDefault="001649D4" w:rsidP="001649D4">
      <w:pPr>
        <w:rPr>
          <w:rFonts w:cstheme="minorHAnsi"/>
        </w:rPr>
      </w:pPr>
      <w:r>
        <w:rPr>
          <w:rFonts w:cstheme="minorHAnsi"/>
        </w:rPr>
        <w:t xml:space="preserve">Mjera i aktivnosti definirane u ovom </w:t>
      </w:r>
      <w:proofErr w:type="spellStart"/>
      <w:r>
        <w:rPr>
          <w:rFonts w:cstheme="minorHAnsi"/>
        </w:rPr>
        <w:t>podpoglavlju</w:t>
      </w:r>
      <w:proofErr w:type="spellEnd"/>
      <w:r>
        <w:rPr>
          <w:rFonts w:cstheme="minorHAnsi"/>
        </w:rPr>
        <w:t xml:space="preserve"> usmjerene su na ostvarenje </w:t>
      </w:r>
      <w:r>
        <w:rPr>
          <w:rFonts w:cstheme="minorHAnsi"/>
          <w:b/>
          <w:bCs/>
        </w:rPr>
        <w:t>Cilja 13. -</w:t>
      </w:r>
      <w:r>
        <w:rPr>
          <w:rFonts w:cstheme="minorHAnsi"/>
        </w:rPr>
        <w:t xml:space="preserve"> </w:t>
      </w:r>
      <w:r>
        <w:rPr>
          <w:rFonts w:cstheme="minorHAnsi"/>
          <w:i/>
          <w:iCs/>
        </w:rPr>
        <w:t>Unaprijediti nadzor nad gospodarenjem otpadom,</w:t>
      </w:r>
      <w:r>
        <w:rPr>
          <w:rFonts w:cstheme="minorHAnsi"/>
        </w:rPr>
        <w:t xml:space="preserve"> kroz osiguranje izobrazbe relevantnih dionika u području nadzora gospodarenja </w:t>
      </w:r>
      <w:commentRangeStart w:id="345"/>
      <w:r>
        <w:rPr>
          <w:rFonts w:cstheme="minorHAnsi"/>
        </w:rPr>
        <w:t>otpadom</w:t>
      </w:r>
      <w:commentRangeEnd w:id="345"/>
      <w:r w:rsidR="00542D46">
        <w:rPr>
          <w:rStyle w:val="Referencakomentara"/>
        </w:rPr>
        <w:commentReference w:id="345"/>
      </w:r>
      <w:r>
        <w:rPr>
          <w:rFonts w:cstheme="minorHAnsi"/>
        </w:rPr>
        <w:t>.</w:t>
      </w:r>
    </w:p>
    <w:tbl>
      <w:tblPr>
        <w:tblStyle w:val="Reetkatablice"/>
        <w:tblW w:w="9067" w:type="dxa"/>
        <w:tblLook w:val="04A0" w:firstRow="1" w:lastRow="0" w:firstColumn="1" w:lastColumn="0" w:noHBand="0" w:noVBand="1"/>
      </w:tblPr>
      <w:tblGrid>
        <w:gridCol w:w="4508"/>
        <w:gridCol w:w="4559"/>
      </w:tblGrid>
      <w:tr w:rsidR="001649D4" w14:paraId="37B27765" w14:textId="77777777" w:rsidTr="001649D4">
        <w:trPr>
          <w:tblHeader/>
        </w:trPr>
        <w:tc>
          <w:tcPr>
            <w:tcW w:w="9067"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34E10611" w14:textId="77777777" w:rsidR="001649D4" w:rsidRDefault="001649D4">
            <w:pPr>
              <w:rPr>
                <w:rFonts w:cstheme="minorHAnsi"/>
                <w:b/>
                <w:bCs/>
                <w:sz w:val="18"/>
                <w:szCs w:val="18"/>
              </w:rPr>
            </w:pPr>
            <w:r>
              <w:rPr>
                <w:rFonts w:cstheme="minorHAnsi"/>
                <w:b/>
                <w:bCs/>
                <w:sz w:val="18"/>
                <w:szCs w:val="18"/>
              </w:rPr>
              <w:t>Mjere za ostvarenje Cilja 13. - Unaprijediti nadzor nad gospodarenjem otpadom</w:t>
            </w:r>
          </w:p>
        </w:tc>
      </w:tr>
      <w:tr w:rsidR="001649D4" w14:paraId="33B99239" w14:textId="77777777" w:rsidTr="001649D4">
        <w:trPr>
          <w:tblHeader/>
        </w:trPr>
        <w:tc>
          <w:tcPr>
            <w:tcW w:w="4508" w:type="dxa"/>
            <w:tcBorders>
              <w:top w:val="single" w:sz="4" w:space="0" w:color="auto"/>
              <w:left w:val="single" w:sz="4" w:space="0" w:color="auto"/>
              <w:bottom w:val="single" w:sz="4" w:space="0" w:color="auto"/>
              <w:right w:val="single" w:sz="4" w:space="0" w:color="auto"/>
            </w:tcBorders>
            <w:shd w:val="clear" w:color="auto" w:fill="002060"/>
            <w:hideMark/>
          </w:tcPr>
          <w:p w14:paraId="549B2087" w14:textId="77777777" w:rsidR="001649D4" w:rsidRDefault="001649D4">
            <w:pPr>
              <w:jc w:val="center"/>
              <w:rPr>
                <w:rFonts w:cstheme="minorHAnsi"/>
                <w:b/>
                <w:bCs/>
                <w:sz w:val="18"/>
                <w:szCs w:val="18"/>
              </w:rPr>
            </w:pPr>
            <w:r>
              <w:rPr>
                <w:rFonts w:cstheme="minorHAnsi"/>
                <w:b/>
                <w:bCs/>
                <w:sz w:val="18"/>
                <w:szCs w:val="18"/>
              </w:rPr>
              <w:t>Mjera</w:t>
            </w:r>
          </w:p>
        </w:tc>
        <w:tc>
          <w:tcPr>
            <w:tcW w:w="4559" w:type="dxa"/>
            <w:tcBorders>
              <w:top w:val="single" w:sz="4" w:space="0" w:color="auto"/>
              <w:left w:val="single" w:sz="4" w:space="0" w:color="auto"/>
              <w:bottom w:val="single" w:sz="4" w:space="0" w:color="auto"/>
              <w:right w:val="single" w:sz="4" w:space="0" w:color="auto"/>
            </w:tcBorders>
            <w:shd w:val="clear" w:color="auto" w:fill="002060"/>
            <w:hideMark/>
          </w:tcPr>
          <w:p w14:paraId="5E3BB5C8" w14:textId="77777777" w:rsidR="001649D4" w:rsidRDefault="001649D4">
            <w:pPr>
              <w:jc w:val="center"/>
              <w:rPr>
                <w:rFonts w:cstheme="minorHAnsi"/>
                <w:b/>
                <w:bCs/>
                <w:sz w:val="18"/>
                <w:szCs w:val="18"/>
              </w:rPr>
            </w:pPr>
            <w:r>
              <w:rPr>
                <w:rFonts w:cstheme="minorHAnsi"/>
                <w:b/>
                <w:bCs/>
                <w:sz w:val="18"/>
                <w:szCs w:val="18"/>
              </w:rPr>
              <w:t>Opis mjere</w:t>
            </w:r>
          </w:p>
        </w:tc>
      </w:tr>
      <w:tr w:rsidR="001649D4" w14:paraId="21A401A3" w14:textId="77777777" w:rsidTr="001649D4">
        <w:tc>
          <w:tcPr>
            <w:tcW w:w="4508" w:type="dxa"/>
            <w:tcBorders>
              <w:top w:val="single" w:sz="4" w:space="0" w:color="auto"/>
              <w:left w:val="single" w:sz="4" w:space="0" w:color="auto"/>
              <w:bottom w:val="single" w:sz="4" w:space="0" w:color="auto"/>
              <w:right w:val="single" w:sz="4" w:space="0" w:color="auto"/>
            </w:tcBorders>
            <w:vAlign w:val="center"/>
            <w:hideMark/>
          </w:tcPr>
          <w:p w14:paraId="712B6301" w14:textId="5DDFEA23" w:rsidR="001649D4" w:rsidRDefault="001649D4">
            <w:pPr>
              <w:rPr>
                <w:rFonts w:cstheme="minorHAnsi"/>
                <w:b/>
                <w:bCs/>
                <w:sz w:val="18"/>
                <w:szCs w:val="18"/>
              </w:rPr>
            </w:pPr>
            <w:r>
              <w:rPr>
                <w:rFonts w:cstheme="minorHAnsi"/>
                <w:b/>
                <w:bCs/>
                <w:sz w:val="18"/>
                <w:szCs w:val="18"/>
              </w:rPr>
              <w:t xml:space="preserve">Mjera </w:t>
            </w:r>
            <w:r w:rsidR="00E73B3B">
              <w:rPr>
                <w:rFonts w:cstheme="minorHAnsi"/>
                <w:b/>
                <w:bCs/>
                <w:sz w:val="18"/>
                <w:szCs w:val="18"/>
              </w:rPr>
              <w:t>17</w:t>
            </w:r>
            <w:r>
              <w:rPr>
                <w:rFonts w:cstheme="minorHAnsi"/>
                <w:b/>
                <w:bCs/>
                <w:sz w:val="18"/>
                <w:szCs w:val="18"/>
              </w:rPr>
              <w:t>. Izobrazba sudionika uključenih u nadzor gospodarenja otpadom</w:t>
            </w:r>
          </w:p>
        </w:tc>
        <w:tc>
          <w:tcPr>
            <w:tcW w:w="4559" w:type="dxa"/>
            <w:tcBorders>
              <w:top w:val="single" w:sz="4" w:space="0" w:color="auto"/>
              <w:left w:val="single" w:sz="4" w:space="0" w:color="auto"/>
              <w:bottom w:val="single" w:sz="4" w:space="0" w:color="auto"/>
              <w:right w:val="single" w:sz="4" w:space="0" w:color="auto"/>
            </w:tcBorders>
            <w:hideMark/>
          </w:tcPr>
          <w:p w14:paraId="28821673" w14:textId="77777777" w:rsidR="001649D4" w:rsidRDefault="001649D4">
            <w:pPr>
              <w:rPr>
                <w:rFonts w:cstheme="minorHAnsi"/>
                <w:sz w:val="18"/>
                <w:szCs w:val="18"/>
              </w:rPr>
            </w:pPr>
            <w:r>
              <w:rPr>
                <w:rFonts w:cstheme="minorHAnsi"/>
                <w:sz w:val="18"/>
                <w:szCs w:val="18"/>
              </w:rPr>
              <w:t>Provođenje aktivnosti izobrazbe djelatnika službi za komunalno redarstvo JLS i inspektore zaštite okoliša.</w:t>
            </w:r>
          </w:p>
        </w:tc>
      </w:tr>
    </w:tbl>
    <w:p w14:paraId="2BDF851C" w14:textId="77777777" w:rsidR="001649D4" w:rsidRDefault="001649D4" w:rsidP="001649D4">
      <w:pPr>
        <w:rPr>
          <w:rFonts w:cstheme="minorHAnsi"/>
        </w:rPr>
      </w:pPr>
    </w:p>
    <w:tbl>
      <w:tblPr>
        <w:tblStyle w:val="Reetkatablice"/>
        <w:tblW w:w="9063" w:type="dxa"/>
        <w:tblLayout w:type="fixed"/>
        <w:tblLook w:val="04A0" w:firstRow="1" w:lastRow="0" w:firstColumn="1" w:lastColumn="0" w:noHBand="0" w:noVBand="1"/>
      </w:tblPr>
      <w:tblGrid>
        <w:gridCol w:w="1980"/>
        <w:gridCol w:w="851"/>
        <w:gridCol w:w="966"/>
        <w:gridCol w:w="1019"/>
        <w:gridCol w:w="1558"/>
        <w:gridCol w:w="820"/>
        <w:gridCol w:w="893"/>
        <w:gridCol w:w="7"/>
        <w:gridCol w:w="969"/>
      </w:tblGrid>
      <w:tr w:rsidR="001649D4" w14:paraId="2963DD06" w14:textId="77777777" w:rsidTr="009D0020">
        <w:trPr>
          <w:tblHeader/>
        </w:trPr>
        <w:tc>
          <w:tcPr>
            <w:tcW w:w="9063" w:type="dxa"/>
            <w:gridSpan w:val="9"/>
            <w:tcBorders>
              <w:top w:val="single" w:sz="4" w:space="0" w:color="auto"/>
              <w:left w:val="single" w:sz="4" w:space="0" w:color="auto"/>
              <w:bottom w:val="single" w:sz="4" w:space="0" w:color="auto"/>
              <w:right w:val="single" w:sz="4" w:space="0" w:color="auto"/>
            </w:tcBorders>
            <w:shd w:val="clear" w:color="auto" w:fill="002060"/>
            <w:vAlign w:val="center"/>
            <w:hideMark/>
          </w:tcPr>
          <w:p w14:paraId="3902542C" w14:textId="77777777" w:rsidR="001649D4" w:rsidRDefault="001649D4">
            <w:pPr>
              <w:rPr>
                <w:rFonts w:cstheme="minorHAnsi"/>
                <w:b/>
                <w:bCs/>
                <w:sz w:val="16"/>
                <w:szCs w:val="16"/>
              </w:rPr>
            </w:pPr>
            <w:r>
              <w:rPr>
                <w:rFonts w:cstheme="minorHAnsi"/>
                <w:b/>
                <w:bCs/>
                <w:sz w:val="16"/>
                <w:szCs w:val="16"/>
              </w:rPr>
              <w:t>Mjere za ostvarenje Cilja 13. - Unaprijediti nadzor nad gospodarenjem otpadom</w:t>
            </w:r>
          </w:p>
        </w:tc>
      </w:tr>
      <w:tr w:rsidR="00B30B78" w14:paraId="290C418F" w14:textId="77777777" w:rsidTr="009D0020">
        <w:trPr>
          <w:trHeight w:val="405"/>
          <w:tblHeader/>
        </w:trPr>
        <w:tc>
          <w:tcPr>
            <w:tcW w:w="1980"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7722FC21" w14:textId="77777777" w:rsidR="00B30B78" w:rsidRDefault="00B30B78">
            <w:pPr>
              <w:jc w:val="center"/>
              <w:rPr>
                <w:rFonts w:cstheme="minorHAnsi"/>
                <w:b/>
                <w:bCs/>
                <w:sz w:val="16"/>
                <w:szCs w:val="16"/>
              </w:rPr>
            </w:pPr>
            <w:r>
              <w:rPr>
                <w:rFonts w:cstheme="minorHAnsi"/>
                <w:b/>
                <w:bCs/>
                <w:sz w:val="16"/>
                <w:szCs w:val="16"/>
              </w:rPr>
              <w:t>Aktivnost (A)</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142F6CBC" w14:textId="77777777" w:rsidR="00B30B78" w:rsidRDefault="00B30B78">
            <w:pPr>
              <w:jc w:val="center"/>
              <w:rPr>
                <w:rFonts w:cstheme="minorHAnsi"/>
                <w:b/>
                <w:bCs/>
                <w:sz w:val="16"/>
                <w:szCs w:val="16"/>
              </w:rPr>
            </w:pPr>
            <w:r>
              <w:rPr>
                <w:rFonts w:cstheme="minorHAnsi"/>
                <w:b/>
                <w:bCs/>
                <w:sz w:val="16"/>
                <w:szCs w:val="16"/>
              </w:rPr>
              <w:t>Nositelj</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7A6B2DC1" w14:textId="77777777" w:rsidR="00B30B78" w:rsidRDefault="00B30B78">
            <w:pPr>
              <w:jc w:val="center"/>
              <w:rPr>
                <w:rFonts w:cstheme="minorHAnsi"/>
                <w:b/>
                <w:bCs/>
                <w:sz w:val="16"/>
                <w:szCs w:val="16"/>
              </w:rPr>
            </w:pPr>
            <w:proofErr w:type="spellStart"/>
            <w:r>
              <w:rPr>
                <w:rFonts w:cstheme="minorHAnsi"/>
                <w:b/>
                <w:bCs/>
                <w:sz w:val="16"/>
                <w:szCs w:val="16"/>
              </w:rPr>
              <w:t>Sunositelj</w:t>
            </w:r>
            <w:proofErr w:type="spellEnd"/>
          </w:p>
        </w:tc>
        <w:tc>
          <w:tcPr>
            <w:tcW w:w="1019"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7CC72D8F" w14:textId="77777777" w:rsidR="00B30B78" w:rsidRDefault="00B30B78">
            <w:pPr>
              <w:jc w:val="center"/>
              <w:rPr>
                <w:rFonts w:cstheme="minorHAnsi"/>
                <w:b/>
                <w:bCs/>
                <w:sz w:val="16"/>
                <w:szCs w:val="16"/>
              </w:rPr>
            </w:pPr>
            <w:r>
              <w:rPr>
                <w:rFonts w:cstheme="minorHAnsi"/>
                <w:b/>
                <w:bCs/>
                <w:sz w:val="16"/>
                <w:szCs w:val="16"/>
              </w:rPr>
              <w:t>Mogući izvori financiranja</w:t>
            </w:r>
          </w:p>
        </w:tc>
        <w:tc>
          <w:tcPr>
            <w:tcW w:w="3271"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02BCF3F" w14:textId="77777777" w:rsidR="00B30B78" w:rsidRDefault="00B30B78">
            <w:pPr>
              <w:jc w:val="center"/>
              <w:rPr>
                <w:rFonts w:cstheme="minorHAnsi"/>
                <w:b/>
                <w:bCs/>
                <w:sz w:val="16"/>
                <w:szCs w:val="16"/>
              </w:rPr>
            </w:pPr>
            <w:r>
              <w:rPr>
                <w:rFonts w:cstheme="minorHAnsi"/>
                <w:b/>
                <w:bCs/>
                <w:sz w:val="16"/>
                <w:szCs w:val="16"/>
              </w:rPr>
              <w:t>Pokazatelj ostvarenja</w:t>
            </w:r>
          </w:p>
        </w:tc>
        <w:tc>
          <w:tcPr>
            <w:tcW w:w="976" w:type="dxa"/>
            <w:gridSpan w:val="2"/>
            <w:vMerge w:val="restart"/>
            <w:tcBorders>
              <w:top w:val="single" w:sz="4" w:space="0" w:color="auto"/>
              <w:left w:val="single" w:sz="4" w:space="0" w:color="auto"/>
              <w:right w:val="single" w:sz="4" w:space="0" w:color="auto"/>
            </w:tcBorders>
            <w:shd w:val="clear" w:color="auto" w:fill="002060"/>
            <w:vAlign w:val="center"/>
            <w:hideMark/>
          </w:tcPr>
          <w:p w14:paraId="2BBA66F3" w14:textId="77777777" w:rsidR="00B30B78" w:rsidRDefault="00B30B78">
            <w:pPr>
              <w:jc w:val="center"/>
              <w:rPr>
                <w:rFonts w:cstheme="minorHAnsi"/>
                <w:b/>
                <w:bCs/>
                <w:sz w:val="16"/>
                <w:szCs w:val="16"/>
              </w:rPr>
            </w:pPr>
            <w:r>
              <w:rPr>
                <w:rFonts w:cstheme="minorHAnsi"/>
                <w:b/>
                <w:bCs/>
                <w:sz w:val="16"/>
                <w:szCs w:val="16"/>
              </w:rPr>
              <w:t>Rok provedbe</w:t>
            </w:r>
          </w:p>
        </w:tc>
      </w:tr>
      <w:tr w:rsidR="00B30B78" w14:paraId="29E761A5" w14:textId="77777777" w:rsidTr="009D0020">
        <w:trPr>
          <w:trHeight w:val="405"/>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563BE589" w14:textId="77777777" w:rsidR="00B30B78" w:rsidRDefault="00B30B78">
            <w:pPr>
              <w:rPr>
                <w:rFonts w:cstheme="minorHAnsi"/>
                <w:b/>
                <w:bCs/>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2E1A9C3" w14:textId="77777777" w:rsidR="00B30B78" w:rsidRDefault="00B30B78">
            <w:pPr>
              <w:rPr>
                <w:rFonts w:cstheme="minorHAnsi"/>
                <w:b/>
                <w:bCs/>
                <w:sz w:val="16"/>
                <w:szCs w:val="16"/>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363A7462" w14:textId="77777777" w:rsidR="00B30B78" w:rsidRDefault="00B30B78">
            <w:pPr>
              <w:rPr>
                <w:rFonts w:cstheme="minorHAnsi"/>
                <w:b/>
                <w:bCs/>
                <w:sz w:val="16"/>
                <w:szCs w:val="16"/>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7B8FA592" w14:textId="77777777" w:rsidR="00B30B78" w:rsidRDefault="00B30B78">
            <w:pPr>
              <w:rPr>
                <w:rFonts w:cstheme="minorHAnsi"/>
                <w:b/>
                <w:bCs/>
                <w:sz w:val="16"/>
                <w:szCs w:val="16"/>
              </w:rPr>
            </w:pPr>
          </w:p>
        </w:tc>
        <w:tc>
          <w:tcPr>
            <w:tcW w:w="1558"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0CFC74D" w14:textId="77777777" w:rsidR="00B30B78" w:rsidRDefault="00B30B78">
            <w:pPr>
              <w:jc w:val="center"/>
              <w:rPr>
                <w:rFonts w:cstheme="minorHAnsi"/>
                <w:b/>
                <w:bCs/>
                <w:sz w:val="16"/>
                <w:szCs w:val="16"/>
              </w:rPr>
            </w:pPr>
            <w:r>
              <w:rPr>
                <w:rFonts w:cstheme="minorHAnsi"/>
                <w:b/>
                <w:bCs/>
                <w:sz w:val="16"/>
                <w:szCs w:val="16"/>
              </w:rPr>
              <w:t>Naziv</w:t>
            </w:r>
          </w:p>
        </w:tc>
        <w:tc>
          <w:tcPr>
            <w:tcW w:w="82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E1DB927" w14:textId="77777777" w:rsidR="00B30B78" w:rsidRDefault="00B30B78">
            <w:pPr>
              <w:jc w:val="center"/>
              <w:rPr>
                <w:rFonts w:cstheme="minorHAnsi"/>
                <w:b/>
                <w:bCs/>
                <w:sz w:val="16"/>
                <w:szCs w:val="16"/>
              </w:rPr>
            </w:pPr>
            <w:r>
              <w:rPr>
                <w:rFonts w:cstheme="minorHAnsi"/>
                <w:b/>
                <w:bCs/>
                <w:sz w:val="16"/>
                <w:szCs w:val="16"/>
              </w:rPr>
              <w:t>Mjerna jedinica</w:t>
            </w:r>
          </w:p>
        </w:tc>
        <w:tc>
          <w:tcPr>
            <w:tcW w:w="893"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554E163" w14:textId="77777777" w:rsidR="00B30B78" w:rsidRDefault="00B30B78">
            <w:pPr>
              <w:jc w:val="center"/>
              <w:rPr>
                <w:rFonts w:cstheme="minorHAnsi"/>
                <w:b/>
                <w:bCs/>
                <w:sz w:val="16"/>
                <w:szCs w:val="16"/>
              </w:rPr>
            </w:pPr>
            <w:r>
              <w:rPr>
                <w:rFonts w:cstheme="minorHAnsi"/>
                <w:b/>
                <w:bCs/>
                <w:sz w:val="16"/>
                <w:szCs w:val="16"/>
              </w:rPr>
              <w:t>Ciljana vrijednost</w:t>
            </w:r>
          </w:p>
        </w:tc>
        <w:tc>
          <w:tcPr>
            <w:tcW w:w="976" w:type="dxa"/>
            <w:gridSpan w:val="2"/>
            <w:vMerge/>
            <w:tcBorders>
              <w:left w:val="single" w:sz="4" w:space="0" w:color="auto"/>
              <w:bottom w:val="single" w:sz="4" w:space="0" w:color="auto"/>
              <w:right w:val="single" w:sz="4" w:space="0" w:color="auto"/>
            </w:tcBorders>
            <w:vAlign w:val="center"/>
            <w:hideMark/>
          </w:tcPr>
          <w:p w14:paraId="0457731A" w14:textId="77777777" w:rsidR="00B30B78" w:rsidRDefault="00B30B78">
            <w:pPr>
              <w:rPr>
                <w:rFonts w:cstheme="minorHAnsi"/>
                <w:b/>
                <w:bCs/>
                <w:sz w:val="16"/>
                <w:szCs w:val="16"/>
              </w:rPr>
            </w:pPr>
          </w:p>
        </w:tc>
      </w:tr>
      <w:tr w:rsidR="001649D4" w14:paraId="23B79CA8" w14:textId="77777777" w:rsidTr="009D0020">
        <w:tc>
          <w:tcPr>
            <w:tcW w:w="9063" w:type="dxa"/>
            <w:gridSpan w:val="9"/>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2C99CF6F" w14:textId="72263A78" w:rsidR="001649D4" w:rsidRDefault="001649D4">
            <w:pPr>
              <w:rPr>
                <w:rFonts w:cstheme="minorHAnsi"/>
                <w:sz w:val="16"/>
                <w:szCs w:val="16"/>
              </w:rPr>
            </w:pPr>
            <w:r>
              <w:rPr>
                <w:rFonts w:cstheme="minorHAnsi"/>
                <w:b/>
                <w:bCs/>
                <w:sz w:val="16"/>
                <w:szCs w:val="16"/>
              </w:rPr>
              <w:t xml:space="preserve">Mjera </w:t>
            </w:r>
            <w:r w:rsidR="00E73B3B">
              <w:rPr>
                <w:rFonts w:cstheme="minorHAnsi"/>
                <w:b/>
                <w:bCs/>
                <w:sz w:val="16"/>
                <w:szCs w:val="16"/>
              </w:rPr>
              <w:t>17</w:t>
            </w:r>
            <w:r>
              <w:rPr>
                <w:rFonts w:cstheme="minorHAnsi"/>
                <w:b/>
                <w:bCs/>
                <w:sz w:val="16"/>
                <w:szCs w:val="16"/>
              </w:rPr>
              <w:t>. Izobrazba sudionika uključenih u nadzor gospodarenja otpadom</w:t>
            </w:r>
          </w:p>
        </w:tc>
      </w:tr>
      <w:tr w:rsidR="001649D4" w14:paraId="560B82C2" w14:textId="77777777" w:rsidTr="009D0020">
        <w:tc>
          <w:tcPr>
            <w:tcW w:w="1980" w:type="dxa"/>
            <w:tcBorders>
              <w:top w:val="single" w:sz="4" w:space="0" w:color="auto"/>
              <w:left w:val="single" w:sz="4" w:space="0" w:color="auto"/>
              <w:bottom w:val="single" w:sz="4" w:space="0" w:color="auto"/>
              <w:right w:val="single" w:sz="4" w:space="0" w:color="auto"/>
            </w:tcBorders>
            <w:vAlign w:val="center"/>
            <w:hideMark/>
          </w:tcPr>
          <w:p w14:paraId="5601AFDF" w14:textId="3F9E142A" w:rsidR="001649D4" w:rsidRDefault="001649D4" w:rsidP="00E54322">
            <w:pPr>
              <w:jc w:val="left"/>
              <w:rPr>
                <w:rFonts w:cstheme="minorHAnsi"/>
                <w:sz w:val="16"/>
                <w:szCs w:val="16"/>
              </w:rPr>
            </w:pPr>
            <w:r>
              <w:rPr>
                <w:rFonts w:cstheme="minorHAnsi"/>
                <w:sz w:val="16"/>
                <w:szCs w:val="16"/>
              </w:rPr>
              <w:t xml:space="preserve">A </w:t>
            </w:r>
            <w:r w:rsidR="00E73B3B">
              <w:rPr>
                <w:rFonts w:cstheme="minorHAnsi"/>
                <w:sz w:val="16"/>
                <w:szCs w:val="16"/>
              </w:rPr>
              <w:t>17</w:t>
            </w:r>
            <w:r>
              <w:rPr>
                <w:rFonts w:cstheme="minorHAnsi"/>
                <w:sz w:val="16"/>
                <w:szCs w:val="16"/>
              </w:rPr>
              <w:t>.1. Provedba izobrazbe sudionika uključenih u nadzor gospodarenja otpadom</w:t>
            </w:r>
          </w:p>
        </w:tc>
        <w:tc>
          <w:tcPr>
            <w:tcW w:w="851" w:type="dxa"/>
            <w:tcBorders>
              <w:top w:val="single" w:sz="6" w:space="0" w:color="auto"/>
              <w:left w:val="single" w:sz="6" w:space="0" w:color="auto"/>
              <w:bottom w:val="single" w:sz="6" w:space="0" w:color="auto"/>
              <w:right w:val="single" w:sz="6" w:space="0" w:color="auto"/>
            </w:tcBorders>
            <w:vAlign w:val="center"/>
            <w:hideMark/>
          </w:tcPr>
          <w:p w14:paraId="19C4EBDC" w14:textId="77777777" w:rsidR="001649D4" w:rsidRDefault="001649D4">
            <w:pPr>
              <w:rPr>
                <w:rFonts w:cstheme="minorHAnsi"/>
                <w:sz w:val="16"/>
                <w:szCs w:val="16"/>
              </w:rPr>
            </w:pPr>
            <w:r>
              <w:rPr>
                <w:rFonts w:cstheme="minorHAnsi"/>
                <w:sz w:val="16"/>
                <w:szCs w:val="16"/>
              </w:rPr>
              <w:t>MINGOR</w:t>
            </w:r>
          </w:p>
        </w:tc>
        <w:tc>
          <w:tcPr>
            <w:tcW w:w="966" w:type="dxa"/>
            <w:tcBorders>
              <w:top w:val="single" w:sz="6" w:space="0" w:color="auto"/>
              <w:left w:val="single" w:sz="6" w:space="0" w:color="auto"/>
              <w:bottom w:val="single" w:sz="6" w:space="0" w:color="auto"/>
              <w:right w:val="single" w:sz="6" w:space="0" w:color="auto"/>
            </w:tcBorders>
            <w:vAlign w:val="center"/>
            <w:hideMark/>
          </w:tcPr>
          <w:p w14:paraId="32991557" w14:textId="77777777" w:rsidR="001649D4" w:rsidRDefault="001649D4">
            <w:pPr>
              <w:rPr>
                <w:rFonts w:cstheme="minorHAnsi"/>
                <w:sz w:val="16"/>
                <w:szCs w:val="16"/>
              </w:rPr>
            </w:pPr>
            <w:r>
              <w:rPr>
                <w:rFonts w:cstheme="minorHAnsi"/>
                <w:sz w:val="16"/>
                <w:szCs w:val="16"/>
              </w:rPr>
              <w:t>DIRH / JLS / JP(R)LS</w:t>
            </w:r>
          </w:p>
        </w:tc>
        <w:tc>
          <w:tcPr>
            <w:tcW w:w="1019" w:type="dxa"/>
            <w:tcBorders>
              <w:top w:val="single" w:sz="6" w:space="0" w:color="auto"/>
              <w:left w:val="single" w:sz="6" w:space="0" w:color="auto"/>
              <w:bottom w:val="single" w:sz="6" w:space="0" w:color="auto"/>
              <w:right w:val="single" w:sz="6" w:space="0" w:color="auto"/>
            </w:tcBorders>
            <w:vAlign w:val="center"/>
            <w:hideMark/>
          </w:tcPr>
          <w:p w14:paraId="35D469D9" w14:textId="77777777" w:rsidR="001649D4" w:rsidRDefault="001649D4">
            <w:pPr>
              <w:rPr>
                <w:rFonts w:cstheme="minorHAnsi"/>
                <w:sz w:val="16"/>
                <w:szCs w:val="16"/>
              </w:rPr>
            </w:pPr>
            <w:r>
              <w:rPr>
                <w:rFonts w:cstheme="minorHAnsi"/>
                <w:sz w:val="16"/>
                <w:szCs w:val="16"/>
              </w:rPr>
              <w:t>MINGOR / DIRH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0ED68FF" w14:textId="77777777" w:rsidR="001649D4" w:rsidRDefault="001649D4">
            <w:pPr>
              <w:rPr>
                <w:rFonts w:cstheme="minorHAnsi"/>
                <w:sz w:val="16"/>
                <w:szCs w:val="16"/>
              </w:rPr>
            </w:pPr>
            <w:r>
              <w:rPr>
                <w:rFonts w:cstheme="minorHAnsi"/>
                <w:sz w:val="16"/>
                <w:szCs w:val="16"/>
              </w:rPr>
              <w:t>Provedene izobrazbe</w:t>
            </w:r>
          </w:p>
        </w:tc>
        <w:tc>
          <w:tcPr>
            <w:tcW w:w="820" w:type="dxa"/>
            <w:tcBorders>
              <w:top w:val="single" w:sz="4" w:space="0" w:color="auto"/>
              <w:left w:val="single" w:sz="4" w:space="0" w:color="auto"/>
              <w:bottom w:val="single" w:sz="4" w:space="0" w:color="auto"/>
              <w:right w:val="single" w:sz="4" w:space="0" w:color="auto"/>
            </w:tcBorders>
            <w:vAlign w:val="center"/>
            <w:hideMark/>
          </w:tcPr>
          <w:p w14:paraId="1EE1DD33" w14:textId="77777777" w:rsidR="001649D4" w:rsidRDefault="001649D4">
            <w:pPr>
              <w:rPr>
                <w:rFonts w:cstheme="minorHAnsi"/>
                <w:sz w:val="16"/>
                <w:szCs w:val="16"/>
              </w:rPr>
            </w:pPr>
            <w:r>
              <w:rPr>
                <w:rFonts w:cstheme="minorHAnsi"/>
                <w:sz w:val="16"/>
                <w:szCs w:val="16"/>
              </w:rPr>
              <w:t>Broj</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14:paraId="59EFA9D8" w14:textId="77777777" w:rsidR="001649D4" w:rsidRDefault="001649D4">
            <w:pPr>
              <w:rPr>
                <w:rFonts w:cstheme="minorHAnsi"/>
                <w:sz w:val="16"/>
                <w:szCs w:val="16"/>
              </w:rPr>
            </w:pPr>
            <w:r>
              <w:rPr>
                <w:rFonts w:cstheme="minorHAnsi"/>
                <w:sz w:val="16"/>
                <w:szCs w:val="16"/>
              </w:rPr>
              <w:t>6</w:t>
            </w:r>
          </w:p>
        </w:tc>
        <w:tc>
          <w:tcPr>
            <w:tcW w:w="969" w:type="dxa"/>
            <w:tcBorders>
              <w:top w:val="single" w:sz="4" w:space="0" w:color="auto"/>
              <w:left w:val="single" w:sz="4" w:space="0" w:color="auto"/>
              <w:bottom w:val="single" w:sz="4" w:space="0" w:color="auto"/>
              <w:right w:val="single" w:sz="4" w:space="0" w:color="auto"/>
            </w:tcBorders>
            <w:vAlign w:val="center"/>
            <w:hideMark/>
          </w:tcPr>
          <w:p w14:paraId="5A53A5C6" w14:textId="0BE4B35C" w:rsidR="001649D4" w:rsidRDefault="00BF051A" w:rsidP="00BB4B49">
            <w:pPr>
              <w:rPr>
                <w:rFonts w:cstheme="minorHAnsi"/>
                <w:sz w:val="16"/>
                <w:szCs w:val="16"/>
              </w:rPr>
            </w:pPr>
            <w:r>
              <w:rPr>
                <w:rFonts w:cstheme="minorHAnsi"/>
                <w:sz w:val="16"/>
                <w:szCs w:val="16"/>
              </w:rPr>
              <w:t>2028.</w:t>
            </w:r>
          </w:p>
        </w:tc>
      </w:tr>
    </w:tbl>
    <w:p w14:paraId="12A4208D" w14:textId="77777777" w:rsidR="001649D4" w:rsidRDefault="001649D4" w:rsidP="001649D4">
      <w:pPr>
        <w:rPr>
          <w:rFonts w:cstheme="minorHAnsi"/>
        </w:rPr>
      </w:pPr>
    </w:p>
    <w:p w14:paraId="2ECAC28C" w14:textId="77777777" w:rsidR="00596ABF" w:rsidRDefault="00596ABF" w:rsidP="00596ABF"/>
    <w:p w14:paraId="285EFC0C" w14:textId="77777777" w:rsidR="00596ABF" w:rsidRDefault="00596ABF" w:rsidP="00596ABF"/>
    <w:p w14:paraId="76C68E5B" w14:textId="0B6CC1EA" w:rsidR="00596ABF" w:rsidRPr="00835847" w:rsidRDefault="00047796" w:rsidP="0018450E">
      <w:pPr>
        <w:pStyle w:val="IRNaslov1"/>
        <w:numPr>
          <w:ilvl w:val="0"/>
          <w:numId w:val="22"/>
        </w:numPr>
        <w:ind w:left="709" w:hanging="709"/>
      </w:pPr>
      <w:bookmarkStart w:id="346" w:name="_Toc123211700"/>
      <w:r w:rsidRPr="00047796">
        <w:lastRenderedPageBreak/>
        <w:t>FINANCIJSKA SREDSTVA ZA PROVEDBU MJERA PLANA</w:t>
      </w:r>
      <w:bookmarkEnd w:id="346"/>
    </w:p>
    <w:p w14:paraId="2F5FFC6B" w14:textId="6B3E6DDB" w:rsidR="00286C5B" w:rsidRPr="00DE1B14" w:rsidRDefault="00286C5B" w:rsidP="0018450E">
      <w:pPr>
        <w:pStyle w:val="IRNaslov2"/>
        <w:numPr>
          <w:ilvl w:val="1"/>
          <w:numId w:val="22"/>
        </w:numPr>
        <w:ind w:left="709"/>
        <w:rPr>
          <w:b w:val="0"/>
          <w:bCs w:val="0"/>
        </w:rPr>
      </w:pPr>
      <w:bookmarkStart w:id="347" w:name="_Toc123211701"/>
      <w:r w:rsidRPr="00DE1B14">
        <w:t>Mogući izvori financiranja</w:t>
      </w:r>
      <w:bookmarkEnd w:id="347"/>
    </w:p>
    <w:p w14:paraId="21D12437" w14:textId="2DB3C5A0" w:rsidR="00524B1B" w:rsidRDefault="00524B1B" w:rsidP="00524B1B">
      <w:r w:rsidRPr="00263F95">
        <w:t>Financiranje mjera predviđenih ovim Planom moguće je iz više izvora. To su javni izvori poput državnog proračuna, proračuna JLS i JP(R)S, FZOEU</w:t>
      </w:r>
      <w:r>
        <w:t xml:space="preserve"> </w:t>
      </w:r>
      <w:r w:rsidRPr="00263F95">
        <w:t xml:space="preserve">i sredstva EU. Osim javnih izvora, </w:t>
      </w:r>
      <w:r w:rsidRPr="00032517">
        <w:t>potencijalnim financijskim izvorima</w:t>
      </w:r>
      <w:r w:rsidRPr="001314B4">
        <w:t xml:space="preserve"> </w:t>
      </w:r>
      <w:r w:rsidRPr="00264334">
        <w:t xml:space="preserve">mogu </w:t>
      </w:r>
      <w:r>
        <w:t xml:space="preserve">se </w:t>
      </w:r>
      <w:r w:rsidRPr="00D83658">
        <w:t>smatrati i krediti banaka i privatna</w:t>
      </w:r>
      <w:r w:rsidRPr="00263F95">
        <w:t xml:space="preserve"> ulaganja</w:t>
      </w:r>
      <w:r>
        <w:t xml:space="preserve"> (</w:t>
      </w:r>
      <w:r>
        <w:fldChar w:fldCharType="begin"/>
      </w:r>
      <w:r>
        <w:instrText xml:space="preserve"> REF _Ref120865584 \h </w:instrText>
      </w:r>
      <w:r>
        <w:fldChar w:fldCharType="separate"/>
      </w:r>
      <w:r w:rsidR="00F37B62">
        <w:rPr>
          <w:b/>
          <w:bCs/>
        </w:rPr>
        <w:t>Pogreška! Izvor reference nije pronađen.</w:t>
      </w:r>
      <w:r>
        <w:fldChar w:fldCharType="end"/>
      </w:r>
      <w:r>
        <w:t>).</w:t>
      </w:r>
    </w:p>
    <w:p w14:paraId="6F6716B0" w14:textId="57D92786" w:rsidR="00524B1B" w:rsidRPr="00BB2706" w:rsidRDefault="00524B1B" w:rsidP="00BB2706">
      <w:pPr>
        <w:pStyle w:val="Tablica"/>
      </w:pPr>
      <w:bookmarkStart w:id="348" w:name="_Toc125364456"/>
      <w:r w:rsidRPr="00BB2706">
        <w:t xml:space="preserve">Tablica </w:t>
      </w:r>
      <w:fldSimple w:instr=" SEQ Tablica \* ARABIC ">
        <w:r w:rsidR="00F37B62">
          <w:rPr>
            <w:noProof/>
          </w:rPr>
          <w:t>67</w:t>
        </w:r>
      </w:fldSimple>
      <w:r w:rsidRPr="00BB2706">
        <w:t xml:space="preserve">. </w:t>
      </w:r>
      <w:r w:rsidRPr="00BB2706">
        <w:rPr>
          <w:b w:val="0"/>
        </w:rPr>
        <w:t>Mogući izvori financiranja mjera</w:t>
      </w:r>
      <w:bookmarkEnd w:id="348"/>
      <w:r w:rsidRPr="00BB2706">
        <w:t xml:space="preserve"> </w:t>
      </w:r>
    </w:p>
    <w:tbl>
      <w:tblPr>
        <w:tblStyle w:val="Reetkatablice"/>
        <w:tblW w:w="5000" w:type="pct"/>
        <w:tblLook w:val="04A0" w:firstRow="1" w:lastRow="0" w:firstColumn="1" w:lastColumn="0" w:noHBand="0" w:noVBand="1"/>
      </w:tblPr>
      <w:tblGrid>
        <w:gridCol w:w="2602"/>
        <w:gridCol w:w="6414"/>
      </w:tblGrid>
      <w:tr w:rsidR="00524B1B" w:rsidRPr="00D22B9D" w14:paraId="7172CD85" w14:textId="77777777" w:rsidTr="00AE6341">
        <w:trPr>
          <w:trHeight w:val="20"/>
        </w:trPr>
        <w:tc>
          <w:tcPr>
            <w:tcW w:w="1443" w:type="pct"/>
            <w:vMerge w:val="restart"/>
            <w:shd w:val="clear" w:color="auto" w:fill="002060"/>
          </w:tcPr>
          <w:p w14:paraId="60DE4D6E" w14:textId="77777777" w:rsidR="00524B1B" w:rsidRPr="00263F95" w:rsidRDefault="00524B1B" w:rsidP="00AE6341">
            <w:pPr>
              <w:pStyle w:val="box469392"/>
              <w:textAlignment w:val="baseline"/>
              <w:rPr>
                <w:rFonts w:asciiTheme="minorHAnsi" w:hAnsiTheme="minorHAnsi" w:cstheme="minorHAnsi"/>
                <w:color w:val="FFFFFF" w:themeColor="background1"/>
                <w:sz w:val="20"/>
                <w:szCs w:val="20"/>
              </w:rPr>
            </w:pPr>
            <w:r w:rsidRPr="00263F95">
              <w:rPr>
                <w:rFonts w:asciiTheme="minorHAnsi" w:hAnsiTheme="minorHAnsi" w:cstheme="minorHAnsi"/>
                <w:color w:val="FFFFFF" w:themeColor="background1"/>
                <w:sz w:val="20"/>
                <w:szCs w:val="20"/>
              </w:rPr>
              <w:t>Javni izvori</w:t>
            </w:r>
          </w:p>
        </w:tc>
        <w:tc>
          <w:tcPr>
            <w:tcW w:w="3557" w:type="pct"/>
          </w:tcPr>
          <w:p w14:paraId="4B4D5997" w14:textId="77777777" w:rsidR="00524B1B" w:rsidRPr="00D22B9D" w:rsidRDefault="00524B1B" w:rsidP="00AE6341">
            <w:pPr>
              <w:pStyle w:val="box469392"/>
              <w:textAlignment w:val="baseline"/>
              <w:rPr>
                <w:rFonts w:asciiTheme="minorHAnsi" w:hAnsiTheme="minorHAnsi" w:cstheme="minorHAnsi"/>
                <w:color w:val="231F20"/>
                <w:sz w:val="20"/>
                <w:szCs w:val="20"/>
              </w:rPr>
            </w:pPr>
            <w:r w:rsidRPr="00D22B9D">
              <w:rPr>
                <w:rFonts w:asciiTheme="minorHAnsi" w:hAnsiTheme="minorHAnsi" w:cstheme="minorHAnsi"/>
                <w:color w:val="231F20"/>
                <w:sz w:val="20"/>
                <w:szCs w:val="20"/>
              </w:rPr>
              <w:t>Državni proračun</w:t>
            </w:r>
          </w:p>
        </w:tc>
      </w:tr>
      <w:tr w:rsidR="00524B1B" w:rsidRPr="00D22B9D" w14:paraId="67C22411" w14:textId="77777777" w:rsidTr="00AE6341">
        <w:trPr>
          <w:trHeight w:val="20"/>
        </w:trPr>
        <w:tc>
          <w:tcPr>
            <w:tcW w:w="1443" w:type="pct"/>
            <w:vMerge/>
            <w:shd w:val="clear" w:color="auto" w:fill="002060"/>
          </w:tcPr>
          <w:p w14:paraId="5C435516" w14:textId="77777777" w:rsidR="00524B1B" w:rsidRPr="00263F95" w:rsidRDefault="00524B1B" w:rsidP="00AE6341">
            <w:pPr>
              <w:pStyle w:val="box469392"/>
              <w:textAlignment w:val="baseline"/>
              <w:rPr>
                <w:rFonts w:asciiTheme="minorHAnsi" w:hAnsiTheme="minorHAnsi" w:cstheme="minorHAnsi"/>
                <w:color w:val="FFFFFF" w:themeColor="background1"/>
                <w:sz w:val="20"/>
                <w:szCs w:val="20"/>
              </w:rPr>
            </w:pPr>
          </w:p>
        </w:tc>
        <w:tc>
          <w:tcPr>
            <w:tcW w:w="3557" w:type="pct"/>
          </w:tcPr>
          <w:p w14:paraId="1E240AE1" w14:textId="77777777" w:rsidR="00524B1B" w:rsidRPr="00B336F5" w:rsidRDefault="00524B1B" w:rsidP="00AE6341">
            <w:pPr>
              <w:pStyle w:val="box469392"/>
              <w:textAlignment w:val="baseline"/>
              <w:rPr>
                <w:rFonts w:asciiTheme="minorHAnsi" w:hAnsiTheme="minorHAnsi" w:cstheme="minorHAnsi"/>
                <w:color w:val="231F20"/>
                <w:sz w:val="20"/>
                <w:szCs w:val="20"/>
              </w:rPr>
            </w:pPr>
            <w:r w:rsidRPr="00B336F5">
              <w:rPr>
                <w:rFonts w:asciiTheme="minorHAnsi" w:hAnsiTheme="minorHAnsi" w:cstheme="minorHAnsi"/>
                <w:color w:val="231F20"/>
                <w:sz w:val="20"/>
                <w:szCs w:val="20"/>
              </w:rPr>
              <w:t>Proračuni JLS i JP(R)S</w:t>
            </w:r>
            <w:r w:rsidRPr="00263F95">
              <w:rPr>
                <w:rFonts w:asciiTheme="minorHAnsi" w:hAnsiTheme="minorHAnsi" w:cstheme="minorHAnsi"/>
                <w:color w:val="231F20"/>
                <w:sz w:val="20"/>
                <w:szCs w:val="20"/>
              </w:rPr>
              <w:t xml:space="preserve"> </w:t>
            </w:r>
          </w:p>
        </w:tc>
      </w:tr>
      <w:tr w:rsidR="00524B1B" w:rsidRPr="00D22B9D" w14:paraId="5D8B0384" w14:textId="77777777" w:rsidTr="00AE6341">
        <w:trPr>
          <w:trHeight w:val="20"/>
        </w:trPr>
        <w:tc>
          <w:tcPr>
            <w:tcW w:w="1443" w:type="pct"/>
            <w:vMerge/>
            <w:shd w:val="clear" w:color="auto" w:fill="002060"/>
          </w:tcPr>
          <w:p w14:paraId="1DEE8136" w14:textId="77777777" w:rsidR="00524B1B" w:rsidRPr="00263F95" w:rsidRDefault="00524B1B" w:rsidP="00AE6341">
            <w:pPr>
              <w:pStyle w:val="box469392"/>
              <w:textAlignment w:val="baseline"/>
              <w:rPr>
                <w:rFonts w:asciiTheme="minorHAnsi" w:hAnsiTheme="minorHAnsi" w:cstheme="minorHAnsi"/>
                <w:color w:val="FFFFFF" w:themeColor="background1"/>
                <w:sz w:val="20"/>
                <w:szCs w:val="20"/>
              </w:rPr>
            </w:pPr>
          </w:p>
        </w:tc>
        <w:tc>
          <w:tcPr>
            <w:tcW w:w="3557" w:type="pct"/>
          </w:tcPr>
          <w:p w14:paraId="61DFB0B5" w14:textId="77777777" w:rsidR="00524B1B" w:rsidRPr="00D22B9D" w:rsidRDefault="00524B1B" w:rsidP="00AE6341">
            <w:pPr>
              <w:pStyle w:val="box469392"/>
              <w:textAlignment w:val="baseline"/>
              <w:rPr>
                <w:rFonts w:asciiTheme="minorHAnsi" w:hAnsiTheme="minorHAnsi" w:cstheme="minorHAnsi"/>
                <w:color w:val="231F20"/>
                <w:sz w:val="20"/>
                <w:szCs w:val="20"/>
              </w:rPr>
            </w:pPr>
            <w:r w:rsidRPr="00D22B9D">
              <w:rPr>
                <w:rFonts w:asciiTheme="minorHAnsi" w:hAnsiTheme="minorHAnsi" w:cstheme="minorHAnsi"/>
                <w:color w:val="231F20"/>
                <w:sz w:val="20"/>
                <w:szCs w:val="20"/>
              </w:rPr>
              <w:t>FZOEU</w:t>
            </w:r>
          </w:p>
        </w:tc>
      </w:tr>
      <w:tr w:rsidR="00524B1B" w:rsidRPr="00D22B9D" w14:paraId="4DCEF1BA" w14:textId="77777777" w:rsidTr="00AE6341">
        <w:trPr>
          <w:trHeight w:val="20"/>
        </w:trPr>
        <w:tc>
          <w:tcPr>
            <w:tcW w:w="1443" w:type="pct"/>
            <w:vMerge/>
            <w:shd w:val="clear" w:color="auto" w:fill="002060"/>
          </w:tcPr>
          <w:p w14:paraId="3912D125" w14:textId="77777777" w:rsidR="00524B1B" w:rsidRPr="00263F95" w:rsidRDefault="00524B1B" w:rsidP="00AE6341">
            <w:pPr>
              <w:pStyle w:val="box469392"/>
              <w:textAlignment w:val="baseline"/>
              <w:rPr>
                <w:rFonts w:asciiTheme="minorHAnsi" w:hAnsiTheme="minorHAnsi" w:cstheme="minorHAnsi"/>
                <w:color w:val="FFFFFF" w:themeColor="background1"/>
                <w:sz w:val="20"/>
                <w:szCs w:val="20"/>
              </w:rPr>
            </w:pPr>
          </w:p>
        </w:tc>
        <w:tc>
          <w:tcPr>
            <w:tcW w:w="3557" w:type="pct"/>
          </w:tcPr>
          <w:p w14:paraId="21EE4B64" w14:textId="77777777" w:rsidR="00524B1B" w:rsidRPr="00D22B9D" w:rsidRDefault="00524B1B" w:rsidP="00AE6341">
            <w:pPr>
              <w:pStyle w:val="box469392"/>
              <w:textAlignment w:val="baseline"/>
              <w:rPr>
                <w:rFonts w:asciiTheme="minorHAnsi" w:hAnsiTheme="minorHAnsi" w:cstheme="minorHAnsi"/>
                <w:color w:val="231F20"/>
                <w:sz w:val="20"/>
                <w:szCs w:val="20"/>
              </w:rPr>
            </w:pPr>
            <w:r w:rsidRPr="00D22B9D">
              <w:rPr>
                <w:rFonts w:asciiTheme="minorHAnsi" w:hAnsiTheme="minorHAnsi" w:cstheme="minorHAnsi"/>
                <w:color w:val="231F20"/>
                <w:sz w:val="20"/>
                <w:szCs w:val="20"/>
              </w:rPr>
              <w:t>EU sredstva (</w:t>
            </w:r>
            <w:r w:rsidRPr="00F971D6">
              <w:rPr>
                <w:rFonts w:asciiTheme="minorHAnsi" w:hAnsiTheme="minorHAnsi" w:cstheme="minorHAnsi"/>
                <w:color w:val="231F20"/>
                <w:sz w:val="20"/>
                <w:szCs w:val="20"/>
              </w:rPr>
              <w:t>Nacionalni plan oporavka i otpornosti 2021. – 2026</w:t>
            </w:r>
            <w:r w:rsidRPr="00D22B9D">
              <w:rPr>
                <w:rFonts w:asciiTheme="minorHAnsi" w:hAnsiTheme="minorHAnsi" w:cstheme="minorHAnsi"/>
                <w:color w:val="231F20"/>
                <w:sz w:val="20"/>
                <w:szCs w:val="20"/>
              </w:rPr>
              <w:t xml:space="preserve">., </w:t>
            </w:r>
            <w:r w:rsidRPr="009005D9">
              <w:rPr>
                <w:rFonts w:asciiTheme="minorHAnsi" w:hAnsiTheme="minorHAnsi" w:cstheme="minorHAnsi"/>
                <w:color w:val="231F20"/>
                <w:sz w:val="20"/>
                <w:szCs w:val="20"/>
              </w:rPr>
              <w:t>Operativni program Konkurentnost i kohezija 2014. - 2020.</w:t>
            </w:r>
            <w:r>
              <w:rPr>
                <w:rFonts w:asciiTheme="minorHAnsi" w:hAnsiTheme="minorHAnsi" w:cstheme="minorHAnsi"/>
                <w:color w:val="231F20"/>
                <w:sz w:val="20"/>
                <w:szCs w:val="20"/>
              </w:rPr>
              <w:t xml:space="preserve">, </w:t>
            </w:r>
            <w:r w:rsidRPr="00F971D6">
              <w:rPr>
                <w:rFonts w:asciiTheme="minorHAnsi" w:hAnsiTheme="minorHAnsi" w:cstheme="minorHAnsi"/>
                <w:color w:val="231F20"/>
                <w:sz w:val="20"/>
                <w:szCs w:val="20"/>
              </w:rPr>
              <w:t>Program Konkurentnost i kohezija 2021. -2027.</w:t>
            </w:r>
            <w:r w:rsidRPr="00D22B9D">
              <w:rPr>
                <w:rFonts w:asciiTheme="minorHAnsi" w:hAnsiTheme="minorHAnsi" w:cstheme="minorHAnsi"/>
                <w:color w:val="231F20"/>
                <w:sz w:val="20"/>
                <w:szCs w:val="20"/>
              </w:rPr>
              <w:t xml:space="preserve"> i dr.) </w:t>
            </w:r>
          </w:p>
        </w:tc>
      </w:tr>
      <w:tr w:rsidR="00524B1B" w:rsidRPr="00D22B9D" w14:paraId="02330D89" w14:textId="77777777" w:rsidTr="00AE6341">
        <w:trPr>
          <w:trHeight w:val="20"/>
        </w:trPr>
        <w:tc>
          <w:tcPr>
            <w:tcW w:w="1443" w:type="pct"/>
            <w:shd w:val="clear" w:color="auto" w:fill="002060"/>
          </w:tcPr>
          <w:p w14:paraId="171C4178" w14:textId="77777777" w:rsidR="00524B1B" w:rsidRPr="00263F95" w:rsidRDefault="00524B1B" w:rsidP="00AE6341">
            <w:pPr>
              <w:pStyle w:val="box469392"/>
              <w:textAlignment w:val="baseline"/>
              <w:rPr>
                <w:rFonts w:asciiTheme="minorHAnsi" w:hAnsiTheme="minorHAnsi" w:cstheme="minorHAnsi"/>
                <w:color w:val="FFFFFF" w:themeColor="background1"/>
                <w:sz w:val="20"/>
                <w:szCs w:val="20"/>
              </w:rPr>
            </w:pPr>
            <w:r w:rsidRPr="00263F95">
              <w:rPr>
                <w:rFonts w:asciiTheme="minorHAnsi" w:hAnsiTheme="minorHAnsi" w:cstheme="minorHAnsi"/>
                <w:color w:val="FFFFFF" w:themeColor="background1"/>
                <w:sz w:val="20"/>
                <w:szCs w:val="20"/>
              </w:rPr>
              <w:t>Krediti banka</w:t>
            </w:r>
          </w:p>
        </w:tc>
        <w:tc>
          <w:tcPr>
            <w:tcW w:w="3557" w:type="pct"/>
          </w:tcPr>
          <w:p w14:paraId="3208445A" w14:textId="77777777" w:rsidR="00524B1B" w:rsidRPr="00D83658" w:rsidRDefault="00524B1B" w:rsidP="00AE6341">
            <w:pPr>
              <w:pStyle w:val="box469392"/>
              <w:textAlignment w:val="baseline"/>
              <w:rPr>
                <w:rFonts w:asciiTheme="minorHAnsi" w:hAnsiTheme="minorHAnsi" w:cstheme="minorHAnsi"/>
                <w:color w:val="231F20"/>
                <w:sz w:val="20"/>
                <w:szCs w:val="20"/>
              </w:rPr>
            </w:pPr>
            <w:r w:rsidRPr="00D83658">
              <w:rPr>
                <w:rFonts w:asciiTheme="minorHAnsi" w:hAnsiTheme="minorHAnsi" w:cstheme="minorHAnsi"/>
                <w:color w:val="231F20"/>
                <w:sz w:val="20"/>
                <w:szCs w:val="20"/>
              </w:rPr>
              <w:t>Svjetska banka, Europska banka za razvoj, Europska investicijska banka, itd.</w:t>
            </w:r>
          </w:p>
        </w:tc>
      </w:tr>
      <w:tr w:rsidR="00524B1B" w:rsidRPr="00D22B9D" w14:paraId="603F1763" w14:textId="77777777" w:rsidTr="00AE6341">
        <w:trPr>
          <w:trHeight w:val="20"/>
        </w:trPr>
        <w:tc>
          <w:tcPr>
            <w:tcW w:w="1443" w:type="pct"/>
            <w:vMerge w:val="restart"/>
            <w:shd w:val="clear" w:color="auto" w:fill="002060"/>
            <w:vAlign w:val="center"/>
          </w:tcPr>
          <w:p w14:paraId="7B9AF644" w14:textId="77777777" w:rsidR="00524B1B" w:rsidRPr="00263F95" w:rsidRDefault="00524B1B" w:rsidP="00AE6341">
            <w:pPr>
              <w:pStyle w:val="box469392"/>
              <w:textAlignment w:val="baseline"/>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Privatna ulaganja</w:t>
            </w:r>
          </w:p>
        </w:tc>
        <w:tc>
          <w:tcPr>
            <w:tcW w:w="3557" w:type="pct"/>
          </w:tcPr>
          <w:p w14:paraId="02E68313" w14:textId="77777777" w:rsidR="00524B1B" w:rsidRPr="00263F95" w:rsidRDefault="00524B1B" w:rsidP="00AE6341">
            <w:pPr>
              <w:pStyle w:val="box469392"/>
              <w:textAlignment w:val="baseline"/>
              <w:rPr>
                <w:rFonts w:asciiTheme="minorHAnsi" w:hAnsiTheme="minorHAnsi" w:cstheme="minorHAnsi"/>
                <w:color w:val="231F20"/>
                <w:sz w:val="20"/>
                <w:szCs w:val="20"/>
              </w:rPr>
            </w:pPr>
            <w:r>
              <w:rPr>
                <w:rFonts w:asciiTheme="minorHAnsi" w:hAnsiTheme="minorHAnsi" w:cstheme="minorHAnsi"/>
                <w:color w:val="231F20"/>
                <w:sz w:val="20"/>
                <w:szCs w:val="20"/>
              </w:rPr>
              <w:t>U</w:t>
            </w:r>
            <w:r w:rsidRPr="00263F95">
              <w:rPr>
                <w:rFonts w:asciiTheme="minorHAnsi" w:hAnsiTheme="minorHAnsi" w:cstheme="minorHAnsi"/>
                <w:color w:val="231F20"/>
                <w:sz w:val="20"/>
                <w:szCs w:val="20"/>
              </w:rPr>
              <w:t xml:space="preserve"> izgradnju </w:t>
            </w:r>
            <w:proofErr w:type="spellStart"/>
            <w:r w:rsidRPr="00263F95">
              <w:rPr>
                <w:rFonts w:asciiTheme="minorHAnsi" w:hAnsiTheme="minorHAnsi" w:cstheme="minorHAnsi"/>
                <w:color w:val="231F20"/>
                <w:sz w:val="20"/>
                <w:szCs w:val="20"/>
              </w:rPr>
              <w:t>reciklažnih</w:t>
            </w:r>
            <w:proofErr w:type="spellEnd"/>
            <w:r w:rsidRPr="00263F95">
              <w:rPr>
                <w:rFonts w:asciiTheme="minorHAnsi" w:hAnsiTheme="minorHAnsi" w:cstheme="minorHAnsi"/>
                <w:color w:val="231F20"/>
                <w:sz w:val="20"/>
                <w:szCs w:val="20"/>
              </w:rPr>
              <w:t xml:space="preserve"> dvorišta (uključujući i </w:t>
            </w:r>
            <w:proofErr w:type="spellStart"/>
            <w:r w:rsidRPr="00263F95">
              <w:rPr>
                <w:rFonts w:asciiTheme="minorHAnsi" w:hAnsiTheme="minorHAnsi" w:cstheme="minorHAnsi"/>
                <w:color w:val="231F20"/>
                <w:sz w:val="20"/>
                <w:szCs w:val="20"/>
              </w:rPr>
              <w:t>reciklažna</w:t>
            </w:r>
            <w:proofErr w:type="spellEnd"/>
            <w:r w:rsidRPr="00263F95">
              <w:rPr>
                <w:rFonts w:asciiTheme="minorHAnsi" w:hAnsiTheme="minorHAnsi" w:cstheme="minorHAnsi"/>
                <w:color w:val="231F20"/>
                <w:sz w:val="20"/>
                <w:szCs w:val="20"/>
              </w:rPr>
              <w:t xml:space="preserve"> dvorišta za građevni otpad), postrojenja za sortiranje, postrojenja za recikliranje, </w:t>
            </w:r>
            <w:proofErr w:type="spellStart"/>
            <w:r w:rsidRPr="00263F95">
              <w:rPr>
                <w:rFonts w:asciiTheme="minorHAnsi" w:hAnsiTheme="minorHAnsi" w:cstheme="minorHAnsi"/>
                <w:color w:val="231F20"/>
                <w:sz w:val="20"/>
                <w:szCs w:val="20"/>
              </w:rPr>
              <w:t>kompostane</w:t>
            </w:r>
            <w:proofErr w:type="spellEnd"/>
            <w:r w:rsidRPr="00263F95">
              <w:rPr>
                <w:rFonts w:asciiTheme="minorHAnsi" w:hAnsiTheme="minorHAnsi" w:cstheme="minorHAnsi"/>
                <w:color w:val="231F20"/>
                <w:sz w:val="20"/>
                <w:szCs w:val="20"/>
              </w:rPr>
              <w:t xml:space="preserve">, centre za ponovnu uporabu, </w:t>
            </w:r>
            <w:r w:rsidRPr="00763072">
              <w:rPr>
                <w:rFonts w:asciiTheme="minorHAnsi" w:hAnsiTheme="minorHAnsi" w:cstheme="minorHAnsi"/>
                <w:color w:val="231F20"/>
                <w:sz w:val="20"/>
                <w:szCs w:val="20"/>
              </w:rPr>
              <w:t>lokacij</w:t>
            </w:r>
            <w:r>
              <w:rPr>
                <w:rFonts w:asciiTheme="minorHAnsi" w:hAnsiTheme="minorHAnsi" w:cstheme="minorHAnsi"/>
                <w:color w:val="231F20"/>
                <w:sz w:val="20"/>
                <w:szCs w:val="20"/>
              </w:rPr>
              <w:t>e</w:t>
            </w:r>
            <w:r w:rsidRPr="00763072">
              <w:rPr>
                <w:rFonts w:asciiTheme="minorHAnsi" w:hAnsiTheme="minorHAnsi" w:cstheme="minorHAnsi"/>
                <w:color w:val="231F20"/>
                <w:sz w:val="20"/>
                <w:szCs w:val="20"/>
              </w:rPr>
              <w:t xml:space="preserve"> onečišćen</w:t>
            </w:r>
            <w:r>
              <w:rPr>
                <w:rFonts w:asciiTheme="minorHAnsi" w:hAnsiTheme="minorHAnsi" w:cstheme="minorHAnsi"/>
                <w:color w:val="231F20"/>
                <w:sz w:val="20"/>
                <w:szCs w:val="20"/>
              </w:rPr>
              <w:t>e</w:t>
            </w:r>
            <w:r w:rsidRPr="00763072">
              <w:rPr>
                <w:rFonts w:asciiTheme="minorHAnsi" w:hAnsiTheme="minorHAnsi" w:cstheme="minorHAnsi"/>
                <w:color w:val="231F20"/>
                <w:sz w:val="20"/>
                <w:szCs w:val="20"/>
              </w:rPr>
              <w:t xml:space="preserve"> opasnim otpadom (»crne točke«)</w:t>
            </w:r>
          </w:p>
        </w:tc>
      </w:tr>
      <w:tr w:rsidR="00524B1B" w:rsidRPr="00D22B9D" w14:paraId="33C00C5A" w14:textId="77777777" w:rsidTr="00AE6341">
        <w:trPr>
          <w:trHeight w:val="20"/>
        </w:trPr>
        <w:tc>
          <w:tcPr>
            <w:tcW w:w="1443" w:type="pct"/>
            <w:vMerge/>
            <w:shd w:val="clear" w:color="auto" w:fill="002060"/>
          </w:tcPr>
          <w:p w14:paraId="6F71269A" w14:textId="77777777" w:rsidR="00524B1B" w:rsidRPr="00D22B9D" w:rsidRDefault="00524B1B" w:rsidP="00AE6341">
            <w:pPr>
              <w:pStyle w:val="box469392"/>
              <w:textAlignment w:val="baseline"/>
              <w:rPr>
                <w:rFonts w:asciiTheme="minorHAnsi" w:hAnsiTheme="minorHAnsi" w:cstheme="minorHAnsi"/>
                <w:color w:val="231F20"/>
                <w:sz w:val="20"/>
                <w:szCs w:val="20"/>
              </w:rPr>
            </w:pPr>
          </w:p>
        </w:tc>
        <w:tc>
          <w:tcPr>
            <w:tcW w:w="3557" w:type="pct"/>
          </w:tcPr>
          <w:p w14:paraId="62E2D987" w14:textId="77777777" w:rsidR="00524B1B" w:rsidRPr="00263F95" w:rsidRDefault="00524B1B" w:rsidP="00AE6341">
            <w:pPr>
              <w:pStyle w:val="box469392"/>
              <w:textAlignment w:val="baseline"/>
              <w:rPr>
                <w:rFonts w:asciiTheme="minorHAnsi" w:hAnsiTheme="minorHAnsi" w:cstheme="minorHAnsi"/>
                <w:color w:val="231F20"/>
                <w:sz w:val="20"/>
                <w:szCs w:val="20"/>
              </w:rPr>
            </w:pPr>
            <w:r>
              <w:rPr>
                <w:rFonts w:asciiTheme="minorHAnsi" w:hAnsiTheme="minorHAnsi" w:cstheme="minorHAnsi"/>
                <w:color w:val="231F20"/>
                <w:sz w:val="20"/>
                <w:szCs w:val="20"/>
              </w:rPr>
              <w:t>U izgradnju</w:t>
            </w:r>
            <w:r w:rsidRPr="00263F95">
              <w:rPr>
                <w:rFonts w:asciiTheme="minorHAnsi" w:hAnsiTheme="minorHAnsi" w:cstheme="minorHAnsi"/>
                <w:color w:val="231F20"/>
                <w:sz w:val="20"/>
                <w:szCs w:val="20"/>
              </w:rPr>
              <w:t xml:space="preserve"> CG</w:t>
            </w:r>
            <w:r>
              <w:rPr>
                <w:rFonts w:asciiTheme="minorHAnsi" w:hAnsiTheme="minorHAnsi" w:cstheme="minorHAnsi"/>
                <w:color w:val="231F20"/>
                <w:sz w:val="20"/>
                <w:szCs w:val="20"/>
              </w:rPr>
              <w:t>O</w:t>
            </w:r>
            <w:r w:rsidRPr="00263F95">
              <w:rPr>
                <w:rFonts w:asciiTheme="minorHAnsi" w:hAnsiTheme="minorHAnsi" w:cstheme="minorHAnsi"/>
                <w:color w:val="231F20"/>
                <w:sz w:val="20"/>
                <w:szCs w:val="20"/>
              </w:rPr>
              <w:t xml:space="preserve"> (javno-privatno partnerstvo</w:t>
            </w:r>
            <w:r>
              <w:rPr>
                <w:rFonts w:asciiTheme="minorHAnsi" w:hAnsiTheme="minorHAnsi" w:cstheme="minorHAnsi"/>
                <w:color w:val="231F20"/>
                <w:sz w:val="20"/>
                <w:szCs w:val="20"/>
              </w:rPr>
              <w:t xml:space="preserve"> (JPP)</w:t>
            </w:r>
            <w:r w:rsidRPr="00263F95">
              <w:rPr>
                <w:rFonts w:asciiTheme="minorHAnsi" w:hAnsiTheme="minorHAnsi" w:cstheme="minorHAnsi"/>
                <w:color w:val="231F20"/>
                <w:sz w:val="20"/>
                <w:szCs w:val="20"/>
              </w:rPr>
              <w:t>)</w:t>
            </w:r>
          </w:p>
        </w:tc>
      </w:tr>
    </w:tbl>
    <w:p w14:paraId="69A69948" w14:textId="7EAC8BBE" w:rsidR="00524B1B" w:rsidRPr="00263F95" w:rsidRDefault="00524B1B" w:rsidP="00524B1B">
      <w:pPr>
        <w:rPr>
          <w:highlight w:val="yellow"/>
        </w:rPr>
      </w:pPr>
    </w:p>
    <w:p w14:paraId="37534F06" w14:textId="77777777" w:rsidR="00524B1B" w:rsidRDefault="00524B1B" w:rsidP="00524B1B">
      <w:pPr>
        <w:pStyle w:val="box469392"/>
        <w:shd w:val="clear" w:color="auto" w:fill="FFFFFF"/>
        <w:spacing w:after="48"/>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O</w:t>
      </w:r>
      <w:r w:rsidRPr="009E5DDE">
        <w:rPr>
          <w:rFonts w:asciiTheme="minorHAnsi" w:hAnsiTheme="minorHAnsi" w:cstheme="minorHAnsi"/>
          <w:color w:val="231F20"/>
          <w:sz w:val="22"/>
          <w:szCs w:val="22"/>
        </w:rPr>
        <w:t>bzirom na ograničenja državnog proračuna</w:t>
      </w:r>
      <w:r>
        <w:rPr>
          <w:rFonts w:asciiTheme="minorHAnsi" w:hAnsiTheme="minorHAnsi" w:cstheme="minorHAnsi"/>
          <w:color w:val="231F20"/>
          <w:sz w:val="22"/>
          <w:szCs w:val="22"/>
        </w:rPr>
        <w:t xml:space="preserve"> i proračuna JLS i </w:t>
      </w:r>
      <w:r w:rsidRPr="009E5DDE">
        <w:rPr>
          <w:rFonts w:asciiTheme="minorHAnsi" w:hAnsiTheme="minorHAnsi" w:cstheme="minorHAnsi"/>
          <w:color w:val="231F20"/>
          <w:sz w:val="22"/>
          <w:szCs w:val="22"/>
        </w:rPr>
        <w:t xml:space="preserve">JP(R)S, </w:t>
      </w:r>
      <w:r>
        <w:rPr>
          <w:rFonts w:asciiTheme="minorHAnsi" w:hAnsiTheme="minorHAnsi" w:cstheme="minorHAnsi"/>
          <w:color w:val="231F20"/>
          <w:sz w:val="22"/>
          <w:szCs w:val="22"/>
        </w:rPr>
        <w:t>kao značajan</w:t>
      </w:r>
      <w:r w:rsidRPr="009E5DDE">
        <w:rPr>
          <w:rFonts w:asciiTheme="minorHAnsi" w:hAnsiTheme="minorHAnsi" w:cstheme="minorHAnsi"/>
          <w:color w:val="231F20"/>
          <w:sz w:val="22"/>
          <w:szCs w:val="22"/>
        </w:rPr>
        <w:t xml:space="preserve"> izvor financiranja </w:t>
      </w:r>
      <w:r>
        <w:rPr>
          <w:rFonts w:asciiTheme="minorHAnsi" w:hAnsiTheme="minorHAnsi" w:cstheme="minorHAnsi"/>
          <w:color w:val="231F20"/>
          <w:sz w:val="22"/>
          <w:szCs w:val="22"/>
        </w:rPr>
        <w:t xml:space="preserve">mjera ovog Plana predviđaju se EU sredstva koja će biti moguće koristiti kroz </w:t>
      </w:r>
      <w:r w:rsidRPr="00542D46">
        <w:rPr>
          <w:rFonts w:asciiTheme="minorHAnsi" w:hAnsiTheme="minorHAnsi" w:cstheme="minorHAnsi"/>
          <w:color w:val="231F20"/>
          <w:sz w:val="22"/>
          <w:szCs w:val="22"/>
          <w:highlight w:val="yellow"/>
        </w:rPr>
        <w:t>Nacionalni plan oporavka i otpornosti 2021. – 2026. (NPOO 2021. – 2026.), Operativni program Konkurentnost i kohezija 2014. - 2020. (OPKK 2014.-2020.) te kroz Program Konkurentnost i kohezija 2021. -2027. (PKK 2021.-2027.).</w:t>
      </w:r>
    </w:p>
    <w:p w14:paraId="120B7A4A" w14:textId="77777777" w:rsidR="00524B1B" w:rsidRDefault="00524B1B" w:rsidP="00524B1B">
      <w:pPr>
        <w:pStyle w:val="box469392"/>
        <w:shd w:val="clear" w:color="auto" w:fill="FFFFFF"/>
        <w:spacing w:after="48"/>
        <w:textAlignment w:val="baseline"/>
        <w:rPr>
          <w:rFonts w:asciiTheme="minorHAnsi" w:hAnsiTheme="minorHAnsi" w:cstheme="minorHAnsi"/>
          <w:color w:val="231F20"/>
          <w:sz w:val="22"/>
          <w:szCs w:val="22"/>
        </w:rPr>
      </w:pPr>
      <w:r w:rsidRPr="00C36528">
        <w:rPr>
          <w:rFonts w:asciiTheme="minorHAnsi" w:hAnsiTheme="minorHAnsi" w:cstheme="minorHAnsi"/>
          <w:color w:val="231F20"/>
          <w:sz w:val="22"/>
          <w:szCs w:val="22"/>
        </w:rPr>
        <w:t xml:space="preserve">Kada je riječ o sredstvima iz financijske perspektive 2014. - 2020. </w:t>
      </w:r>
      <w:r w:rsidRPr="00C36528">
        <w:rPr>
          <w:rFonts w:asciiTheme="minorHAnsi" w:hAnsiTheme="minorHAnsi" w:cstheme="minorHAnsi"/>
          <w:b/>
          <w:bCs/>
          <w:color w:val="231F20"/>
          <w:sz w:val="22"/>
          <w:szCs w:val="22"/>
        </w:rPr>
        <w:t>(OPKK 2014.-2020.)</w:t>
      </w:r>
      <w:r w:rsidRPr="00C36528">
        <w:rPr>
          <w:rFonts w:asciiTheme="minorHAnsi" w:hAnsiTheme="minorHAnsi" w:cstheme="minorHAnsi"/>
          <w:color w:val="231F20"/>
          <w:sz w:val="22"/>
          <w:szCs w:val="22"/>
        </w:rPr>
        <w:t>, njihovo iskorištavanje završava s krajem 2023. godine, tako da se ta sredstva još koriste</w:t>
      </w:r>
      <w:r>
        <w:rPr>
          <w:rFonts w:asciiTheme="minorHAnsi" w:hAnsiTheme="minorHAnsi" w:cstheme="minorHAnsi"/>
          <w:color w:val="231F20"/>
          <w:sz w:val="22"/>
          <w:szCs w:val="22"/>
        </w:rPr>
        <w:t xml:space="preserve"> za ugovorene projekte koje su u realizaciji.</w:t>
      </w:r>
    </w:p>
    <w:p w14:paraId="5D5F2BF1" w14:textId="77777777" w:rsidR="00524B1B" w:rsidRDefault="00524B1B" w:rsidP="00524B1B">
      <w:pPr>
        <w:pStyle w:val="box469392"/>
        <w:shd w:val="clear" w:color="auto" w:fill="FFFFFF"/>
        <w:spacing w:after="48"/>
        <w:textAlignment w:val="baseline"/>
        <w:rPr>
          <w:rFonts w:asciiTheme="minorHAnsi" w:hAnsiTheme="minorHAnsi" w:cstheme="minorHAnsi"/>
          <w:color w:val="231F20"/>
          <w:sz w:val="22"/>
          <w:szCs w:val="22"/>
        </w:rPr>
      </w:pPr>
      <w:r w:rsidRPr="006A64DF">
        <w:rPr>
          <w:rFonts w:asciiTheme="minorHAnsi" w:hAnsiTheme="minorHAnsi" w:cstheme="minorHAnsi"/>
          <w:b/>
          <w:bCs/>
          <w:color w:val="231F20"/>
          <w:sz w:val="22"/>
          <w:szCs w:val="22"/>
        </w:rPr>
        <w:t>Putem NPOO</w:t>
      </w:r>
      <w:r>
        <w:rPr>
          <w:rFonts w:asciiTheme="minorHAnsi" w:hAnsiTheme="minorHAnsi" w:cstheme="minorHAnsi"/>
          <w:b/>
          <w:bCs/>
          <w:color w:val="231F20"/>
          <w:sz w:val="22"/>
          <w:szCs w:val="22"/>
        </w:rPr>
        <w:t xml:space="preserve"> 2021.-2026.</w:t>
      </w:r>
      <w:r w:rsidRPr="00E7764F">
        <w:rPr>
          <w:rFonts w:asciiTheme="minorHAnsi" w:hAnsiTheme="minorHAnsi" w:cstheme="minorHAnsi"/>
          <w:color w:val="231F20"/>
          <w:sz w:val="22"/>
          <w:szCs w:val="22"/>
        </w:rPr>
        <w:t xml:space="preserve">, RH su </w:t>
      </w:r>
      <w:r>
        <w:rPr>
          <w:rFonts w:asciiTheme="minorHAnsi" w:hAnsiTheme="minorHAnsi" w:cstheme="minorHAnsi"/>
          <w:color w:val="231F20"/>
          <w:sz w:val="22"/>
          <w:szCs w:val="22"/>
        </w:rPr>
        <w:t xml:space="preserve">u okviru </w:t>
      </w:r>
      <w:r w:rsidRPr="00E7764F">
        <w:rPr>
          <w:rFonts w:asciiTheme="minorHAnsi" w:hAnsiTheme="minorHAnsi" w:cstheme="minorHAnsi"/>
          <w:color w:val="231F20"/>
          <w:sz w:val="22"/>
          <w:szCs w:val="22"/>
        </w:rPr>
        <w:t>instrument</w:t>
      </w:r>
      <w:r>
        <w:rPr>
          <w:rFonts w:asciiTheme="minorHAnsi" w:hAnsiTheme="minorHAnsi" w:cstheme="minorHAnsi"/>
          <w:color w:val="231F20"/>
          <w:sz w:val="22"/>
          <w:szCs w:val="22"/>
        </w:rPr>
        <w:t>a</w:t>
      </w:r>
      <w:r w:rsidRPr="00E7764F">
        <w:rPr>
          <w:rFonts w:asciiTheme="minorHAnsi" w:hAnsiTheme="minorHAnsi" w:cstheme="minorHAnsi"/>
          <w:color w:val="231F20"/>
          <w:sz w:val="22"/>
          <w:szCs w:val="22"/>
        </w:rPr>
        <w:t xml:space="preserve"> „EU sljedeće generacije“</w:t>
      </w:r>
      <w:r>
        <w:rPr>
          <w:rFonts w:asciiTheme="minorHAnsi" w:hAnsiTheme="minorHAnsi" w:cstheme="minorHAnsi"/>
          <w:color w:val="231F20"/>
          <w:sz w:val="22"/>
          <w:szCs w:val="22"/>
        </w:rPr>
        <w:t xml:space="preserve"> </w:t>
      </w:r>
      <w:r w:rsidRPr="00E7764F">
        <w:rPr>
          <w:rFonts w:asciiTheme="minorHAnsi" w:hAnsiTheme="minorHAnsi" w:cstheme="minorHAnsi"/>
          <w:color w:val="231F20"/>
          <w:sz w:val="22"/>
          <w:szCs w:val="22"/>
        </w:rPr>
        <w:t>na raspolaganju</w:t>
      </w:r>
      <w:r w:rsidRPr="00E7764F">
        <w:rPr>
          <w:rFonts w:asciiTheme="minorHAnsi" w:hAnsiTheme="minorHAnsi" w:cstheme="minorHAnsi"/>
          <w:sz w:val="22"/>
          <w:szCs w:val="22"/>
        </w:rPr>
        <w:t xml:space="preserve"> </w:t>
      </w:r>
      <w:r w:rsidRPr="00E7764F">
        <w:rPr>
          <w:rFonts w:asciiTheme="minorHAnsi" w:hAnsiTheme="minorHAnsi" w:cstheme="minorHAnsi"/>
          <w:color w:val="231F20"/>
          <w:sz w:val="22"/>
          <w:szCs w:val="22"/>
        </w:rPr>
        <w:t>bespovratna sredstava i zajmovi iz Mehanizma za oporavak i otpornost, u iznosu od 672 milijarde eura. Okvir Mehanizma oporavka i otpornosti</w:t>
      </w:r>
      <w:r>
        <w:rPr>
          <w:rFonts w:asciiTheme="minorHAnsi" w:hAnsiTheme="minorHAnsi" w:cstheme="minorHAnsi"/>
          <w:color w:val="231F20"/>
          <w:sz w:val="22"/>
          <w:szCs w:val="22"/>
        </w:rPr>
        <w:t>,</w:t>
      </w:r>
      <w:r w:rsidRPr="00E7764F">
        <w:rPr>
          <w:rFonts w:asciiTheme="minorHAnsi" w:hAnsiTheme="minorHAnsi" w:cstheme="minorHAnsi"/>
          <w:color w:val="231F20"/>
          <w:sz w:val="22"/>
          <w:szCs w:val="22"/>
        </w:rPr>
        <w:t xml:space="preserve"> zahtjeva da</w:t>
      </w:r>
      <w:r>
        <w:rPr>
          <w:rFonts w:asciiTheme="minorHAnsi" w:hAnsiTheme="minorHAnsi" w:cstheme="minorHAnsi"/>
          <w:color w:val="231F20"/>
          <w:sz w:val="22"/>
          <w:szCs w:val="22"/>
        </w:rPr>
        <w:t xml:space="preserve"> se</w:t>
      </w:r>
      <w:r w:rsidRPr="00E7764F">
        <w:rPr>
          <w:rFonts w:asciiTheme="minorHAnsi" w:hAnsiTheme="minorHAnsi" w:cstheme="minorHAnsi"/>
          <w:color w:val="231F20"/>
          <w:sz w:val="22"/>
          <w:szCs w:val="22"/>
        </w:rPr>
        <w:t xml:space="preserve"> najmanje 20% sredstava </w:t>
      </w:r>
      <w:r>
        <w:rPr>
          <w:rFonts w:asciiTheme="minorHAnsi" w:hAnsiTheme="minorHAnsi" w:cstheme="minorHAnsi"/>
          <w:color w:val="231F20"/>
          <w:sz w:val="22"/>
          <w:szCs w:val="22"/>
        </w:rPr>
        <w:t xml:space="preserve">nacionalnih planova </w:t>
      </w:r>
      <w:r w:rsidRPr="00E7764F">
        <w:rPr>
          <w:rFonts w:asciiTheme="minorHAnsi" w:hAnsiTheme="minorHAnsi" w:cstheme="minorHAnsi"/>
          <w:color w:val="231F20"/>
          <w:sz w:val="22"/>
          <w:szCs w:val="22"/>
        </w:rPr>
        <w:t>oporavka i otpornosti treba, kroz ulaganja i reforme, usmjer</w:t>
      </w:r>
      <w:r>
        <w:rPr>
          <w:rFonts w:asciiTheme="minorHAnsi" w:hAnsiTheme="minorHAnsi" w:cstheme="minorHAnsi"/>
          <w:color w:val="231F20"/>
          <w:sz w:val="22"/>
          <w:szCs w:val="22"/>
        </w:rPr>
        <w:t>i</w:t>
      </w:r>
      <w:r w:rsidRPr="00E7764F">
        <w:rPr>
          <w:rFonts w:asciiTheme="minorHAnsi" w:hAnsiTheme="minorHAnsi" w:cstheme="minorHAnsi"/>
          <w:color w:val="231F20"/>
          <w:sz w:val="22"/>
          <w:szCs w:val="22"/>
        </w:rPr>
        <w:t xml:space="preserve"> u digitalnu transformaciju, dok najmanje 37% sredstava treba biti usmjereno na zelenu tranziciju i borbu protiv klimatskih promjena. </w:t>
      </w:r>
      <w:r w:rsidRPr="00377C36">
        <w:rPr>
          <w:rFonts w:asciiTheme="minorHAnsi" w:hAnsiTheme="minorHAnsi" w:cstheme="minorHAnsi"/>
          <w:color w:val="231F20"/>
          <w:sz w:val="22"/>
          <w:szCs w:val="22"/>
        </w:rPr>
        <w:t xml:space="preserve">U skladu </w:t>
      </w:r>
      <w:r w:rsidRPr="00E7764F">
        <w:rPr>
          <w:rFonts w:asciiTheme="minorHAnsi" w:hAnsiTheme="minorHAnsi" w:cstheme="minorHAnsi"/>
          <w:color w:val="231F20"/>
          <w:sz w:val="22"/>
          <w:szCs w:val="22"/>
        </w:rPr>
        <w:t>s navedenim</w:t>
      </w:r>
      <w:r w:rsidRPr="00377C36">
        <w:rPr>
          <w:rFonts w:asciiTheme="minorHAnsi" w:hAnsiTheme="minorHAnsi" w:cstheme="minorHAnsi"/>
          <w:color w:val="231F20"/>
          <w:sz w:val="22"/>
          <w:szCs w:val="22"/>
        </w:rPr>
        <w:t xml:space="preserve"> </w:t>
      </w:r>
      <w:r>
        <w:rPr>
          <w:rFonts w:asciiTheme="minorHAnsi" w:hAnsiTheme="minorHAnsi" w:cstheme="minorHAnsi"/>
          <w:color w:val="231F20"/>
          <w:sz w:val="22"/>
          <w:szCs w:val="22"/>
        </w:rPr>
        <w:t xml:space="preserve">hrvatski </w:t>
      </w:r>
      <w:r w:rsidRPr="00E7764F">
        <w:rPr>
          <w:rFonts w:asciiTheme="minorHAnsi" w:hAnsiTheme="minorHAnsi" w:cstheme="minorHAnsi"/>
          <w:color w:val="231F20"/>
          <w:sz w:val="22"/>
          <w:szCs w:val="22"/>
        </w:rPr>
        <w:t>NPOO</w:t>
      </w:r>
      <w:r w:rsidRPr="00377C36">
        <w:rPr>
          <w:rFonts w:asciiTheme="minorHAnsi" w:hAnsiTheme="minorHAnsi" w:cstheme="minorHAnsi"/>
          <w:color w:val="231F20"/>
          <w:sz w:val="22"/>
          <w:szCs w:val="22"/>
        </w:rPr>
        <w:t xml:space="preserve"> </w:t>
      </w:r>
      <w:r w:rsidRPr="00123AF5">
        <w:rPr>
          <w:rFonts w:asciiTheme="minorHAnsi" w:hAnsiTheme="minorHAnsi" w:cstheme="minorHAnsi"/>
          <w:color w:val="231F20"/>
          <w:sz w:val="22"/>
          <w:szCs w:val="22"/>
        </w:rPr>
        <w:t>2021.-2026.</w:t>
      </w:r>
      <w:r>
        <w:rPr>
          <w:rFonts w:asciiTheme="minorHAnsi" w:hAnsiTheme="minorHAnsi" w:cstheme="minorHAnsi"/>
          <w:color w:val="231F20"/>
          <w:sz w:val="22"/>
          <w:szCs w:val="22"/>
        </w:rPr>
        <w:t xml:space="preserve"> </w:t>
      </w:r>
      <w:r w:rsidRPr="00377C36">
        <w:rPr>
          <w:rFonts w:asciiTheme="minorHAnsi" w:hAnsiTheme="minorHAnsi" w:cstheme="minorHAnsi"/>
          <w:color w:val="231F20"/>
          <w:sz w:val="22"/>
          <w:szCs w:val="22"/>
        </w:rPr>
        <w:t xml:space="preserve">se sastoji od pet komponenti </w:t>
      </w:r>
      <w:r w:rsidRPr="00E7764F">
        <w:rPr>
          <w:rFonts w:asciiTheme="minorHAnsi" w:hAnsiTheme="minorHAnsi" w:cstheme="minorHAnsi"/>
          <w:color w:val="231F20"/>
          <w:sz w:val="22"/>
          <w:szCs w:val="22"/>
        </w:rPr>
        <w:t>(</w:t>
      </w:r>
      <w:r w:rsidRPr="00377C36">
        <w:rPr>
          <w:rFonts w:asciiTheme="minorHAnsi" w:hAnsiTheme="minorHAnsi" w:cstheme="minorHAnsi"/>
          <w:color w:val="231F20"/>
          <w:sz w:val="22"/>
          <w:szCs w:val="22"/>
        </w:rPr>
        <w:t>Gospodarstvo</w:t>
      </w:r>
      <w:r w:rsidRPr="00E7764F">
        <w:rPr>
          <w:rFonts w:asciiTheme="minorHAnsi" w:hAnsiTheme="minorHAnsi" w:cstheme="minorHAnsi"/>
          <w:color w:val="231F20"/>
          <w:sz w:val="22"/>
          <w:szCs w:val="22"/>
        </w:rPr>
        <w:t xml:space="preserve">, </w:t>
      </w:r>
      <w:r w:rsidRPr="00377C36">
        <w:rPr>
          <w:rFonts w:asciiTheme="minorHAnsi" w:hAnsiTheme="minorHAnsi" w:cstheme="minorHAnsi"/>
          <w:color w:val="231F20"/>
          <w:sz w:val="22"/>
          <w:szCs w:val="22"/>
        </w:rPr>
        <w:t>Javna uprava, pravosuđe i državna imovin</w:t>
      </w:r>
      <w:r w:rsidRPr="00E7764F">
        <w:rPr>
          <w:rFonts w:asciiTheme="minorHAnsi" w:hAnsiTheme="minorHAnsi" w:cstheme="minorHAnsi"/>
          <w:color w:val="231F20"/>
          <w:sz w:val="22"/>
          <w:szCs w:val="22"/>
        </w:rPr>
        <w:t xml:space="preserve">a, </w:t>
      </w:r>
      <w:r w:rsidRPr="00377C36">
        <w:rPr>
          <w:rFonts w:asciiTheme="minorHAnsi" w:hAnsiTheme="minorHAnsi" w:cstheme="minorHAnsi"/>
          <w:color w:val="231F20"/>
          <w:sz w:val="22"/>
          <w:szCs w:val="22"/>
        </w:rPr>
        <w:t>Obrazovanje, znanost i istraživanje</w:t>
      </w:r>
      <w:r w:rsidRPr="00E7764F">
        <w:rPr>
          <w:rFonts w:asciiTheme="minorHAnsi" w:hAnsiTheme="minorHAnsi" w:cstheme="minorHAnsi"/>
          <w:color w:val="231F20"/>
          <w:sz w:val="22"/>
          <w:szCs w:val="22"/>
        </w:rPr>
        <w:t xml:space="preserve">, </w:t>
      </w:r>
      <w:r w:rsidRPr="00377C36">
        <w:rPr>
          <w:rFonts w:asciiTheme="minorHAnsi" w:hAnsiTheme="minorHAnsi" w:cstheme="minorHAnsi"/>
          <w:color w:val="231F20"/>
          <w:sz w:val="22"/>
          <w:szCs w:val="22"/>
        </w:rPr>
        <w:t>Tržište rada i socijalna zaštita</w:t>
      </w:r>
      <w:r w:rsidRPr="00E7764F">
        <w:rPr>
          <w:rFonts w:asciiTheme="minorHAnsi" w:hAnsiTheme="minorHAnsi" w:cstheme="minorHAnsi"/>
          <w:color w:val="231F20"/>
          <w:sz w:val="22"/>
          <w:szCs w:val="22"/>
        </w:rPr>
        <w:t xml:space="preserve">, </w:t>
      </w:r>
      <w:r w:rsidRPr="00377C36">
        <w:rPr>
          <w:rFonts w:asciiTheme="minorHAnsi" w:hAnsiTheme="minorHAnsi" w:cstheme="minorHAnsi"/>
          <w:color w:val="231F20"/>
          <w:sz w:val="22"/>
          <w:szCs w:val="22"/>
        </w:rPr>
        <w:t>Zdravstvo</w:t>
      </w:r>
      <w:r w:rsidRPr="00E7764F">
        <w:rPr>
          <w:rFonts w:asciiTheme="minorHAnsi" w:hAnsiTheme="minorHAnsi" w:cstheme="minorHAnsi"/>
          <w:color w:val="231F20"/>
          <w:sz w:val="22"/>
          <w:szCs w:val="22"/>
        </w:rPr>
        <w:t xml:space="preserve">, </w:t>
      </w:r>
      <w:r w:rsidRPr="00377C36">
        <w:rPr>
          <w:rFonts w:asciiTheme="minorHAnsi" w:hAnsiTheme="minorHAnsi" w:cstheme="minorHAnsi"/>
          <w:color w:val="231F20"/>
          <w:sz w:val="22"/>
          <w:szCs w:val="22"/>
        </w:rPr>
        <w:t>Inicijativa</w:t>
      </w:r>
      <w:r w:rsidRPr="00E7764F">
        <w:rPr>
          <w:rFonts w:asciiTheme="minorHAnsi" w:hAnsiTheme="minorHAnsi" w:cstheme="minorHAnsi"/>
          <w:color w:val="231F20"/>
          <w:sz w:val="22"/>
          <w:szCs w:val="22"/>
        </w:rPr>
        <w:t xml:space="preserve">) </w:t>
      </w:r>
      <w:r w:rsidRPr="00377C36">
        <w:rPr>
          <w:rFonts w:asciiTheme="minorHAnsi" w:hAnsiTheme="minorHAnsi" w:cstheme="minorHAnsi"/>
          <w:color w:val="231F20"/>
          <w:sz w:val="22"/>
          <w:szCs w:val="22"/>
        </w:rPr>
        <w:t>i jedne inicijative</w:t>
      </w:r>
      <w:r w:rsidRPr="00E7764F">
        <w:rPr>
          <w:rFonts w:asciiTheme="minorHAnsi" w:hAnsiTheme="minorHAnsi" w:cstheme="minorHAnsi"/>
          <w:color w:val="231F20"/>
          <w:sz w:val="22"/>
          <w:szCs w:val="22"/>
        </w:rPr>
        <w:t xml:space="preserve"> (</w:t>
      </w:r>
      <w:r w:rsidRPr="00377C36">
        <w:rPr>
          <w:rFonts w:asciiTheme="minorHAnsi" w:hAnsiTheme="minorHAnsi" w:cstheme="minorHAnsi"/>
          <w:color w:val="231F20"/>
          <w:sz w:val="22"/>
          <w:szCs w:val="22"/>
        </w:rPr>
        <w:t>Obnova zgrada</w:t>
      </w:r>
      <w:r w:rsidRPr="00E7764F">
        <w:rPr>
          <w:rFonts w:asciiTheme="minorHAnsi" w:hAnsiTheme="minorHAnsi" w:cstheme="minorHAnsi"/>
          <w:color w:val="231F20"/>
          <w:sz w:val="22"/>
          <w:szCs w:val="22"/>
        </w:rPr>
        <w:t>).</w:t>
      </w:r>
      <w:r w:rsidRPr="00377C36">
        <w:rPr>
          <w:rFonts w:asciiTheme="minorHAnsi" w:hAnsiTheme="minorHAnsi" w:cstheme="minorHAnsi"/>
          <w:color w:val="231F20"/>
          <w:sz w:val="22"/>
          <w:szCs w:val="22"/>
        </w:rPr>
        <w:t xml:space="preserve"> </w:t>
      </w:r>
    </w:p>
    <w:p w14:paraId="2725AC32" w14:textId="77777777" w:rsidR="00524B1B" w:rsidRDefault="00524B1B" w:rsidP="00524B1B">
      <w:pPr>
        <w:pStyle w:val="box469392"/>
        <w:shd w:val="clear" w:color="auto" w:fill="FFFFFF"/>
        <w:spacing w:after="48"/>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 xml:space="preserve">U okviru </w:t>
      </w:r>
      <w:r w:rsidRPr="00542D46">
        <w:rPr>
          <w:rFonts w:asciiTheme="minorHAnsi" w:hAnsiTheme="minorHAnsi" w:cstheme="minorHAnsi"/>
          <w:color w:val="231F20"/>
          <w:sz w:val="22"/>
          <w:szCs w:val="22"/>
          <w:highlight w:val="yellow"/>
        </w:rPr>
        <w:t>komponente Gospodarstvo, na koju je usmjereno 54% svih sredstava</w:t>
      </w:r>
      <w:r w:rsidRPr="00E7764F">
        <w:rPr>
          <w:rFonts w:asciiTheme="minorHAnsi" w:hAnsiTheme="minorHAnsi" w:cstheme="minorHAnsi"/>
          <w:color w:val="231F20"/>
          <w:sz w:val="22"/>
          <w:szCs w:val="22"/>
        </w:rPr>
        <w:t xml:space="preserve">, odnosno više od </w:t>
      </w:r>
      <w:r w:rsidRPr="00542D46">
        <w:rPr>
          <w:rFonts w:asciiTheme="minorHAnsi" w:hAnsiTheme="minorHAnsi" w:cstheme="minorHAnsi"/>
          <w:color w:val="231F20"/>
          <w:sz w:val="22"/>
          <w:szCs w:val="22"/>
          <w:highlight w:val="yellow"/>
        </w:rPr>
        <w:t>26 milijardi kuna</w:t>
      </w:r>
      <w:r>
        <w:rPr>
          <w:rFonts w:asciiTheme="minorHAnsi" w:hAnsiTheme="minorHAnsi" w:cstheme="minorHAnsi"/>
          <w:color w:val="231F20"/>
          <w:sz w:val="22"/>
          <w:szCs w:val="22"/>
        </w:rPr>
        <w:t xml:space="preserve">, definirano je šest </w:t>
      </w:r>
      <w:proofErr w:type="spellStart"/>
      <w:r>
        <w:rPr>
          <w:rFonts w:asciiTheme="minorHAnsi" w:hAnsiTheme="minorHAnsi" w:cstheme="minorHAnsi"/>
          <w:color w:val="231F20"/>
          <w:sz w:val="22"/>
          <w:szCs w:val="22"/>
        </w:rPr>
        <w:t>podkomponenti</w:t>
      </w:r>
      <w:proofErr w:type="spellEnd"/>
      <w:r>
        <w:rPr>
          <w:rFonts w:asciiTheme="minorHAnsi" w:hAnsiTheme="minorHAnsi" w:cstheme="minorHAnsi"/>
          <w:color w:val="231F20"/>
          <w:sz w:val="22"/>
          <w:szCs w:val="22"/>
        </w:rPr>
        <w:t xml:space="preserve"> od kojih </w:t>
      </w:r>
      <w:proofErr w:type="spellStart"/>
      <w:r>
        <w:rPr>
          <w:rFonts w:asciiTheme="minorHAnsi" w:hAnsiTheme="minorHAnsi" w:cstheme="minorHAnsi"/>
          <w:color w:val="231F20"/>
          <w:sz w:val="22"/>
          <w:szCs w:val="22"/>
        </w:rPr>
        <w:t>podkomponenta</w:t>
      </w:r>
      <w:proofErr w:type="spellEnd"/>
      <w:r>
        <w:rPr>
          <w:rFonts w:asciiTheme="minorHAnsi" w:hAnsiTheme="minorHAnsi" w:cstheme="minorHAnsi"/>
          <w:color w:val="231F20"/>
          <w:sz w:val="22"/>
          <w:szCs w:val="22"/>
        </w:rPr>
        <w:t xml:space="preserve"> C</w:t>
      </w:r>
      <w:r w:rsidRPr="006A64DF">
        <w:rPr>
          <w:rFonts w:asciiTheme="minorHAnsi" w:hAnsiTheme="minorHAnsi" w:cstheme="minorHAnsi"/>
          <w:color w:val="231F20"/>
          <w:sz w:val="22"/>
          <w:szCs w:val="22"/>
        </w:rPr>
        <w:t>1.3. Vodno gospodarstvo i gospodarenje otpadom</w:t>
      </w:r>
      <w:r>
        <w:rPr>
          <w:rFonts w:asciiTheme="minorHAnsi" w:hAnsiTheme="minorHAnsi" w:cstheme="minorHAnsi"/>
          <w:color w:val="231F20"/>
          <w:sz w:val="22"/>
          <w:szCs w:val="22"/>
        </w:rPr>
        <w:t xml:space="preserve">, </w:t>
      </w:r>
      <w:r w:rsidRPr="00542D46">
        <w:rPr>
          <w:rFonts w:asciiTheme="minorHAnsi" w:hAnsiTheme="minorHAnsi" w:cstheme="minorHAnsi"/>
          <w:color w:val="231F20"/>
          <w:sz w:val="22"/>
          <w:szCs w:val="22"/>
          <w:highlight w:val="yellow"/>
        </w:rPr>
        <w:t>Reforma C1.3. R2 „Provedba projekata za održivo gospodarenje otpadom“</w:t>
      </w:r>
      <w:r w:rsidRPr="006A64DF">
        <w:rPr>
          <w:rFonts w:asciiTheme="minorHAnsi" w:hAnsiTheme="minorHAnsi" w:cstheme="minorHAnsi"/>
          <w:color w:val="231F20"/>
          <w:sz w:val="22"/>
          <w:szCs w:val="22"/>
        </w:rPr>
        <w:t xml:space="preserve"> </w:t>
      </w:r>
      <w:r>
        <w:rPr>
          <w:rFonts w:asciiTheme="minorHAnsi" w:hAnsiTheme="minorHAnsi" w:cstheme="minorHAnsi"/>
          <w:color w:val="231F20"/>
          <w:sz w:val="22"/>
          <w:szCs w:val="22"/>
        </w:rPr>
        <w:t xml:space="preserve">predstavlja mogući izvor financiranja provedbe mjera iz ovog Plana. </w:t>
      </w:r>
    </w:p>
    <w:p w14:paraId="6B4BC65D" w14:textId="4F1CBECD" w:rsidR="00524B1B" w:rsidRDefault="00524B1B" w:rsidP="00524B1B">
      <w:pPr>
        <w:pStyle w:val="box469392"/>
        <w:shd w:val="clear" w:color="auto" w:fill="FFFFFF"/>
        <w:spacing w:after="48"/>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U</w:t>
      </w:r>
      <w:r w:rsidRPr="0072335A">
        <w:rPr>
          <w:rFonts w:asciiTheme="minorHAnsi" w:hAnsiTheme="minorHAnsi" w:cstheme="minorHAnsi"/>
          <w:color w:val="231F20"/>
          <w:sz w:val="22"/>
          <w:szCs w:val="22"/>
        </w:rPr>
        <w:t xml:space="preserve"> okviru </w:t>
      </w:r>
      <w:r>
        <w:rPr>
          <w:rFonts w:asciiTheme="minorHAnsi" w:hAnsiTheme="minorHAnsi" w:cstheme="minorHAnsi"/>
          <w:color w:val="231F20"/>
          <w:sz w:val="22"/>
          <w:szCs w:val="22"/>
        </w:rPr>
        <w:t>Reforme</w:t>
      </w:r>
      <w:r w:rsidRPr="00725D44">
        <w:rPr>
          <w:rFonts w:asciiTheme="minorHAnsi" w:hAnsiTheme="minorHAnsi" w:cstheme="minorHAnsi"/>
          <w:color w:val="231F20"/>
          <w:sz w:val="22"/>
          <w:szCs w:val="22"/>
        </w:rPr>
        <w:t xml:space="preserve"> C1.3. R2 „Provedba projekata za održivo gospodarenje otpadom“ </w:t>
      </w:r>
      <w:r>
        <w:rPr>
          <w:rFonts w:asciiTheme="minorHAnsi" w:hAnsiTheme="minorHAnsi" w:cstheme="minorHAnsi"/>
          <w:color w:val="231F20"/>
          <w:sz w:val="22"/>
          <w:szCs w:val="22"/>
        </w:rPr>
        <w:t>za financiranje aktivnosti i</w:t>
      </w:r>
      <w:r w:rsidRPr="00944D94">
        <w:rPr>
          <w:rFonts w:asciiTheme="minorHAnsi" w:hAnsiTheme="minorHAnsi" w:cstheme="minorHAnsi"/>
          <w:color w:val="231F20"/>
          <w:sz w:val="22"/>
          <w:szCs w:val="22"/>
        </w:rPr>
        <w:t>zgradnj</w:t>
      </w:r>
      <w:r>
        <w:rPr>
          <w:rFonts w:asciiTheme="minorHAnsi" w:hAnsiTheme="minorHAnsi" w:cstheme="minorHAnsi"/>
          <w:color w:val="231F20"/>
          <w:sz w:val="22"/>
          <w:szCs w:val="22"/>
        </w:rPr>
        <w:t>e</w:t>
      </w:r>
      <w:r w:rsidRPr="00944D94">
        <w:rPr>
          <w:rFonts w:asciiTheme="minorHAnsi" w:hAnsiTheme="minorHAnsi" w:cstheme="minorHAnsi"/>
          <w:color w:val="231F20"/>
          <w:sz w:val="22"/>
          <w:szCs w:val="22"/>
        </w:rPr>
        <w:t xml:space="preserve"> infrastrukture za odvojeno prikupljanje, sortiranje i oporabu </w:t>
      </w:r>
      <w:proofErr w:type="spellStart"/>
      <w:r w:rsidRPr="00944D94">
        <w:rPr>
          <w:rFonts w:asciiTheme="minorHAnsi" w:hAnsiTheme="minorHAnsi" w:cstheme="minorHAnsi"/>
          <w:color w:val="231F20"/>
          <w:sz w:val="22"/>
          <w:szCs w:val="22"/>
        </w:rPr>
        <w:t>reciklabilnog</w:t>
      </w:r>
      <w:proofErr w:type="spellEnd"/>
      <w:r w:rsidRPr="00944D94">
        <w:rPr>
          <w:rFonts w:asciiTheme="minorHAnsi" w:hAnsiTheme="minorHAnsi" w:cstheme="minorHAnsi"/>
          <w:color w:val="231F20"/>
          <w:sz w:val="22"/>
          <w:szCs w:val="22"/>
        </w:rPr>
        <w:t xml:space="preserve"> otpada</w:t>
      </w:r>
      <w:r>
        <w:rPr>
          <w:rFonts w:asciiTheme="minorHAnsi" w:hAnsiTheme="minorHAnsi" w:cstheme="minorHAnsi"/>
          <w:color w:val="231F20"/>
          <w:sz w:val="22"/>
          <w:szCs w:val="22"/>
        </w:rPr>
        <w:t xml:space="preserve"> te </w:t>
      </w:r>
      <w:r w:rsidRPr="00944D94">
        <w:rPr>
          <w:rFonts w:asciiTheme="minorHAnsi" w:hAnsiTheme="minorHAnsi" w:cstheme="minorHAnsi"/>
          <w:color w:val="231F20"/>
          <w:sz w:val="22"/>
          <w:szCs w:val="22"/>
        </w:rPr>
        <w:t>sanac</w:t>
      </w:r>
      <w:r>
        <w:rPr>
          <w:rFonts w:asciiTheme="minorHAnsi" w:hAnsiTheme="minorHAnsi" w:cstheme="minorHAnsi"/>
          <w:color w:val="231F20"/>
          <w:sz w:val="22"/>
          <w:szCs w:val="22"/>
        </w:rPr>
        <w:t>iju</w:t>
      </w:r>
      <w:r w:rsidRPr="00944D94">
        <w:rPr>
          <w:rFonts w:asciiTheme="minorHAnsi" w:hAnsiTheme="minorHAnsi" w:cstheme="minorHAnsi"/>
          <w:color w:val="231F20"/>
          <w:sz w:val="22"/>
          <w:szCs w:val="22"/>
        </w:rPr>
        <w:t xml:space="preserve"> zatvorenih odlagališta i lokacija onečišćenih opasnim otpadom </w:t>
      </w:r>
      <w:r>
        <w:rPr>
          <w:rFonts w:asciiTheme="minorHAnsi" w:hAnsiTheme="minorHAnsi" w:cstheme="minorHAnsi"/>
          <w:color w:val="231F20"/>
          <w:sz w:val="22"/>
          <w:szCs w:val="22"/>
        </w:rPr>
        <w:t xml:space="preserve">predviđeno je </w:t>
      </w:r>
      <w:r w:rsidR="00A47CDC" w:rsidRPr="0072335A">
        <w:rPr>
          <w:rFonts w:asciiTheme="minorHAnsi" w:hAnsiTheme="minorHAnsi" w:cstheme="minorHAnsi"/>
          <w:color w:val="231F20"/>
          <w:sz w:val="22"/>
          <w:szCs w:val="22"/>
        </w:rPr>
        <w:t>165</w:t>
      </w:r>
      <w:r w:rsidR="00A47CDC">
        <w:rPr>
          <w:rFonts w:asciiTheme="minorHAnsi" w:hAnsiTheme="minorHAnsi" w:cstheme="minorHAnsi"/>
          <w:color w:val="231F20"/>
          <w:sz w:val="22"/>
          <w:szCs w:val="22"/>
        </w:rPr>
        <w:t>.</w:t>
      </w:r>
      <w:r w:rsidR="00A47CDC" w:rsidRPr="0072335A">
        <w:rPr>
          <w:rFonts w:asciiTheme="minorHAnsi" w:hAnsiTheme="minorHAnsi" w:cstheme="minorHAnsi"/>
          <w:color w:val="231F20"/>
          <w:sz w:val="22"/>
          <w:szCs w:val="22"/>
        </w:rPr>
        <w:t>903</w:t>
      </w:r>
      <w:r w:rsidR="00A47CDC">
        <w:rPr>
          <w:rFonts w:asciiTheme="minorHAnsi" w:hAnsiTheme="minorHAnsi" w:cstheme="minorHAnsi"/>
          <w:color w:val="231F20"/>
          <w:sz w:val="22"/>
          <w:szCs w:val="22"/>
        </w:rPr>
        <w:t>.</w:t>
      </w:r>
      <w:r w:rsidR="00A47CDC" w:rsidRPr="0072335A">
        <w:rPr>
          <w:rFonts w:asciiTheme="minorHAnsi" w:hAnsiTheme="minorHAnsi" w:cstheme="minorHAnsi"/>
          <w:color w:val="231F20"/>
          <w:sz w:val="22"/>
          <w:szCs w:val="22"/>
        </w:rPr>
        <w:t>51</w:t>
      </w:r>
      <w:r w:rsidR="00A47CDC">
        <w:rPr>
          <w:rFonts w:asciiTheme="minorHAnsi" w:hAnsiTheme="minorHAnsi" w:cstheme="minorHAnsi"/>
          <w:color w:val="231F20"/>
          <w:sz w:val="22"/>
          <w:szCs w:val="22"/>
        </w:rPr>
        <w:t xml:space="preserve">1 </w:t>
      </w:r>
      <w:r w:rsidR="00A47CDC">
        <w:rPr>
          <w:rFonts w:asciiTheme="minorHAnsi" w:hAnsiTheme="minorHAnsi" w:cstheme="minorHAnsi"/>
          <w:color w:val="231F20"/>
          <w:sz w:val="22"/>
          <w:szCs w:val="22"/>
        </w:rPr>
        <w:lastRenderedPageBreak/>
        <w:t>EUR (</w:t>
      </w:r>
      <w:r>
        <w:rPr>
          <w:rFonts w:asciiTheme="minorHAnsi" w:hAnsiTheme="minorHAnsi" w:cstheme="minorHAnsi"/>
          <w:color w:val="231F20"/>
          <w:sz w:val="22"/>
          <w:szCs w:val="22"/>
        </w:rPr>
        <w:t>1.250.000 </w:t>
      </w:r>
      <w:r w:rsidRPr="002A4A01">
        <w:rPr>
          <w:rFonts w:asciiTheme="minorHAnsi" w:hAnsiTheme="minorHAnsi" w:cstheme="minorHAnsi"/>
          <w:color w:val="231F20"/>
          <w:sz w:val="22"/>
          <w:szCs w:val="22"/>
        </w:rPr>
        <w:t>milijardi</w:t>
      </w:r>
      <w:r>
        <w:rPr>
          <w:rFonts w:asciiTheme="minorHAnsi" w:hAnsiTheme="minorHAnsi" w:cstheme="minorHAnsi"/>
          <w:color w:val="231F20"/>
          <w:sz w:val="22"/>
          <w:szCs w:val="22"/>
        </w:rPr>
        <w:t xml:space="preserve"> HRK</w:t>
      </w:r>
      <w:r w:rsidR="00A47CDC">
        <w:rPr>
          <w:rFonts w:asciiTheme="minorHAnsi" w:hAnsiTheme="minorHAnsi" w:cstheme="minorHAnsi"/>
          <w:color w:val="231F20"/>
          <w:sz w:val="22"/>
          <w:szCs w:val="22"/>
        </w:rPr>
        <w:t>)</w:t>
      </w:r>
      <w:r>
        <w:rPr>
          <w:rFonts w:asciiTheme="minorHAnsi" w:hAnsiTheme="minorHAnsi" w:cstheme="minorHAnsi"/>
          <w:color w:val="231F20"/>
          <w:sz w:val="22"/>
          <w:szCs w:val="22"/>
        </w:rPr>
        <w:t xml:space="preserve">  do lipnja 2026. godine. M</w:t>
      </w:r>
      <w:r w:rsidRPr="009621B9">
        <w:rPr>
          <w:rFonts w:asciiTheme="minorHAnsi" w:hAnsiTheme="minorHAnsi" w:cstheme="minorHAnsi"/>
          <w:color w:val="231F20"/>
          <w:sz w:val="22"/>
          <w:szCs w:val="22"/>
        </w:rPr>
        <w:t>ogućnost prekograničnih i multinacionalnih projekata</w:t>
      </w:r>
      <w:r>
        <w:rPr>
          <w:rFonts w:asciiTheme="minorHAnsi" w:hAnsiTheme="minorHAnsi" w:cstheme="minorHAnsi"/>
          <w:color w:val="231F20"/>
          <w:sz w:val="22"/>
          <w:szCs w:val="22"/>
        </w:rPr>
        <w:t xml:space="preserve"> nije predviđena.</w:t>
      </w:r>
    </w:p>
    <w:p w14:paraId="5505D392" w14:textId="77777777" w:rsidR="00524B1B" w:rsidRPr="00C140BE" w:rsidRDefault="00524B1B" w:rsidP="00524B1B">
      <w:pPr>
        <w:shd w:val="clear" w:color="auto" w:fill="FFFFFF"/>
        <w:spacing w:before="100" w:beforeAutospacing="1" w:after="100" w:afterAutospacing="1" w:line="240" w:lineRule="auto"/>
        <w:textAlignment w:val="baseline"/>
        <w:rPr>
          <w:rFonts w:eastAsia="Times New Roman" w:cstheme="minorHAnsi"/>
          <w:color w:val="231F20"/>
          <w:lang w:eastAsia="hr-HR"/>
        </w:rPr>
      </w:pPr>
      <w:r w:rsidRPr="00C140BE">
        <w:rPr>
          <w:rFonts w:eastAsia="Times New Roman" w:cstheme="minorHAnsi"/>
          <w:color w:val="231F20"/>
          <w:lang w:eastAsia="hr-HR"/>
        </w:rPr>
        <w:t xml:space="preserve">EK je 9. studenoga 2022. godine RH odobrila </w:t>
      </w:r>
      <w:r w:rsidRPr="00C140BE">
        <w:rPr>
          <w:rFonts w:eastAsia="Times New Roman" w:cstheme="minorHAnsi"/>
          <w:b/>
          <w:bCs/>
          <w:color w:val="231F20"/>
          <w:lang w:eastAsia="hr-HR"/>
        </w:rPr>
        <w:t>PKK 2021. – 2027.</w:t>
      </w:r>
      <w:r w:rsidRPr="00C140BE">
        <w:rPr>
          <w:rFonts w:eastAsia="Times New Roman" w:cstheme="minorHAnsi"/>
          <w:color w:val="231F20"/>
          <w:lang w:eastAsia="hr-HR"/>
        </w:rPr>
        <w:t xml:space="preserve"> Odobrenjem ovog Programa ostvaren je temelj za korištenje 5,203 milijardi eura, od čega iz Europskog fonda za regionalni razvoj (EFRR) 4,020 milijardi eura te iz Kohezijskog fonda (KF) 1,182 milijardi eura, koji će se provoditi kroz šest prioriteta u cilju ravnomjernog razvoja </w:t>
      </w:r>
      <w:r>
        <w:rPr>
          <w:rFonts w:eastAsia="Times New Roman" w:cstheme="minorHAnsi"/>
          <w:color w:val="231F20"/>
          <w:lang w:eastAsia="hr-HR"/>
        </w:rPr>
        <w:t>RH</w:t>
      </w:r>
      <w:r w:rsidRPr="00C140BE">
        <w:rPr>
          <w:rFonts w:eastAsia="Times New Roman" w:cstheme="minorHAnsi"/>
          <w:color w:val="231F20"/>
          <w:lang w:eastAsia="hr-HR"/>
        </w:rPr>
        <w:t>. Za projekte u području gospodarenju otpadom na raspolaganju su bespovratna sredstva u iznosu od 166.944.804 eura.</w:t>
      </w:r>
    </w:p>
    <w:p w14:paraId="5B92768F" w14:textId="77777777" w:rsidR="00524B1B" w:rsidRPr="00C140BE" w:rsidRDefault="00524B1B" w:rsidP="00524B1B">
      <w:pPr>
        <w:shd w:val="clear" w:color="auto" w:fill="FFFFFF"/>
        <w:spacing w:before="100" w:beforeAutospacing="1" w:after="100" w:afterAutospacing="1" w:line="240" w:lineRule="auto"/>
        <w:textAlignment w:val="baseline"/>
        <w:rPr>
          <w:rFonts w:eastAsia="Times New Roman" w:cstheme="minorHAnsi"/>
          <w:color w:val="231F20"/>
          <w:lang w:eastAsia="hr-HR"/>
        </w:rPr>
      </w:pPr>
      <w:r w:rsidRPr="00C140BE">
        <w:rPr>
          <w:rFonts w:eastAsia="Times New Roman" w:cstheme="minorHAnsi"/>
          <w:color w:val="231F20"/>
          <w:lang w:eastAsia="hr-HR"/>
        </w:rPr>
        <w:t xml:space="preserve">Aktivnosti koje je moguće financirati iz ovog izvora trebaju doprinositi povećanju odvajanja otpada, prikupljanju odvojenog otpada, recikliranju (staklo, papir i karton, metal, plastika, drvo i biootpad) i smanjenju odlaganja otpada. </w:t>
      </w:r>
    </w:p>
    <w:p w14:paraId="1CDB22B8" w14:textId="77777777" w:rsidR="00524B1B" w:rsidRDefault="00524B1B" w:rsidP="00524B1B">
      <w:pPr>
        <w:shd w:val="clear" w:color="auto" w:fill="FFFFFF"/>
        <w:spacing w:after="48" w:line="240" w:lineRule="auto"/>
        <w:textAlignment w:val="baseline"/>
        <w:rPr>
          <w:rFonts w:eastAsia="Times New Roman" w:cstheme="minorHAnsi"/>
          <w:color w:val="231F20"/>
          <w:lang w:eastAsia="hr-HR"/>
        </w:rPr>
      </w:pPr>
      <w:r w:rsidRPr="00C140BE">
        <w:rPr>
          <w:rFonts w:eastAsia="Times New Roman" w:cstheme="minorHAnsi"/>
          <w:color w:val="231F20"/>
          <w:lang w:eastAsia="hr-HR"/>
        </w:rPr>
        <w:t>Ulaganja predviđena PKK 2021.-2027. bit će komplementarna ulaganjima kroz NPOO 2021.-2026. Iz NPOO 2021.-2026. će se sanirati odlagališta koja budu spremna za aktivnosti sanacije u trenutku raspisivanja javnog poziva. Tek nakon završetka dodjele sredstava iz NPOO 2021.-2026. će se raspisati poziv za sanaciju iz PKK 2021.-2027. , na koji se neće moći javiti prijavitelji čiji projekti sanacija su već odobreni kroz NPOO 2021.-2026., kao i ranije operativne programe.</w:t>
      </w:r>
    </w:p>
    <w:p w14:paraId="1DCFAD5C" w14:textId="77777777" w:rsidR="00524B1B" w:rsidRPr="0097692E" w:rsidRDefault="00524B1B" w:rsidP="00524B1B">
      <w:pPr>
        <w:shd w:val="clear" w:color="auto" w:fill="FFFFFF"/>
        <w:spacing w:after="48" w:line="240" w:lineRule="auto"/>
        <w:textAlignment w:val="baseline"/>
        <w:rPr>
          <w:rFonts w:eastAsia="Times New Roman" w:cstheme="minorHAnsi"/>
          <w:color w:val="231F20"/>
          <w:lang w:eastAsia="hr-HR"/>
        </w:rPr>
      </w:pPr>
      <w:r w:rsidRPr="0097692E">
        <w:rPr>
          <w:rFonts w:eastAsia="Times New Roman" w:cstheme="minorHAnsi"/>
          <w:color w:val="231F20"/>
          <w:lang w:eastAsia="hr-HR"/>
        </w:rPr>
        <w:t>Prilikom financiranja mjera iz ovog Plana uzet će se u obzir odredbe Uredbe (EU) 2021/1056 Europskog parlamenta i Vijeća od 24. lipnja 2021. o uspostavi Fonda za pravednu tranziciju</w:t>
      </w:r>
      <w:r>
        <w:rPr>
          <w:rFonts w:eastAsia="Times New Roman" w:cstheme="minorHAnsi"/>
          <w:color w:val="231F20"/>
          <w:lang w:eastAsia="hr-HR"/>
        </w:rPr>
        <w:t xml:space="preserve"> (FPT)</w:t>
      </w:r>
      <w:r w:rsidRPr="0097692E">
        <w:rPr>
          <w:rFonts w:eastAsia="Times New Roman" w:cstheme="minorHAnsi"/>
          <w:color w:val="231F20"/>
          <w:lang w:eastAsia="hr-HR"/>
        </w:rPr>
        <w:t xml:space="preserve"> (SL. L  231., 30.6.2021) kojima je propisano da spaljivanje otpada ne bi trebalo primati potporu s obzirom na to da ta aktivnost pripada donjem dijelu hijerarhije otpada u kružnom gospodarstvu, te da FPT podupire isključivo aktivnosti ulaganja u projekte sanacije i dekontaminacije industrijskih lokacija, obnove zemljišta te uključujući, ako je potrebno, projekte zelene infrastrukture i prenamjene, uzimajući u obzir načelo „onečišćivač plaća” i ulaganja u poboljšanje kružnoga gospodarstva, među ostalim sprečavanjem stvaranja otpada, smanjenjem otpada, učinkovitošću resursa, ponovnom uporabom, popravkom i recikliranjem.</w:t>
      </w:r>
    </w:p>
    <w:p w14:paraId="433A64F5" w14:textId="77777777" w:rsidR="00524B1B" w:rsidRPr="0097692E" w:rsidRDefault="00524B1B" w:rsidP="00524B1B">
      <w:pPr>
        <w:shd w:val="clear" w:color="auto" w:fill="FFFFFF"/>
        <w:spacing w:before="100" w:beforeAutospacing="1" w:after="48" w:afterAutospacing="1" w:line="240" w:lineRule="auto"/>
        <w:textAlignment w:val="baseline"/>
        <w:rPr>
          <w:rFonts w:eastAsia="Times New Roman" w:cstheme="minorHAnsi"/>
          <w:color w:val="231F20"/>
          <w:lang w:eastAsia="hr-HR"/>
        </w:rPr>
      </w:pPr>
      <w:r w:rsidRPr="0097692E">
        <w:rPr>
          <w:rFonts w:eastAsia="Times New Roman" w:cstheme="minorHAnsi"/>
          <w:color w:val="231F20"/>
          <w:lang w:eastAsia="hr-HR"/>
        </w:rPr>
        <w:t xml:space="preserve">Nadalje, Uredbom (EU) 2021/1058 Europskog parlamenta i Vijeća od 24. lipnja 2021. o Europskom fondu za regionalni razvoj i Kohezijskom fondu (SL.L 231., 30.6.2021.) propisano je da se iz EFRR i KF ne podupiru: </w:t>
      </w:r>
    </w:p>
    <w:p w14:paraId="323FF03C" w14:textId="77777777" w:rsidR="00524B1B" w:rsidRPr="0097692E" w:rsidRDefault="00524B1B" w:rsidP="004C775C">
      <w:pPr>
        <w:numPr>
          <w:ilvl w:val="0"/>
          <w:numId w:val="46"/>
        </w:numPr>
        <w:shd w:val="clear" w:color="auto" w:fill="FFFFFF"/>
        <w:spacing w:after="0" w:line="240" w:lineRule="auto"/>
        <w:textAlignment w:val="baseline"/>
        <w:rPr>
          <w:rFonts w:eastAsia="Times New Roman" w:cstheme="minorHAnsi"/>
          <w:color w:val="231F20"/>
          <w:lang w:eastAsia="hr-HR"/>
        </w:rPr>
      </w:pPr>
      <w:r w:rsidRPr="0097692E">
        <w:rPr>
          <w:rFonts w:eastAsia="Times New Roman" w:cstheme="minorHAnsi"/>
          <w:color w:val="231F20"/>
          <w:lang w:eastAsia="hr-HR"/>
        </w:rPr>
        <w:t xml:space="preserve">ulaganja u zbrinjavanje otpada na odlagališta, osim: </w:t>
      </w:r>
    </w:p>
    <w:p w14:paraId="59EFF07B" w14:textId="77777777" w:rsidR="00524B1B" w:rsidRPr="0097692E" w:rsidRDefault="00524B1B" w:rsidP="004C775C">
      <w:pPr>
        <w:numPr>
          <w:ilvl w:val="0"/>
          <w:numId w:val="47"/>
        </w:numPr>
        <w:shd w:val="clear" w:color="auto" w:fill="FFFFFF"/>
        <w:spacing w:after="0" w:line="240" w:lineRule="auto"/>
        <w:textAlignment w:val="baseline"/>
        <w:rPr>
          <w:rFonts w:eastAsia="Times New Roman" w:cstheme="minorHAnsi"/>
          <w:color w:val="231F20"/>
          <w:lang w:eastAsia="hr-HR"/>
        </w:rPr>
      </w:pPr>
      <w:r w:rsidRPr="0097692E">
        <w:rPr>
          <w:rFonts w:eastAsia="Times New Roman" w:cstheme="minorHAnsi"/>
          <w:color w:val="231F20"/>
          <w:lang w:eastAsia="hr-HR"/>
        </w:rPr>
        <w:t>u najudaljenijim regijama, samo u propisno opravdanim slučajevima; ili</w:t>
      </w:r>
    </w:p>
    <w:p w14:paraId="64E991D9" w14:textId="77777777" w:rsidR="00524B1B" w:rsidRPr="0097692E" w:rsidRDefault="00524B1B" w:rsidP="004C775C">
      <w:pPr>
        <w:numPr>
          <w:ilvl w:val="0"/>
          <w:numId w:val="47"/>
        </w:numPr>
        <w:shd w:val="clear" w:color="auto" w:fill="FFFFFF"/>
        <w:spacing w:after="0" w:line="240" w:lineRule="auto"/>
        <w:textAlignment w:val="baseline"/>
        <w:rPr>
          <w:rFonts w:eastAsia="Times New Roman" w:cstheme="minorHAnsi"/>
          <w:color w:val="231F20"/>
          <w:lang w:eastAsia="hr-HR"/>
        </w:rPr>
      </w:pPr>
      <w:r w:rsidRPr="0097692E">
        <w:rPr>
          <w:rFonts w:eastAsia="Times New Roman" w:cstheme="minorHAnsi"/>
          <w:color w:val="231F20"/>
          <w:lang w:eastAsia="hr-HR"/>
        </w:rPr>
        <w:t>za ulaganja u stavljanje izvan pogona, pretvorbu ili osiguravanje postojećih odlagališta, pod uvjetom da se takvim ulaganjima ne povećavaju njihovi kapaciteti;</w:t>
      </w:r>
    </w:p>
    <w:p w14:paraId="6F8D12A3" w14:textId="77777777" w:rsidR="00524B1B" w:rsidRPr="0097692E" w:rsidRDefault="00524B1B" w:rsidP="00524B1B">
      <w:pPr>
        <w:shd w:val="clear" w:color="auto" w:fill="FFFFFF"/>
        <w:spacing w:after="0" w:line="240" w:lineRule="auto"/>
        <w:ind w:left="1428"/>
        <w:textAlignment w:val="baseline"/>
        <w:rPr>
          <w:rFonts w:eastAsia="Times New Roman" w:cstheme="minorHAnsi"/>
          <w:color w:val="231F20"/>
          <w:lang w:eastAsia="hr-HR"/>
        </w:rPr>
      </w:pPr>
    </w:p>
    <w:p w14:paraId="1210EB22" w14:textId="77777777" w:rsidR="00524B1B" w:rsidRPr="0097692E" w:rsidRDefault="00524B1B" w:rsidP="004C775C">
      <w:pPr>
        <w:numPr>
          <w:ilvl w:val="0"/>
          <w:numId w:val="46"/>
        </w:numPr>
        <w:shd w:val="clear" w:color="auto" w:fill="FFFFFF"/>
        <w:spacing w:after="0" w:line="240" w:lineRule="auto"/>
        <w:textAlignment w:val="baseline"/>
        <w:rPr>
          <w:rFonts w:eastAsia="Times New Roman" w:cstheme="minorHAnsi"/>
          <w:color w:val="231F20"/>
          <w:lang w:eastAsia="hr-HR"/>
        </w:rPr>
      </w:pPr>
      <w:r w:rsidRPr="0097692E">
        <w:rPr>
          <w:rFonts w:eastAsia="Times New Roman" w:cstheme="minorHAnsi"/>
          <w:color w:val="231F20"/>
          <w:lang w:eastAsia="hr-HR"/>
        </w:rPr>
        <w:t>ulaganja u povećanje kapaciteta postrojenja za obradu preostalog otpada, osim:</w:t>
      </w:r>
    </w:p>
    <w:p w14:paraId="2E192AD4" w14:textId="77777777" w:rsidR="00524B1B" w:rsidRPr="0097692E" w:rsidRDefault="00524B1B" w:rsidP="004C775C">
      <w:pPr>
        <w:numPr>
          <w:ilvl w:val="0"/>
          <w:numId w:val="48"/>
        </w:numPr>
        <w:shd w:val="clear" w:color="auto" w:fill="FFFFFF"/>
        <w:spacing w:after="0" w:line="240" w:lineRule="auto"/>
        <w:textAlignment w:val="baseline"/>
        <w:rPr>
          <w:rFonts w:eastAsia="Times New Roman" w:cstheme="minorHAnsi"/>
          <w:color w:val="231F20"/>
          <w:lang w:eastAsia="hr-HR"/>
        </w:rPr>
      </w:pPr>
      <w:r w:rsidRPr="0097692E">
        <w:rPr>
          <w:rFonts w:eastAsia="Times New Roman" w:cstheme="minorHAnsi"/>
          <w:color w:val="231F20"/>
          <w:lang w:eastAsia="hr-HR"/>
        </w:rPr>
        <w:t>u najudaljenijim regijama, samo u propisno opravdanim slučajevima;</w:t>
      </w:r>
    </w:p>
    <w:p w14:paraId="168CD8B1" w14:textId="77777777" w:rsidR="00524B1B" w:rsidRPr="0097692E" w:rsidRDefault="00524B1B" w:rsidP="004C775C">
      <w:pPr>
        <w:numPr>
          <w:ilvl w:val="0"/>
          <w:numId w:val="48"/>
        </w:numPr>
        <w:shd w:val="clear" w:color="auto" w:fill="FFFFFF"/>
        <w:spacing w:after="0" w:line="240" w:lineRule="auto"/>
        <w:textAlignment w:val="baseline"/>
        <w:rPr>
          <w:rFonts w:eastAsia="Times New Roman" w:cstheme="minorHAnsi"/>
          <w:color w:val="231F20"/>
          <w:lang w:eastAsia="hr-HR"/>
        </w:rPr>
      </w:pPr>
      <w:r w:rsidRPr="0097692E">
        <w:rPr>
          <w:rFonts w:eastAsia="Times New Roman" w:cstheme="minorHAnsi"/>
          <w:color w:val="231F20"/>
          <w:lang w:eastAsia="hr-HR"/>
        </w:rPr>
        <w:t>za ulaganja u tehnologije za oporabu materijala iz preostalog otpada za potrebe kružnoga gospodarstva;</w:t>
      </w:r>
    </w:p>
    <w:p w14:paraId="7FCFACC9" w14:textId="5055DAAE" w:rsidR="007926F1" w:rsidRDefault="007926F1" w:rsidP="00596ABF"/>
    <w:p w14:paraId="51451AF0" w14:textId="30737D4E" w:rsidR="00093E0E" w:rsidRDefault="00093E0E" w:rsidP="0018450E">
      <w:pPr>
        <w:pStyle w:val="IRNaslov2"/>
        <w:pageBreakBefore/>
        <w:numPr>
          <w:ilvl w:val="1"/>
          <w:numId w:val="22"/>
        </w:numPr>
        <w:ind w:left="709"/>
        <w:rPr>
          <w:color w:val="231F20"/>
          <w:lang w:eastAsia="hr-HR"/>
        </w:rPr>
      </w:pPr>
      <w:bookmarkStart w:id="349" w:name="_Toc123211702"/>
      <w:r w:rsidRPr="00093E0E">
        <w:lastRenderedPageBreak/>
        <w:t>Procjena financijskih sredstava potrebnih za provedbu mjera Plana</w:t>
      </w:r>
      <w:bookmarkEnd w:id="349"/>
    </w:p>
    <w:p w14:paraId="2555657E" w14:textId="46C5C2DB" w:rsidR="00093E0E" w:rsidRPr="00BB2706" w:rsidRDefault="00D8399B" w:rsidP="00BB2706">
      <w:pPr>
        <w:pStyle w:val="Tablica"/>
      </w:pPr>
      <w:bookmarkStart w:id="350" w:name="_Toc125364457"/>
      <w:r w:rsidRPr="00BB2706">
        <w:t xml:space="preserve">Tablica </w:t>
      </w:r>
      <w:fldSimple w:instr=" SEQ Tablica \* ARABIC ">
        <w:r w:rsidR="00F37B62">
          <w:rPr>
            <w:noProof/>
          </w:rPr>
          <w:t>68</w:t>
        </w:r>
      </w:fldSimple>
      <w:r w:rsidRPr="00BB2706">
        <w:t xml:space="preserve">. </w:t>
      </w:r>
      <w:r w:rsidRPr="00BB2706">
        <w:rPr>
          <w:b w:val="0"/>
        </w:rPr>
        <w:t>Indikativni omjeri financiranja po izvorima i godinama</w:t>
      </w:r>
      <w:bookmarkEnd w:id="350"/>
    </w:p>
    <w:tbl>
      <w:tblPr>
        <w:tblStyle w:val="Tablicareetke4-isticanje1"/>
        <w:tblW w:w="52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69"/>
        <w:gridCol w:w="944"/>
        <w:gridCol w:w="1147"/>
        <w:gridCol w:w="1061"/>
        <w:gridCol w:w="1061"/>
        <w:gridCol w:w="1024"/>
        <w:gridCol w:w="740"/>
        <w:gridCol w:w="1147"/>
        <w:gridCol w:w="1143"/>
      </w:tblGrid>
      <w:tr w:rsidR="00524B1B" w:rsidRPr="00432060" w14:paraId="0E92D6A8" w14:textId="77777777" w:rsidTr="00524B1B">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9" w:type="pct"/>
            <w:shd w:val="clear" w:color="auto" w:fill="002060"/>
            <w:vAlign w:val="center"/>
            <w:hideMark/>
          </w:tcPr>
          <w:p w14:paraId="56675E66" w14:textId="77777777" w:rsidR="00524B1B" w:rsidRPr="003D27BA" w:rsidRDefault="00524B1B" w:rsidP="00AE6341">
            <w:pPr>
              <w:jc w:val="center"/>
              <w:rPr>
                <w:rFonts w:eastAsia="Times New Roman" w:cstheme="minorHAnsi"/>
                <w:sz w:val="16"/>
                <w:szCs w:val="16"/>
                <w:lang w:eastAsia="hr-HR"/>
              </w:rPr>
            </w:pPr>
            <w:bookmarkStart w:id="351" w:name="OLE_LINK1"/>
          </w:p>
        </w:tc>
        <w:tc>
          <w:tcPr>
            <w:tcW w:w="298" w:type="pct"/>
            <w:shd w:val="clear" w:color="auto" w:fill="002060"/>
            <w:vAlign w:val="center"/>
            <w:hideMark/>
          </w:tcPr>
          <w:p w14:paraId="569D587A" w14:textId="77777777" w:rsidR="00524B1B" w:rsidRPr="003D27BA" w:rsidRDefault="00524B1B" w:rsidP="00AE6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p>
        </w:tc>
        <w:tc>
          <w:tcPr>
            <w:tcW w:w="495" w:type="pct"/>
            <w:shd w:val="clear" w:color="auto" w:fill="002060"/>
            <w:vAlign w:val="center"/>
            <w:hideMark/>
          </w:tcPr>
          <w:p w14:paraId="6D582FF6" w14:textId="77777777" w:rsidR="00524B1B" w:rsidRPr="003D27BA" w:rsidRDefault="00524B1B" w:rsidP="00AE6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D27BA">
              <w:rPr>
                <w:rFonts w:eastAsia="Times New Roman" w:cstheme="minorHAnsi"/>
                <w:sz w:val="16"/>
                <w:szCs w:val="16"/>
                <w:lang w:eastAsia="hr-HR"/>
              </w:rPr>
              <w:t>Državni proračun</w:t>
            </w:r>
          </w:p>
        </w:tc>
        <w:tc>
          <w:tcPr>
            <w:tcW w:w="601" w:type="pct"/>
            <w:shd w:val="clear" w:color="auto" w:fill="002060"/>
            <w:vAlign w:val="center"/>
            <w:hideMark/>
          </w:tcPr>
          <w:p w14:paraId="6B34E2EE" w14:textId="77777777" w:rsidR="00524B1B" w:rsidRPr="003D27BA" w:rsidRDefault="00524B1B" w:rsidP="00AE6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D27BA">
              <w:rPr>
                <w:rFonts w:eastAsia="Times New Roman" w:cstheme="minorHAnsi"/>
                <w:sz w:val="16"/>
                <w:szCs w:val="16"/>
                <w:lang w:eastAsia="hr-HR"/>
              </w:rPr>
              <w:t>EU sredstva</w:t>
            </w:r>
          </w:p>
        </w:tc>
        <w:tc>
          <w:tcPr>
            <w:tcW w:w="556" w:type="pct"/>
            <w:shd w:val="clear" w:color="auto" w:fill="002060"/>
            <w:vAlign w:val="center"/>
            <w:hideMark/>
          </w:tcPr>
          <w:p w14:paraId="66F2BA52" w14:textId="77777777" w:rsidR="00524B1B" w:rsidRPr="003D27BA" w:rsidRDefault="00524B1B" w:rsidP="00AE6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D27BA">
              <w:rPr>
                <w:rFonts w:eastAsia="Times New Roman" w:cstheme="minorHAnsi"/>
                <w:sz w:val="16"/>
                <w:szCs w:val="16"/>
                <w:lang w:eastAsia="hr-HR"/>
              </w:rPr>
              <w:t>JLS</w:t>
            </w:r>
          </w:p>
        </w:tc>
        <w:tc>
          <w:tcPr>
            <w:tcW w:w="556" w:type="pct"/>
            <w:shd w:val="clear" w:color="auto" w:fill="002060"/>
            <w:vAlign w:val="center"/>
            <w:hideMark/>
          </w:tcPr>
          <w:p w14:paraId="08E2D15B" w14:textId="77777777" w:rsidR="00524B1B" w:rsidRPr="003D27BA" w:rsidRDefault="00524B1B" w:rsidP="00AE6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D27BA">
              <w:rPr>
                <w:rFonts w:eastAsia="Times New Roman" w:cstheme="minorHAnsi"/>
                <w:sz w:val="16"/>
                <w:szCs w:val="16"/>
                <w:lang w:eastAsia="hr-HR"/>
              </w:rPr>
              <w:t>FZOEU</w:t>
            </w:r>
          </w:p>
        </w:tc>
        <w:tc>
          <w:tcPr>
            <w:tcW w:w="537" w:type="pct"/>
            <w:shd w:val="clear" w:color="auto" w:fill="002060"/>
            <w:vAlign w:val="center"/>
            <w:hideMark/>
          </w:tcPr>
          <w:p w14:paraId="00864350" w14:textId="77777777" w:rsidR="00524B1B" w:rsidRPr="003D27BA" w:rsidRDefault="00524B1B" w:rsidP="00AE6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D27BA">
              <w:rPr>
                <w:rFonts w:eastAsia="Times New Roman" w:cstheme="minorHAnsi"/>
                <w:sz w:val="16"/>
                <w:szCs w:val="16"/>
                <w:lang w:eastAsia="hr-HR"/>
              </w:rPr>
              <w:t>JPP</w:t>
            </w:r>
          </w:p>
        </w:tc>
        <w:tc>
          <w:tcPr>
            <w:tcW w:w="388" w:type="pct"/>
            <w:shd w:val="clear" w:color="auto" w:fill="002060"/>
            <w:vAlign w:val="center"/>
          </w:tcPr>
          <w:p w14:paraId="39D110D4" w14:textId="77777777" w:rsidR="00524B1B" w:rsidRPr="003D27BA" w:rsidRDefault="00524B1B" w:rsidP="00AE6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D27BA">
              <w:rPr>
                <w:rFonts w:eastAsia="Times New Roman" w:cstheme="minorHAnsi"/>
                <w:sz w:val="16"/>
                <w:szCs w:val="16"/>
                <w:lang w:eastAsia="hr-HR"/>
              </w:rPr>
              <w:t>CS</w:t>
            </w:r>
          </w:p>
        </w:tc>
        <w:tc>
          <w:tcPr>
            <w:tcW w:w="601" w:type="pct"/>
            <w:shd w:val="clear" w:color="auto" w:fill="002060"/>
            <w:vAlign w:val="center"/>
            <w:hideMark/>
          </w:tcPr>
          <w:p w14:paraId="247F7AC5" w14:textId="77777777" w:rsidR="00524B1B" w:rsidRPr="003D27BA" w:rsidRDefault="00524B1B" w:rsidP="00AE6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D27BA">
              <w:rPr>
                <w:rFonts w:eastAsia="Times New Roman" w:cstheme="minorHAnsi"/>
                <w:sz w:val="16"/>
                <w:szCs w:val="16"/>
                <w:lang w:eastAsia="hr-HR"/>
              </w:rPr>
              <w:t>Privatna ulaganja</w:t>
            </w:r>
          </w:p>
        </w:tc>
        <w:tc>
          <w:tcPr>
            <w:tcW w:w="599" w:type="pct"/>
            <w:shd w:val="clear" w:color="auto" w:fill="002060"/>
            <w:vAlign w:val="center"/>
            <w:hideMark/>
          </w:tcPr>
          <w:p w14:paraId="4995B022" w14:textId="77777777" w:rsidR="00524B1B" w:rsidRPr="003D27BA" w:rsidRDefault="00524B1B" w:rsidP="00AE6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D27BA">
              <w:rPr>
                <w:rFonts w:eastAsia="Times New Roman" w:cstheme="minorHAnsi"/>
                <w:sz w:val="16"/>
                <w:szCs w:val="16"/>
                <w:lang w:eastAsia="hr-HR"/>
              </w:rPr>
              <w:t>Ukupno</w:t>
            </w:r>
          </w:p>
        </w:tc>
      </w:tr>
      <w:tr w:rsidR="00524B1B" w:rsidRPr="00FD7D5D" w14:paraId="48C30CB8" w14:textId="77777777" w:rsidTr="00524B1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9" w:type="pct"/>
            <w:vMerge w:val="restart"/>
            <w:tcMar>
              <w:left w:w="28" w:type="dxa"/>
              <w:right w:w="28" w:type="dxa"/>
            </w:tcMar>
            <w:vAlign w:val="center"/>
            <w:hideMark/>
          </w:tcPr>
          <w:p w14:paraId="32419764" w14:textId="77777777" w:rsidR="00524B1B" w:rsidRPr="003D27BA" w:rsidRDefault="00524B1B" w:rsidP="00AE6341">
            <w:pPr>
              <w:jc w:val="center"/>
              <w:rPr>
                <w:rFonts w:eastAsia="Times New Roman" w:cstheme="minorHAnsi"/>
                <w:sz w:val="16"/>
                <w:szCs w:val="16"/>
                <w:lang w:eastAsia="hr-HR"/>
              </w:rPr>
            </w:pPr>
            <w:r w:rsidRPr="003D27BA">
              <w:rPr>
                <w:rFonts w:eastAsia="Times New Roman" w:cstheme="minorHAnsi"/>
                <w:sz w:val="16"/>
                <w:szCs w:val="16"/>
                <w:lang w:eastAsia="hr-HR"/>
              </w:rPr>
              <w:t>2023.</w:t>
            </w:r>
          </w:p>
        </w:tc>
        <w:tc>
          <w:tcPr>
            <w:tcW w:w="298" w:type="pct"/>
            <w:tcMar>
              <w:left w:w="28" w:type="dxa"/>
              <w:right w:w="28" w:type="dxa"/>
            </w:tcMar>
            <w:hideMark/>
          </w:tcPr>
          <w:p w14:paraId="19599F30" w14:textId="77777777" w:rsidR="00524B1B" w:rsidRPr="00884B6D" w:rsidRDefault="00524B1B" w:rsidP="00AE634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84B6D">
              <w:rPr>
                <w:rFonts w:eastAsia="Times New Roman" w:cstheme="minorHAnsi"/>
                <w:sz w:val="16"/>
                <w:szCs w:val="16"/>
                <w:lang w:eastAsia="hr-HR"/>
              </w:rPr>
              <w:t>HRK</w:t>
            </w:r>
          </w:p>
        </w:tc>
        <w:tc>
          <w:tcPr>
            <w:tcW w:w="495" w:type="pct"/>
            <w:tcMar>
              <w:left w:w="28" w:type="dxa"/>
              <w:right w:w="28" w:type="dxa"/>
            </w:tcMar>
          </w:tcPr>
          <w:p w14:paraId="1E3CAF55" w14:textId="77777777" w:rsidR="00524B1B" w:rsidRPr="00884B6D" w:rsidRDefault="00524B1B" w:rsidP="00AE634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7.942.324</w:t>
            </w:r>
          </w:p>
        </w:tc>
        <w:tc>
          <w:tcPr>
            <w:tcW w:w="601" w:type="pct"/>
            <w:tcMar>
              <w:left w:w="28" w:type="dxa"/>
              <w:right w:w="28" w:type="dxa"/>
            </w:tcMar>
            <w:hideMark/>
          </w:tcPr>
          <w:p w14:paraId="191F20E1"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581.062.477</w:t>
            </w:r>
          </w:p>
        </w:tc>
        <w:tc>
          <w:tcPr>
            <w:tcW w:w="556" w:type="pct"/>
            <w:tcMar>
              <w:left w:w="28" w:type="dxa"/>
              <w:right w:w="28" w:type="dxa"/>
            </w:tcMar>
          </w:tcPr>
          <w:p w14:paraId="5A3D18C6"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235.797.981</w:t>
            </w:r>
          </w:p>
        </w:tc>
        <w:tc>
          <w:tcPr>
            <w:tcW w:w="556" w:type="pct"/>
            <w:tcMar>
              <w:left w:w="28" w:type="dxa"/>
              <w:right w:w="28" w:type="dxa"/>
            </w:tcMar>
          </w:tcPr>
          <w:p w14:paraId="74EC573E" w14:textId="77777777" w:rsidR="00524B1B" w:rsidRPr="00884B6D" w:rsidRDefault="00524B1B" w:rsidP="00AE634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238.801.635</w:t>
            </w:r>
          </w:p>
        </w:tc>
        <w:tc>
          <w:tcPr>
            <w:tcW w:w="537" w:type="pct"/>
            <w:tcMar>
              <w:left w:w="28" w:type="dxa"/>
              <w:right w:w="28" w:type="dxa"/>
            </w:tcMar>
            <w:hideMark/>
          </w:tcPr>
          <w:p w14:paraId="29DBD445"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Pr>
                <w:rFonts w:eastAsia="Times New Roman" w:cstheme="minorHAnsi"/>
                <w:sz w:val="16"/>
                <w:szCs w:val="16"/>
                <w:lang w:eastAsia="hr-HR"/>
              </w:rPr>
              <w:t>-</w:t>
            </w:r>
          </w:p>
        </w:tc>
        <w:tc>
          <w:tcPr>
            <w:tcW w:w="388" w:type="pct"/>
            <w:tcMar>
              <w:left w:w="28" w:type="dxa"/>
              <w:right w:w="28" w:type="dxa"/>
            </w:tcMar>
          </w:tcPr>
          <w:p w14:paraId="716B2086" w14:textId="77777777" w:rsidR="00524B1B" w:rsidRPr="00FD7D5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23220D">
              <w:rPr>
                <w:rFonts w:eastAsia="Times New Roman" w:cstheme="minorHAnsi"/>
                <w:sz w:val="16"/>
                <w:szCs w:val="16"/>
                <w:lang w:eastAsia="hr-HR"/>
              </w:rPr>
              <w:t>124.257</w:t>
            </w:r>
          </w:p>
        </w:tc>
        <w:tc>
          <w:tcPr>
            <w:tcW w:w="601" w:type="pct"/>
            <w:tcMar>
              <w:left w:w="28" w:type="dxa"/>
              <w:right w:w="28" w:type="dxa"/>
            </w:tcMar>
            <w:hideMark/>
          </w:tcPr>
          <w:p w14:paraId="35CB9D21"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23220D">
              <w:rPr>
                <w:rFonts w:eastAsia="Times New Roman" w:cstheme="minorHAnsi"/>
                <w:sz w:val="16"/>
                <w:szCs w:val="16"/>
                <w:lang w:eastAsia="hr-HR"/>
              </w:rPr>
              <w:t>237.407.764</w:t>
            </w:r>
          </w:p>
        </w:tc>
        <w:tc>
          <w:tcPr>
            <w:tcW w:w="599" w:type="pct"/>
            <w:tcMar>
              <w:left w:w="28" w:type="dxa"/>
              <w:right w:w="28" w:type="dxa"/>
            </w:tcMar>
          </w:tcPr>
          <w:p w14:paraId="5F57DCEB"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1.301.136.437</w:t>
            </w:r>
          </w:p>
        </w:tc>
      </w:tr>
      <w:tr w:rsidR="00524B1B" w:rsidRPr="00FD7D5D" w14:paraId="6D7F2624" w14:textId="77777777" w:rsidTr="00524B1B">
        <w:trPr>
          <w:trHeight w:val="315"/>
        </w:trPr>
        <w:tc>
          <w:tcPr>
            <w:cnfStyle w:val="001000000000" w:firstRow="0" w:lastRow="0" w:firstColumn="1" w:lastColumn="0" w:oddVBand="0" w:evenVBand="0" w:oddHBand="0" w:evenHBand="0" w:firstRowFirstColumn="0" w:firstRowLastColumn="0" w:lastRowFirstColumn="0" w:lastRowLastColumn="0"/>
            <w:tcW w:w="369" w:type="pct"/>
            <w:vMerge/>
            <w:tcMar>
              <w:left w:w="28" w:type="dxa"/>
              <w:right w:w="28" w:type="dxa"/>
            </w:tcMar>
            <w:vAlign w:val="center"/>
            <w:hideMark/>
          </w:tcPr>
          <w:p w14:paraId="7DCBD784" w14:textId="77777777" w:rsidR="00524B1B" w:rsidRPr="003D27BA" w:rsidRDefault="00524B1B" w:rsidP="00AE6341">
            <w:pPr>
              <w:jc w:val="left"/>
              <w:rPr>
                <w:rFonts w:eastAsia="Times New Roman" w:cstheme="minorHAnsi"/>
                <w:sz w:val="16"/>
                <w:szCs w:val="16"/>
                <w:lang w:eastAsia="hr-HR"/>
              </w:rPr>
            </w:pPr>
          </w:p>
        </w:tc>
        <w:tc>
          <w:tcPr>
            <w:tcW w:w="298" w:type="pct"/>
            <w:tcMar>
              <w:left w:w="28" w:type="dxa"/>
              <w:right w:w="28" w:type="dxa"/>
            </w:tcMar>
            <w:hideMark/>
          </w:tcPr>
          <w:p w14:paraId="1017D9A5" w14:textId="77777777" w:rsidR="00524B1B" w:rsidRPr="00884B6D" w:rsidRDefault="00524B1B" w:rsidP="00AE6341">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884B6D">
              <w:rPr>
                <w:rFonts w:eastAsia="Times New Roman" w:cstheme="minorHAnsi"/>
                <w:sz w:val="16"/>
                <w:szCs w:val="16"/>
                <w:lang w:eastAsia="hr-HR"/>
              </w:rPr>
              <w:t>EUR</w:t>
            </w:r>
          </w:p>
        </w:tc>
        <w:tc>
          <w:tcPr>
            <w:tcW w:w="495" w:type="pct"/>
            <w:tcMar>
              <w:left w:w="28" w:type="dxa"/>
              <w:right w:w="28" w:type="dxa"/>
            </w:tcMar>
          </w:tcPr>
          <w:p w14:paraId="7E0537A0"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1.054.128</w:t>
            </w:r>
          </w:p>
        </w:tc>
        <w:tc>
          <w:tcPr>
            <w:tcW w:w="601" w:type="pct"/>
            <w:tcMar>
              <w:left w:w="28" w:type="dxa"/>
              <w:right w:w="28" w:type="dxa"/>
            </w:tcMar>
            <w:hideMark/>
          </w:tcPr>
          <w:p w14:paraId="2933E72B"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77.120.244</w:t>
            </w:r>
          </w:p>
        </w:tc>
        <w:tc>
          <w:tcPr>
            <w:tcW w:w="556" w:type="pct"/>
            <w:tcMar>
              <w:left w:w="28" w:type="dxa"/>
              <w:right w:w="28" w:type="dxa"/>
            </w:tcMar>
          </w:tcPr>
          <w:p w14:paraId="473821C8"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31.295.770</w:t>
            </w:r>
          </w:p>
        </w:tc>
        <w:tc>
          <w:tcPr>
            <w:tcW w:w="556" w:type="pct"/>
            <w:tcMar>
              <w:left w:w="28" w:type="dxa"/>
              <w:right w:w="28" w:type="dxa"/>
            </w:tcMar>
          </w:tcPr>
          <w:p w14:paraId="4F74C23B" w14:textId="77777777" w:rsidR="00524B1B" w:rsidRPr="00884B6D" w:rsidRDefault="00524B1B" w:rsidP="00AE6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31.694.424</w:t>
            </w:r>
          </w:p>
        </w:tc>
        <w:tc>
          <w:tcPr>
            <w:tcW w:w="537" w:type="pct"/>
            <w:tcMar>
              <w:left w:w="28" w:type="dxa"/>
              <w:right w:w="28" w:type="dxa"/>
            </w:tcMar>
            <w:hideMark/>
          </w:tcPr>
          <w:p w14:paraId="4D4C43B3"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Pr>
                <w:rFonts w:eastAsia="Times New Roman" w:cstheme="minorHAnsi"/>
                <w:sz w:val="16"/>
                <w:szCs w:val="16"/>
                <w:lang w:eastAsia="hr-HR"/>
              </w:rPr>
              <w:t>-</w:t>
            </w:r>
          </w:p>
        </w:tc>
        <w:tc>
          <w:tcPr>
            <w:tcW w:w="388" w:type="pct"/>
            <w:tcMar>
              <w:left w:w="28" w:type="dxa"/>
              <w:right w:w="28" w:type="dxa"/>
            </w:tcMar>
          </w:tcPr>
          <w:p w14:paraId="01CE03F2" w14:textId="77777777" w:rsidR="00524B1B" w:rsidRPr="00FD7D5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23220D">
              <w:rPr>
                <w:rFonts w:eastAsia="Times New Roman" w:cstheme="minorHAnsi"/>
                <w:sz w:val="16"/>
                <w:szCs w:val="16"/>
                <w:lang w:eastAsia="hr-HR"/>
              </w:rPr>
              <w:t>16.492</w:t>
            </w:r>
          </w:p>
        </w:tc>
        <w:tc>
          <w:tcPr>
            <w:tcW w:w="601" w:type="pct"/>
            <w:tcMar>
              <w:left w:w="28" w:type="dxa"/>
              <w:right w:w="28" w:type="dxa"/>
            </w:tcMar>
            <w:hideMark/>
          </w:tcPr>
          <w:p w14:paraId="577A0D31"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23220D">
              <w:rPr>
                <w:rFonts w:eastAsia="Times New Roman" w:cstheme="minorHAnsi"/>
                <w:sz w:val="16"/>
                <w:szCs w:val="16"/>
                <w:lang w:eastAsia="hr-HR"/>
              </w:rPr>
              <w:t>31.509.425</w:t>
            </w:r>
          </w:p>
        </w:tc>
        <w:tc>
          <w:tcPr>
            <w:tcW w:w="599" w:type="pct"/>
            <w:tcMar>
              <w:left w:w="28" w:type="dxa"/>
              <w:right w:w="28" w:type="dxa"/>
            </w:tcMar>
          </w:tcPr>
          <w:p w14:paraId="0058E613" w14:textId="77777777" w:rsidR="00524B1B" w:rsidRPr="00884B6D" w:rsidRDefault="00524B1B" w:rsidP="00AE6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172.690.482</w:t>
            </w:r>
          </w:p>
        </w:tc>
      </w:tr>
      <w:tr w:rsidR="00524B1B" w:rsidRPr="00FD7D5D" w14:paraId="4A320CEF" w14:textId="77777777" w:rsidTr="00524B1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9" w:type="pct"/>
            <w:vMerge w:val="restart"/>
            <w:tcMar>
              <w:left w:w="28" w:type="dxa"/>
              <w:right w:w="28" w:type="dxa"/>
            </w:tcMar>
            <w:vAlign w:val="center"/>
            <w:hideMark/>
          </w:tcPr>
          <w:p w14:paraId="41E7189C" w14:textId="77777777" w:rsidR="00524B1B" w:rsidRPr="003D27BA" w:rsidRDefault="00524B1B" w:rsidP="00AE6341">
            <w:pPr>
              <w:jc w:val="center"/>
              <w:rPr>
                <w:rFonts w:eastAsia="Times New Roman" w:cstheme="minorHAnsi"/>
                <w:sz w:val="16"/>
                <w:szCs w:val="16"/>
                <w:lang w:eastAsia="hr-HR"/>
              </w:rPr>
            </w:pPr>
            <w:r w:rsidRPr="003D27BA">
              <w:rPr>
                <w:rFonts w:eastAsia="Times New Roman" w:cstheme="minorHAnsi"/>
                <w:sz w:val="16"/>
                <w:szCs w:val="16"/>
                <w:lang w:eastAsia="hr-HR"/>
              </w:rPr>
              <w:t>2024.</w:t>
            </w:r>
          </w:p>
        </w:tc>
        <w:tc>
          <w:tcPr>
            <w:tcW w:w="298" w:type="pct"/>
            <w:tcMar>
              <w:left w:w="28" w:type="dxa"/>
              <w:right w:w="28" w:type="dxa"/>
            </w:tcMar>
            <w:hideMark/>
          </w:tcPr>
          <w:p w14:paraId="59A7DF54" w14:textId="77777777" w:rsidR="00524B1B" w:rsidRPr="00884B6D" w:rsidRDefault="00524B1B" w:rsidP="00AE634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84B6D">
              <w:rPr>
                <w:rFonts w:eastAsia="Times New Roman" w:cstheme="minorHAnsi"/>
                <w:sz w:val="16"/>
                <w:szCs w:val="16"/>
                <w:lang w:eastAsia="hr-HR"/>
              </w:rPr>
              <w:t>HRK</w:t>
            </w:r>
          </w:p>
        </w:tc>
        <w:tc>
          <w:tcPr>
            <w:tcW w:w="495" w:type="pct"/>
            <w:tcMar>
              <w:left w:w="28" w:type="dxa"/>
              <w:right w:w="28" w:type="dxa"/>
            </w:tcMar>
          </w:tcPr>
          <w:p w14:paraId="182F7E5F"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11.192.026</w:t>
            </w:r>
          </w:p>
        </w:tc>
        <w:tc>
          <w:tcPr>
            <w:tcW w:w="601" w:type="pct"/>
            <w:tcMar>
              <w:left w:w="28" w:type="dxa"/>
              <w:right w:w="28" w:type="dxa"/>
            </w:tcMar>
            <w:hideMark/>
          </w:tcPr>
          <w:p w14:paraId="710FC8B8"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547.994.040</w:t>
            </w:r>
          </w:p>
        </w:tc>
        <w:tc>
          <w:tcPr>
            <w:tcW w:w="556" w:type="pct"/>
            <w:tcMar>
              <w:left w:w="28" w:type="dxa"/>
              <w:right w:w="28" w:type="dxa"/>
            </w:tcMar>
          </w:tcPr>
          <w:p w14:paraId="05941C41"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252.906.733</w:t>
            </w:r>
          </w:p>
        </w:tc>
        <w:tc>
          <w:tcPr>
            <w:tcW w:w="556" w:type="pct"/>
            <w:tcMar>
              <w:left w:w="28" w:type="dxa"/>
              <w:right w:w="28" w:type="dxa"/>
            </w:tcMar>
          </w:tcPr>
          <w:p w14:paraId="1E0CA230"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290.705.030</w:t>
            </w:r>
          </w:p>
        </w:tc>
        <w:tc>
          <w:tcPr>
            <w:tcW w:w="537" w:type="pct"/>
            <w:tcMar>
              <w:left w:w="28" w:type="dxa"/>
              <w:right w:w="28" w:type="dxa"/>
            </w:tcMar>
            <w:hideMark/>
          </w:tcPr>
          <w:p w14:paraId="65B6C43B"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Pr>
                <w:rFonts w:eastAsia="Times New Roman" w:cstheme="minorHAnsi"/>
                <w:sz w:val="16"/>
                <w:szCs w:val="16"/>
                <w:lang w:eastAsia="hr-HR"/>
              </w:rPr>
              <w:t>-</w:t>
            </w:r>
          </w:p>
        </w:tc>
        <w:tc>
          <w:tcPr>
            <w:tcW w:w="388" w:type="pct"/>
            <w:tcMar>
              <w:left w:w="28" w:type="dxa"/>
              <w:right w:w="28" w:type="dxa"/>
            </w:tcMar>
          </w:tcPr>
          <w:p w14:paraId="2F92FF80" w14:textId="77777777" w:rsidR="00524B1B" w:rsidRPr="00FD7D5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23220D">
              <w:rPr>
                <w:rFonts w:eastAsia="Times New Roman" w:cstheme="minorHAnsi"/>
                <w:sz w:val="16"/>
                <w:szCs w:val="16"/>
                <w:lang w:eastAsia="hr-HR"/>
              </w:rPr>
              <w:t>248.514</w:t>
            </w:r>
          </w:p>
        </w:tc>
        <w:tc>
          <w:tcPr>
            <w:tcW w:w="601" w:type="pct"/>
            <w:tcMar>
              <w:left w:w="28" w:type="dxa"/>
              <w:right w:w="28" w:type="dxa"/>
            </w:tcMar>
            <w:hideMark/>
          </w:tcPr>
          <w:p w14:paraId="356092D7"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23220D">
              <w:rPr>
                <w:rFonts w:eastAsia="Times New Roman" w:cstheme="minorHAnsi"/>
                <w:sz w:val="16"/>
                <w:szCs w:val="16"/>
                <w:lang w:eastAsia="hr-HR"/>
              </w:rPr>
              <w:t>558.199.668</w:t>
            </w:r>
          </w:p>
        </w:tc>
        <w:tc>
          <w:tcPr>
            <w:tcW w:w="599" w:type="pct"/>
            <w:tcMar>
              <w:left w:w="28" w:type="dxa"/>
              <w:right w:w="28" w:type="dxa"/>
            </w:tcMar>
          </w:tcPr>
          <w:p w14:paraId="54EE0491"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1.661.246.009</w:t>
            </w:r>
          </w:p>
        </w:tc>
      </w:tr>
      <w:tr w:rsidR="00524B1B" w:rsidRPr="00FD7D5D" w14:paraId="39A81826" w14:textId="77777777" w:rsidTr="00524B1B">
        <w:trPr>
          <w:trHeight w:val="315"/>
        </w:trPr>
        <w:tc>
          <w:tcPr>
            <w:cnfStyle w:val="001000000000" w:firstRow="0" w:lastRow="0" w:firstColumn="1" w:lastColumn="0" w:oddVBand="0" w:evenVBand="0" w:oddHBand="0" w:evenHBand="0" w:firstRowFirstColumn="0" w:firstRowLastColumn="0" w:lastRowFirstColumn="0" w:lastRowLastColumn="0"/>
            <w:tcW w:w="369" w:type="pct"/>
            <w:vMerge/>
            <w:tcMar>
              <w:left w:w="28" w:type="dxa"/>
              <w:right w:w="28" w:type="dxa"/>
            </w:tcMar>
            <w:vAlign w:val="center"/>
            <w:hideMark/>
          </w:tcPr>
          <w:p w14:paraId="7D2719FE" w14:textId="77777777" w:rsidR="00524B1B" w:rsidRPr="003D27BA" w:rsidRDefault="00524B1B" w:rsidP="00AE6341">
            <w:pPr>
              <w:jc w:val="left"/>
              <w:rPr>
                <w:rFonts w:eastAsia="Times New Roman" w:cstheme="minorHAnsi"/>
                <w:sz w:val="16"/>
                <w:szCs w:val="16"/>
                <w:lang w:eastAsia="hr-HR"/>
              </w:rPr>
            </w:pPr>
          </w:p>
        </w:tc>
        <w:tc>
          <w:tcPr>
            <w:tcW w:w="298" w:type="pct"/>
            <w:tcMar>
              <w:left w:w="28" w:type="dxa"/>
              <w:right w:w="28" w:type="dxa"/>
            </w:tcMar>
            <w:hideMark/>
          </w:tcPr>
          <w:p w14:paraId="601D1810" w14:textId="77777777" w:rsidR="00524B1B" w:rsidRPr="00884B6D" w:rsidRDefault="00524B1B" w:rsidP="00AE6341">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884B6D">
              <w:rPr>
                <w:rFonts w:eastAsia="Times New Roman" w:cstheme="minorHAnsi"/>
                <w:sz w:val="16"/>
                <w:szCs w:val="16"/>
                <w:lang w:eastAsia="hr-HR"/>
              </w:rPr>
              <w:t>EUR</w:t>
            </w:r>
          </w:p>
        </w:tc>
        <w:tc>
          <w:tcPr>
            <w:tcW w:w="495" w:type="pct"/>
            <w:tcMar>
              <w:left w:w="28" w:type="dxa"/>
              <w:right w:w="28" w:type="dxa"/>
            </w:tcMar>
          </w:tcPr>
          <w:p w14:paraId="57310224"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1.485.437</w:t>
            </w:r>
          </w:p>
        </w:tc>
        <w:tc>
          <w:tcPr>
            <w:tcW w:w="601" w:type="pct"/>
            <w:tcMar>
              <w:left w:w="28" w:type="dxa"/>
              <w:right w:w="28" w:type="dxa"/>
            </w:tcMar>
            <w:hideMark/>
          </w:tcPr>
          <w:p w14:paraId="0E2C013D"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72.731.308</w:t>
            </w:r>
          </w:p>
        </w:tc>
        <w:tc>
          <w:tcPr>
            <w:tcW w:w="556" w:type="pct"/>
            <w:tcMar>
              <w:left w:w="28" w:type="dxa"/>
              <w:right w:w="28" w:type="dxa"/>
            </w:tcMar>
          </w:tcPr>
          <w:p w14:paraId="493832B0" w14:textId="77777777" w:rsidR="00524B1B" w:rsidRPr="00884B6D" w:rsidRDefault="00524B1B" w:rsidP="00AE6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33.566.492</w:t>
            </w:r>
          </w:p>
        </w:tc>
        <w:tc>
          <w:tcPr>
            <w:tcW w:w="556" w:type="pct"/>
            <w:tcMar>
              <w:left w:w="28" w:type="dxa"/>
              <w:right w:w="28" w:type="dxa"/>
            </w:tcMar>
          </w:tcPr>
          <w:p w14:paraId="0BFD6641"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38.583.188</w:t>
            </w:r>
          </w:p>
        </w:tc>
        <w:tc>
          <w:tcPr>
            <w:tcW w:w="537" w:type="pct"/>
            <w:tcMar>
              <w:left w:w="28" w:type="dxa"/>
              <w:right w:w="28" w:type="dxa"/>
            </w:tcMar>
            <w:hideMark/>
          </w:tcPr>
          <w:p w14:paraId="134876B3"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Pr>
                <w:rFonts w:eastAsia="Times New Roman" w:cstheme="minorHAnsi"/>
                <w:sz w:val="16"/>
                <w:szCs w:val="16"/>
                <w:lang w:eastAsia="hr-HR"/>
              </w:rPr>
              <w:t>-</w:t>
            </w:r>
          </w:p>
        </w:tc>
        <w:tc>
          <w:tcPr>
            <w:tcW w:w="388" w:type="pct"/>
            <w:tcMar>
              <w:left w:w="28" w:type="dxa"/>
              <w:right w:w="28" w:type="dxa"/>
            </w:tcMar>
          </w:tcPr>
          <w:p w14:paraId="5DFE7583" w14:textId="77777777" w:rsidR="00524B1B" w:rsidRPr="00FD7D5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23220D">
              <w:rPr>
                <w:rFonts w:eastAsia="Times New Roman" w:cstheme="minorHAnsi"/>
                <w:sz w:val="16"/>
                <w:szCs w:val="16"/>
                <w:lang w:eastAsia="hr-HR"/>
              </w:rPr>
              <w:t>32.983</w:t>
            </w:r>
          </w:p>
        </w:tc>
        <w:tc>
          <w:tcPr>
            <w:tcW w:w="601" w:type="pct"/>
            <w:tcMar>
              <w:left w:w="28" w:type="dxa"/>
              <w:right w:w="28" w:type="dxa"/>
            </w:tcMar>
            <w:hideMark/>
          </w:tcPr>
          <w:p w14:paraId="05EEFD2F"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23220D">
              <w:rPr>
                <w:rFonts w:eastAsia="Times New Roman" w:cstheme="minorHAnsi"/>
                <w:sz w:val="16"/>
                <w:szCs w:val="16"/>
                <w:lang w:eastAsia="hr-HR"/>
              </w:rPr>
              <w:t>74.085.828</w:t>
            </w:r>
          </w:p>
        </w:tc>
        <w:tc>
          <w:tcPr>
            <w:tcW w:w="599" w:type="pct"/>
            <w:tcMar>
              <w:left w:w="28" w:type="dxa"/>
              <w:right w:w="28" w:type="dxa"/>
            </w:tcMar>
          </w:tcPr>
          <w:p w14:paraId="3C739857" w14:textId="77777777" w:rsidR="00524B1B" w:rsidRPr="00884B6D" w:rsidRDefault="00524B1B" w:rsidP="00AE6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220.485.236</w:t>
            </w:r>
          </w:p>
        </w:tc>
      </w:tr>
      <w:tr w:rsidR="00524B1B" w:rsidRPr="00FD7D5D" w14:paraId="7FB62D06" w14:textId="77777777" w:rsidTr="00524B1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9" w:type="pct"/>
            <w:vMerge w:val="restart"/>
            <w:tcMar>
              <w:left w:w="28" w:type="dxa"/>
              <w:right w:w="28" w:type="dxa"/>
            </w:tcMar>
            <w:vAlign w:val="center"/>
            <w:hideMark/>
          </w:tcPr>
          <w:p w14:paraId="00B33BC8" w14:textId="77777777" w:rsidR="00524B1B" w:rsidRPr="003D27BA" w:rsidRDefault="00524B1B" w:rsidP="00AE6341">
            <w:pPr>
              <w:jc w:val="center"/>
              <w:rPr>
                <w:rFonts w:eastAsia="Times New Roman" w:cstheme="minorHAnsi"/>
                <w:sz w:val="16"/>
                <w:szCs w:val="16"/>
                <w:lang w:eastAsia="hr-HR"/>
              </w:rPr>
            </w:pPr>
            <w:r w:rsidRPr="003D27BA">
              <w:rPr>
                <w:rFonts w:eastAsia="Times New Roman" w:cstheme="minorHAnsi"/>
                <w:sz w:val="16"/>
                <w:szCs w:val="16"/>
                <w:lang w:eastAsia="hr-HR"/>
              </w:rPr>
              <w:t>2025.</w:t>
            </w:r>
          </w:p>
        </w:tc>
        <w:tc>
          <w:tcPr>
            <w:tcW w:w="298" w:type="pct"/>
            <w:tcMar>
              <w:left w:w="28" w:type="dxa"/>
              <w:right w:w="28" w:type="dxa"/>
            </w:tcMar>
            <w:hideMark/>
          </w:tcPr>
          <w:p w14:paraId="77091030" w14:textId="77777777" w:rsidR="00524B1B" w:rsidRPr="00884B6D" w:rsidRDefault="00524B1B" w:rsidP="00AE634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84B6D">
              <w:rPr>
                <w:rFonts w:eastAsia="Times New Roman" w:cstheme="minorHAnsi"/>
                <w:sz w:val="16"/>
                <w:szCs w:val="16"/>
                <w:lang w:eastAsia="hr-HR"/>
              </w:rPr>
              <w:t>HRK</w:t>
            </w:r>
          </w:p>
        </w:tc>
        <w:tc>
          <w:tcPr>
            <w:tcW w:w="495" w:type="pct"/>
            <w:tcMar>
              <w:left w:w="28" w:type="dxa"/>
              <w:right w:w="28" w:type="dxa"/>
            </w:tcMar>
          </w:tcPr>
          <w:p w14:paraId="31BF0BE8"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6.895.682</w:t>
            </w:r>
          </w:p>
        </w:tc>
        <w:tc>
          <w:tcPr>
            <w:tcW w:w="601" w:type="pct"/>
            <w:tcMar>
              <w:left w:w="28" w:type="dxa"/>
              <w:right w:w="28" w:type="dxa"/>
            </w:tcMar>
            <w:hideMark/>
          </w:tcPr>
          <w:p w14:paraId="09389C13"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668.318.780</w:t>
            </w:r>
          </w:p>
        </w:tc>
        <w:tc>
          <w:tcPr>
            <w:tcW w:w="556" w:type="pct"/>
            <w:tcMar>
              <w:left w:w="28" w:type="dxa"/>
              <w:right w:w="28" w:type="dxa"/>
            </w:tcMar>
          </w:tcPr>
          <w:p w14:paraId="5BC841BE"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306.897.725</w:t>
            </w:r>
          </w:p>
        </w:tc>
        <w:tc>
          <w:tcPr>
            <w:tcW w:w="556" w:type="pct"/>
            <w:tcMar>
              <w:left w:w="28" w:type="dxa"/>
              <w:right w:w="28" w:type="dxa"/>
            </w:tcMar>
          </w:tcPr>
          <w:p w14:paraId="2C8F02BF"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322.011.117</w:t>
            </w:r>
          </w:p>
        </w:tc>
        <w:tc>
          <w:tcPr>
            <w:tcW w:w="537" w:type="pct"/>
            <w:tcMar>
              <w:left w:w="28" w:type="dxa"/>
              <w:right w:w="28" w:type="dxa"/>
            </w:tcMar>
            <w:hideMark/>
          </w:tcPr>
          <w:p w14:paraId="0569225F"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Pr>
                <w:rFonts w:eastAsia="Times New Roman" w:cstheme="minorHAnsi"/>
                <w:sz w:val="16"/>
                <w:szCs w:val="16"/>
                <w:lang w:eastAsia="hr-HR"/>
              </w:rPr>
              <w:t>-</w:t>
            </w:r>
          </w:p>
        </w:tc>
        <w:tc>
          <w:tcPr>
            <w:tcW w:w="388" w:type="pct"/>
            <w:tcMar>
              <w:left w:w="28" w:type="dxa"/>
              <w:right w:w="28" w:type="dxa"/>
            </w:tcMar>
          </w:tcPr>
          <w:p w14:paraId="2D5846D8" w14:textId="77777777" w:rsidR="00524B1B" w:rsidRPr="00FD7D5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23220D">
              <w:rPr>
                <w:rFonts w:eastAsia="Times New Roman" w:cstheme="minorHAnsi"/>
                <w:sz w:val="16"/>
                <w:szCs w:val="16"/>
                <w:lang w:eastAsia="hr-HR"/>
              </w:rPr>
              <w:t>248.514</w:t>
            </w:r>
          </w:p>
        </w:tc>
        <w:tc>
          <w:tcPr>
            <w:tcW w:w="601" w:type="pct"/>
            <w:tcMar>
              <w:left w:w="28" w:type="dxa"/>
              <w:right w:w="28" w:type="dxa"/>
            </w:tcMar>
            <w:hideMark/>
          </w:tcPr>
          <w:p w14:paraId="2EA28604"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23220D">
              <w:rPr>
                <w:rFonts w:eastAsia="Times New Roman" w:cstheme="minorHAnsi"/>
                <w:sz w:val="16"/>
                <w:szCs w:val="16"/>
                <w:lang w:eastAsia="hr-HR"/>
              </w:rPr>
              <w:t>783.897.807</w:t>
            </w:r>
          </w:p>
        </w:tc>
        <w:tc>
          <w:tcPr>
            <w:tcW w:w="599" w:type="pct"/>
            <w:tcMar>
              <w:left w:w="28" w:type="dxa"/>
              <w:right w:w="28" w:type="dxa"/>
            </w:tcMar>
          </w:tcPr>
          <w:p w14:paraId="2BFC0E1D"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2.088.269.625</w:t>
            </w:r>
          </w:p>
        </w:tc>
      </w:tr>
      <w:tr w:rsidR="00524B1B" w:rsidRPr="00FD7D5D" w14:paraId="772C8AB5" w14:textId="77777777" w:rsidTr="00524B1B">
        <w:trPr>
          <w:trHeight w:val="315"/>
        </w:trPr>
        <w:tc>
          <w:tcPr>
            <w:cnfStyle w:val="001000000000" w:firstRow="0" w:lastRow="0" w:firstColumn="1" w:lastColumn="0" w:oddVBand="0" w:evenVBand="0" w:oddHBand="0" w:evenHBand="0" w:firstRowFirstColumn="0" w:firstRowLastColumn="0" w:lastRowFirstColumn="0" w:lastRowLastColumn="0"/>
            <w:tcW w:w="369" w:type="pct"/>
            <w:vMerge/>
            <w:tcMar>
              <w:left w:w="28" w:type="dxa"/>
              <w:right w:w="28" w:type="dxa"/>
            </w:tcMar>
            <w:vAlign w:val="center"/>
            <w:hideMark/>
          </w:tcPr>
          <w:p w14:paraId="0AEA2BC1" w14:textId="77777777" w:rsidR="00524B1B" w:rsidRPr="003D27BA" w:rsidRDefault="00524B1B" w:rsidP="00AE6341">
            <w:pPr>
              <w:jc w:val="left"/>
              <w:rPr>
                <w:rFonts w:eastAsia="Times New Roman" w:cstheme="minorHAnsi"/>
                <w:sz w:val="16"/>
                <w:szCs w:val="16"/>
                <w:lang w:eastAsia="hr-HR"/>
              </w:rPr>
            </w:pPr>
          </w:p>
        </w:tc>
        <w:tc>
          <w:tcPr>
            <w:tcW w:w="298" w:type="pct"/>
            <w:tcMar>
              <w:left w:w="28" w:type="dxa"/>
              <w:right w:w="28" w:type="dxa"/>
            </w:tcMar>
            <w:hideMark/>
          </w:tcPr>
          <w:p w14:paraId="549D463B" w14:textId="77777777" w:rsidR="00524B1B" w:rsidRPr="00884B6D" w:rsidRDefault="00524B1B" w:rsidP="00AE6341">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884B6D">
              <w:rPr>
                <w:rFonts w:eastAsia="Times New Roman" w:cstheme="minorHAnsi"/>
                <w:sz w:val="16"/>
                <w:szCs w:val="16"/>
                <w:lang w:eastAsia="hr-HR"/>
              </w:rPr>
              <w:t>EUR</w:t>
            </w:r>
          </w:p>
        </w:tc>
        <w:tc>
          <w:tcPr>
            <w:tcW w:w="495" w:type="pct"/>
            <w:tcMar>
              <w:left w:w="28" w:type="dxa"/>
              <w:right w:w="28" w:type="dxa"/>
            </w:tcMar>
          </w:tcPr>
          <w:p w14:paraId="309C2B56"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915.214</w:t>
            </w:r>
          </w:p>
        </w:tc>
        <w:tc>
          <w:tcPr>
            <w:tcW w:w="601" w:type="pct"/>
            <w:tcMar>
              <w:left w:w="28" w:type="dxa"/>
              <w:right w:w="28" w:type="dxa"/>
            </w:tcMar>
            <w:hideMark/>
          </w:tcPr>
          <w:p w14:paraId="72375D47"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88.701.145</w:t>
            </w:r>
          </w:p>
        </w:tc>
        <w:tc>
          <w:tcPr>
            <w:tcW w:w="556" w:type="pct"/>
            <w:tcMar>
              <w:left w:w="28" w:type="dxa"/>
              <w:right w:w="28" w:type="dxa"/>
            </w:tcMar>
          </w:tcPr>
          <w:p w14:paraId="5102613B" w14:textId="77777777" w:rsidR="00524B1B" w:rsidRPr="00884B6D" w:rsidRDefault="00524B1B" w:rsidP="00AE6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40.732.328</w:t>
            </w:r>
          </w:p>
        </w:tc>
        <w:tc>
          <w:tcPr>
            <w:tcW w:w="556" w:type="pct"/>
            <w:tcMar>
              <w:left w:w="28" w:type="dxa"/>
              <w:right w:w="28" w:type="dxa"/>
            </w:tcMar>
          </w:tcPr>
          <w:p w14:paraId="6358F8C3"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42.738.220</w:t>
            </w:r>
          </w:p>
        </w:tc>
        <w:tc>
          <w:tcPr>
            <w:tcW w:w="537" w:type="pct"/>
            <w:tcMar>
              <w:left w:w="28" w:type="dxa"/>
              <w:right w:w="28" w:type="dxa"/>
            </w:tcMar>
            <w:hideMark/>
          </w:tcPr>
          <w:p w14:paraId="674C32FE"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Pr>
                <w:rFonts w:eastAsia="Times New Roman" w:cstheme="minorHAnsi"/>
                <w:sz w:val="16"/>
                <w:szCs w:val="16"/>
                <w:lang w:eastAsia="hr-HR"/>
              </w:rPr>
              <w:t>-</w:t>
            </w:r>
          </w:p>
        </w:tc>
        <w:tc>
          <w:tcPr>
            <w:tcW w:w="388" w:type="pct"/>
            <w:tcMar>
              <w:left w:w="28" w:type="dxa"/>
              <w:right w:w="28" w:type="dxa"/>
            </w:tcMar>
          </w:tcPr>
          <w:p w14:paraId="714D3886" w14:textId="77777777" w:rsidR="00524B1B" w:rsidRPr="00FD7D5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23220D">
              <w:rPr>
                <w:rFonts w:eastAsia="Times New Roman" w:cstheme="minorHAnsi"/>
                <w:sz w:val="16"/>
                <w:szCs w:val="16"/>
                <w:lang w:eastAsia="hr-HR"/>
              </w:rPr>
              <w:t>32.983</w:t>
            </w:r>
          </w:p>
        </w:tc>
        <w:tc>
          <w:tcPr>
            <w:tcW w:w="601" w:type="pct"/>
            <w:tcMar>
              <w:left w:w="28" w:type="dxa"/>
              <w:right w:w="28" w:type="dxa"/>
            </w:tcMar>
            <w:hideMark/>
          </w:tcPr>
          <w:p w14:paraId="3A7E6F5B"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23220D">
              <w:rPr>
                <w:rFonts w:eastAsia="Times New Roman" w:cstheme="minorHAnsi"/>
                <w:sz w:val="16"/>
                <w:szCs w:val="16"/>
                <w:lang w:eastAsia="hr-HR"/>
              </w:rPr>
              <w:t>104.041.119</w:t>
            </w:r>
          </w:p>
        </w:tc>
        <w:tc>
          <w:tcPr>
            <w:tcW w:w="599" w:type="pct"/>
            <w:tcMar>
              <w:left w:w="28" w:type="dxa"/>
              <w:right w:w="28" w:type="dxa"/>
            </w:tcMar>
          </w:tcPr>
          <w:p w14:paraId="1F82C782" w14:textId="77777777" w:rsidR="00524B1B" w:rsidRPr="00884B6D" w:rsidRDefault="00524B1B" w:rsidP="00AE6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277.161.009</w:t>
            </w:r>
          </w:p>
        </w:tc>
      </w:tr>
      <w:tr w:rsidR="00524B1B" w:rsidRPr="00FD7D5D" w14:paraId="0A20E076" w14:textId="77777777" w:rsidTr="00524B1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9" w:type="pct"/>
            <w:vMerge w:val="restart"/>
            <w:tcMar>
              <w:left w:w="28" w:type="dxa"/>
              <w:right w:w="28" w:type="dxa"/>
            </w:tcMar>
            <w:vAlign w:val="center"/>
            <w:hideMark/>
          </w:tcPr>
          <w:p w14:paraId="02D242B6" w14:textId="77777777" w:rsidR="00524B1B" w:rsidRPr="003D27BA" w:rsidRDefault="00524B1B" w:rsidP="00AE6341">
            <w:pPr>
              <w:jc w:val="center"/>
              <w:rPr>
                <w:rFonts w:eastAsia="Times New Roman" w:cstheme="minorHAnsi"/>
                <w:sz w:val="16"/>
                <w:szCs w:val="16"/>
                <w:lang w:eastAsia="hr-HR"/>
              </w:rPr>
            </w:pPr>
            <w:r w:rsidRPr="003D27BA">
              <w:rPr>
                <w:rFonts w:eastAsia="Times New Roman" w:cstheme="minorHAnsi"/>
                <w:sz w:val="16"/>
                <w:szCs w:val="16"/>
                <w:lang w:eastAsia="hr-HR"/>
              </w:rPr>
              <w:t>2026.</w:t>
            </w:r>
          </w:p>
        </w:tc>
        <w:tc>
          <w:tcPr>
            <w:tcW w:w="298" w:type="pct"/>
            <w:tcMar>
              <w:left w:w="28" w:type="dxa"/>
              <w:right w:w="28" w:type="dxa"/>
            </w:tcMar>
            <w:hideMark/>
          </w:tcPr>
          <w:p w14:paraId="5755E475" w14:textId="77777777" w:rsidR="00524B1B" w:rsidRPr="00884B6D" w:rsidRDefault="00524B1B" w:rsidP="00AE634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84B6D">
              <w:rPr>
                <w:rFonts w:eastAsia="Times New Roman" w:cstheme="minorHAnsi"/>
                <w:sz w:val="16"/>
                <w:szCs w:val="16"/>
                <w:lang w:eastAsia="hr-HR"/>
              </w:rPr>
              <w:t>HRK</w:t>
            </w:r>
          </w:p>
        </w:tc>
        <w:tc>
          <w:tcPr>
            <w:tcW w:w="495" w:type="pct"/>
            <w:tcMar>
              <w:left w:w="28" w:type="dxa"/>
              <w:right w:w="28" w:type="dxa"/>
            </w:tcMar>
          </w:tcPr>
          <w:p w14:paraId="152A3A05"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5.176.902</w:t>
            </w:r>
          </w:p>
        </w:tc>
        <w:tc>
          <w:tcPr>
            <w:tcW w:w="601" w:type="pct"/>
            <w:tcMar>
              <w:left w:w="28" w:type="dxa"/>
              <w:right w:w="28" w:type="dxa"/>
            </w:tcMar>
            <w:hideMark/>
          </w:tcPr>
          <w:p w14:paraId="1000904F"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878.960.584</w:t>
            </w:r>
          </w:p>
        </w:tc>
        <w:tc>
          <w:tcPr>
            <w:tcW w:w="556" w:type="pct"/>
            <w:tcMar>
              <w:left w:w="28" w:type="dxa"/>
              <w:right w:w="28" w:type="dxa"/>
            </w:tcMar>
          </w:tcPr>
          <w:p w14:paraId="00ACECE9"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394.234.789</w:t>
            </w:r>
          </w:p>
        </w:tc>
        <w:tc>
          <w:tcPr>
            <w:tcW w:w="556" w:type="pct"/>
            <w:tcMar>
              <w:left w:w="28" w:type="dxa"/>
              <w:right w:w="28" w:type="dxa"/>
            </w:tcMar>
          </w:tcPr>
          <w:p w14:paraId="050961B1"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408.579.147</w:t>
            </w:r>
          </w:p>
        </w:tc>
        <w:tc>
          <w:tcPr>
            <w:tcW w:w="537" w:type="pct"/>
            <w:tcMar>
              <w:left w:w="28" w:type="dxa"/>
              <w:right w:w="28" w:type="dxa"/>
            </w:tcMar>
            <w:hideMark/>
          </w:tcPr>
          <w:p w14:paraId="53F57BDF" w14:textId="77777777" w:rsidR="00524B1B" w:rsidRPr="00884B6D" w:rsidRDefault="00524B1B" w:rsidP="00AE6341">
            <w:pPr>
              <w:tabs>
                <w:tab w:val="left" w:pos="666"/>
              </w:tabs>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Pr>
                <w:rFonts w:eastAsia="Times New Roman" w:cstheme="minorHAnsi"/>
                <w:sz w:val="16"/>
                <w:szCs w:val="16"/>
                <w:lang w:eastAsia="hr-HR"/>
              </w:rPr>
              <w:t>-</w:t>
            </w:r>
          </w:p>
        </w:tc>
        <w:tc>
          <w:tcPr>
            <w:tcW w:w="388" w:type="pct"/>
            <w:tcMar>
              <w:left w:w="28" w:type="dxa"/>
              <w:right w:w="28" w:type="dxa"/>
            </w:tcMar>
          </w:tcPr>
          <w:p w14:paraId="0B9E04AC" w14:textId="77777777" w:rsidR="00524B1B" w:rsidRPr="00FD7D5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248.514</w:t>
            </w:r>
          </w:p>
        </w:tc>
        <w:tc>
          <w:tcPr>
            <w:tcW w:w="601" w:type="pct"/>
            <w:tcMar>
              <w:left w:w="28" w:type="dxa"/>
              <w:right w:w="28" w:type="dxa"/>
            </w:tcMar>
            <w:hideMark/>
          </w:tcPr>
          <w:p w14:paraId="4825E8DD"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948.052.896</w:t>
            </w:r>
          </w:p>
        </w:tc>
        <w:tc>
          <w:tcPr>
            <w:tcW w:w="599" w:type="pct"/>
            <w:tcMar>
              <w:left w:w="28" w:type="dxa"/>
              <w:right w:w="28" w:type="dxa"/>
            </w:tcMar>
          </w:tcPr>
          <w:p w14:paraId="716350D5"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2.635.252.830</w:t>
            </w:r>
          </w:p>
        </w:tc>
      </w:tr>
      <w:tr w:rsidR="00524B1B" w:rsidRPr="00FD7D5D" w14:paraId="7AB2AAE9" w14:textId="77777777" w:rsidTr="00524B1B">
        <w:trPr>
          <w:trHeight w:val="315"/>
        </w:trPr>
        <w:tc>
          <w:tcPr>
            <w:cnfStyle w:val="001000000000" w:firstRow="0" w:lastRow="0" w:firstColumn="1" w:lastColumn="0" w:oddVBand="0" w:evenVBand="0" w:oddHBand="0" w:evenHBand="0" w:firstRowFirstColumn="0" w:firstRowLastColumn="0" w:lastRowFirstColumn="0" w:lastRowLastColumn="0"/>
            <w:tcW w:w="369" w:type="pct"/>
            <w:vMerge/>
            <w:tcMar>
              <w:left w:w="28" w:type="dxa"/>
              <w:right w:w="28" w:type="dxa"/>
            </w:tcMar>
            <w:vAlign w:val="center"/>
            <w:hideMark/>
          </w:tcPr>
          <w:p w14:paraId="2A4FC3B1" w14:textId="77777777" w:rsidR="00524B1B" w:rsidRPr="003D27BA" w:rsidRDefault="00524B1B" w:rsidP="00AE6341">
            <w:pPr>
              <w:jc w:val="left"/>
              <w:rPr>
                <w:rFonts w:eastAsia="Times New Roman" w:cstheme="minorHAnsi"/>
                <w:sz w:val="16"/>
                <w:szCs w:val="16"/>
                <w:lang w:eastAsia="hr-HR"/>
              </w:rPr>
            </w:pPr>
          </w:p>
        </w:tc>
        <w:tc>
          <w:tcPr>
            <w:tcW w:w="298" w:type="pct"/>
            <w:tcMar>
              <w:left w:w="28" w:type="dxa"/>
              <w:right w:w="28" w:type="dxa"/>
            </w:tcMar>
            <w:hideMark/>
          </w:tcPr>
          <w:p w14:paraId="51133950" w14:textId="77777777" w:rsidR="00524B1B" w:rsidRPr="00884B6D" w:rsidRDefault="00524B1B" w:rsidP="00AE6341">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884B6D">
              <w:rPr>
                <w:rFonts w:eastAsia="Times New Roman" w:cstheme="minorHAnsi"/>
                <w:sz w:val="16"/>
                <w:szCs w:val="16"/>
                <w:lang w:eastAsia="hr-HR"/>
              </w:rPr>
              <w:t>EUR</w:t>
            </w:r>
          </w:p>
        </w:tc>
        <w:tc>
          <w:tcPr>
            <w:tcW w:w="495" w:type="pct"/>
            <w:tcMar>
              <w:left w:w="28" w:type="dxa"/>
              <w:right w:w="28" w:type="dxa"/>
            </w:tcMar>
          </w:tcPr>
          <w:p w14:paraId="698A8DFF"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687.093</w:t>
            </w:r>
          </w:p>
        </w:tc>
        <w:tc>
          <w:tcPr>
            <w:tcW w:w="601" w:type="pct"/>
            <w:tcMar>
              <w:left w:w="28" w:type="dxa"/>
              <w:right w:w="28" w:type="dxa"/>
            </w:tcMar>
            <w:hideMark/>
          </w:tcPr>
          <w:p w14:paraId="03766AF9"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116.658.117</w:t>
            </w:r>
          </w:p>
        </w:tc>
        <w:tc>
          <w:tcPr>
            <w:tcW w:w="556" w:type="pct"/>
            <w:tcMar>
              <w:left w:w="28" w:type="dxa"/>
              <w:right w:w="28" w:type="dxa"/>
            </w:tcMar>
          </w:tcPr>
          <w:p w14:paraId="70F2852E"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52.323.948</w:t>
            </w:r>
          </w:p>
        </w:tc>
        <w:tc>
          <w:tcPr>
            <w:tcW w:w="556" w:type="pct"/>
            <w:tcMar>
              <w:left w:w="28" w:type="dxa"/>
              <w:right w:w="28" w:type="dxa"/>
            </w:tcMar>
          </w:tcPr>
          <w:p w14:paraId="22EC34CB" w14:textId="77777777" w:rsidR="00524B1B" w:rsidRPr="00884B6D" w:rsidRDefault="00524B1B" w:rsidP="00AE6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54.227.772</w:t>
            </w:r>
          </w:p>
        </w:tc>
        <w:tc>
          <w:tcPr>
            <w:tcW w:w="537" w:type="pct"/>
            <w:tcMar>
              <w:left w:w="28" w:type="dxa"/>
              <w:right w:w="28" w:type="dxa"/>
            </w:tcMar>
            <w:hideMark/>
          </w:tcPr>
          <w:p w14:paraId="5AB2059E"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Pr>
                <w:rFonts w:eastAsia="Times New Roman" w:cstheme="minorHAnsi"/>
                <w:sz w:val="16"/>
                <w:szCs w:val="16"/>
                <w:lang w:eastAsia="hr-HR"/>
              </w:rPr>
              <w:t>-</w:t>
            </w:r>
          </w:p>
        </w:tc>
        <w:tc>
          <w:tcPr>
            <w:tcW w:w="388" w:type="pct"/>
            <w:tcMar>
              <w:left w:w="28" w:type="dxa"/>
              <w:right w:w="28" w:type="dxa"/>
            </w:tcMar>
          </w:tcPr>
          <w:p w14:paraId="7A8E6F3D" w14:textId="77777777" w:rsidR="00524B1B" w:rsidRPr="00FD7D5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32.983</w:t>
            </w:r>
          </w:p>
        </w:tc>
        <w:tc>
          <w:tcPr>
            <w:tcW w:w="601" w:type="pct"/>
            <w:tcMar>
              <w:left w:w="28" w:type="dxa"/>
              <w:right w:w="28" w:type="dxa"/>
            </w:tcMar>
            <w:hideMark/>
          </w:tcPr>
          <w:p w14:paraId="454E6621"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125.828.243</w:t>
            </w:r>
          </w:p>
        </w:tc>
        <w:tc>
          <w:tcPr>
            <w:tcW w:w="599" w:type="pct"/>
            <w:tcMar>
              <w:left w:w="28" w:type="dxa"/>
              <w:right w:w="28" w:type="dxa"/>
            </w:tcMar>
          </w:tcPr>
          <w:p w14:paraId="6BB0DA46"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349.758.157</w:t>
            </w:r>
          </w:p>
        </w:tc>
      </w:tr>
      <w:tr w:rsidR="00524B1B" w:rsidRPr="00FD7D5D" w14:paraId="47562554" w14:textId="77777777" w:rsidTr="00524B1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9" w:type="pct"/>
            <w:vMerge w:val="restart"/>
            <w:tcMar>
              <w:left w:w="28" w:type="dxa"/>
              <w:right w:w="28" w:type="dxa"/>
            </w:tcMar>
            <w:vAlign w:val="center"/>
            <w:hideMark/>
          </w:tcPr>
          <w:p w14:paraId="335393AC" w14:textId="77777777" w:rsidR="00524B1B" w:rsidRPr="003D27BA" w:rsidRDefault="00524B1B" w:rsidP="00AE6341">
            <w:pPr>
              <w:jc w:val="center"/>
              <w:rPr>
                <w:rFonts w:eastAsia="Times New Roman" w:cstheme="minorHAnsi"/>
                <w:sz w:val="16"/>
                <w:szCs w:val="16"/>
                <w:lang w:eastAsia="hr-HR"/>
              </w:rPr>
            </w:pPr>
            <w:r w:rsidRPr="003D27BA">
              <w:rPr>
                <w:rFonts w:eastAsia="Times New Roman" w:cstheme="minorHAnsi"/>
                <w:sz w:val="16"/>
                <w:szCs w:val="16"/>
                <w:lang w:eastAsia="hr-HR"/>
              </w:rPr>
              <w:t>2027.</w:t>
            </w:r>
          </w:p>
        </w:tc>
        <w:tc>
          <w:tcPr>
            <w:tcW w:w="298" w:type="pct"/>
            <w:tcMar>
              <w:left w:w="28" w:type="dxa"/>
              <w:right w:w="28" w:type="dxa"/>
            </w:tcMar>
            <w:hideMark/>
          </w:tcPr>
          <w:p w14:paraId="2854FE09" w14:textId="77777777" w:rsidR="00524B1B" w:rsidRPr="00884B6D" w:rsidRDefault="00524B1B" w:rsidP="00AE634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84B6D">
              <w:rPr>
                <w:rFonts w:eastAsia="Times New Roman" w:cstheme="minorHAnsi"/>
                <w:sz w:val="16"/>
                <w:szCs w:val="16"/>
                <w:lang w:eastAsia="hr-HR"/>
              </w:rPr>
              <w:t>HRK</w:t>
            </w:r>
          </w:p>
        </w:tc>
        <w:tc>
          <w:tcPr>
            <w:tcW w:w="495" w:type="pct"/>
            <w:tcMar>
              <w:left w:w="28" w:type="dxa"/>
              <w:right w:w="28" w:type="dxa"/>
            </w:tcMar>
          </w:tcPr>
          <w:p w14:paraId="5FA25CDC"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5.482.319</w:t>
            </w:r>
          </w:p>
        </w:tc>
        <w:tc>
          <w:tcPr>
            <w:tcW w:w="601" w:type="pct"/>
            <w:tcMar>
              <w:left w:w="28" w:type="dxa"/>
              <w:right w:w="28" w:type="dxa"/>
            </w:tcMar>
            <w:hideMark/>
          </w:tcPr>
          <w:p w14:paraId="72D14999"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929.094.995</w:t>
            </w:r>
          </w:p>
        </w:tc>
        <w:tc>
          <w:tcPr>
            <w:tcW w:w="556" w:type="pct"/>
            <w:tcMar>
              <w:left w:w="28" w:type="dxa"/>
              <w:right w:w="28" w:type="dxa"/>
            </w:tcMar>
          </w:tcPr>
          <w:p w14:paraId="62015F14"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443.850.788</w:t>
            </w:r>
          </w:p>
        </w:tc>
        <w:tc>
          <w:tcPr>
            <w:tcW w:w="556" w:type="pct"/>
            <w:tcMar>
              <w:left w:w="28" w:type="dxa"/>
              <w:right w:w="28" w:type="dxa"/>
            </w:tcMar>
          </w:tcPr>
          <w:p w14:paraId="69A95CB4" w14:textId="77777777" w:rsidR="00524B1B" w:rsidRPr="00884B6D" w:rsidRDefault="00524B1B" w:rsidP="00AE634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513.973.302</w:t>
            </w:r>
          </w:p>
        </w:tc>
        <w:tc>
          <w:tcPr>
            <w:tcW w:w="537" w:type="pct"/>
            <w:tcMar>
              <w:left w:w="28" w:type="dxa"/>
              <w:right w:w="28" w:type="dxa"/>
            </w:tcMar>
            <w:hideMark/>
          </w:tcPr>
          <w:p w14:paraId="21564873"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B33BC">
              <w:rPr>
                <w:rFonts w:eastAsia="Times New Roman" w:cstheme="minorHAnsi"/>
                <w:sz w:val="16"/>
                <w:szCs w:val="16"/>
                <w:lang w:eastAsia="hr-HR"/>
              </w:rPr>
              <w:t>567.000.000</w:t>
            </w:r>
          </w:p>
        </w:tc>
        <w:tc>
          <w:tcPr>
            <w:tcW w:w="388" w:type="pct"/>
            <w:tcMar>
              <w:left w:w="28" w:type="dxa"/>
              <w:right w:w="28" w:type="dxa"/>
            </w:tcMar>
          </w:tcPr>
          <w:p w14:paraId="06261C34" w14:textId="77777777" w:rsidR="00524B1B" w:rsidRPr="00FD7D5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B33BC">
              <w:rPr>
                <w:rFonts w:eastAsia="Times New Roman" w:cstheme="minorHAnsi"/>
                <w:sz w:val="16"/>
                <w:szCs w:val="16"/>
                <w:lang w:eastAsia="hr-HR"/>
              </w:rPr>
              <w:t>248.514</w:t>
            </w:r>
          </w:p>
        </w:tc>
        <w:tc>
          <w:tcPr>
            <w:tcW w:w="601" w:type="pct"/>
            <w:tcMar>
              <w:left w:w="28" w:type="dxa"/>
              <w:right w:w="28" w:type="dxa"/>
            </w:tcMar>
            <w:hideMark/>
          </w:tcPr>
          <w:p w14:paraId="7F14A1BF"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B33BC">
              <w:rPr>
                <w:rFonts w:eastAsia="Times New Roman" w:cstheme="minorHAnsi"/>
                <w:sz w:val="16"/>
                <w:szCs w:val="16"/>
                <w:lang w:eastAsia="hr-HR"/>
              </w:rPr>
              <w:t>1.470.987.057</w:t>
            </w:r>
          </w:p>
        </w:tc>
        <w:tc>
          <w:tcPr>
            <w:tcW w:w="599" w:type="pct"/>
            <w:tcMar>
              <w:left w:w="28" w:type="dxa"/>
              <w:right w:w="28" w:type="dxa"/>
            </w:tcMar>
          </w:tcPr>
          <w:p w14:paraId="558E18B1" w14:textId="77777777" w:rsidR="00524B1B" w:rsidRPr="00884B6D" w:rsidRDefault="00524B1B" w:rsidP="00AE634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3.930.636.974</w:t>
            </w:r>
          </w:p>
        </w:tc>
      </w:tr>
      <w:tr w:rsidR="00524B1B" w:rsidRPr="00FD7D5D" w14:paraId="547DCBF7" w14:textId="77777777" w:rsidTr="00524B1B">
        <w:trPr>
          <w:trHeight w:val="315"/>
        </w:trPr>
        <w:tc>
          <w:tcPr>
            <w:cnfStyle w:val="001000000000" w:firstRow="0" w:lastRow="0" w:firstColumn="1" w:lastColumn="0" w:oddVBand="0" w:evenVBand="0" w:oddHBand="0" w:evenHBand="0" w:firstRowFirstColumn="0" w:firstRowLastColumn="0" w:lastRowFirstColumn="0" w:lastRowLastColumn="0"/>
            <w:tcW w:w="369" w:type="pct"/>
            <w:vMerge/>
            <w:tcMar>
              <w:left w:w="28" w:type="dxa"/>
              <w:right w:w="28" w:type="dxa"/>
            </w:tcMar>
            <w:vAlign w:val="center"/>
            <w:hideMark/>
          </w:tcPr>
          <w:p w14:paraId="4EE2D7FD" w14:textId="77777777" w:rsidR="00524B1B" w:rsidRPr="003D27BA" w:rsidRDefault="00524B1B" w:rsidP="00AE6341">
            <w:pPr>
              <w:jc w:val="left"/>
              <w:rPr>
                <w:rFonts w:eastAsia="Times New Roman" w:cstheme="minorHAnsi"/>
                <w:sz w:val="16"/>
                <w:szCs w:val="16"/>
                <w:lang w:eastAsia="hr-HR"/>
              </w:rPr>
            </w:pPr>
          </w:p>
        </w:tc>
        <w:tc>
          <w:tcPr>
            <w:tcW w:w="298" w:type="pct"/>
            <w:tcMar>
              <w:left w:w="28" w:type="dxa"/>
              <w:right w:w="28" w:type="dxa"/>
            </w:tcMar>
            <w:hideMark/>
          </w:tcPr>
          <w:p w14:paraId="6F84E1E5" w14:textId="77777777" w:rsidR="00524B1B" w:rsidRPr="00884B6D" w:rsidRDefault="00524B1B" w:rsidP="00AE6341">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884B6D">
              <w:rPr>
                <w:rFonts w:eastAsia="Times New Roman" w:cstheme="minorHAnsi"/>
                <w:sz w:val="16"/>
                <w:szCs w:val="16"/>
                <w:lang w:eastAsia="hr-HR"/>
              </w:rPr>
              <w:t>EUR</w:t>
            </w:r>
          </w:p>
        </w:tc>
        <w:tc>
          <w:tcPr>
            <w:tcW w:w="495" w:type="pct"/>
            <w:tcMar>
              <w:left w:w="28" w:type="dxa"/>
              <w:right w:w="28" w:type="dxa"/>
            </w:tcMar>
          </w:tcPr>
          <w:p w14:paraId="57DAF7FD"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727.629</w:t>
            </w:r>
          </w:p>
        </w:tc>
        <w:tc>
          <w:tcPr>
            <w:tcW w:w="601" w:type="pct"/>
            <w:tcMar>
              <w:left w:w="28" w:type="dxa"/>
              <w:right w:w="28" w:type="dxa"/>
            </w:tcMar>
          </w:tcPr>
          <w:p w14:paraId="06689109"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123.312.097</w:t>
            </w:r>
          </w:p>
        </w:tc>
        <w:tc>
          <w:tcPr>
            <w:tcW w:w="556" w:type="pct"/>
            <w:tcMar>
              <w:left w:w="28" w:type="dxa"/>
              <w:right w:w="28" w:type="dxa"/>
            </w:tcMar>
          </w:tcPr>
          <w:p w14:paraId="7490BDDD"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58.909.123</w:t>
            </w:r>
          </w:p>
        </w:tc>
        <w:tc>
          <w:tcPr>
            <w:tcW w:w="556" w:type="pct"/>
            <w:tcMar>
              <w:left w:w="28" w:type="dxa"/>
              <w:right w:w="28" w:type="dxa"/>
            </w:tcMar>
          </w:tcPr>
          <w:p w14:paraId="6FD0BEF1"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68.215.980</w:t>
            </w:r>
          </w:p>
        </w:tc>
        <w:tc>
          <w:tcPr>
            <w:tcW w:w="537" w:type="pct"/>
            <w:tcMar>
              <w:left w:w="28" w:type="dxa"/>
              <w:right w:w="28" w:type="dxa"/>
            </w:tcMar>
            <w:hideMark/>
          </w:tcPr>
          <w:p w14:paraId="363A26E7"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75.253.832</w:t>
            </w:r>
          </w:p>
        </w:tc>
        <w:tc>
          <w:tcPr>
            <w:tcW w:w="388" w:type="pct"/>
            <w:tcMar>
              <w:left w:w="28" w:type="dxa"/>
              <w:right w:w="28" w:type="dxa"/>
            </w:tcMar>
          </w:tcPr>
          <w:p w14:paraId="6FF32F6D" w14:textId="77777777" w:rsidR="00524B1B" w:rsidRPr="00FD7D5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32.983</w:t>
            </w:r>
          </w:p>
        </w:tc>
        <w:tc>
          <w:tcPr>
            <w:tcW w:w="601" w:type="pct"/>
            <w:tcMar>
              <w:left w:w="28" w:type="dxa"/>
              <w:right w:w="28" w:type="dxa"/>
            </w:tcMar>
            <w:hideMark/>
          </w:tcPr>
          <w:p w14:paraId="5F6F5BB0"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195.233.533</w:t>
            </w:r>
          </w:p>
        </w:tc>
        <w:tc>
          <w:tcPr>
            <w:tcW w:w="599" w:type="pct"/>
            <w:tcMar>
              <w:left w:w="28" w:type="dxa"/>
              <w:right w:w="28" w:type="dxa"/>
            </w:tcMar>
          </w:tcPr>
          <w:p w14:paraId="4E1D48C7"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521.685.178</w:t>
            </w:r>
          </w:p>
        </w:tc>
      </w:tr>
      <w:tr w:rsidR="00524B1B" w:rsidRPr="00FD7D5D" w14:paraId="307402AF" w14:textId="77777777" w:rsidTr="00524B1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9" w:type="pct"/>
            <w:vMerge w:val="restart"/>
            <w:tcMar>
              <w:left w:w="28" w:type="dxa"/>
              <w:right w:w="28" w:type="dxa"/>
            </w:tcMar>
            <w:vAlign w:val="center"/>
            <w:hideMark/>
          </w:tcPr>
          <w:p w14:paraId="79069C1E" w14:textId="77777777" w:rsidR="00524B1B" w:rsidRPr="003D27BA" w:rsidRDefault="00524B1B" w:rsidP="00AE6341">
            <w:pPr>
              <w:jc w:val="center"/>
              <w:rPr>
                <w:rFonts w:eastAsia="Times New Roman" w:cstheme="minorHAnsi"/>
                <w:sz w:val="16"/>
                <w:szCs w:val="16"/>
                <w:lang w:eastAsia="hr-HR"/>
              </w:rPr>
            </w:pPr>
            <w:r w:rsidRPr="003D27BA">
              <w:rPr>
                <w:rFonts w:eastAsia="Times New Roman" w:cstheme="minorHAnsi"/>
                <w:sz w:val="16"/>
                <w:szCs w:val="16"/>
                <w:lang w:eastAsia="hr-HR"/>
              </w:rPr>
              <w:t>2028.</w:t>
            </w:r>
          </w:p>
        </w:tc>
        <w:tc>
          <w:tcPr>
            <w:tcW w:w="298" w:type="pct"/>
            <w:tcMar>
              <w:left w:w="28" w:type="dxa"/>
              <w:right w:w="28" w:type="dxa"/>
            </w:tcMar>
            <w:hideMark/>
          </w:tcPr>
          <w:p w14:paraId="0DA01F7E" w14:textId="77777777" w:rsidR="00524B1B" w:rsidRPr="00884B6D" w:rsidRDefault="00524B1B" w:rsidP="00AE634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84B6D">
              <w:rPr>
                <w:rFonts w:eastAsia="Times New Roman" w:cstheme="minorHAnsi"/>
                <w:sz w:val="16"/>
                <w:szCs w:val="16"/>
                <w:lang w:eastAsia="hr-HR"/>
              </w:rPr>
              <w:t>HRK</w:t>
            </w:r>
          </w:p>
        </w:tc>
        <w:tc>
          <w:tcPr>
            <w:tcW w:w="495" w:type="pct"/>
            <w:tcMar>
              <w:left w:w="28" w:type="dxa"/>
              <w:right w:w="28" w:type="dxa"/>
            </w:tcMar>
          </w:tcPr>
          <w:p w14:paraId="52E4CA29" w14:textId="77777777" w:rsidR="00524B1B" w:rsidRPr="00884B6D" w:rsidRDefault="00524B1B" w:rsidP="00AE634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4.410.332</w:t>
            </w:r>
          </w:p>
        </w:tc>
        <w:tc>
          <w:tcPr>
            <w:tcW w:w="601" w:type="pct"/>
            <w:tcMar>
              <w:left w:w="28" w:type="dxa"/>
              <w:right w:w="28" w:type="dxa"/>
            </w:tcMar>
            <w:hideMark/>
          </w:tcPr>
          <w:p w14:paraId="2E2C793D"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930.536.091</w:t>
            </w:r>
          </w:p>
        </w:tc>
        <w:tc>
          <w:tcPr>
            <w:tcW w:w="556" w:type="pct"/>
            <w:tcMar>
              <w:left w:w="28" w:type="dxa"/>
              <w:right w:w="28" w:type="dxa"/>
            </w:tcMar>
          </w:tcPr>
          <w:p w14:paraId="7B33D3AD" w14:textId="77777777" w:rsidR="00524B1B" w:rsidRPr="00884B6D" w:rsidRDefault="00524B1B" w:rsidP="00AE634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491.112.282</w:t>
            </w:r>
          </w:p>
        </w:tc>
        <w:tc>
          <w:tcPr>
            <w:tcW w:w="556" w:type="pct"/>
            <w:tcMar>
              <w:left w:w="28" w:type="dxa"/>
              <w:right w:w="28" w:type="dxa"/>
            </w:tcMar>
          </w:tcPr>
          <w:p w14:paraId="0E4C8EBC"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570.873.152</w:t>
            </w:r>
          </w:p>
        </w:tc>
        <w:tc>
          <w:tcPr>
            <w:tcW w:w="537" w:type="pct"/>
            <w:tcMar>
              <w:left w:w="28" w:type="dxa"/>
              <w:right w:w="28" w:type="dxa"/>
            </w:tcMar>
            <w:hideMark/>
          </w:tcPr>
          <w:p w14:paraId="2A0C7194"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567.000.000</w:t>
            </w:r>
          </w:p>
        </w:tc>
        <w:tc>
          <w:tcPr>
            <w:tcW w:w="388" w:type="pct"/>
            <w:tcMar>
              <w:left w:w="28" w:type="dxa"/>
              <w:right w:w="28" w:type="dxa"/>
            </w:tcMar>
          </w:tcPr>
          <w:p w14:paraId="3A6E05D8" w14:textId="77777777" w:rsidR="00524B1B" w:rsidRPr="00FD7D5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124.257</w:t>
            </w:r>
          </w:p>
        </w:tc>
        <w:tc>
          <w:tcPr>
            <w:tcW w:w="601" w:type="pct"/>
            <w:tcMar>
              <w:left w:w="28" w:type="dxa"/>
              <w:right w:w="28" w:type="dxa"/>
            </w:tcMar>
            <w:hideMark/>
          </w:tcPr>
          <w:p w14:paraId="29E30976"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2.227.474.357</w:t>
            </w:r>
          </w:p>
        </w:tc>
        <w:tc>
          <w:tcPr>
            <w:tcW w:w="599" w:type="pct"/>
            <w:tcMar>
              <w:left w:w="28" w:type="dxa"/>
              <w:right w:w="28" w:type="dxa"/>
            </w:tcMar>
          </w:tcPr>
          <w:p w14:paraId="05EEAD1E"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4.791.530.470</w:t>
            </w:r>
          </w:p>
        </w:tc>
      </w:tr>
      <w:tr w:rsidR="00524B1B" w:rsidRPr="00FD7D5D" w14:paraId="54295225" w14:textId="77777777" w:rsidTr="00524B1B">
        <w:trPr>
          <w:trHeight w:val="315"/>
        </w:trPr>
        <w:tc>
          <w:tcPr>
            <w:cnfStyle w:val="001000000000" w:firstRow="0" w:lastRow="0" w:firstColumn="1" w:lastColumn="0" w:oddVBand="0" w:evenVBand="0" w:oddHBand="0" w:evenHBand="0" w:firstRowFirstColumn="0" w:firstRowLastColumn="0" w:lastRowFirstColumn="0" w:lastRowLastColumn="0"/>
            <w:tcW w:w="369" w:type="pct"/>
            <w:vMerge/>
            <w:tcMar>
              <w:left w:w="28" w:type="dxa"/>
              <w:right w:w="28" w:type="dxa"/>
            </w:tcMar>
            <w:vAlign w:val="center"/>
            <w:hideMark/>
          </w:tcPr>
          <w:p w14:paraId="6D97C28C" w14:textId="77777777" w:rsidR="00524B1B" w:rsidRPr="003D27BA" w:rsidRDefault="00524B1B" w:rsidP="00AE6341">
            <w:pPr>
              <w:jc w:val="left"/>
              <w:rPr>
                <w:rFonts w:eastAsia="Times New Roman" w:cstheme="minorHAnsi"/>
                <w:sz w:val="16"/>
                <w:szCs w:val="16"/>
                <w:lang w:eastAsia="hr-HR"/>
              </w:rPr>
            </w:pPr>
          </w:p>
        </w:tc>
        <w:tc>
          <w:tcPr>
            <w:tcW w:w="298" w:type="pct"/>
            <w:tcMar>
              <w:left w:w="28" w:type="dxa"/>
              <w:right w:w="28" w:type="dxa"/>
            </w:tcMar>
            <w:hideMark/>
          </w:tcPr>
          <w:p w14:paraId="720F5FEE" w14:textId="77777777" w:rsidR="00524B1B" w:rsidRPr="00884B6D" w:rsidRDefault="00524B1B" w:rsidP="00AE6341">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884B6D">
              <w:rPr>
                <w:rFonts w:eastAsia="Times New Roman" w:cstheme="minorHAnsi"/>
                <w:sz w:val="16"/>
                <w:szCs w:val="16"/>
                <w:lang w:eastAsia="hr-HR"/>
              </w:rPr>
              <w:t>EUR</w:t>
            </w:r>
          </w:p>
        </w:tc>
        <w:tc>
          <w:tcPr>
            <w:tcW w:w="495" w:type="pct"/>
            <w:tcMar>
              <w:left w:w="28" w:type="dxa"/>
              <w:right w:w="28" w:type="dxa"/>
            </w:tcMar>
          </w:tcPr>
          <w:p w14:paraId="52E01D07"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585.352</w:t>
            </w:r>
          </w:p>
        </w:tc>
        <w:tc>
          <w:tcPr>
            <w:tcW w:w="601" w:type="pct"/>
            <w:tcMar>
              <w:left w:w="28" w:type="dxa"/>
              <w:right w:w="28" w:type="dxa"/>
            </w:tcMar>
            <w:hideMark/>
          </w:tcPr>
          <w:p w14:paraId="7AC68136" w14:textId="77777777" w:rsidR="00524B1B" w:rsidRPr="00884B6D" w:rsidRDefault="00524B1B" w:rsidP="00AE6341">
            <w:pPr>
              <w:tabs>
                <w:tab w:val="left" w:pos="693"/>
              </w:tabs>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123.503.363</w:t>
            </w:r>
          </w:p>
        </w:tc>
        <w:tc>
          <w:tcPr>
            <w:tcW w:w="556" w:type="pct"/>
            <w:tcMar>
              <w:left w:w="28" w:type="dxa"/>
              <w:right w:w="28" w:type="dxa"/>
            </w:tcMar>
          </w:tcPr>
          <w:p w14:paraId="2C57F57F"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65.181.801</w:t>
            </w:r>
          </w:p>
        </w:tc>
        <w:tc>
          <w:tcPr>
            <w:tcW w:w="556" w:type="pct"/>
            <w:tcMar>
              <w:left w:w="28" w:type="dxa"/>
              <w:right w:w="28" w:type="dxa"/>
            </w:tcMar>
          </w:tcPr>
          <w:p w14:paraId="4571CCCC"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75.767.888</w:t>
            </w:r>
          </w:p>
        </w:tc>
        <w:tc>
          <w:tcPr>
            <w:tcW w:w="537" w:type="pct"/>
            <w:tcMar>
              <w:left w:w="28" w:type="dxa"/>
              <w:right w:w="28" w:type="dxa"/>
            </w:tcMar>
          </w:tcPr>
          <w:p w14:paraId="39CA88C6"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75.253.832</w:t>
            </w:r>
          </w:p>
        </w:tc>
        <w:tc>
          <w:tcPr>
            <w:tcW w:w="388" w:type="pct"/>
            <w:tcMar>
              <w:left w:w="28" w:type="dxa"/>
              <w:right w:w="28" w:type="dxa"/>
            </w:tcMar>
          </w:tcPr>
          <w:p w14:paraId="29EDE587" w14:textId="77777777" w:rsidR="00524B1B" w:rsidRPr="00FD7D5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16.492</w:t>
            </w:r>
          </w:p>
        </w:tc>
        <w:tc>
          <w:tcPr>
            <w:tcW w:w="601" w:type="pct"/>
            <w:tcMar>
              <w:left w:w="28" w:type="dxa"/>
              <w:right w:w="28" w:type="dxa"/>
            </w:tcMar>
          </w:tcPr>
          <w:p w14:paraId="268B3E77"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295.636.652</w:t>
            </w:r>
          </w:p>
        </w:tc>
        <w:tc>
          <w:tcPr>
            <w:tcW w:w="599" w:type="pct"/>
            <w:tcMar>
              <w:left w:w="28" w:type="dxa"/>
              <w:right w:w="28" w:type="dxa"/>
            </w:tcMar>
          </w:tcPr>
          <w:p w14:paraId="46E82D94"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635.945.381</w:t>
            </w:r>
          </w:p>
        </w:tc>
      </w:tr>
      <w:tr w:rsidR="00524B1B" w:rsidRPr="00FD7D5D" w14:paraId="5B62B971" w14:textId="77777777" w:rsidTr="00524B1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9" w:type="pct"/>
            <w:vMerge w:val="restart"/>
            <w:shd w:val="clear" w:color="auto" w:fill="002060"/>
            <w:tcMar>
              <w:left w:w="28" w:type="dxa"/>
              <w:right w:w="28" w:type="dxa"/>
            </w:tcMar>
            <w:vAlign w:val="center"/>
            <w:hideMark/>
          </w:tcPr>
          <w:p w14:paraId="504124F1" w14:textId="77777777" w:rsidR="00524B1B" w:rsidRPr="003D27BA" w:rsidRDefault="00524B1B" w:rsidP="00AE6341">
            <w:pPr>
              <w:jc w:val="center"/>
              <w:rPr>
                <w:rFonts w:eastAsia="Times New Roman" w:cstheme="minorHAnsi"/>
                <w:color w:val="FFFFFF" w:themeColor="background1"/>
                <w:sz w:val="16"/>
                <w:szCs w:val="16"/>
                <w:lang w:eastAsia="hr-HR"/>
              </w:rPr>
            </w:pPr>
            <w:r w:rsidRPr="003D27BA">
              <w:rPr>
                <w:rFonts w:eastAsia="Times New Roman" w:cstheme="minorHAnsi"/>
                <w:color w:val="FFFFFF" w:themeColor="background1"/>
                <w:sz w:val="16"/>
                <w:szCs w:val="16"/>
                <w:lang w:eastAsia="hr-HR"/>
              </w:rPr>
              <w:t>Ukupno:</w:t>
            </w:r>
          </w:p>
        </w:tc>
        <w:tc>
          <w:tcPr>
            <w:tcW w:w="298" w:type="pct"/>
            <w:shd w:val="clear" w:color="auto" w:fill="002060"/>
            <w:tcMar>
              <w:left w:w="28" w:type="dxa"/>
              <w:right w:w="28" w:type="dxa"/>
            </w:tcMar>
            <w:hideMark/>
          </w:tcPr>
          <w:p w14:paraId="6E3300AC" w14:textId="77777777" w:rsidR="00524B1B" w:rsidRPr="003D27BA" w:rsidRDefault="00524B1B" w:rsidP="00AE634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HRK</w:t>
            </w:r>
          </w:p>
        </w:tc>
        <w:tc>
          <w:tcPr>
            <w:tcW w:w="495" w:type="pct"/>
            <w:shd w:val="clear" w:color="auto" w:fill="002060"/>
            <w:tcMar>
              <w:left w:w="28" w:type="dxa"/>
              <w:right w:w="28" w:type="dxa"/>
            </w:tcMar>
          </w:tcPr>
          <w:p w14:paraId="35ADBF7F" w14:textId="77777777" w:rsidR="00524B1B" w:rsidRPr="003D27BA"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41.099.585</w:t>
            </w:r>
          </w:p>
        </w:tc>
        <w:tc>
          <w:tcPr>
            <w:tcW w:w="601" w:type="pct"/>
            <w:shd w:val="clear" w:color="auto" w:fill="002060"/>
            <w:tcMar>
              <w:left w:w="28" w:type="dxa"/>
              <w:right w:w="28" w:type="dxa"/>
            </w:tcMar>
            <w:hideMark/>
          </w:tcPr>
          <w:p w14:paraId="65982C19" w14:textId="77777777" w:rsidR="00524B1B" w:rsidRPr="003D27BA"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4.535.966.966</w:t>
            </w:r>
          </w:p>
        </w:tc>
        <w:tc>
          <w:tcPr>
            <w:tcW w:w="556" w:type="pct"/>
            <w:shd w:val="clear" w:color="auto" w:fill="002060"/>
            <w:tcMar>
              <w:left w:w="28" w:type="dxa"/>
              <w:right w:w="28" w:type="dxa"/>
            </w:tcMar>
          </w:tcPr>
          <w:p w14:paraId="19E0A76E" w14:textId="77777777" w:rsidR="00524B1B" w:rsidRPr="003D27BA"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2.124.800.298</w:t>
            </w:r>
          </w:p>
        </w:tc>
        <w:tc>
          <w:tcPr>
            <w:tcW w:w="556" w:type="pct"/>
            <w:shd w:val="clear" w:color="auto" w:fill="002060"/>
            <w:tcMar>
              <w:left w:w="28" w:type="dxa"/>
              <w:right w:w="28" w:type="dxa"/>
            </w:tcMar>
          </w:tcPr>
          <w:p w14:paraId="5A83F376" w14:textId="77777777" w:rsidR="00524B1B" w:rsidRPr="003D27BA"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2.344.943.381</w:t>
            </w:r>
          </w:p>
        </w:tc>
        <w:tc>
          <w:tcPr>
            <w:tcW w:w="537" w:type="pct"/>
            <w:shd w:val="clear" w:color="auto" w:fill="002060"/>
            <w:tcMar>
              <w:left w:w="28" w:type="dxa"/>
              <w:right w:w="28" w:type="dxa"/>
            </w:tcMar>
            <w:hideMark/>
          </w:tcPr>
          <w:p w14:paraId="131FE12B" w14:textId="77777777" w:rsidR="00524B1B" w:rsidRPr="003D27BA"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1.134.000.000</w:t>
            </w:r>
          </w:p>
        </w:tc>
        <w:tc>
          <w:tcPr>
            <w:tcW w:w="388" w:type="pct"/>
            <w:shd w:val="clear" w:color="auto" w:fill="002060"/>
            <w:tcMar>
              <w:left w:w="28" w:type="dxa"/>
              <w:right w:w="28" w:type="dxa"/>
            </w:tcMar>
          </w:tcPr>
          <w:p w14:paraId="490DE64B" w14:textId="77777777" w:rsidR="00524B1B" w:rsidRPr="003D27BA"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1.242.568</w:t>
            </w:r>
          </w:p>
        </w:tc>
        <w:tc>
          <w:tcPr>
            <w:tcW w:w="601" w:type="pct"/>
            <w:shd w:val="clear" w:color="auto" w:fill="002060"/>
            <w:tcMar>
              <w:left w:w="28" w:type="dxa"/>
              <w:right w:w="28" w:type="dxa"/>
            </w:tcMar>
            <w:hideMark/>
          </w:tcPr>
          <w:p w14:paraId="3548A383" w14:textId="77777777" w:rsidR="00524B1B" w:rsidRPr="003D27BA"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6.226.019.549</w:t>
            </w:r>
          </w:p>
        </w:tc>
        <w:tc>
          <w:tcPr>
            <w:tcW w:w="599" w:type="pct"/>
            <w:shd w:val="clear" w:color="auto" w:fill="002060"/>
            <w:tcMar>
              <w:left w:w="28" w:type="dxa"/>
              <w:right w:w="28" w:type="dxa"/>
            </w:tcMar>
          </w:tcPr>
          <w:p w14:paraId="3EB5B161" w14:textId="77777777" w:rsidR="00524B1B" w:rsidRPr="003D27BA"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16.408.072.346</w:t>
            </w:r>
          </w:p>
        </w:tc>
      </w:tr>
      <w:tr w:rsidR="00524B1B" w:rsidRPr="00FD7D5D" w14:paraId="4BA0427F" w14:textId="77777777" w:rsidTr="00524B1B">
        <w:trPr>
          <w:trHeight w:val="315"/>
        </w:trPr>
        <w:tc>
          <w:tcPr>
            <w:cnfStyle w:val="001000000000" w:firstRow="0" w:lastRow="0" w:firstColumn="1" w:lastColumn="0" w:oddVBand="0" w:evenVBand="0" w:oddHBand="0" w:evenHBand="0" w:firstRowFirstColumn="0" w:firstRowLastColumn="0" w:lastRowFirstColumn="0" w:lastRowLastColumn="0"/>
            <w:tcW w:w="369" w:type="pct"/>
            <w:vMerge/>
            <w:shd w:val="clear" w:color="auto" w:fill="002060"/>
            <w:tcMar>
              <w:left w:w="28" w:type="dxa"/>
              <w:right w:w="28" w:type="dxa"/>
            </w:tcMar>
            <w:hideMark/>
          </w:tcPr>
          <w:p w14:paraId="757110C5" w14:textId="77777777" w:rsidR="00524B1B" w:rsidRPr="003D27BA" w:rsidRDefault="00524B1B" w:rsidP="00AE6341">
            <w:pPr>
              <w:jc w:val="left"/>
              <w:rPr>
                <w:rFonts w:eastAsia="Times New Roman" w:cstheme="minorHAnsi"/>
                <w:color w:val="FFFFFF" w:themeColor="background1"/>
                <w:sz w:val="16"/>
                <w:szCs w:val="16"/>
                <w:lang w:eastAsia="hr-HR"/>
              </w:rPr>
            </w:pPr>
          </w:p>
        </w:tc>
        <w:tc>
          <w:tcPr>
            <w:tcW w:w="298" w:type="pct"/>
            <w:shd w:val="clear" w:color="auto" w:fill="002060"/>
            <w:tcMar>
              <w:left w:w="28" w:type="dxa"/>
              <w:right w:w="28" w:type="dxa"/>
            </w:tcMar>
            <w:hideMark/>
          </w:tcPr>
          <w:p w14:paraId="0D9D44EA" w14:textId="77777777" w:rsidR="00524B1B" w:rsidRPr="003D27BA" w:rsidRDefault="00524B1B" w:rsidP="00AE6341">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EUR</w:t>
            </w:r>
          </w:p>
        </w:tc>
        <w:tc>
          <w:tcPr>
            <w:tcW w:w="495" w:type="pct"/>
            <w:shd w:val="clear" w:color="auto" w:fill="002060"/>
            <w:tcMar>
              <w:left w:w="28" w:type="dxa"/>
              <w:right w:w="28" w:type="dxa"/>
            </w:tcMar>
          </w:tcPr>
          <w:p w14:paraId="6569757C" w14:textId="77777777" w:rsidR="00524B1B" w:rsidRPr="003D27BA" w:rsidRDefault="00524B1B" w:rsidP="00AE6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5.454.852</w:t>
            </w:r>
          </w:p>
        </w:tc>
        <w:tc>
          <w:tcPr>
            <w:tcW w:w="601" w:type="pct"/>
            <w:shd w:val="clear" w:color="auto" w:fill="002060"/>
            <w:tcMar>
              <w:left w:w="28" w:type="dxa"/>
              <w:right w:w="28" w:type="dxa"/>
            </w:tcMar>
            <w:hideMark/>
          </w:tcPr>
          <w:p w14:paraId="19CD03E5" w14:textId="77777777" w:rsidR="00524B1B" w:rsidRPr="003D27BA"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602.026.275</w:t>
            </w:r>
          </w:p>
        </w:tc>
        <w:tc>
          <w:tcPr>
            <w:tcW w:w="556" w:type="pct"/>
            <w:shd w:val="clear" w:color="auto" w:fill="002060"/>
            <w:tcMar>
              <w:left w:w="28" w:type="dxa"/>
              <w:right w:w="28" w:type="dxa"/>
            </w:tcMar>
          </w:tcPr>
          <w:p w14:paraId="691B269B" w14:textId="77777777" w:rsidR="00524B1B" w:rsidRPr="003D27BA"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282.009.463</w:t>
            </w:r>
          </w:p>
        </w:tc>
        <w:tc>
          <w:tcPr>
            <w:tcW w:w="556" w:type="pct"/>
            <w:shd w:val="clear" w:color="auto" w:fill="002060"/>
            <w:tcMar>
              <w:left w:w="28" w:type="dxa"/>
              <w:right w:w="28" w:type="dxa"/>
            </w:tcMar>
          </w:tcPr>
          <w:p w14:paraId="51A4EDE9" w14:textId="77777777" w:rsidR="00524B1B" w:rsidRPr="003D27BA"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311.227.471</w:t>
            </w:r>
          </w:p>
        </w:tc>
        <w:tc>
          <w:tcPr>
            <w:tcW w:w="537" w:type="pct"/>
            <w:shd w:val="clear" w:color="auto" w:fill="002060"/>
            <w:tcMar>
              <w:left w:w="28" w:type="dxa"/>
              <w:right w:w="28" w:type="dxa"/>
            </w:tcMar>
            <w:hideMark/>
          </w:tcPr>
          <w:p w14:paraId="3F47E92C" w14:textId="77777777" w:rsidR="00524B1B" w:rsidRPr="003D27BA"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150.507.665</w:t>
            </w:r>
          </w:p>
        </w:tc>
        <w:tc>
          <w:tcPr>
            <w:tcW w:w="388" w:type="pct"/>
            <w:shd w:val="clear" w:color="auto" w:fill="002060"/>
            <w:tcMar>
              <w:left w:w="28" w:type="dxa"/>
              <w:right w:w="28" w:type="dxa"/>
            </w:tcMar>
          </w:tcPr>
          <w:p w14:paraId="44C91B8B" w14:textId="77777777" w:rsidR="00524B1B" w:rsidRPr="003D27BA"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164.917</w:t>
            </w:r>
          </w:p>
        </w:tc>
        <w:tc>
          <w:tcPr>
            <w:tcW w:w="601" w:type="pct"/>
            <w:shd w:val="clear" w:color="auto" w:fill="002060"/>
            <w:tcMar>
              <w:left w:w="28" w:type="dxa"/>
              <w:right w:w="28" w:type="dxa"/>
            </w:tcMar>
            <w:hideMark/>
          </w:tcPr>
          <w:p w14:paraId="7232862D" w14:textId="77777777" w:rsidR="00524B1B" w:rsidRPr="003D27BA"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826.334.800</w:t>
            </w:r>
          </w:p>
        </w:tc>
        <w:tc>
          <w:tcPr>
            <w:tcW w:w="599" w:type="pct"/>
            <w:shd w:val="clear" w:color="auto" w:fill="002060"/>
            <w:tcMar>
              <w:left w:w="28" w:type="dxa"/>
              <w:right w:w="28" w:type="dxa"/>
            </w:tcMar>
          </w:tcPr>
          <w:p w14:paraId="17524EA8" w14:textId="77777777" w:rsidR="00524B1B" w:rsidRPr="003D27BA" w:rsidRDefault="00524B1B" w:rsidP="00AE6341">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2.177.725.442</w:t>
            </w:r>
          </w:p>
        </w:tc>
      </w:tr>
      <w:bookmarkEnd w:id="351"/>
    </w:tbl>
    <w:p w14:paraId="7E54014B" w14:textId="4EF33EA0" w:rsidR="00D8399B" w:rsidRDefault="00D8399B" w:rsidP="00D8399B"/>
    <w:p w14:paraId="64B66AE5" w14:textId="2AD70042" w:rsidR="0008540A" w:rsidRPr="00BB2706" w:rsidRDefault="00D0421B" w:rsidP="00BB2706">
      <w:pPr>
        <w:pStyle w:val="Tablica"/>
      </w:pPr>
      <w:bookmarkStart w:id="352" w:name="_Toc125364458"/>
      <w:r w:rsidRPr="00BB2706">
        <w:t xml:space="preserve">Tablica </w:t>
      </w:r>
      <w:fldSimple w:instr=" SEQ Tablica \* ARABIC ">
        <w:r w:rsidR="00F37B62">
          <w:rPr>
            <w:noProof/>
          </w:rPr>
          <w:t>69</w:t>
        </w:r>
      </w:fldSimple>
      <w:r w:rsidRPr="00BB2706">
        <w:t xml:space="preserve">. </w:t>
      </w:r>
      <w:r w:rsidRPr="00BB2706">
        <w:rPr>
          <w:b w:val="0"/>
        </w:rPr>
        <w:t>Procjena financijskih sredstava potrebnih za provedbu mjera Plana</w:t>
      </w:r>
      <w:bookmarkEnd w:id="352"/>
    </w:p>
    <w:tbl>
      <w:tblPr>
        <w:tblStyle w:val="Reetkatablice"/>
        <w:tblW w:w="9481" w:type="dxa"/>
        <w:tblLook w:val="04A0" w:firstRow="1" w:lastRow="0" w:firstColumn="1" w:lastColumn="0" w:noHBand="0" w:noVBand="1"/>
      </w:tblPr>
      <w:tblGrid>
        <w:gridCol w:w="1083"/>
        <w:gridCol w:w="1167"/>
        <w:gridCol w:w="3982"/>
        <w:gridCol w:w="1418"/>
        <w:gridCol w:w="1831"/>
      </w:tblGrid>
      <w:tr w:rsidR="00524B1B" w:rsidRPr="00740775" w14:paraId="3E3AE491" w14:textId="77777777" w:rsidTr="00524B1B">
        <w:trPr>
          <w:trHeight w:val="20"/>
          <w:tblHeader/>
        </w:trPr>
        <w:tc>
          <w:tcPr>
            <w:tcW w:w="1083" w:type="dxa"/>
            <w:shd w:val="clear" w:color="auto" w:fill="002060"/>
            <w:vAlign w:val="center"/>
          </w:tcPr>
          <w:p w14:paraId="6B61D873" w14:textId="77777777" w:rsidR="00524B1B" w:rsidRPr="003D27BA" w:rsidRDefault="00524B1B" w:rsidP="00AE6341">
            <w:pPr>
              <w:jc w:val="center"/>
              <w:rPr>
                <w:rFonts w:cstheme="minorHAnsi"/>
                <w:b/>
                <w:bCs/>
                <w:color w:val="FFFFFF" w:themeColor="background1"/>
                <w:sz w:val="16"/>
                <w:szCs w:val="16"/>
              </w:rPr>
            </w:pPr>
            <w:r w:rsidRPr="003D27BA">
              <w:rPr>
                <w:rFonts w:cstheme="minorHAnsi"/>
                <w:b/>
                <w:bCs/>
                <w:color w:val="FFFFFF" w:themeColor="background1"/>
                <w:sz w:val="16"/>
                <w:szCs w:val="16"/>
              </w:rPr>
              <w:t>PGO / PSNO</w:t>
            </w:r>
          </w:p>
        </w:tc>
        <w:tc>
          <w:tcPr>
            <w:tcW w:w="1167" w:type="dxa"/>
            <w:shd w:val="clear" w:color="auto" w:fill="002060"/>
            <w:vAlign w:val="center"/>
          </w:tcPr>
          <w:p w14:paraId="23B9A78B" w14:textId="77777777" w:rsidR="00524B1B" w:rsidRPr="003D27BA" w:rsidRDefault="00524B1B" w:rsidP="00AE6341">
            <w:pPr>
              <w:jc w:val="center"/>
              <w:rPr>
                <w:rFonts w:cstheme="minorHAnsi"/>
                <w:b/>
                <w:bCs/>
                <w:color w:val="FFFFFF" w:themeColor="background1"/>
                <w:sz w:val="16"/>
                <w:szCs w:val="16"/>
              </w:rPr>
            </w:pPr>
            <w:r w:rsidRPr="003D27BA">
              <w:rPr>
                <w:rFonts w:cstheme="minorHAnsi"/>
                <w:b/>
                <w:bCs/>
                <w:color w:val="FFFFFF" w:themeColor="background1"/>
                <w:sz w:val="16"/>
                <w:szCs w:val="16"/>
              </w:rPr>
              <w:t>Broj mjere</w:t>
            </w:r>
          </w:p>
        </w:tc>
        <w:tc>
          <w:tcPr>
            <w:tcW w:w="3982" w:type="dxa"/>
            <w:shd w:val="clear" w:color="auto" w:fill="002060"/>
            <w:vAlign w:val="center"/>
          </w:tcPr>
          <w:p w14:paraId="245D4B67" w14:textId="77777777" w:rsidR="00524B1B" w:rsidRPr="003D27BA" w:rsidRDefault="00524B1B" w:rsidP="00AE6341">
            <w:pPr>
              <w:jc w:val="center"/>
              <w:rPr>
                <w:rFonts w:cstheme="minorHAnsi"/>
                <w:b/>
                <w:bCs/>
                <w:color w:val="FFFFFF" w:themeColor="background1"/>
                <w:sz w:val="16"/>
                <w:szCs w:val="16"/>
              </w:rPr>
            </w:pPr>
            <w:r w:rsidRPr="003D27BA">
              <w:rPr>
                <w:rFonts w:cstheme="minorHAnsi"/>
                <w:b/>
                <w:bCs/>
                <w:color w:val="FFFFFF" w:themeColor="background1"/>
                <w:sz w:val="16"/>
                <w:szCs w:val="16"/>
              </w:rPr>
              <w:t>Naziv mjere</w:t>
            </w:r>
          </w:p>
        </w:tc>
        <w:tc>
          <w:tcPr>
            <w:tcW w:w="1418" w:type="dxa"/>
            <w:shd w:val="clear" w:color="auto" w:fill="002060"/>
            <w:vAlign w:val="center"/>
          </w:tcPr>
          <w:p w14:paraId="2A2261F8" w14:textId="77777777" w:rsidR="00524B1B" w:rsidRPr="003D27BA" w:rsidRDefault="00524B1B" w:rsidP="00AE6341">
            <w:pPr>
              <w:jc w:val="center"/>
              <w:rPr>
                <w:rFonts w:cstheme="minorHAnsi"/>
                <w:b/>
                <w:bCs/>
                <w:color w:val="FFFFFF" w:themeColor="background1"/>
                <w:sz w:val="16"/>
                <w:szCs w:val="16"/>
              </w:rPr>
            </w:pPr>
            <w:r w:rsidRPr="003D27BA">
              <w:rPr>
                <w:rFonts w:cstheme="minorHAnsi"/>
                <w:b/>
                <w:bCs/>
                <w:color w:val="FFFFFF" w:themeColor="background1"/>
                <w:sz w:val="16"/>
                <w:szCs w:val="16"/>
              </w:rPr>
              <w:t>Procjena potrebnih financijskih sredstava (HRK)</w:t>
            </w:r>
          </w:p>
        </w:tc>
        <w:tc>
          <w:tcPr>
            <w:tcW w:w="1831" w:type="dxa"/>
            <w:shd w:val="clear" w:color="auto" w:fill="002060"/>
            <w:vAlign w:val="center"/>
          </w:tcPr>
          <w:p w14:paraId="04153FBD" w14:textId="77777777" w:rsidR="00524B1B" w:rsidRPr="003D27BA" w:rsidRDefault="00524B1B" w:rsidP="00AE6341">
            <w:pPr>
              <w:jc w:val="center"/>
              <w:rPr>
                <w:rFonts w:cstheme="minorHAnsi"/>
                <w:b/>
                <w:bCs/>
                <w:color w:val="FFFFFF" w:themeColor="background1"/>
                <w:sz w:val="16"/>
                <w:szCs w:val="16"/>
              </w:rPr>
            </w:pPr>
            <w:r w:rsidRPr="003D27BA">
              <w:rPr>
                <w:rFonts w:cstheme="minorHAnsi"/>
                <w:b/>
                <w:bCs/>
                <w:color w:val="FFFFFF" w:themeColor="background1"/>
                <w:sz w:val="16"/>
                <w:szCs w:val="16"/>
              </w:rPr>
              <w:t>Procjena potrebnih financijskih sredstava (EUR)</w:t>
            </w:r>
          </w:p>
        </w:tc>
      </w:tr>
      <w:tr w:rsidR="00524B1B" w:rsidRPr="00740775" w14:paraId="4C3D733E" w14:textId="77777777" w:rsidTr="00524B1B">
        <w:trPr>
          <w:trHeight w:val="20"/>
        </w:trPr>
        <w:tc>
          <w:tcPr>
            <w:tcW w:w="1083" w:type="dxa"/>
            <w:noWrap/>
            <w:vAlign w:val="center"/>
            <w:hideMark/>
          </w:tcPr>
          <w:p w14:paraId="745F5D46"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098A3507"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 xml:space="preserve">Mjera 1. </w:t>
            </w:r>
          </w:p>
        </w:tc>
        <w:tc>
          <w:tcPr>
            <w:tcW w:w="3982" w:type="dxa"/>
            <w:hideMark/>
          </w:tcPr>
          <w:p w14:paraId="162104EB"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Unaprjeđenje sustava za odvojeno sakupljanje komunalnog otpada i infrastrukture (kapaciteta i tehnologije) za recikliranje i druge postupke oporabe komunalnog otpada</w:t>
            </w:r>
          </w:p>
        </w:tc>
        <w:tc>
          <w:tcPr>
            <w:tcW w:w="1418" w:type="dxa"/>
            <w:noWrap/>
            <w:hideMark/>
          </w:tcPr>
          <w:p w14:paraId="0BC667C4"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6.874.131.280</w:t>
            </w:r>
          </w:p>
        </w:tc>
        <w:tc>
          <w:tcPr>
            <w:tcW w:w="1831" w:type="dxa"/>
            <w:noWrap/>
            <w:hideMark/>
          </w:tcPr>
          <w:p w14:paraId="55878D1D"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912.354.009</w:t>
            </w:r>
          </w:p>
        </w:tc>
      </w:tr>
      <w:tr w:rsidR="00524B1B" w:rsidRPr="00740775" w14:paraId="500BF53E" w14:textId="77777777" w:rsidTr="00524B1B">
        <w:trPr>
          <w:trHeight w:val="20"/>
        </w:trPr>
        <w:tc>
          <w:tcPr>
            <w:tcW w:w="1083" w:type="dxa"/>
            <w:noWrap/>
            <w:vAlign w:val="center"/>
            <w:hideMark/>
          </w:tcPr>
          <w:p w14:paraId="6C7AE5F7"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41D529C5"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 xml:space="preserve">Mjera 2. </w:t>
            </w:r>
          </w:p>
        </w:tc>
        <w:tc>
          <w:tcPr>
            <w:tcW w:w="3982" w:type="dxa"/>
            <w:hideMark/>
          </w:tcPr>
          <w:p w14:paraId="29B039EB"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Jačanje svijesti, informiranja i edukacije o gospodarenju otpadom i proizvodima</w:t>
            </w:r>
          </w:p>
        </w:tc>
        <w:tc>
          <w:tcPr>
            <w:tcW w:w="1418" w:type="dxa"/>
            <w:noWrap/>
            <w:hideMark/>
          </w:tcPr>
          <w:p w14:paraId="68AAAD8E"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221.300.000</w:t>
            </w:r>
          </w:p>
        </w:tc>
        <w:tc>
          <w:tcPr>
            <w:tcW w:w="1831" w:type="dxa"/>
            <w:noWrap/>
            <w:hideMark/>
          </w:tcPr>
          <w:p w14:paraId="76D121D6"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29.371.558</w:t>
            </w:r>
          </w:p>
        </w:tc>
      </w:tr>
      <w:tr w:rsidR="00524B1B" w:rsidRPr="00740775" w14:paraId="02AA4962" w14:textId="77777777" w:rsidTr="00524B1B">
        <w:trPr>
          <w:trHeight w:val="20"/>
        </w:trPr>
        <w:tc>
          <w:tcPr>
            <w:tcW w:w="1083" w:type="dxa"/>
            <w:noWrap/>
            <w:vAlign w:val="center"/>
            <w:hideMark/>
          </w:tcPr>
          <w:p w14:paraId="75CC37F1"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368B1263"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3.</w:t>
            </w:r>
          </w:p>
        </w:tc>
        <w:tc>
          <w:tcPr>
            <w:tcW w:w="3982" w:type="dxa"/>
            <w:hideMark/>
          </w:tcPr>
          <w:p w14:paraId="104D20EE"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Određivanje nacionalnog sastava komunalnog otpada</w:t>
            </w:r>
          </w:p>
        </w:tc>
        <w:tc>
          <w:tcPr>
            <w:tcW w:w="1418" w:type="dxa"/>
            <w:noWrap/>
            <w:hideMark/>
          </w:tcPr>
          <w:p w14:paraId="79F51071"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5.625.000</w:t>
            </w:r>
          </w:p>
        </w:tc>
        <w:tc>
          <w:tcPr>
            <w:tcW w:w="1831" w:type="dxa"/>
            <w:noWrap/>
            <w:hideMark/>
          </w:tcPr>
          <w:p w14:paraId="4984B1EA"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746.566</w:t>
            </w:r>
          </w:p>
        </w:tc>
      </w:tr>
      <w:tr w:rsidR="00524B1B" w:rsidRPr="00740775" w14:paraId="210B9ED5" w14:textId="77777777" w:rsidTr="00524B1B">
        <w:trPr>
          <w:trHeight w:val="20"/>
        </w:trPr>
        <w:tc>
          <w:tcPr>
            <w:tcW w:w="1083" w:type="dxa"/>
            <w:noWrap/>
            <w:vAlign w:val="center"/>
            <w:hideMark/>
          </w:tcPr>
          <w:p w14:paraId="59CDF33E"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4CF965AB"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4.</w:t>
            </w:r>
          </w:p>
        </w:tc>
        <w:tc>
          <w:tcPr>
            <w:tcW w:w="3982" w:type="dxa"/>
            <w:hideMark/>
          </w:tcPr>
          <w:p w14:paraId="16BE414B"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 xml:space="preserve">Uvođenje naknade za odlaganje </w:t>
            </w:r>
          </w:p>
        </w:tc>
        <w:tc>
          <w:tcPr>
            <w:tcW w:w="1418" w:type="dxa"/>
            <w:noWrap/>
            <w:hideMark/>
          </w:tcPr>
          <w:p w14:paraId="1BDB8A81"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0</w:t>
            </w:r>
          </w:p>
        </w:tc>
        <w:tc>
          <w:tcPr>
            <w:tcW w:w="1831" w:type="dxa"/>
            <w:noWrap/>
            <w:hideMark/>
          </w:tcPr>
          <w:p w14:paraId="505D2970"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0</w:t>
            </w:r>
          </w:p>
        </w:tc>
      </w:tr>
      <w:tr w:rsidR="00524B1B" w:rsidRPr="00740775" w14:paraId="4ADB80CA" w14:textId="77777777" w:rsidTr="00524B1B">
        <w:trPr>
          <w:trHeight w:val="20"/>
        </w:trPr>
        <w:tc>
          <w:tcPr>
            <w:tcW w:w="1083" w:type="dxa"/>
            <w:noWrap/>
            <w:vAlign w:val="center"/>
            <w:hideMark/>
          </w:tcPr>
          <w:p w14:paraId="55D90F7E"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033444DF"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5.</w:t>
            </w:r>
          </w:p>
        </w:tc>
        <w:tc>
          <w:tcPr>
            <w:tcW w:w="3982" w:type="dxa"/>
            <w:hideMark/>
          </w:tcPr>
          <w:p w14:paraId="0742C84D"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Izgradnja centara za gospodarenje otpadom</w:t>
            </w:r>
          </w:p>
        </w:tc>
        <w:tc>
          <w:tcPr>
            <w:tcW w:w="1418" w:type="dxa"/>
            <w:noWrap/>
            <w:hideMark/>
          </w:tcPr>
          <w:p w14:paraId="280AE8AD"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5.462.884.283</w:t>
            </w:r>
          </w:p>
        </w:tc>
        <w:tc>
          <w:tcPr>
            <w:tcW w:w="1831" w:type="dxa"/>
            <w:noWrap/>
            <w:hideMark/>
          </w:tcPr>
          <w:p w14:paraId="458CEFE2"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725.049.344</w:t>
            </w:r>
          </w:p>
        </w:tc>
      </w:tr>
      <w:tr w:rsidR="00524B1B" w:rsidRPr="00740775" w14:paraId="4DB07345" w14:textId="77777777" w:rsidTr="00524B1B">
        <w:trPr>
          <w:trHeight w:val="20"/>
        </w:trPr>
        <w:tc>
          <w:tcPr>
            <w:tcW w:w="1083" w:type="dxa"/>
            <w:noWrap/>
            <w:vAlign w:val="center"/>
            <w:hideMark/>
          </w:tcPr>
          <w:p w14:paraId="61E892B5"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325114FA"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6.</w:t>
            </w:r>
          </w:p>
        </w:tc>
        <w:tc>
          <w:tcPr>
            <w:tcW w:w="3982" w:type="dxa"/>
            <w:hideMark/>
          </w:tcPr>
          <w:p w14:paraId="6B9E91E2"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Analiza učinkovitosti sustava za gospodarenje posebnim kategorijama otpada s prijedlozima za unaprjeđenje</w:t>
            </w:r>
          </w:p>
        </w:tc>
        <w:tc>
          <w:tcPr>
            <w:tcW w:w="1418" w:type="dxa"/>
            <w:noWrap/>
            <w:hideMark/>
          </w:tcPr>
          <w:p w14:paraId="3D4F8DDA"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6.200.000</w:t>
            </w:r>
          </w:p>
        </w:tc>
        <w:tc>
          <w:tcPr>
            <w:tcW w:w="1831" w:type="dxa"/>
            <w:noWrap/>
            <w:hideMark/>
          </w:tcPr>
          <w:p w14:paraId="3001BCB0"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822.881</w:t>
            </w:r>
          </w:p>
        </w:tc>
      </w:tr>
      <w:tr w:rsidR="00524B1B" w:rsidRPr="00740775" w14:paraId="7065CC6B" w14:textId="77777777" w:rsidTr="00524B1B">
        <w:trPr>
          <w:trHeight w:val="20"/>
        </w:trPr>
        <w:tc>
          <w:tcPr>
            <w:tcW w:w="1083" w:type="dxa"/>
            <w:noWrap/>
            <w:vAlign w:val="center"/>
            <w:hideMark/>
          </w:tcPr>
          <w:p w14:paraId="0542F4EA"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74BA5620"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7.</w:t>
            </w:r>
          </w:p>
        </w:tc>
        <w:tc>
          <w:tcPr>
            <w:tcW w:w="3982" w:type="dxa"/>
            <w:hideMark/>
          </w:tcPr>
          <w:p w14:paraId="2B86EE68"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Unaprjeđenje sustava za gospodarenje otpadnom ambalažom i uspostava sustava za gospodarenje otpadnim plastičnim proizvodima za jednokratnu uporabu i ribolovnim alatima koji sadrže plastiku</w:t>
            </w:r>
          </w:p>
        </w:tc>
        <w:tc>
          <w:tcPr>
            <w:tcW w:w="1418" w:type="dxa"/>
            <w:noWrap/>
            <w:hideMark/>
          </w:tcPr>
          <w:p w14:paraId="7274CB18"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14.300.000</w:t>
            </w:r>
          </w:p>
        </w:tc>
        <w:tc>
          <w:tcPr>
            <w:tcW w:w="1831" w:type="dxa"/>
            <w:noWrap/>
            <w:hideMark/>
          </w:tcPr>
          <w:p w14:paraId="05A04438"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1.897.936</w:t>
            </w:r>
          </w:p>
        </w:tc>
      </w:tr>
      <w:tr w:rsidR="00524B1B" w:rsidRPr="00740775" w14:paraId="7D631FAB" w14:textId="77777777" w:rsidTr="00524B1B">
        <w:trPr>
          <w:trHeight w:val="20"/>
        </w:trPr>
        <w:tc>
          <w:tcPr>
            <w:tcW w:w="1083" w:type="dxa"/>
            <w:noWrap/>
            <w:vAlign w:val="center"/>
            <w:hideMark/>
          </w:tcPr>
          <w:p w14:paraId="0C6007EE"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5B1CEE08"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8.</w:t>
            </w:r>
          </w:p>
        </w:tc>
        <w:tc>
          <w:tcPr>
            <w:tcW w:w="3982" w:type="dxa"/>
            <w:hideMark/>
          </w:tcPr>
          <w:p w14:paraId="7FE48810"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Unaprjeđenje sustava za gospodarenje građevnim otpadom i otpadom koji sadrži azbest</w:t>
            </w:r>
          </w:p>
        </w:tc>
        <w:tc>
          <w:tcPr>
            <w:tcW w:w="1418" w:type="dxa"/>
            <w:noWrap/>
            <w:hideMark/>
          </w:tcPr>
          <w:p w14:paraId="7D44C1DF"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174.800.400</w:t>
            </w:r>
          </w:p>
        </w:tc>
        <w:tc>
          <w:tcPr>
            <w:tcW w:w="1831" w:type="dxa"/>
            <w:noWrap/>
            <w:hideMark/>
          </w:tcPr>
          <w:p w14:paraId="51CE9626"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23.200.000</w:t>
            </w:r>
          </w:p>
        </w:tc>
      </w:tr>
      <w:tr w:rsidR="00524B1B" w:rsidRPr="00740775" w14:paraId="176F8AB4" w14:textId="77777777" w:rsidTr="00524B1B">
        <w:trPr>
          <w:trHeight w:val="20"/>
        </w:trPr>
        <w:tc>
          <w:tcPr>
            <w:tcW w:w="1083" w:type="dxa"/>
            <w:noWrap/>
            <w:vAlign w:val="center"/>
            <w:hideMark/>
          </w:tcPr>
          <w:p w14:paraId="5EC2EA97"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76AE8C47"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9.</w:t>
            </w:r>
          </w:p>
        </w:tc>
        <w:tc>
          <w:tcPr>
            <w:tcW w:w="3982" w:type="dxa"/>
            <w:hideMark/>
          </w:tcPr>
          <w:p w14:paraId="21486F70"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Unaprjeđenje sustava za gospodarenje otpadnim vozilima, otpadnim baterijama i akumulatorima, otpadnom električnom i elektroničkom opremom i otpadnim gumama</w:t>
            </w:r>
          </w:p>
        </w:tc>
        <w:tc>
          <w:tcPr>
            <w:tcW w:w="1418" w:type="dxa"/>
            <w:noWrap/>
            <w:hideMark/>
          </w:tcPr>
          <w:p w14:paraId="72E7E809"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2.000.000</w:t>
            </w:r>
          </w:p>
        </w:tc>
        <w:tc>
          <w:tcPr>
            <w:tcW w:w="1831" w:type="dxa"/>
            <w:noWrap/>
            <w:hideMark/>
          </w:tcPr>
          <w:p w14:paraId="45BDA4FE"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265.446</w:t>
            </w:r>
          </w:p>
        </w:tc>
      </w:tr>
      <w:tr w:rsidR="00524B1B" w:rsidRPr="00740775" w14:paraId="72DD0307" w14:textId="77777777" w:rsidTr="00524B1B">
        <w:trPr>
          <w:trHeight w:val="20"/>
        </w:trPr>
        <w:tc>
          <w:tcPr>
            <w:tcW w:w="1083" w:type="dxa"/>
            <w:noWrap/>
            <w:vAlign w:val="center"/>
            <w:hideMark/>
          </w:tcPr>
          <w:p w14:paraId="2D28DA7B"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13527847"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10.</w:t>
            </w:r>
          </w:p>
        </w:tc>
        <w:tc>
          <w:tcPr>
            <w:tcW w:w="3982" w:type="dxa"/>
            <w:hideMark/>
          </w:tcPr>
          <w:p w14:paraId="5DDCFC3B"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Provedba projekta „Studija izvedivosti postojećih i potrebnih kapaciteta za obradu opasnog otpada i studija za identifikaciju novih lokacija onečišćenih opasnim otpadom („crne točke“)“</w:t>
            </w:r>
          </w:p>
        </w:tc>
        <w:tc>
          <w:tcPr>
            <w:tcW w:w="1418" w:type="dxa"/>
            <w:noWrap/>
            <w:hideMark/>
          </w:tcPr>
          <w:p w14:paraId="01C5455E"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1.723.625</w:t>
            </w:r>
          </w:p>
        </w:tc>
        <w:tc>
          <w:tcPr>
            <w:tcW w:w="1831" w:type="dxa"/>
            <w:noWrap/>
            <w:hideMark/>
          </w:tcPr>
          <w:p w14:paraId="0802EA23"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228.764</w:t>
            </w:r>
          </w:p>
        </w:tc>
      </w:tr>
      <w:tr w:rsidR="00524B1B" w:rsidRPr="00740775" w14:paraId="130A55A3" w14:textId="77777777" w:rsidTr="00524B1B">
        <w:trPr>
          <w:trHeight w:val="20"/>
        </w:trPr>
        <w:tc>
          <w:tcPr>
            <w:tcW w:w="1083" w:type="dxa"/>
            <w:noWrap/>
            <w:vAlign w:val="center"/>
            <w:hideMark/>
          </w:tcPr>
          <w:p w14:paraId="23CA0ADD"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190F770F"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11.</w:t>
            </w:r>
          </w:p>
        </w:tc>
        <w:tc>
          <w:tcPr>
            <w:tcW w:w="3982" w:type="dxa"/>
            <w:hideMark/>
          </w:tcPr>
          <w:p w14:paraId="01574BD3"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Sanacija i zatvoreno odlagalište neopasnog otpada</w:t>
            </w:r>
          </w:p>
        </w:tc>
        <w:tc>
          <w:tcPr>
            <w:tcW w:w="1418" w:type="dxa"/>
            <w:noWrap/>
            <w:hideMark/>
          </w:tcPr>
          <w:p w14:paraId="0D049B2C"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1.331.168.700</w:t>
            </w:r>
          </w:p>
        </w:tc>
        <w:tc>
          <w:tcPr>
            <w:tcW w:w="1831" w:type="dxa"/>
            <w:noWrap/>
            <w:hideMark/>
          </w:tcPr>
          <w:p w14:paraId="04C19F56"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176.676.448</w:t>
            </w:r>
          </w:p>
        </w:tc>
      </w:tr>
      <w:tr w:rsidR="00524B1B" w:rsidRPr="00740775" w14:paraId="308B97BE" w14:textId="77777777" w:rsidTr="00524B1B">
        <w:trPr>
          <w:trHeight w:val="20"/>
        </w:trPr>
        <w:tc>
          <w:tcPr>
            <w:tcW w:w="1083" w:type="dxa"/>
            <w:noWrap/>
            <w:vAlign w:val="center"/>
            <w:hideMark/>
          </w:tcPr>
          <w:p w14:paraId="0E841091"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7B7C4B4C"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12.</w:t>
            </w:r>
          </w:p>
        </w:tc>
        <w:tc>
          <w:tcPr>
            <w:tcW w:w="3982" w:type="dxa"/>
            <w:hideMark/>
          </w:tcPr>
          <w:p w14:paraId="6A61A924"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Sanacija lokacija onečišćenih opasnim otpadom (»crne točke«)</w:t>
            </w:r>
          </w:p>
        </w:tc>
        <w:tc>
          <w:tcPr>
            <w:tcW w:w="1418" w:type="dxa"/>
            <w:noWrap/>
            <w:hideMark/>
          </w:tcPr>
          <w:p w14:paraId="3FA2BC58"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1.421.806.803</w:t>
            </w:r>
          </w:p>
        </w:tc>
        <w:tc>
          <w:tcPr>
            <w:tcW w:w="1831" w:type="dxa"/>
            <w:noWrap/>
            <w:hideMark/>
          </w:tcPr>
          <w:p w14:paraId="612055E2"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188.706.192</w:t>
            </w:r>
          </w:p>
        </w:tc>
      </w:tr>
      <w:tr w:rsidR="00524B1B" w:rsidRPr="00740775" w14:paraId="17375F47" w14:textId="77777777" w:rsidTr="00524B1B">
        <w:trPr>
          <w:trHeight w:val="20"/>
        </w:trPr>
        <w:tc>
          <w:tcPr>
            <w:tcW w:w="1083" w:type="dxa"/>
            <w:noWrap/>
            <w:vAlign w:val="center"/>
            <w:hideMark/>
          </w:tcPr>
          <w:p w14:paraId="7649294A"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6FC1F0D8"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13.</w:t>
            </w:r>
          </w:p>
        </w:tc>
        <w:tc>
          <w:tcPr>
            <w:tcW w:w="3982" w:type="dxa"/>
            <w:hideMark/>
          </w:tcPr>
          <w:p w14:paraId="7E417D22"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Sanacija lokacija onečišćenih otpadom odbačenim u okoliš</w:t>
            </w:r>
          </w:p>
        </w:tc>
        <w:tc>
          <w:tcPr>
            <w:tcW w:w="1418" w:type="dxa"/>
            <w:noWrap/>
            <w:hideMark/>
          </w:tcPr>
          <w:p w14:paraId="316A8C7F"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639.904.500</w:t>
            </w:r>
          </w:p>
        </w:tc>
        <w:tc>
          <w:tcPr>
            <w:tcW w:w="1831" w:type="dxa"/>
            <w:noWrap/>
            <w:hideMark/>
          </w:tcPr>
          <w:p w14:paraId="5F9CA373"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84.929.922</w:t>
            </w:r>
          </w:p>
        </w:tc>
      </w:tr>
      <w:tr w:rsidR="00524B1B" w:rsidRPr="00740775" w14:paraId="4BBECA36" w14:textId="77777777" w:rsidTr="00524B1B">
        <w:trPr>
          <w:trHeight w:val="20"/>
        </w:trPr>
        <w:tc>
          <w:tcPr>
            <w:tcW w:w="1083" w:type="dxa"/>
            <w:noWrap/>
            <w:vAlign w:val="center"/>
            <w:hideMark/>
          </w:tcPr>
          <w:p w14:paraId="424EDADE"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662F59B4"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14.</w:t>
            </w:r>
          </w:p>
        </w:tc>
        <w:tc>
          <w:tcPr>
            <w:tcW w:w="3982" w:type="dxa"/>
            <w:hideMark/>
          </w:tcPr>
          <w:p w14:paraId="41912D2D"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Izrada i/ili unaprjeđenje aplikacija koje su dio informacijskog sustava gospodarenja otpadom</w:t>
            </w:r>
          </w:p>
        </w:tc>
        <w:tc>
          <w:tcPr>
            <w:tcW w:w="1418" w:type="dxa"/>
            <w:noWrap/>
            <w:hideMark/>
          </w:tcPr>
          <w:p w14:paraId="797EE891"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19.024.150</w:t>
            </w:r>
          </w:p>
        </w:tc>
        <w:tc>
          <w:tcPr>
            <w:tcW w:w="1831" w:type="dxa"/>
            <w:noWrap/>
            <w:hideMark/>
          </w:tcPr>
          <w:p w14:paraId="14ACFEFC"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2.524.939</w:t>
            </w:r>
          </w:p>
        </w:tc>
      </w:tr>
      <w:tr w:rsidR="00524B1B" w:rsidRPr="00740775" w14:paraId="28B6C94C" w14:textId="77777777" w:rsidTr="00524B1B">
        <w:trPr>
          <w:trHeight w:val="20"/>
        </w:trPr>
        <w:tc>
          <w:tcPr>
            <w:tcW w:w="1083" w:type="dxa"/>
            <w:noWrap/>
            <w:vAlign w:val="center"/>
            <w:hideMark/>
          </w:tcPr>
          <w:p w14:paraId="71604A16"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lastRenderedPageBreak/>
              <w:t>PGO</w:t>
            </w:r>
          </w:p>
        </w:tc>
        <w:tc>
          <w:tcPr>
            <w:tcW w:w="1167" w:type="dxa"/>
            <w:noWrap/>
            <w:hideMark/>
          </w:tcPr>
          <w:p w14:paraId="16073158"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15.</w:t>
            </w:r>
          </w:p>
        </w:tc>
        <w:tc>
          <w:tcPr>
            <w:tcW w:w="3982" w:type="dxa"/>
            <w:hideMark/>
          </w:tcPr>
          <w:p w14:paraId="2CFCC07B"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Izrada informacijskog sustava FZOEU za pripremu i provedbu projekata</w:t>
            </w:r>
          </w:p>
        </w:tc>
        <w:tc>
          <w:tcPr>
            <w:tcW w:w="1418" w:type="dxa"/>
            <w:noWrap/>
            <w:hideMark/>
          </w:tcPr>
          <w:p w14:paraId="7770FB68"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15.000.000</w:t>
            </w:r>
          </w:p>
        </w:tc>
        <w:tc>
          <w:tcPr>
            <w:tcW w:w="1831" w:type="dxa"/>
            <w:noWrap/>
            <w:hideMark/>
          </w:tcPr>
          <w:p w14:paraId="4469C4FC"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1.990.842</w:t>
            </w:r>
          </w:p>
        </w:tc>
      </w:tr>
      <w:tr w:rsidR="00524B1B" w:rsidRPr="00740775" w14:paraId="6F7BDA3B" w14:textId="77777777" w:rsidTr="00524B1B">
        <w:trPr>
          <w:trHeight w:val="20"/>
        </w:trPr>
        <w:tc>
          <w:tcPr>
            <w:tcW w:w="1083" w:type="dxa"/>
            <w:noWrap/>
            <w:vAlign w:val="center"/>
            <w:hideMark/>
          </w:tcPr>
          <w:p w14:paraId="0755229C"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681D5E69"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16.</w:t>
            </w:r>
          </w:p>
        </w:tc>
        <w:tc>
          <w:tcPr>
            <w:tcW w:w="3982" w:type="dxa"/>
            <w:hideMark/>
          </w:tcPr>
          <w:p w14:paraId="49BBD4A2"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Izrada plana monitoringa provedbe Plana gospodarenja otpadom Republike Hrvatske</w:t>
            </w:r>
          </w:p>
        </w:tc>
        <w:tc>
          <w:tcPr>
            <w:tcW w:w="1418" w:type="dxa"/>
            <w:noWrap/>
            <w:hideMark/>
          </w:tcPr>
          <w:p w14:paraId="45D939AC"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300.000</w:t>
            </w:r>
          </w:p>
        </w:tc>
        <w:tc>
          <w:tcPr>
            <w:tcW w:w="1831" w:type="dxa"/>
            <w:noWrap/>
            <w:hideMark/>
          </w:tcPr>
          <w:p w14:paraId="398647C3"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39.817</w:t>
            </w:r>
          </w:p>
        </w:tc>
      </w:tr>
      <w:tr w:rsidR="00524B1B" w:rsidRPr="00740775" w14:paraId="6C00D755" w14:textId="77777777" w:rsidTr="00524B1B">
        <w:trPr>
          <w:trHeight w:val="20"/>
        </w:trPr>
        <w:tc>
          <w:tcPr>
            <w:tcW w:w="1083" w:type="dxa"/>
            <w:noWrap/>
            <w:vAlign w:val="center"/>
            <w:hideMark/>
          </w:tcPr>
          <w:p w14:paraId="7D6FF3D4"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4AEA0985"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17.</w:t>
            </w:r>
          </w:p>
        </w:tc>
        <w:tc>
          <w:tcPr>
            <w:tcW w:w="3982" w:type="dxa"/>
            <w:hideMark/>
          </w:tcPr>
          <w:p w14:paraId="0F7C16C0"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19. Izobrazba sudionika uključenih u nadzor gospodarenja otpadom</w:t>
            </w:r>
          </w:p>
        </w:tc>
        <w:tc>
          <w:tcPr>
            <w:tcW w:w="1418" w:type="dxa"/>
            <w:noWrap/>
            <w:hideMark/>
          </w:tcPr>
          <w:p w14:paraId="268178A7"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0</w:t>
            </w:r>
          </w:p>
        </w:tc>
        <w:tc>
          <w:tcPr>
            <w:tcW w:w="1831" w:type="dxa"/>
            <w:noWrap/>
            <w:hideMark/>
          </w:tcPr>
          <w:p w14:paraId="4FFE5B49"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0</w:t>
            </w:r>
          </w:p>
        </w:tc>
      </w:tr>
      <w:tr w:rsidR="00524B1B" w:rsidRPr="00740775" w14:paraId="340BE5A2" w14:textId="77777777" w:rsidTr="00524B1B">
        <w:trPr>
          <w:trHeight w:val="20"/>
        </w:trPr>
        <w:tc>
          <w:tcPr>
            <w:tcW w:w="1083" w:type="dxa"/>
            <w:noWrap/>
            <w:vAlign w:val="center"/>
            <w:hideMark/>
          </w:tcPr>
          <w:p w14:paraId="7751D395"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PSNO</w:t>
            </w:r>
          </w:p>
        </w:tc>
        <w:tc>
          <w:tcPr>
            <w:tcW w:w="1167" w:type="dxa"/>
            <w:noWrap/>
            <w:hideMark/>
          </w:tcPr>
          <w:p w14:paraId="192EF723"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1.</w:t>
            </w:r>
          </w:p>
        </w:tc>
        <w:tc>
          <w:tcPr>
            <w:tcW w:w="3982" w:type="dxa"/>
            <w:hideMark/>
          </w:tcPr>
          <w:p w14:paraId="39CBC4DE"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Jačanje okvira politika za prijelaz na kružno gospodarstvo u građevinskom sektoru</w:t>
            </w:r>
          </w:p>
        </w:tc>
        <w:tc>
          <w:tcPr>
            <w:tcW w:w="1418" w:type="dxa"/>
            <w:noWrap/>
            <w:hideMark/>
          </w:tcPr>
          <w:p w14:paraId="594C599B"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2.260.350</w:t>
            </w:r>
          </w:p>
        </w:tc>
        <w:tc>
          <w:tcPr>
            <w:tcW w:w="1831" w:type="dxa"/>
            <w:noWrap/>
            <w:hideMark/>
          </w:tcPr>
          <w:p w14:paraId="61166ACB"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300.000</w:t>
            </w:r>
          </w:p>
        </w:tc>
      </w:tr>
      <w:tr w:rsidR="00524B1B" w:rsidRPr="00740775" w14:paraId="45D8CDB9" w14:textId="77777777" w:rsidTr="00524B1B">
        <w:trPr>
          <w:trHeight w:val="20"/>
        </w:trPr>
        <w:tc>
          <w:tcPr>
            <w:tcW w:w="1083" w:type="dxa"/>
            <w:noWrap/>
            <w:vAlign w:val="center"/>
            <w:hideMark/>
          </w:tcPr>
          <w:p w14:paraId="4775434E"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PSNO</w:t>
            </w:r>
          </w:p>
        </w:tc>
        <w:tc>
          <w:tcPr>
            <w:tcW w:w="1167" w:type="dxa"/>
            <w:noWrap/>
            <w:hideMark/>
          </w:tcPr>
          <w:p w14:paraId="78A3DDCD"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2.</w:t>
            </w:r>
          </w:p>
        </w:tc>
        <w:tc>
          <w:tcPr>
            <w:tcW w:w="3982" w:type="dxa"/>
            <w:hideMark/>
          </w:tcPr>
          <w:p w14:paraId="4180F2D7"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Jačanje okvira politika za sprječavanje nastanka otpada od hrane</w:t>
            </w:r>
          </w:p>
        </w:tc>
        <w:tc>
          <w:tcPr>
            <w:tcW w:w="1418" w:type="dxa"/>
            <w:noWrap/>
            <w:hideMark/>
          </w:tcPr>
          <w:p w14:paraId="0AF0F534"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0</w:t>
            </w:r>
          </w:p>
        </w:tc>
        <w:tc>
          <w:tcPr>
            <w:tcW w:w="1831" w:type="dxa"/>
            <w:noWrap/>
            <w:hideMark/>
          </w:tcPr>
          <w:p w14:paraId="58FB9039"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0</w:t>
            </w:r>
          </w:p>
        </w:tc>
      </w:tr>
      <w:tr w:rsidR="00524B1B" w:rsidRPr="00740775" w14:paraId="78A69DD0" w14:textId="77777777" w:rsidTr="00524B1B">
        <w:trPr>
          <w:trHeight w:val="20"/>
        </w:trPr>
        <w:tc>
          <w:tcPr>
            <w:tcW w:w="1083" w:type="dxa"/>
            <w:noWrap/>
            <w:vAlign w:val="center"/>
            <w:hideMark/>
          </w:tcPr>
          <w:p w14:paraId="29590514"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PSNO</w:t>
            </w:r>
          </w:p>
        </w:tc>
        <w:tc>
          <w:tcPr>
            <w:tcW w:w="1167" w:type="dxa"/>
            <w:noWrap/>
            <w:hideMark/>
          </w:tcPr>
          <w:p w14:paraId="5724A60F"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3.</w:t>
            </w:r>
          </w:p>
        </w:tc>
        <w:tc>
          <w:tcPr>
            <w:tcW w:w="3982" w:type="dxa"/>
            <w:hideMark/>
          </w:tcPr>
          <w:p w14:paraId="34036677"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Unaprjeđenje sustava praćenja podataka o biootpadu</w:t>
            </w:r>
          </w:p>
        </w:tc>
        <w:tc>
          <w:tcPr>
            <w:tcW w:w="1418" w:type="dxa"/>
            <w:noWrap/>
            <w:hideMark/>
          </w:tcPr>
          <w:p w14:paraId="017EB4FB"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1.900.000</w:t>
            </w:r>
          </w:p>
        </w:tc>
        <w:tc>
          <w:tcPr>
            <w:tcW w:w="1831" w:type="dxa"/>
            <w:noWrap/>
            <w:hideMark/>
          </w:tcPr>
          <w:p w14:paraId="74F1BB2D"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252.173</w:t>
            </w:r>
          </w:p>
        </w:tc>
      </w:tr>
      <w:tr w:rsidR="00524B1B" w:rsidRPr="00740775" w14:paraId="4CE34472" w14:textId="77777777" w:rsidTr="00524B1B">
        <w:trPr>
          <w:trHeight w:val="20"/>
        </w:trPr>
        <w:tc>
          <w:tcPr>
            <w:tcW w:w="1083" w:type="dxa"/>
            <w:noWrap/>
            <w:vAlign w:val="center"/>
            <w:hideMark/>
          </w:tcPr>
          <w:p w14:paraId="2B0132AB"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PSNO</w:t>
            </w:r>
          </w:p>
        </w:tc>
        <w:tc>
          <w:tcPr>
            <w:tcW w:w="1167" w:type="dxa"/>
            <w:noWrap/>
            <w:hideMark/>
          </w:tcPr>
          <w:p w14:paraId="68019892"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4.</w:t>
            </w:r>
          </w:p>
        </w:tc>
        <w:tc>
          <w:tcPr>
            <w:tcW w:w="3982" w:type="dxa"/>
            <w:hideMark/>
          </w:tcPr>
          <w:p w14:paraId="2046F9B3"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Promicanje kućnog kompostiranja</w:t>
            </w:r>
          </w:p>
        </w:tc>
        <w:tc>
          <w:tcPr>
            <w:tcW w:w="1418" w:type="dxa"/>
            <w:noWrap/>
            <w:hideMark/>
          </w:tcPr>
          <w:p w14:paraId="5DE607A4"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107.500.000</w:t>
            </w:r>
          </w:p>
        </w:tc>
        <w:tc>
          <w:tcPr>
            <w:tcW w:w="1831" w:type="dxa"/>
            <w:noWrap/>
            <w:hideMark/>
          </w:tcPr>
          <w:p w14:paraId="5CC00095"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14.267.702</w:t>
            </w:r>
          </w:p>
        </w:tc>
      </w:tr>
      <w:tr w:rsidR="00524B1B" w:rsidRPr="00740775" w14:paraId="018533CE" w14:textId="77777777" w:rsidTr="00524B1B">
        <w:trPr>
          <w:trHeight w:val="20"/>
        </w:trPr>
        <w:tc>
          <w:tcPr>
            <w:tcW w:w="1083" w:type="dxa"/>
            <w:noWrap/>
            <w:vAlign w:val="center"/>
            <w:hideMark/>
          </w:tcPr>
          <w:p w14:paraId="45C5ADF8"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PSNO</w:t>
            </w:r>
          </w:p>
        </w:tc>
        <w:tc>
          <w:tcPr>
            <w:tcW w:w="1167" w:type="dxa"/>
            <w:noWrap/>
            <w:hideMark/>
          </w:tcPr>
          <w:p w14:paraId="4BAFD3CB"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5.</w:t>
            </w:r>
          </w:p>
        </w:tc>
        <w:tc>
          <w:tcPr>
            <w:tcW w:w="3982" w:type="dxa"/>
            <w:hideMark/>
          </w:tcPr>
          <w:p w14:paraId="335CDE46"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Poticanje smanjenja potrošnje plastičnih proizvoda za jednokratnu uporabu</w:t>
            </w:r>
          </w:p>
        </w:tc>
        <w:tc>
          <w:tcPr>
            <w:tcW w:w="1418" w:type="dxa"/>
            <w:noWrap/>
            <w:hideMark/>
          </w:tcPr>
          <w:p w14:paraId="0CC800DE"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35.953.450</w:t>
            </w:r>
          </w:p>
        </w:tc>
        <w:tc>
          <w:tcPr>
            <w:tcW w:w="1831" w:type="dxa"/>
            <w:noWrap/>
            <w:hideMark/>
          </w:tcPr>
          <w:p w14:paraId="6FD60B87"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4.771.843</w:t>
            </w:r>
          </w:p>
        </w:tc>
      </w:tr>
      <w:tr w:rsidR="00524B1B" w:rsidRPr="00740775" w14:paraId="7339DD3F" w14:textId="77777777" w:rsidTr="00524B1B">
        <w:trPr>
          <w:trHeight w:val="20"/>
        </w:trPr>
        <w:tc>
          <w:tcPr>
            <w:tcW w:w="1083" w:type="dxa"/>
            <w:noWrap/>
            <w:vAlign w:val="center"/>
            <w:hideMark/>
          </w:tcPr>
          <w:p w14:paraId="6E211FC1"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PSNO</w:t>
            </w:r>
          </w:p>
        </w:tc>
        <w:tc>
          <w:tcPr>
            <w:tcW w:w="1167" w:type="dxa"/>
            <w:noWrap/>
            <w:hideMark/>
          </w:tcPr>
          <w:p w14:paraId="07CC189E"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6.</w:t>
            </w:r>
          </w:p>
        </w:tc>
        <w:tc>
          <w:tcPr>
            <w:tcW w:w="3982" w:type="dxa"/>
            <w:hideMark/>
          </w:tcPr>
          <w:p w14:paraId="3BD91AD3"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Poticanje kupovine ‘zelenih’ proizvoda i usluga</w:t>
            </w:r>
          </w:p>
        </w:tc>
        <w:tc>
          <w:tcPr>
            <w:tcW w:w="1418" w:type="dxa"/>
            <w:noWrap/>
            <w:hideMark/>
          </w:tcPr>
          <w:p w14:paraId="12E6D7B0"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2.682.245</w:t>
            </w:r>
          </w:p>
        </w:tc>
        <w:tc>
          <w:tcPr>
            <w:tcW w:w="1831" w:type="dxa"/>
            <w:noWrap/>
            <w:hideMark/>
          </w:tcPr>
          <w:p w14:paraId="3CED35E8"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355.995</w:t>
            </w:r>
          </w:p>
        </w:tc>
      </w:tr>
      <w:tr w:rsidR="00524B1B" w:rsidRPr="00740775" w14:paraId="127815C9" w14:textId="77777777" w:rsidTr="00524B1B">
        <w:trPr>
          <w:trHeight w:val="20"/>
        </w:trPr>
        <w:tc>
          <w:tcPr>
            <w:tcW w:w="1083" w:type="dxa"/>
            <w:noWrap/>
            <w:vAlign w:val="center"/>
            <w:hideMark/>
          </w:tcPr>
          <w:p w14:paraId="0DE99D2C"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PSNO</w:t>
            </w:r>
          </w:p>
        </w:tc>
        <w:tc>
          <w:tcPr>
            <w:tcW w:w="1167" w:type="dxa"/>
            <w:noWrap/>
            <w:hideMark/>
          </w:tcPr>
          <w:p w14:paraId="563F4805"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7.</w:t>
            </w:r>
          </w:p>
        </w:tc>
        <w:tc>
          <w:tcPr>
            <w:tcW w:w="3982" w:type="dxa"/>
            <w:hideMark/>
          </w:tcPr>
          <w:p w14:paraId="54BADA02"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Jačanje svijesti, edukacija o sprječavanju nastanka otpada i razmjena dobre prakse</w:t>
            </w:r>
          </w:p>
        </w:tc>
        <w:tc>
          <w:tcPr>
            <w:tcW w:w="1418" w:type="dxa"/>
            <w:noWrap/>
            <w:hideMark/>
          </w:tcPr>
          <w:p w14:paraId="1F4A51AD"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24.000.000</w:t>
            </w:r>
          </w:p>
        </w:tc>
        <w:tc>
          <w:tcPr>
            <w:tcW w:w="1831" w:type="dxa"/>
            <w:noWrap/>
            <w:hideMark/>
          </w:tcPr>
          <w:p w14:paraId="012C1040"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3.185.347</w:t>
            </w:r>
          </w:p>
        </w:tc>
      </w:tr>
      <w:tr w:rsidR="00524B1B" w:rsidRPr="00740775" w14:paraId="6802AD29" w14:textId="77777777" w:rsidTr="00524B1B">
        <w:trPr>
          <w:trHeight w:val="20"/>
        </w:trPr>
        <w:tc>
          <w:tcPr>
            <w:tcW w:w="1083" w:type="dxa"/>
            <w:noWrap/>
            <w:vAlign w:val="center"/>
            <w:hideMark/>
          </w:tcPr>
          <w:p w14:paraId="23E86BC8"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PSNO</w:t>
            </w:r>
          </w:p>
        </w:tc>
        <w:tc>
          <w:tcPr>
            <w:tcW w:w="1167" w:type="dxa"/>
            <w:noWrap/>
            <w:hideMark/>
          </w:tcPr>
          <w:p w14:paraId="267B99A2"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8.</w:t>
            </w:r>
          </w:p>
        </w:tc>
        <w:tc>
          <w:tcPr>
            <w:tcW w:w="3982" w:type="dxa"/>
            <w:hideMark/>
          </w:tcPr>
          <w:p w14:paraId="6EC19FFF"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Promicanje eko-dizajna (sustavne integracije aspekata zaštite okoliša u dizajn proizvoda s ciljem unapređenja ponašanja proizvoda s obzirom na zaštitu okoliša u cijelom životnom vijeku proizvoda)</w:t>
            </w:r>
          </w:p>
        </w:tc>
        <w:tc>
          <w:tcPr>
            <w:tcW w:w="1418" w:type="dxa"/>
            <w:noWrap/>
            <w:hideMark/>
          </w:tcPr>
          <w:p w14:paraId="1523EE6A"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18.304.140</w:t>
            </w:r>
          </w:p>
        </w:tc>
        <w:tc>
          <w:tcPr>
            <w:tcW w:w="1831" w:type="dxa"/>
            <w:noWrap/>
            <w:hideMark/>
          </w:tcPr>
          <w:p w14:paraId="1E7E229D"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2.429.377</w:t>
            </w:r>
          </w:p>
        </w:tc>
      </w:tr>
      <w:tr w:rsidR="00524B1B" w:rsidRPr="00740775" w14:paraId="14BE55C0" w14:textId="77777777" w:rsidTr="00524B1B">
        <w:trPr>
          <w:trHeight w:val="20"/>
        </w:trPr>
        <w:tc>
          <w:tcPr>
            <w:tcW w:w="1083" w:type="dxa"/>
            <w:noWrap/>
            <w:vAlign w:val="center"/>
            <w:hideMark/>
          </w:tcPr>
          <w:p w14:paraId="49B9ECB7"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PSNO</w:t>
            </w:r>
          </w:p>
        </w:tc>
        <w:tc>
          <w:tcPr>
            <w:tcW w:w="1167" w:type="dxa"/>
            <w:noWrap/>
            <w:hideMark/>
          </w:tcPr>
          <w:p w14:paraId="7CBAF4C1"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9.</w:t>
            </w:r>
          </w:p>
        </w:tc>
        <w:tc>
          <w:tcPr>
            <w:tcW w:w="3982" w:type="dxa"/>
            <w:hideMark/>
          </w:tcPr>
          <w:p w14:paraId="2B4C8CDF"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Promicanje provjerenih sustava za gospodarenje okolišem, uključujući sustave EMAS i ISO 14001</w:t>
            </w:r>
          </w:p>
        </w:tc>
        <w:tc>
          <w:tcPr>
            <w:tcW w:w="1418" w:type="dxa"/>
            <w:noWrap/>
            <w:hideMark/>
          </w:tcPr>
          <w:p w14:paraId="32C50B1F"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452.070</w:t>
            </w:r>
          </w:p>
        </w:tc>
        <w:tc>
          <w:tcPr>
            <w:tcW w:w="1831" w:type="dxa"/>
            <w:noWrap/>
            <w:hideMark/>
          </w:tcPr>
          <w:p w14:paraId="4C48825F"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60.000</w:t>
            </w:r>
          </w:p>
        </w:tc>
      </w:tr>
      <w:tr w:rsidR="00524B1B" w:rsidRPr="00740775" w14:paraId="684A0C27" w14:textId="77777777" w:rsidTr="00524B1B">
        <w:trPr>
          <w:trHeight w:val="20"/>
        </w:trPr>
        <w:tc>
          <w:tcPr>
            <w:tcW w:w="1083" w:type="dxa"/>
            <w:noWrap/>
            <w:vAlign w:val="center"/>
            <w:hideMark/>
          </w:tcPr>
          <w:p w14:paraId="64EC550E"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PSNO</w:t>
            </w:r>
          </w:p>
        </w:tc>
        <w:tc>
          <w:tcPr>
            <w:tcW w:w="1167" w:type="dxa"/>
            <w:noWrap/>
            <w:hideMark/>
          </w:tcPr>
          <w:p w14:paraId="5987DDAA"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10.</w:t>
            </w:r>
          </w:p>
        </w:tc>
        <w:tc>
          <w:tcPr>
            <w:tcW w:w="3982" w:type="dxa"/>
            <w:hideMark/>
          </w:tcPr>
          <w:p w14:paraId="4C4FABF5"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Izrada Plana sprječavanja nastanka otpada</w:t>
            </w:r>
          </w:p>
        </w:tc>
        <w:tc>
          <w:tcPr>
            <w:tcW w:w="1418" w:type="dxa"/>
            <w:noWrap/>
            <w:hideMark/>
          </w:tcPr>
          <w:p w14:paraId="2784B0BE"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0</w:t>
            </w:r>
          </w:p>
        </w:tc>
        <w:tc>
          <w:tcPr>
            <w:tcW w:w="1831" w:type="dxa"/>
            <w:noWrap/>
            <w:hideMark/>
          </w:tcPr>
          <w:p w14:paraId="287D4197"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0</w:t>
            </w:r>
          </w:p>
        </w:tc>
      </w:tr>
      <w:tr w:rsidR="00524B1B" w:rsidRPr="00740775" w14:paraId="2E9AB10C" w14:textId="77777777" w:rsidTr="00524B1B">
        <w:trPr>
          <w:trHeight w:val="20"/>
        </w:trPr>
        <w:tc>
          <w:tcPr>
            <w:tcW w:w="1083" w:type="dxa"/>
            <w:noWrap/>
            <w:vAlign w:val="center"/>
            <w:hideMark/>
          </w:tcPr>
          <w:p w14:paraId="7BC12D40"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PSNO</w:t>
            </w:r>
          </w:p>
        </w:tc>
        <w:tc>
          <w:tcPr>
            <w:tcW w:w="1167" w:type="dxa"/>
            <w:noWrap/>
            <w:hideMark/>
          </w:tcPr>
          <w:p w14:paraId="3CF1DE78"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11.</w:t>
            </w:r>
          </w:p>
        </w:tc>
        <w:tc>
          <w:tcPr>
            <w:tcW w:w="3982" w:type="dxa"/>
            <w:hideMark/>
          </w:tcPr>
          <w:p w14:paraId="25F082ED"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Poticanje razmjene i ponovne uporabe isluženih proizvoda</w:t>
            </w:r>
          </w:p>
        </w:tc>
        <w:tc>
          <w:tcPr>
            <w:tcW w:w="1418" w:type="dxa"/>
            <w:noWrap/>
            <w:hideMark/>
          </w:tcPr>
          <w:p w14:paraId="16DB9611"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24.851.350</w:t>
            </w:r>
          </w:p>
        </w:tc>
        <w:tc>
          <w:tcPr>
            <w:tcW w:w="1831" w:type="dxa"/>
            <w:noWrap/>
            <w:hideMark/>
          </w:tcPr>
          <w:p w14:paraId="0118C719"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3.298.341</w:t>
            </w:r>
          </w:p>
        </w:tc>
      </w:tr>
      <w:tr w:rsidR="00524B1B" w:rsidRPr="00740775" w14:paraId="1C9B090D" w14:textId="77777777" w:rsidTr="00524B1B">
        <w:trPr>
          <w:trHeight w:val="20"/>
        </w:trPr>
        <w:tc>
          <w:tcPr>
            <w:tcW w:w="6232" w:type="dxa"/>
            <w:gridSpan w:val="3"/>
            <w:shd w:val="clear" w:color="auto" w:fill="002060"/>
            <w:noWrap/>
            <w:hideMark/>
          </w:tcPr>
          <w:p w14:paraId="7F86DE37" w14:textId="77777777" w:rsidR="00524B1B" w:rsidRPr="003D27BA" w:rsidRDefault="00524B1B" w:rsidP="00AE6341">
            <w:pPr>
              <w:jc w:val="right"/>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 xml:space="preserve">Ukupno: </w:t>
            </w:r>
          </w:p>
        </w:tc>
        <w:tc>
          <w:tcPr>
            <w:tcW w:w="1418" w:type="dxa"/>
            <w:shd w:val="clear" w:color="auto" w:fill="002060"/>
            <w:noWrap/>
            <w:hideMark/>
          </w:tcPr>
          <w:p w14:paraId="7407ECE9" w14:textId="77777777" w:rsidR="00524B1B" w:rsidRPr="003D27BA" w:rsidRDefault="00524B1B" w:rsidP="00AE6341">
            <w:pPr>
              <w:jc w:val="right"/>
              <w:rPr>
                <w:rFonts w:eastAsia="Times New Roman" w:cstheme="minorHAnsi"/>
                <w:b/>
                <w:bCs/>
                <w:color w:val="FFFFFF" w:themeColor="background1"/>
                <w:sz w:val="16"/>
                <w:szCs w:val="16"/>
                <w:lang w:eastAsia="hr-HR"/>
              </w:rPr>
            </w:pPr>
            <w:r w:rsidRPr="003D27BA">
              <w:rPr>
                <w:b/>
                <w:bCs/>
                <w:color w:val="FFFFFF" w:themeColor="background1"/>
                <w:sz w:val="16"/>
                <w:szCs w:val="16"/>
              </w:rPr>
              <w:t>16.408.072.346</w:t>
            </w:r>
          </w:p>
        </w:tc>
        <w:tc>
          <w:tcPr>
            <w:tcW w:w="1831" w:type="dxa"/>
            <w:shd w:val="clear" w:color="auto" w:fill="002060"/>
            <w:noWrap/>
            <w:hideMark/>
          </w:tcPr>
          <w:p w14:paraId="6F1891B7" w14:textId="77777777" w:rsidR="00524B1B" w:rsidRPr="003D27BA" w:rsidRDefault="00524B1B" w:rsidP="00AE6341">
            <w:pPr>
              <w:jc w:val="right"/>
              <w:rPr>
                <w:rFonts w:eastAsia="Times New Roman" w:cstheme="minorHAnsi"/>
                <w:b/>
                <w:bCs/>
                <w:color w:val="FFFFFF" w:themeColor="background1"/>
                <w:sz w:val="16"/>
                <w:szCs w:val="16"/>
                <w:lang w:eastAsia="hr-HR"/>
              </w:rPr>
            </w:pPr>
            <w:r w:rsidRPr="003D27BA">
              <w:rPr>
                <w:b/>
                <w:bCs/>
                <w:color w:val="FFFFFF" w:themeColor="background1"/>
                <w:sz w:val="16"/>
                <w:szCs w:val="16"/>
              </w:rPr>
              <w:t>2.177.725.442</w:t>
            </w:r>
          </w:p>
        </w:tc>
      </w:tr>
    </w:tbl>
    <w:p w14:paraId="6D5E3258" w14:textId="77777777" w:rsidR="00D0421B" w:rsidRPr="00D0421B" w:rsidRDefault="00D0421B" w:rsidP="00DE1B14"/>
    <w:p w14:paraId="6505A640" w14:textId="5FC188D7" w:rsidR="00596ABF" w:rsidRDefault="00596ABF" w:rsidP="0018450E">
      <w:pPr>
        <w:pStyle w:val="IRNaslov1"/>
        <w:numPr>
          <w:ilvl w:val="0"/>
          <w:numId w:val="22"/>
        </w:numPr>
        <w:ind w:left="709" w:hanging="709"/>
      </w:pPr>
      <w:bookmarkStart w:id="353" w:name="_Toc123211703"/>
      <w:r>
        <w:lastRenderedPageBreak/>
        <w:t>TERMINSKI PLAN PROVEDBE PLANA GOSPODARENJA OTPADOM REPUBLIKE</w:t>
      </w:r>
      <w:r w:rsidR="00CE37FF">
        <w:t xml:space="preserve"> </w:t>
      </w:r>
      <w:r>
        <w:t>HRVATSKE</w:t>
      </w:r>
      <w:bookmarkEnd w:id="353"/>
    </w:p>
    <w:p w14:paraId="0D6850E7" w14:textId="77777777" w:rsidR="00BF051A" w:rsidRDefault="00BF051A" w:rsidP="00045752">
      <w:pPr>
        <w:sectPr w:rsidR="00BF051A" w:rsidSect="00196753">
          <w:pgSz w:w="11906" w:h="16838"/>
          <w:pgMar w:top="1440" w:right="1440" w:bottom="1440" w:left="1440" w:header="708" w:footer="708" w:gutter="0"/>
          <w:cols w:space="720"/>
        </w:sectPr>
      </w:pPr>
    </w:p>
    <w:p w14:paraId="725A0779" w14:textId="7835F1E1" w:rsidR="00BF051A" w:rsidRPr="00BB2706" w:rsidRDefault="00BF051A" w:rsidP="00BB2706">
      <w:pPr>
        <w:pStyle w:val="Tablica"/>
      </w:pPr>
      <w:bookmarkStart w:id="354" w:name="_Toc125364459"/>
      <w:r w:rsidRPr="00BB2706">
        <w:lastRenderedPageBreak/>
        <w:t xml:space="preserve">Tablica </w:t>
      </w:r>
      <w:fldSimple w:instr=" SEQ Tablica \* ARABIC ">
        <w:r w:rsidR="00F37B62">
          <w:rPr>
            <w:noProof/>
          </w:rPr>
          <w:t>70</w:t>
        </w:r>
      </w:fldSimple>
      <w:r w:rsidRPr="00BB2706">
        <w:t xml:space="preserve">. </w:t>
      </w:r>
      <w:r w:rsidRPr="00BB2706">
        <w:rPr>
          <w:b w:val="0"/>
        </w:rPr>
        <w:t>Terminski plan provedbe plana gospodarenjem otpadom Republike Hrvatske</w:t>
      </w:r>
      <w:bookmarkEnd w:id="354"/>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5335"/>
        <w:gridCol w:w="1082"/>
        <w:gridCol w:w="1663"/>
        <w:gridCol w:w="1520"/>
        <w:gridCol w:w="662"/>
        <w:gridCol w:w="662"/>
        <w:gridCol w:w="662"/>
        <w:gridCol w:w="662"/>
        <w:gridCol w:w="743"/>
        <w:gridCol w:w="743"/>
        <w:gridCol w:w="6297"/>
      </w:tblGrid>
      <w:tr w:rsidR="00BF051A" w:rsidRPr="00925933" w14:paraId="7914197D" w14:textId="77777777" w:rsidTr="00F00704">
        <w:trPr>
          <w:cantSplit/>
          <w:trHeight w:val="20"/>
          <w:tblHeader/>
        </w:trPr>
        <w:tc>
          <w:tcPr>
            <w:tcW w:w="0" w:type="auto"/>
            <w:gridSpan w:val="2"/>
            <w:vMerge w:val="restart"/>
            <w:shd w:val="clear" w:color="auto" w:fill="D0CECE" w:themeFill="background2" w:themeFillShade="E6"/>
            <w:vAlign w:val="center"/>
            <w:hideMark/>
          </w:tcPr>
          <w:p w14:paraId="59E61D9D"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Aktivnosti i</w:t>
            </w:r>
            <w:r w:rsidRPr="00925933">
              <w:rPr>
                <w:rFonts w:eastAsia="Times New Roman" w:cstheme="minorHAnsi"/>
                <w:b/>
                <w:bCs/>
                <w:sz w:val="16"/>
                <w:szCs w:val="16"/>
                <w:lang w:eastAsia="hr-HR"/>
              </w:rPr>
              <w:br/>
              <w:t xml:space="preserve"> mjere</w:t>
            </w:r>
          </w:p>
        </w:tc>
        <w:tc>
          <w:tcPr>
            <w:tcW w:w="0" w:type="auto"/>
            <w:vMerge w:val="restart"/>
            <w:shd w:val="clear" w:color="auto" w:fill="D0CECE" w:themeFill="background2" w:themeFillShade="E6"/>
            <w:vAlign w:val="center"/>
            <w:hideMark/>
          </w:tcPr>
          <w:p w14:paraId="6C0AE441"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Nositelj aktivnosti</w:t>
            </w:r>
          </w:p>
        </w:tc>
        <w:tc>
          <w:tcPr>
            <w:tcW w:w="0" w:type="auto"/>
            <w:vMerge w:val="restart"/>
            <w:shd w:val="clear" w:color="auto" w:fill="D0CECE" w:themeFill="background2" w:themeFillShade="E6"/>
            <w:vAlign w:val="center"/>
            <w:hideMark/>
          </w:tcPr>
          <w:p w14:paraId="78E371BE" w14:textId="77777777" w:rsidR="00BF051A" w:rsidRPr="00925933" w:rsidRDefault="00BF051A" w:rsidP="00F00704">
            <w:pPr>
              <w:spacing w:after="0" w:line="240" w:lineRule="auto"/>
              <w:jc w:val="center"/>
              <w:rPr>
                <w:rFonts w:eastAsia="Times New Roman" w:cstheme="minorHAnsi"/>
                <w:b/>
                <w:bCs/>
                <w:sz w:val="16"/>
                <w:szCs w:val="16"/>
                <w:lang w:eastAsia="hr-HR"/>
              </w:rPr>
            </w:pPr>
            <w:proofErr w:type="spellStart"/>
            <w:r w:rsidRPr="00925933">
              <w:rPr>
                <w:rFonts w:eastAsia="Times New Roman" w:cstheme="minorHAnsi"/>
                <w:b/>
                <w:bCs/>
                <w:sz w:val="16"/>
                <w:szCs w:val="16"/>
                <w:lang w:eastAsia="hr-HR"/>
              </w:rPr>
              <w:t>Sunositelji</w:t>
            </w:r>
            <w:proofErr w:type="spellEnd"/>
            <w:r w:rsidRPr="00925933">
              <w:rPr>
                <w:rFonts w:eastAsia="Times New Roman" w:cstheme="minorHAnsi"/>
                <w:b/>
                <w:bCs/>
                <w:sz w:val="16"/>
                <w:szCs w:val="16"/>
                <w:lang w:eastAsia="hr-HR"/>
              </w:rPr>
              <w:t xml:space="preserve"> aktivnosti</w:t>
            </w:r>
          </w:p>
        </w:tc>
        <w:tc>
          <w:tcPr>
            <w:tcW w:w="0" w:type="auto"/>
            <w:vMerge w:val="restart"/>
            <w:shd w:val="clear" w:color="auto" w:fill="D0CECE" w:themeFill="background2" w:themeFillShade="E6"/>
            <w:vAlign w:val="center"/>
            <w:hideMark/>
          </w:tcPr>
          <w:p w14:paraId="488F8806"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Mogući izvori financiranja</w:t>
            </w:r>
          </w:p>
        </w:tc>
        <w:tc>
          <w:tcPr>
            <w:tcW w:w="0" w:type="auto"/>
            <w:gridSpan w:val="6"/>
            <w:shd w:val="clear" w:color="auto" w:fill="D0CECE" w:themeFill="background2" w:themeFillShade="E6"/>
            <w:vAlign w:val="center"/>
            <w:hideMark/>
          </w:tcPr>
          <w:p w14:paraId="45622DB7"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Terminski plan/indikatori</w:t>
            </w:r>
          </w:p>
        </w:tc>
        <w:tc>
          <w:tcPr>
            <w:tcW w:w="0" w:type="auto"/>
            <w:vMerge w:val="restart"/>
            <w:shd w:val="clear" w:color="auto" w:fill="D0CECE" w:themeFill="background2" w:themeFillShade="E6"/>
            <w:noWrap/>
            <w:vAlign w:val="center"/>
            <w:hideMark/>
          </w:tcPr>
          <w:p w14:paraId="62808FA8" w14:textId="77777777" w:rsidR="00BF051A" w:rsidRPr="00925933" w:rsidRDefault="00BF051A" w:rsidP="00F00704">
            <w:pPr>
              <w:tabs>
                <w:tab w:val="left" w:pos="4428"/>
              </w:tabs>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Naziv indikatora</w:t>
            </w:r>
            <w:r>
              <w:rPr>
                <w:rFonts w:eastAsia="Times New Roman" w:cstheme="minorHAnsi"/>
                <w:b/>
                <w:bCs/>
                <w:sz w:val="16"/>
                <w:szCs w:val="16"/>
                <w:lang w:eastAsia="hr-HR"/>
              </w:rPr>
              <w:t>/(mjerna jedinica)</w:t>
            </w:r>
          </w:p>
        </w:tc>
      </w:tr>
      <w:tr w:rsidR="00BF051A" w:rsidRPr="00925933" w14:paraId="616873A7" w14:textId="77777777" w:rsidTr="00F00704">
        <w:trPr>
          <w:cantSplit/>
          <w:trHeight w:val="401"/>
          <w:tblHeader/>
        </w:trPr>
        <w:tc>
          <w:tcPr>
            <w:tcW w:w="0" w:type="auto"/>
            <w:gridSpan w:val="2"/>
            <w:vMerge/>
            <w:tcBorders>
              <w:bottom w:val="single" w:sz="4" w:space="0" w:color="auto"/>
            </w:tcBorders>
            <w:shd w:val="clear" w:color="auto" w:fill="D0CECE" w:themeFill="background2" w:themeFillShade="E6"/>
            <w:vAlign w:val="center"/>
            <w:hideMark/>
          </w:tcPr>
          <w:p w14:paraId="1322BB1C" w14:textId="77777777" w:rsidR="00BF051A" w:rsidRPr="00925933" w:rsidRDefault="00BF051A" w:rsidP="00F00704">
            <w:pPr>
              <w:spacing w:after="0" w:line="240" w:lineRule="auto"/>
              <w:rPr>
                <w:rFonts w:eastAsia="Times New Roman" w:cstheme="minorHAnsi"/>
                <w:b/>
                <w:bCs/>
                <w:sz w:val="16"/>
                <w:szCs w:val="16"/>
                <w:lang w:eastAsia="hr-HR"/>
              </w:rPr>
            </w:pPr>
          </w:p>
        </w:tc>
        <w:tc>
          <w:tcPr>
            <w:tcW w:w="0" w:type="auto"/>
            <w:vMerge/>
            <w:tcBorders>
              <w:bottom w:val="single" w:sz="4" w:space="0" w:color="auto"/>
            </w:tcBorders>
            <w:shd w:val="clear" w:color="auto" w:fill="D0CECE" w:themeFill="background2" w:themeFillShade="E6"/>
            <w:vAlign w:val="center"/>
            <w:hideMark/>
          </w:tcPr>
          <w:p w14:paraId="3670EDD3" w14:textId="77777777" w:rsidR="00BF051A" w:rsidRPr="00925933" w:rsidRDefault="00BF051A" w:rsidP="00F00704">
            <w:pPr>
              <w:spacing w:after="0" w:line="240" w:lineRule="auto"/>
              <w:rPr>
                <w:rFonts w:eastAsia="Times New Roman" w:cstheme="minorHAnsi"/>
                <w:b/>
                <w:bCs/>
                <w:sz w:val="16"/>
                <w:szCs w:val="16"/>
                <w:lang w:eastAsia="hr-HR"/>
              </w:rPr>
            </w:pPr>
          </w:p>
        </w:tc>
        <w:tc>
          <w:tcPr>
            <w:tcW w:w="0" w:type="auto"/>
            <w:vMerge/>
            <w:tcBorders>
              <w:bottom w:val="single" w:sz="4" w:space="0" w:color="auto"/>
            </w:tcBorders>
            <w:shd w:val="clear" w:color="auto" w:fill="D0CECE" w:themeFill="background2" w:themeFillShade="E6"/>
            <w:vAlign w:val="center"/>
            <w:hideMark/>
          </w:tcPr>
          <w:p w14:paraId="25608A86" w14:textId="77777777" w:rsidR="00BF051A" w:rsidRPr="00925933" w:rsidRDefault="00BF051A" w:rsidP="00F00704">
            <w:pPr>
              <w:spacing w:after="0" w:line="240" w:lineRule="auto"/>
              <w:rPr>
                <w:rFonts w:eastAsia="Times New Roman" w:cstheme="minorHAnsi"/>
                <w:b/>
                <w:bCs/>
                <w:sz w:val="16"/>
                <w:szCs w:val="16"/>
                <w:lang w:eastAsia="hr-HR"/>
              </w:rPr>
            </w:pPr>
          </w:p>
        </w:tc>
        <w:tc>
          <w:tcPr>
            <w:tcW w:w="0" w:type="auto"/>
            <w:vMerge/>
            <w:tcBorders>
              <w:bottom w:val="single" w:sz="4" w:space="0" w:color="auto"/>
            </w:tcBorders>
            <w:shd w:val="clear" w:color="auto" w:fill="D0CECE" w:themeFill="background2" w:themeFillShade="E6"/>
            <w:vAlign w:val="center"/>
            <w:hideMark/>
          </w:tcPr>
          <w:p w14:paraId="03AF0C7A" w14:textId="77777777" w:rsidR="00BF051A" w:rsidRPr="00925933" w:rsidRDefault="00BF051A" w:rsidP="00F00704">
            <w:pPr>
              <w:spacing w:after="0" w:line="240" w:lineRule="auto"/>
              <w:rPr>
                <w:rFonts w:eastAsia="Times New Roman" w:cstheme="minorHAnsi"/>
                <w:b/>
                <w:bCs/>
                <w:sz w:val="16"/>
                <w:szCs w:val="16"/>
                <w:lang w:eastAsia="hr-HR"/>
              </w:rPr>
            </w:pPr>
          </w:p>
        </w:tc>
        <w:tc>
          <w:tcPr>
            <w:tcW w:w="0" w:type="auto"/>
            <w:tcBorders>
              <w:bottom w:val="single" w:sz="4" w:space="0" w:color="auto"/>
            </w:tcBorders>
            <w:shd w:val="clear" w:color="auto" w:fill="D0CECE" w:themeFill="background2" w:themeFillShade="E6"/>
            <w:vAlign w:val="center"/>
            <w:hideMark/>
          </w:tcPr>
          <w:p w14:paraId="6D7E56F8"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2023.</w:t>
            </w:r>
          </w:p>
        </w:tc>
        <w:tc>
          <w:tcPr>
            <w:tcW w:w="0" w:type="auto"/>
            <w:tcBorders>
              <w:bottom w:val="single" w:sz="4" w:space="0" w:color="auto"/>
            </w:tcBorders>
            <w:shd w:val="clear" w:color="auto" w:fill="D0CECE" w:themeFill="background2" w:themeFillShade="E6"/>
            <w:vAlign w:val="center"/>
            <w:hideMark/>
          </w:tcPr>
          <w:p w14:paraId="22DB6035"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2024.</w:t>
            </w:r>
          </w:p>
        </w:tc>
        <w:tc>
          <w:tcPr>
            <w:tcW w:w="0" w:type="auto"/>
            <w:tcBorders>
              <w:bottom w:val="single" w:sz="4" w:space="0" w:color="auto"/>
            </w:tcBorders>
            <w:shd w:val="clear" w:color="auto" w:fill="D0CECE" w:themeFill="background2" w:themeFillShade="E6"/>
            <w:vAlign w:val="center"/>
            <w:hideMark/>
          </w:tcPr>
          <w:p w14:paraId="55068B53"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2025.</w:t>
            </w:r>
          </w:p>
        </w:tc>
        <w:tc>
          <w:tcPr>
            <w:tcW w:w="0" w:type="auto"/>
            <w:tcBorders>
              <w:bottom w:val="single" w:sz="4" w:space="0" w:color="auto"/>
            </w:tcBorders>
            <w:shd w:val="clear" w:color="auto" w:fill="D0CECE" w:themeFill="background2" w:themeFillShade="E6"/>
            <w:vAlign w:val="center"/>
            <w:hideMark/>
          </w:tcPr>
          <w:p w14:paraId="771BC039"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2026.</w:t>
            </w:r>
          </w:p>
        </w:tc>
        <w:tc>
          <w:tcPr>
            <w:tcW w:w="0" w:type="auto"/>
            <w:tcBorders>
              <w:bottom w:val="single" w:sz="4" w:space="0" w:color="auto"/>
            </w:tcBorders>
            <w:shd w:val="clear" w:color="auto" w:fill="D0CECE" w:themeFill="background2" w:themeFillShade="E6"/>
            <w:vAlign w:val="center"/>
            <w:hideMark/>
          </w:tcPr>
          <w:p w14:paraId="7EAA3913"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2027.</w:t>
            </w:r>
          </w:p>
        </w:tc>
        <w:tc>
          <w:tcPr>
            <w:tcW w:w="0" w:type="auto"/>
            <w:tcBorders>
              <w:bottom w:val="single" w:sz="4" w:space="0" w:color="auto"/>
            </w:tcBorders>
            <w:shd w:val="clear" w:color="auto" w:fill="D0CECE" w:themeFill="background2" w:themeFillShade="E6"/>
            <w:noWrap/>
            <w:vAlign w:val="center"/>
            <w:hideMark/>
          </w:tcPr>
          <w:p w14:paraId="635C7D2B"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2028.</w:t>
            </w:r>
          </w:p>
        </w:tc>
        <w:tc>
          <w:tcPr>
            <w:tcW w:w="0" w:type="auto"/>
            <w:vMerge/>
            <w:tcBorders>
              <w:bottom w:val="single" w:sz="4" w:space="0" w:color="auto"/>
            </w:tcBorders>
            <w:shd w:val="clear" w:color="auto" w:fill="D0CECE" w:themeFill="background2" w:themeFillShade="E6"/>
            <w:vAlign w:val="center"/>
            <w:hideMark/>
          </w:tcPr>
          <w:p w14:paraId="6E3AD0C8" w14:textId="77777777" w:rsidR="00BF051A" w:rsidRPr="00925933" w:rsidRDefault="00BF051A" w:rsidP="00F00704">
            <w:pPr>
              <w:spacing w:after="0" w:line="240" w:lineRule="auto"/>
              <w:jc w:val="center"/>
              <w:rPr>
                <w:rFonts w:eastAsia="Times New Roman" w:cstheme="minorHAnsi"/>
                <w:b/>
                <w:bCs/>
                <w:sz w:val="16"/>
                <w:szCs w:val="16"/>
                <w:lang w:eastAsia="hr-HR"/>
              </w:rPr>
            </w:pPr>
          </w:p>
        </w:tc>
      </w:tr>
      <w:tr w:rsidR="00BF051A" w:rsidRPr="00925933" w14:paraId="7E3F5E8C" w14:textId="77777777" w:rsidTr="00F00704">
        <w:trPr>
          <w:cantSplit/>
          <w:trHeight w:val="20"/>
          <w:tblHeader/>
        </w:trPr>
        <w:tc>
          <w:tcPr>
            <w:tcW w:w="0" w:type="auto"/>
            <w:gridSpan w:val="12"/>
            <w:shd w:val="clear" w:color="auto" w:fill="002060"/>
            <w:noWrap/>
            <w:vAlign w:val="center"/>
          </w:tcPr>
          <w:p w14:paraId="7F29B630" w14:textId="77777777" w:rsidR="00BF051A" w:rsidRPr="00925933" w:rsidRDefault="00BF051A" w:rsidP="00F00704">
            <w:pPr>
              <w:spacing w:after="0" w:line="240" w:lineRule="auto"/>
              <w:jc w:val="center"/>
              <w:rPr>
                <w:rFonts w:eastAsia="Times New Roman" w:cstheme="minorHAnsi"/>
                <w:b/>
                <w:bCs/>
                <w:color w:val="FFFFFF" w:themeColor="background1"/>
                <w:sz w:val="16"/>
                <w:szCs w:val="16"/>
                <w:lang w:eastAsia="hr-HR"/>
              </w:rPr>
            </w:pPr>
            <w:r w:rsidRPr="00925933">
              <w:rPr>
                <w:rFonts w:eastAsia="Times New Roman" w:cstheme="minorHAnsi"/>
                <w:b/>
                <w:bCs/>
                <w:color w:val="FFFFFF" w:themeColor="background1"/>
                <w:sz w:val="16"/>
                <w:szCs w:val="16"/>
                <w:lang w:eastAsia="hr-HR"/>
              </w:rPr>
              <w:t>MJERE I AKTIVNOSTI ZA OSTAVARENJE Cilja 1.  PGO – Komunalni otpad</w:t>
            </w:r>
          </w:p>
        </w:tc>
      </w:tr>
      <w:tr w:rsidR="00BF051A" w:rsidRPr="00925933" w14:paraId="04AFF5CF" w14:textId="77777777" w:rsidTr="00F00704">
        <w:trPr>
          <w:cantSplit/>
          <w:trHeight w:val="20"/>
        </w:trPr>
        <w:tc>
          <w:tcPr>
            <w:tcW w:w="0" w:type="auto"/>
            <w:shd w:val="clear" w:color="000000" w:fill="5B9BD5"/>
            <w:noWrap/>
            <w:vAlign w:val="center"/>
            <w:hideMark/>
          </w:tcPr>
          <w:p w14:paraId="601B1EAA"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1.</w:t>
            </w:r>
          </w:p>
        </w:tc>
        <w:tc>
          <w:tcPr>
            <w:tcW w:w="0" w:type="auto"/>
            <w:gridSpan w:val="11"/>
            <w:shd w:val="clear" w:color="000000" w:fill="5B9BD5"/>
            <w:vAlign w:val="center"/>
            <w:hideMark/>
          </w:tcPr>
          <w:p w14:paraId="0B7438B4" w14:textId="77777777" w:rsidR="00BF051A" w:rsidRPr="009D1D3C"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Unaprjeđenje sustava za odvojeno sakupljanje komunalnog otpada i infrastrukture (kapaciteta i tehnologije) za recikliranje i druge postupke oporabe komunalnog otpada</w:t>
            </w:r>
          </w:p>
        </w:tc>
      </w:tr>
      <w:tr w:rsidR="00BF051A" w:rsidRPr="00925933" w14:paraId="704F5999" w14:textId="77777777" w:rsidTr="00F00704">
        <w:trPr>
          <w:cantSplit/>
          <w:trHeight w:val="20"/>
        </w:trPr>
        <w:tc>
          <w:tcPr>
            <w:tcW w:w="0" w:type="auto"/>
            <w:shd w:val="clear" w:color="000000" w:fill="E6EBF6"/>
            <w:noWrap/>
            <w:vAlign w:val="center"/>
            <w:hideMark/>
          </w:tcPr>
          <w:p w14:paraId="6D75C450"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1.1.</w:t>
            </w:r>
          </w:p>
        </w:tc>
        <w:tc>
          <w:tcPr>
            <w:tcW w:w="0" w:type="auto"/>
            <w:shd w:val="clear" w:color="000000" w:fill="E6EBF6"/>
            <w:vAlign w:val="center"/>
            <w:hideMark/>
          </w:tcPr>
          <w:p w14:paraId="59F92127"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Nabava opreme, vozila i plovila za odvojeno prikupljanje papira, kartona, metala, plastike, stakla, tekstila, biootpada</w:t>
            </w:r>
          </w:p>
        </w:tc>
        <w:tc>
          <w:tcPr>
            <w:tcW w:w="0" w:type="auto"/>
            <w:shd w:val="clear" w:color="000000" w:fill="E6EBF6"/>
            <w:noWrap/>
            <w:vAlign w:val="center"/>
            <w:hideMark/>
          </w:tcPr>
          <w:p w14:paraId="4579CB2E"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JLS</w:t>
            </w:r>
          </w:p>
        </w:tc>
        <w:tc>
          <w:tcPr>
            <w:tcW w:w="0" w:type="auto"/>
            <w:shd w:val="clear" w:color="auto" w:fill="auto"/>
            <w:noWrap/>
            <w:vAlign w:val="center"/>
            <w:hideMark/>
          </w:tcPr>
          <w:p w14:paraId="6C7480C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JL(R)S/MINGOR</w:t>
            </w:r>
          </w:p>
        </w:tc>
        <w:tc>
          <w:tcPr>
            <w:tcW w:w="0" w:type="auto"/>
            <w:shd w:val="clear" w:color="auto" w:fill="auto"/>
            <w:noWrap/>
            <w:vAlign w:val="center"/>
            <w:hideMark/>
          </w:tcPr>
          <w:p w14:paraId="4C7CF65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JLS/FZOEU/EU/PU</w:t>
            </w:r>
          </w:p>
        </w:tc>
        <w:tc>
          <w:tcPr>
            <w:tcW w:w="0" w:type="auto"/>
            <w:shd w:val="clear" w:color="auto" w:fill="E2EFD9" w:themeFill="accent6" w:themeFillTint="33"/>
            <w:vAlign w:val="center"/>
            <w:hideMark/>
          </w:tcPr>
          <w:p w14:paraId="710302F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28</w:t>
            </w:r>
          </w:p>
        </w:tc>
        <w:tc>
          <w:tcPr>
            <w:tcW w:w="0" w:type="auto"/>
            <w:shd w:val="clear" w:color="auto" w:fill="E2EFD9" w:themeFill="accent6" w:themeFillTint="33"/>
            <w:vAlign w:val="center"/>
            <w:hideMark/>
          </w:tcPr>
          <w:p w14:paraId="1B952FF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44</w:t>
            </w:r>
          </w:p>
        </w:tc>
        <w:tc>
          <w:tcPr>
            <w:tcW w:w="0" w:type="auto"/>
            <w:shd w:val="clear" w:color="auto" w:fill="E2EFD9" w:themeFill="accent6" w:themeFillTint="33"/>
            <w:vAlign w:val="center"/>
            <w:hideMark/>
          </w:tcPr>
          <w:p w14:paraId="455D209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56</w:t>
            </w:r>
          </w:p>
        </w:tc>
        <w:tc>
          <w:tcPr>
            <w:tcW w:w="0" w:type="auto"/>
            <w:shd w:val="clear" w:color="auto" w:fill="E2EFD9" w:themeFill="accent6" w:themeFillTint="33"/>
            <w:vAlign w:val="center"/>
            <w:hideMark/>
          </w:tcPr>
          <w:p w14:paraId="20B749B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83</w:t>
            </w:r>
          </w:p>
        </w:tc>
        <w:tc>
          <w:tcPr>
            <w:tcW w:w="0" w:type="auto"/>
            <w:shd w:val="clear" w:color="auto" w:fill="E2EFD9" w:themeFill="accent6" w:themeFillTint="33"/>
            <w:noWrap/>
            <w:vAlign w:val="center"/>
            <w:hideMark/>
          </w:tcPr>
          <w:p w14:paraId="3293F907"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139</w:t>
            </w:r>
          </w:p>
        </w:tc>
        <w:tc>
          <w:tcPr>
            <w:tcW w:w="0" w:type="auto"/>
            <w:shd w:val="clear" w:color="auto" w:fill="E2EFD9" w:themeFill="accent6" w:themeFillTint="33"/>
            <w:noWrap/>
            <w:vAlign w:val="center"/>
            <w:hideMark/>
          </w:tcPr>
          <w:p w14:paraId="71C54B9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206</w:t>
            </w:r>
          </w:p>
        </w:tc>
        <w:tc>
          <w:tcPr>
            <w:tcW w:w="0" w:type="auto"/>
            <w:shd w:val="clear" w:color="auto" w:fill="auto"/>
            <w:vAlign w:val="center"/>
            <w:hideMark/>
          </w:tcPr>
          <w:p w14:paraId="38F10B90"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 koje imaju uspostavljeni sustav odvojenog prikupljanja papira, kartona, metala, plastike, stakla, tekstila, biootpada</w:t>
            </w:r>
            <w:r>
              <w:rPr>
                <w:rFonts w:eastAsia="Times New Roman" w:cstheme="minorHAnsi"/>
                <w:sz w:val="16"/>
                <w:szCs w:val="16"/>
                <w:lang w:eastAsia="hr-HR"/>
              </w:rPr>
              <w:t xml:space="preserve"> </w:t>
            </w:r>
          </w:p>
          <w:p w14:paraId="12555FF8"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(broj JLS)</w:t>
            </w:r>
          </w:p>
        </w:tc>
      </w:tr>
      <w:tr w:rsidR="00BF051A" w:rsidRPr="00925933" w14:paraId="64CD6029" w14:textId="77777777" w:rsidTr="00F00704">
        <w:trPr>
          <w:cantSplit/>
          <w:trHeight w:val="20"/>
        </w:trPr>
        <w:tc>
          <w:tcPr>
            <w:tcW w:w="0" w:type="auto"/>
            <w:shd w:val="clear" w:color="000000" w:fill="E6EBF6"/>
            <w:noWrap/>
            <w:vAlign w:val="center"/>
            <w:hideMark/>
          </w:tcPr>
          <w:p w14:paraId="2F2D3EBD"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1.2.</w:t>
            </w:r>
          </w:p>
        </w:tc>
        <w:tc>
          <w:tcPr>
            <w:tcW w:w="0" w:type="auto"/>
            <w:shd w:val="clear" w:color="000000" w:fill="E6EBF6"/>
            <w:vAlign w:val="center"/>
            <w:hideMark/>
          </w:tcPr>
          <w:p w14:paraId="75CCB1BF"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Izgradnja i opremanje novih postrojenja za sortiranje odvojeno prikupljenog papira, kartona, metala, stakla, plastike i dr. (</w:t>
            </w:r>
            <w:proofErr w:type="spellStart"/>
            <w:r w:rsidRPr="00925933">
              <w:rPr>
                <w:rFonts w:eastAsia="Times New Roman" w:cstheme="minorHAnsi"/>
                <w:color w:val="000000"/>
                <w:sz w:val="16"/>
                <w:szCs w:val="16"/>
                <w:lang w:eastAsia="hr-HR"/>
              </w:rPr>
              <w:t>sortirnica</w:t>
            </w:r>
            <w:proofErr w:type="spellEnd"/>
            <w:r w:rsidRPr="00925933">
              <w:rPr>
                <w:rFonts w:eastAsia="Times New Roman" w:cstheme="minorHAnsi"/>
                <w:color w:val="000000"/>
                <w:sz w:val="16"/>
                <w:szCs w:val="16"/>
                <w:lang w:eastAsia="hr-HR"/>
              </w:rPr>
              <w:t xml:space="preserve">) i/ili povećanje kapaciteta i tehnološko unaprjeđenje postojećih postrojenja </w:t>
            </w:r>
          </w:p>
        </w:tc>
        <w:tc>
          <w:tcPr>
            <w:tcW w:w="0" w:type="auto"/>
            <w:shd w:val="clear" w:color="000000" w:fill="E6EBF6"/>
            <w:noWrap/>
            <w:vAlign w:val="center"/>
            <w:hideMark/>
          </w:tcPr>
          <w:p w14:paraId="48CBEB77"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JLS</w:t>
            </w:r>
          </w:p>
        </w:tc>
        <w:tc>
          <w:tcPr>
            <w:tcW w:w="0" w:type="auto"/>
            <w:shd w:val="clear" w:color="auto" w:fill="auto"/>
            <w:noWrap/>
            <w:vAlign w:val="center"/>
            <w:hideMark/>
          </w:tcPr>
          <w:p w14:paraId="52151077"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JL(R)S</w:t>
            </w:r>
          </w:p>
        </w:tc>
        <w:tc>
          <w:tcPr>
            <w:tcW w:w="0" w:type="auto"/>
            <w:shd w:val="clear" w:color="auto" w:fill="auto"/>
            <w:noWrap/>
            <w:vAlign w:val="center"/>
            <w:hideMark/>
          </w:tcPr>
          <w:p w14:paraId="0D25961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JLS/EU/PU</w:t>
            </w:r>
          </w:p>
        </w:tc>
        <w:tc>
          <w:tcPr>
            <w:tcW w:w="0" w:type="auto"/>
            <w:shd w:val="clear" w:color="auto" w:fill="E2EFD9" w:themeFill="accent6" w:themeFillTint="33"/>
            <w:vAlign w:val="center"/>
            <w:hideMark/>
          </w:tcPr>
          <w:p w14:paraId="75FB1F81"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29.344</w:t>
            </w:r>
          </w:p>
        </w:tc>
        <w:tc>
          <w:tcPr>
            <w:tcW w:w="0" w:type="auto"/>
            <w:shd w:val="clear" w:color="auto" w:fill="E2EFD9" w:themeFill="accent6" w:themeFillTint="33"/>
            <w:vAlign w:val="center"/>
            <w:hideMark/>
          </w:tcPr>
          <w:p w14:paraId="3DF49871"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46.950</w:t>
            </w:r>
          </w:p>
        </w:tc>
        <w:tc>
          <w:tcPr>
            <w:tcW w:w="0" w:type="auto"/>
            <w:shd w:val="clear" w:color="auto" w:fill="E2EFD9" w:themeFill="accent6" w:themeFillTint="33"/>
            <w:vAlign w:val="center"/>
            <w:hideMark/>
          </w:tcPr>
          <w:p w14:paraId="6B88F53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58.688</w:t>
            </w:r>
          </w:p>
        </w:tc>
        <w:tc>
          <w:tcPr>
            <w:tcW w:w="0" w:type="auto"/>
            <w:shd w:val="clear" w:color="auto" w:fill="E2EFD9" w:themeFill="accent6" w:themeFillTint="33"/>
            <w:vAlign w:val="center"/>
            <w:hideMark/>
          </w:tcPr>
          <w:p w14:paraId="003390A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88.031</w:t>
            </w:r>
          </w:p>
        </w:tc>
        <w:tc>
          <w:tcPr>
            <w:tcW w:w="0" w:type="auto"/>
            <w:shd w:val="clear" w:color="auto" w:fill="E2EFD9" w:themeFill="accent6" w:themeFillTint="33"/>
            <w:vAlign w:val="center"/>
            <w:hideMark/>
          </w:tcPr>
          <w:p w14:paraId="55420D1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146.719</w:t>
            </w:r>
          </w:p>
        </w:tc>
        <w:tc>
          <w:tcPr>
            <w:tcW w:w="0" w:type="auto"/>
            <w:shd w:val="clear" w:color="auto" w:fill="E2EFD9" w:themeFill="accent6" w:themeFillTint="33"/>
            <w:noWrap/>
            <w:vAlign w:val="center"/>
            <w:hideMark/>
          </w:tcPr>
          <w:p w14:paraId="61FD402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217.144</w:t>
            </w:r>
          </w:p>
        </w:tc>
        <w:tc>
          <w:tcPr>
            <w:tcW w:w="0" w:type="auto"/>
            <w:shd w:val="clear" w:color="auto" w:fill="auto"/>
            <w:vAlign w:val="center"/>
            <w:hideMark/>
          </w:tcPr>
          <w:p w14:paraId="4B936971"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Izgrađeno ili unaprijeđeno i funkcionalno postrojenje za sortiranje</w:t>
            </w:r>
          </w:p>
          <w:p w14:paraId="7140FA40"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(kapacitet, t/god)</w:t>
            </w:r>
          </w:p>
        </w:tc>
      </w:tr>
      <w:tr w:rsidR="00BF051A" w:rsidRPr="00925933" w14:paraId="14D7F2CB" w14:textId="77777777" w:rsidTr="00F00704">
        <w:trPr>
          <w:cantSplit/>
          <w:trHeight w:val="20"/>
        </w:trPr>
        <w:tc>
          <w:tcPr>
            <w:tcW w:w="0" w:type="auto"/>
            <w:shd w:val="clear" w:color="000000" w:fill="E6EBF6"/>
            <w:noWrap/>
            <w:vAlign w:val="center"/>
            <w:hideMark/>
          </w:tcPr>
          <w:p w14:paraId="35EEE8ED" w14:textId="77777777" w:rsidR="00BF051A" w:rsidRPr="00925933" w:rsidRDefault="00BF051A" w:rsidP="00F00704">
            <w:pPr>
              <w:spacing w:after="0" w:line="240" w:lineRule="auto"/>
              <w:jc w:val="right"/>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1.3.</w:t>
            </w:r>
          </w:p>
        </w:tc>
        <w:tc>
          <w:tcPr>
            <w:tcW w:w="0" w:type="auto"/>
            <w:shd w:val="clear" w:color="000000" w:fill="E6EBF6"/>
            <w:vAlign w:val="center"/>
            <w:hideMark/>
          </w:tcPr>
          <w:p w14:paraId="296A9262"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 xml:space="preserve">Izgradnja i opremanje </w:t>
            </w:r>
            <w:proofErr w:type="spellStart"/>
            <w:r w:rsidRPr="00925933">
              <w:rPr>
                <w:rFonts w:eastAsia="Times New Roman" w:cstheme="minorHAnsi"/>
                <w:color w:val="000000"/>
                <w:sz w:val="16"/>
                <w:szCs w:val="16"/>
                <w:lang w:eastAsia="hr-HR"/>
              </w:rPr>
              <w:t>reciklažnih</w:t>
            </w:r>
            <w:proofErr w:type="spellEnd"/>
            <w:r w:rsidRPr="00925933">
              <w:rPr>
                <w:rFonts w:eastAsia="Times New Roman" w:cstheme="minorHAnsi"/>
                <w:color w:val="000000"/>
                <w:sz w:val="16"/>
                <w:szCs w:val="16"/>
                <w:lang w:eastAsia="hr-HR"/>
              </w:rPr>
              <w:t xml:space="preserve"> dvorišta i nabava mobilnih </w:t>
            </w:r>
            <w:proofErr w:type="spellStart"/>
            <w:r w:rsidRPr="00925933">
              <w:rPr>
                <w:rFonts w:eastAsia="Times New Roman" w:cstheme="minorHAnsi"/>
                <w:color w:val="000000"/>
                <w:sz w:val="16"/>
                <w:szCs w:val="16"/>
                <w:lang w:eastAsia="hr-HR"/>
              </w:rPr>
              <w:t>reciklažnih</w:t>
            </w:r>
            <w:proofErr w:type="spellEnd"/>
            <w:r w:rsidRPr="00925933">
              <w:rPr>
                <w:rFonts w:eastAsia="Times New Roman" w:cstheme="minorHAnsi"/>
                <w:color w:val="000000"/>
                <w:sz w:val="16"/>
                <w:szCs w:val="16"/>
                <w:lang w:eastAsia="hr-HR"/>
              </w:rPr>
              <w:t xml:space="preserve"> dvorišta</w:t>
            </w:r>
          </w:p>
        </w:tc>
        <w:tc>
          <w:tcPr>
            <w:tcW w:w="0" w:type="auto"/>
            <w:shd w:val="clear" w:color="000000" w:fill="E6EBF6"/>
            <w:noWrap/>
            <w:vAlign w:val="center"/>
            <w:hideMark/>
          </w:tcPr>
          <w:p w14:paraId="787E7B9C"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JLS</w:t>
            </w:r>
          </w:p>
        </w:tc>
        <w:tc>
          <w:tcPr>
            <w:tcW w:w="0" w:type="auto"/>
            <w:shd w:val="clear" w:color="auto" w:fill="auto"/>
            <w:noWrap/>
            <w:vAlign w:val="center"/>
            <w:hideMark/>
          </w:tcPr>
          <w:p w14:paraId="275910D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noWrap/>
            <w:vAlign w:val="center"/>
            <w:hideMark/>
          </w:tcPr>
          <w:p w14:paraId="1EE8345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JLS/EU/PU</w:t>
            </w:r>
          </w:p>
        </w:tc>
        <w:tc>
          <w:tcPr>
            <w:tcW w:w="0" w:type="auto"/>
            <w:shd w:val="clear" w:color="auto" w:fill="E2EFD9" w:themeFill="accent6" w:themeFillTint="33"/>
            <w:vAlign w:val="center"/>
            <w:hideMark/>
          </w:tcPr>
          <w:p w14:paraId="4D2DC45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5</w:t>
            </w:r>
          </w:p>
        </w:tc>
        <w:tc>
          <w:tcPr>
            <w:tcW w:w="0" w:type="auto"/>
            <w:shd w:val="clear" w:color="auto" w:fill="E2EFD9" w:themeFill="accent6" w:themeFillTint="33"/>
            <w:vAlign w:val="center"/>
            <w:hideMark/>
          </w:tcPr>
          <w:p w14:paraId="6FD19D9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8</w:t>
            </w:r>
          </w:p>
        </w:tc>
        <w:tc>
          <w:tcPr>
            <w:tcW w:w="0" w:type="auto"/>
            <w:shd w:val="clear" w:color="auto" w:fill="E2EFD9" w:themeFill="accent6" w:themeFillTint="33"/>
            <w:vAlign w:val="center"/>
            <w:hideMark/>
          </w:tcPr>
          <w:p w14:paraId="5798545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10</w:t>
            </w:r>
          </w:p>
        </w:tc>
        <w:tc>
          <w:tcPr>
            <w:tcW w:w="0" w:type="auto"/>
            <w:shd w:val="clear" w:color="auto" w:fill="E2EFD9" w:themeFill="accent6" w:themeFillTint="33"/>
            <w:vAlign w:val="center"/>
            <w:hideMark/>
          </w:tcPr>
          <w:p w14:paraId="09E98D2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15</w:t>
            </w:r>
          </w:p>
        </w:tc>
        <w:tc>
          <w:tcPr>
            <w:tcW w:w="0" w:type="auto"/>
            <w:shd w:val="clear" w:color="auto" w:fill="E2EFD9" w:themeFill="accent6" w:themeFillTint="33"/>
            <w:vAlign w:val="center"/>
            <w:hideMark/>
          </w:tcPr>
          <w:p w14:paraId="5FD95720"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25</w:t>
            </w:r>
          </w:p>
        </w:tc>
        <w:tc>
          <w:tcPr>
            <w:tcW w:w="0" w:type="auto"/>
            <w:shd w:val="clear" w:color="auto" w:fill="E2EFD9" w:themeFill="accent6" w:themeFillTint="33"/>
            <w:noWrap/>
            <w:vAlign w:val="center"/>
            <w:hideMark/>
          </w:tcPr>
          <w:p w14:paraId="2FF062C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37</w:t>
            </w:r>
          </w:p>
        </w:tc>
        <w:tc>
          <w:tcPr>
            <w:tcW w:w="0" w:type="auto"/>
            <w:shd w:val="clear" w:color="auto" w:fill="auto"/>
            <w:vAlign w:val="center"/>
            <w:hideMark/>
          </w:tcPr>
          <w:p w14:paraId="340A6BAC"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 xml:space="preserve">Izgrađena i opremljena </w:t>
            </w:r>
            <w:proofErr w:type="spellStart"/>
            <w:r w:rsidRPr="00925933">
              <w:rPr>
                <w:rFonts w:eastAsia="Times New Roman" w:cstheme="minorHAnsi"/>
                <w:sz w:val="16"/>
                <w:szCs w:val="16"/>
                <w:lang w:eastAsia="hr-HR"/>
              </w:rPr>
              <w:t>reciklažna</w:t>
            </w:r>
            <w:proofErr w:type="spellEnd"/>
            <w:r w:rsidRPr="00925933">
              <w:rPr>
                <w:rFonts w:eastAsia="Times New Roman" w:cstheme="minorHAnsi"/>
                <w:sz w:val="16"/>
                <w:szCs w:val="16"/>
                <w:lang w:eastAsia="hr-HR"/>
              </w:rPr>
              <w:t xml:space="preserve"> dvorišta</w:t>
            </w:r>
          </w:p>
          <w:p w14:paraId="0ED1773C"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 xml:space="preserve">(broj </w:t>
            </w:r>
            <w:proofErr w:type="spellStart"/>
            <w:r>
              <w:rPr>
                <w:rFonts w:eastAsia="Times New Roman" w:cstheme="minorHAnsi"/>
                <w:sz w:val="16"/>
                <w:szCs w:val="16"/>
                <w:lang w:eastAsia="hr-HR"/>
              </w:rPr>
              <w:t>reciklažnih</w:t>
            </w:r>
            <w:proofErr w:type="spellEnd"/>
            <w:r>
              <w:rPr>
                <w:rFonts w:eastAsia="Times New Roman" w:cstheme="minorHAnsi"/>
                <w:sz w:val="16"/>
                <w:szCs w:val="16"/>
                <w:lang w:eastAsia="hr-HR"/>
              </w:rPr>
              <w:t xml:space="preserve"> dvorišta)</w:t>
            </w:r>
          </w:p>
        </w:tc>
      </w:tr>
      <w:tr w:rsidR="00BF051A" w:rsidRPr="00925933" w14:paraId="58C2354A" w14:textId="77777777" w:rsidTr="00F00704">
        <w:trPr>
          <w:cantSplit/>
          <w:trHeight w:val="20"/>
        </w:trPr>
        <w:tc>
          <w:tcPr>
            <w:tcW w:w="0" w:type="auto"/>
            <w:shd w:val="clear" w:color="000000" w:fill="E6EBF6"/>
            <w:noWrap/>
            <w:vAlign w:val="center"/>
            <w:hideMark/>
          </w:tcPr>
          <w:p w14:paraId="3B8A1FDA" w14:textId="77777777" w:rsidR="00BF051A" w:rsidRPr="00925933" w:rsidRDefault="00BF051A" w:rsidP="00F00704">
            <w:pPr>
              <w:spacing w:after="0" w:line="240" w:lineRule="auto"/>
              <w:jc w:val="right"/>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w:t>
            </w:r>
          </w:p>
        </w:tc>
        <w:tc>
          <w:tcPr>
            <w:tcW w:w="0" w:type="auto"/>
            <w:shd w:val="clear" w:color="000000" w:fill="E6EBF6"/>
            <w:vAlign w:val="center"/>
            <w:hideMark/>
          </w:tcPr>
          <w:p w14:paraId="3CF4BA53"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Izgradnja i opremanje novih postrojenja i/ili povećanja kapaciteta i tehnološko unaprjeđenje postojećih postrojenja za recikliranje plastike</w:t>
            </w:r>
          </w:p>
        </w:tc>
        <w:tc>
          <w:tcPr>
            <w:tcW w:w="0" w:type="auto"/>
            <w:shd w:val="clear" w:color="000000" w:fill="E6EBF6"/>
            <w:noWrap/>
            <w:vAlign w:val="center"/>
            <w:hideMark/>
          </w:tcPr>
          <w:p w14:paraId="139CCA9C"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PU</w:t>
            </w:r>
          </w:p>
        </w:tc>
        <w:tc>
          <w:tcPr>
            <w:tcW w:w="0" w:type="auto"/>
            <w:shd w:val="clear" w:color="auto" w:fill="auto"/>
            <w:noWrap/>
            <w:vAlign w:val="center"/>
            <w:hideMark/>
          </w:tcPr>
          <w:p w14:paraId="01158EF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 </w:t>
            </w:r>
          </w:p>
        </w:tc>
        <w:tc>
          <w:tcPr>
            <w:tcW w:w="0" w:type="auto"/>
            <w:shd w:val="clear" w:color="auto" w:fill="auto"/>
            <w:noWrap/>
            <w:vAlign w:val="center"/>
            <w:hideMark/>
          </w:tcPr>
          <w:p w14:paraId="3319D6A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PU/EU</w:t>
            </w:r>
          </w:p>
        </w:tc>
        <w:tc>
          <w:tcPr>
            <w:tcW w:w="0" w:type="auto"/>
            <w:shd w:val="clear" w:color="auto" w:fill="E2EFD9" w:themeFill="accent6" w:themeFillTint="33"/>
            <w:noWrap/>
            <w:vAlign w:val="center"/>
            <w:hideMark/>
          </w:tcPr>
          <w:p w14:paraId="014D4886"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5</w:t>
            </w:r>
          </w:p>
        </w:tc>
        <w:tc>
          <w:tcPr>
            <w:tcW w:w="0" w:type="auto"/>
            <w:shd w:val="clear" w:color="auto" w:fill="E2EFD9" w:themeFill="accent6" w:themeFillTint="33"/>
            <w:noWrap/>
            <w:vAlign w:val="center"/>
            <w:hideMark/>
          </w:tcPr>
          <w:p w14:paraId="0CE3F8F7"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10</w:t>
            </w:r>
          </w:p>
        </w:tc>
        <w:tc>
          <w:tcPr>
            <w:tcW w:w="0" w:type="auto"/>
            <w:shd w:val="clear" w:color="auto" w:fill="E2EFD9" w:themeFill="accent6" w:themeFillTint="33"/>
            <w:noWrap/>
            <w:vAlign w:val="center"/>
            <w:hideMark/>
          </w:tcPr>
          <w:p w14:paraId="20D2C10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15</w:t>
            </w:r>
          </w:p>
        </w:tc>
        <w:tc>
          <w:tcPr>
            <w:tcW w:w="0" w:type="auto"/>
            <w:shd w:val="clear" w:color="auto" w:fill="E2EFD9" w:themeFill="accent6" w:themeFillTint="33"/>
            <w:vAlign w:val="center"/>
            <w:hideMark/>
          </w:tcPr>
          <w:p w14:paraId="504349EF"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15</w:t>
            </w:r>
          </w:p>
        </w:tc>
        <w:tc>
          <w:tcPr>
            <w:tcW w:w="0" w:type="auto"/>
            <w:shd w:val="clear" w:color="auto" w:fill="E2EFD9" w:themeFill="accent6" w:themeFillTint="33"/>
            <w:vAlign w:val="center"/>
            <w:hideMark/>
          </w:tcPr>
          <w:p w14:paraId="4078385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20</w:t>
            </w:r>
          </w:p>
        </w:tc>
        <w:tc>
          <w:tcPr>
            <w:tcW w:w="0" w:type="auto"/>
            <w:shd w:val="clear" w:color="auto" w:fill="E2EFD9" w:themeFill="accent6" w:themeFillTint="33"/>
            <w:noWrap/>
            <w:vAlign w:val="center"/>
            <w:hideMark/>
          </w:tcPr>
          <w:p w14:paraId="5F16CF6D"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35</w:t>
            </w:r>
          </w:p>
        </w:tc>
        <w:tc>
          <w:tcPr>
            <w:tcW w:w="0" w:type="auto"/>
            <w:shd w:val="clear" w:color="auto" w:fill="auto"/>
            <w:vAlign w:val="center"/>
            <w:hideMark/>
          </w:tcPr>
          <w:p w14:paraId="092076AC"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Povećanje udjela recikliranog otpada na nacionalnom nivou</w:t>
            </w:r>
          </w:p>
          <w:p w14:paraId="3D755171"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(postizanje nacionalnih ciljeva, %)</w:t>
            </w:r>
          </w:p>
        </w:tc>
      </w:tr>
      <w:tr w:rsidR="00BF051A" w:rsidRPr="00925933" w14:paraId="1EC7D33A" w14:textId="77777777" w:rsidTr="00F00704">
        <w:trPr>
          <w:cantSplit/>
          <w:trHeight w:val="20"/>
        </w:trPr>
        <w:tc>
          <w:tcPr>
            <w:tcW w:w="0" w:type="auto"/>
            <w:shd w:val="clear" w:color="000000" w:fill="E6EBF6"/>
            <w:noWrap/>
            <w:vAlign w:val="center"/>
            <w:hideMark/>
          </w:tcPr>
          <w:p w14:paraId="2D833E89"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A.1.5.</w:t>
            </w:r>
          </w:p>
        </w:tc>
        <w:tc>
          <w:tcPr>
            <w:tcW w:w="0" w:type="auto"/>
            <w:shd w:val="clear" w:color="000000" w:fill="E6EBF6"/>
            <w:vAlign w:val="center"/>
            <w:hideMark/>
          </w:tcPr>
          <w:p w14:paraId="1F02E1C4"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Izgradnja i opremanje novih postrojenja za biološku obradu odvojeno prikupljenog biootpada i/ili povećanje kapaciteta i tehnološko unaprjeđenje postojećih postrojenja</w:t>
            </w:r>
          </w:p>
        </w:tc>
        <w:tc>
          <w:tcPr>
            <w:tcW w:w="0" w:type="auto"/>
            <w:shd w:val="clear" w:color="000000" w:fill="E6EBF6"/>
            <w:noWrap/>
            <w:vAlign w:val="center"/>
            <w:hideMark/>
          </w:tcPr>
          <w:p w14:paraId="4C9BE76E"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JLS</w:t>
            </w:r>
          </w:p>
        </w:tc>
        <w:tc>
          <w:tcPr>
            <w:tcW w:w="0" w:type="auto"/>
            <w:shd w:val="clear" w:color="auto" w:fill="auto"/>
            <w:noWrap/>
            <w:vAlign w:val="center"/>
            <w:hideMark/>
          </w:tcPr>
          <w:p w14:paraId="140A4EE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JP(R)S/MINGOR</w:t>
            </w:r>
          </w:p>
        </w:tc>
        <w:tc>
          <w:tcPr>
            <w:tcW w:w="0" w:type="auto"/>
            <w:shd w:val="clear" w:color="auto" w:fill="auto"/>
            <w:noWrap/>
            <w:vAlign w:val="center"/>
            <w:hideMark/>
          </w:tcPr>
          <w:p w14:paraId="6A8131D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JLS/EU/EU/PU</w:t>
            </w:r>
          </w:p>
        </w:tc>
        <w:tc>
          <w:tcPr>
            <w:tcW w:w="0" w:type="auto"/>
            <w:shd w:val="clear" w:color="auto" w:fill="E2EFD9" w:themeFill="accent6" w:themeFillTint="33"/>
            <w:vAlign w:val="center"/>
            <w:hideMark/>
          </w:tcPr>
          <w:p w14:paraId="79618A46"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12.493</w:t>
            </w:r>
          </w:p>
        </w:tc>
        <w:tc>
          <w:tcPr>
            <w:tcW w:w="0" w:type="auto"/>
            <w:shd w:val="clear" w:color="auto" w:fill="E2EFD9" w:themeFill="accent6" w:themeFillTint="33"/>
            <w:vAlign w:val="center"/>
            <w:hideMark/>
          </w:tcPr>
          <w:p w14:paraId="2E028DB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19.988</w:t>
            </w:r>
          </w:p>
        </w:tc>
        <w:tc>
          <w:tcPr>
            <w:tcW w:w="0" w:type="auto"/>
            <w:shd w:val="clear" w:color="auto" w:fill="E2EFD9" w:themeFill="accent6" w:themeFillTint="33"/>
            <w:vAlign w:val="center"/>
            <w:hideMark/>
          </w:tcPr>
          <w:p w14:paraId="3303DA6F"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24.986</w:t>
            </w:r>
          </w:p>
        </w:tc>
        <w:tc>
          <w:tcPr>
            <w:tcW w:w="0" w:type="auto"/>
            <w:shd w:val="clear" w:color="auto" w:fill="E2EFD9" w:themeFill="accent6" w:themeFillTint="33"/>
            <w:vAlign w:val="center"/>
            <w:hideMark/>
          </w:tcPr>
          <w:p w14:paraId="35DFA13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37.478</w:t>
            </w:r>
          </w:p>
        </w:tc>
        <w:tc>
          <w:tcPr>
            <w:tcW w:w="0" w:type="auto"/>
            <w:shd w:val="clear" w:color="auto" w:fill="E2EFD9" w:themeFill="accent6" w:themeFillTint="33"/>
            <w:noWrap/>
            <w:vAlign w:val="center"/>
            <w:hideMark/>
          </w:tcPr>
          <w:p w14:paraId="5F38094D"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62.464</w:t>
            </w:r>
          </w:p>
        </w:tc>
        <w:tc>
          <w:tcPr>
            <w:tcW w:w="0" w:type="auto"/>
            <w:shd w:val="clear" w:color="auto" w:fill="E2EFD9" w:themeFill="accent6" w:themeFillTint="33"/>
            <w:noWrap/>
            <w:vAlign w:val="center"/>
            <w:hideMark/>
          </w:tcPr>
          <w:p w14:paraId="03C9BEC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92.446</w:t>
            </w:r>
          </w:p>
        </w:tc>
        <w:tc>
          <w:tcPr>
            <w:tcW w:w="0" w:type="auto"/>
            <w:shd w:val="clear" w:color="auto" w:fill="auto"/>
            <w:vAlign w:val="center"/>
            <w:hideMark/>
          </w:tcPr>
          <w:p w14:paraId="6DA83F57"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Izgrađena postrojenja za biološku obradu odvojeno prikupljenog biootpada</w:t>
            </w:r>
          </w:p>
          <w:p w14:paraId="6A92DA26"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w:t>
            </w:r>
            <w:proofErr w:type="spellStart"/>
            <w:r>
              <w:rPr>
                <w:rFonts w:eastAsia="Times New Roman" w:cstheme="minorHAnsi"/>
                <w:sz w:val="16"/>
                <w:szCs w:val="16"/>
                <w:lang w:eastAsia="hr-HR"/>
              </w:rPr>
              <w:t>kapacitet,t</w:t>
            </w:r>
            <w:proofErr w:type="spellEnd"/>
            <w:r>
              <w:rPr>
                <w:rFonts w:eastAsia="Times New Roman" w:cstheme="minorHAnsi"/>
                <w:sz w:val="16"/>
                <w:szCs w:val="16"/>
                <w:lang w:eastAsia="hr-HR"/>
              </w:rPr>
              <w:t>/god)</w:t>
            </w:r>
          </w:p>
        </w:tc>
      </w:tr>
      <w:tr w:rsidR="00BF051A" w:rsidRPr="00925933" w14:paraId="3D16124C" w14:textId="77777777" w:rsidTr="00F00704">
        <w:trPr>
          <w:cantSplit/>
          <w:trHeight w:val="20"/>
        </w:trPr>
        <w:tc>
          <w:tcPr>
            <w:tcW w:w="0" w:type="auto"/>
            <w:shd w:val="clear" w:color="000000" w:fill="5B9BD5"/>
            <w:noWrap/>
            <w:vAlign w:val="center"/>
            <w:hideMark/>
          </w:tcPr>
          <w:p w14:paraId="72FF0F5D" w14:textId="77777777" w:rsidR="00BF051A" w:rsidRPr="00925933" w:rsidRDefault="00BF051A" w:rsidP="00F00704">
            <w:pPr>
              <w:spacing w:after="0" w:line="240" w:lineRule="auto"/>
              <w:jc w:val="right"/>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 xml:space="preserve">PGO Mjera 2. </w:t>
            </w:r>
          </w:p>
        </w:tc>
        <w:tc>
          <w:tcPr>
            <w:tcW w:w="0" w:type="auto"/>
            <w:gridSpan w:val="11"/>
            <w:shd w:val="clear" w:color="000000" w:fill="5B9BD5"/>
            <w:vAlign w:val="center"/>
            <w:hideMark/>
          </w:tcPr>
          <w:p w14:paraId="3DFD64F0" w14:textId="77777777" w:rsidR="00BF051A" w:rsidRPr="009D1D3C"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Jačanje svijesti, informiranja i edukacije o gospodarenju otpadom i proizvodima</w:t>
            </w:r>
          </w:p>
        </w:tc>
      </w:tr>
      <w:tr w:rsidR="00BF051A" w:rsidRPr="00925933" w14:paraId="20D336E2" w14:textId="77777777" w:rsidTr="00F00704">
        <w:trPr>
          <w:cantSplit/>
          <w:trHeight w:val="20"/>
        </w:trPr>
        <w:tc>
          <w:tcPr>
            <w:tcW w:w="0" w:type="auto"/>
            <w:shd w:val="clear" w:color="000000" w:fill="E6EBF6"/>
            <w:noWrap/>
            <w:vAlign w:val="center"/>
            <w:hideMark/>
          </w:tcPr>
          <w:p w14:paraId="12C8AF8D"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2.1.</w:t>
            </w:r>
          </w:p>
        </w:tc>
        <w:tc>
          <w:tcPr>
            <w:tcW w:w="0" w:type="auto"/>
            <w:shd w:val="clear" w:color="000000" w:fill="E6EBF6"/>
            <w:vAlign w:val="center"/>
            <w:hideMark/>
          </w:tcPr>
          <w:p w14:paraId="380361B4"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Provođenje nacionalnih kampanja i drugih informacijsko-obrazovnih aktivnosti o gospodarenju otpadom u RH</w:t>
            </w:r>
          </w:p>
        </w:tc>
        <w:tc>
          <w:tcPr>
            <w:tcW w:w="0" w:type="auto"/>
            <w:shd w:val="clear" w:color="000000" w:fill="E6EBF6"/>
            <w:noWrap/>
            <w:vAlign w:val="center"/>
            <w:hideMark/>
          </w:tcPr>
          <w:p w14:paraId="74C81A0B"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FZOEU</w:t>
            </w:r>
          </w:p>
        </w:tc>
        <w:tc>
          <w:tcPr>
            <w:tcW w:w="0" w:type="auto"/>
            <w:shd w:val="clear" w:color="auto" w:fill="auto"/>
            <w:noWrap/>
            <w:vAlign w:val="center"/>
            <w:hideMark/>
          </w:tcPr>
          <w:p w14:paraId="3B9C082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noWrap/>
            <w:vAlign w:val="center"/>
            <w:hideMark/>
          </w:tcPr>
          <w:p w14:paraId="6BF209F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FZOEU/EU</w:t>
            </w:r>
          </w:p>
        </w:tc>
        <w:tc>
          <w:tcPr>
            <w:tcW w:w="0" w:type="auto"/>
            <w:shd w:val="clear" w:color="auto" w:fill="E2EFD9" w:themeFill="accent6" w:themeFillTint="33"/>
            <w:vAlign w:val="center"/>
            <w:hideMark/>
          </w:tcPr>
          <w:p w14:paraId="3F748F30"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75A5EB1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7938DC9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1572B9C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6D4D36E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463FCCD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auto"/>
            <w:vAlign w:val="center"/>
            <w:hideMark/>
          </w:tcPr>
          <w:p w14:paraId="18A2A323"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Provedene informacijsko-obrazovne aktivnosti</w:t>
            </w:r>
          </w:p>
          <w:p w14:paraId="32592452"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(broj)</w:t>
            </w:r>
          </w:p>
        </w:tc>
      </w:tr>
      <w:tr w:rsidR="00BF051A" w:rsidRPr="00925933" w14:paraId="1D37B701" w14:textId="77777777" w:rsidTr="00F00704">
        <w:trPr>
          <w:cantSplit/>
          <w:trHeight w:val="20"/>
        </w:trPr>
        <w:tc>
          <w:tcPr>
            <w:tcW w:w="0" w:type="auto"/>
            <w:shd w:val="clear" w:color="000000" w:fill="E6EBF6"/>
            <w:noWrap/>
            <w:vAlign w:val="center"/>
            <w:hideMark/>
          </w:tcPr>
          <w:p w14:paraId="61ED2E74"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2.2.</w:t>
            </w:r>
          </w:p>
        </w:tc>
        <w:tc>
          <w:tcPr>
            <w:tcW w:w="0" w:type="auto"/>
            <w:shd w:val="clear" w:color="000000" w:fill="E6EBF6"/>
            <w:vAlign w:val="center"/>
            <w:hideMark/>
          </w:tcPr>
          <w:p w14:paraId="631BF460"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Provedba informativnih aktivnosti gospodarenja otpadom na razini JLS</w:t>
            </w:r>
          </w:p>
        </w:tc>
        <w:tc>
          <w:tcPr>
            <w:tcW w:w="0" w:type="auto"/>
            <w:shd w:val="clear" w:color="000000" w:fill="E6EBF6"/>
            <w:noWrap/>
            <w:vAlign w:val="center"/>
            <w:hideMark/>
          </w:tcPr>
          <w:p w14:paraId="427AF7B8"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JLS</w:t>
            </w:r>
          </w:p>
        </w:tc>
        <w:tc>
          <w:tcPr>
            <w:tcW w:w="0" w:type="auto"/>
            <w:shd w:val="clear" w:color="auto" w:fill="auto"/>
            <w:noWrap/>
            <w:vAlign w:val="center"/>
            <w:hideMark/>
          </w:tcPr>
          <w:p w14:paraId="027E167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noWrap/>
            <w:vAlign w:val="center"/>
            <w:hideMark/>
          </w:tcPr>
          <w:p w14:paraId="3A3013F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w:t>
            </w:r>
          </w:p>
        </w:tc>
        <w:tc>
          <w:tcPr>
            <w:tcW w:w="0" w:type="auto"/>
            <w:shd w:val="clear" w:color="auto" w:fill="E2EFD9" w:themeFill="accent6" w:themeFillTint="33"/>
            <w:vAlign w:val="center"/>
          </w:tcPr>
          <w:p w14:paraId="617BC56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6451C262"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2F9B1700"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6BCE15F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5C2DA30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5DD559E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5CE5E800"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Održane javne tribine; Izrađene i distribuirane publikacije o gospodarenju otpadom; Uspostava i održavanje mrežnih stranica s informacijama o gospodarenju otpadom</w:t>
            </w:r>
          </w:p>
          <w:p w14:paraId="7B022AFA"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(556/godina)</w:t>
            </w:r>
          </w:p>
        </w:tc>
      </w:tr>
      <w:tr w:rsidR="00BF051A" w:rsidRPr="00925933" w14:paraId="585B87F8" w14:textId="77777777" w:rsidTr="00F00704">
        <w:trPr>
          <w:cantSplit/>
          <w:trHeight w:val="20"/>
        </w:trPr>
        <w:tc>
          <w:tcPr>
            <w:tcW w:w="0" w:type="auto"/>
            <w:shd w:val="clear" w:color="000000" w:fill="E6EBF6"/>
            <w:noWrap/>
            <w:vAlign w:val="center"/>
            <w:hideMark/>
          </w:tcPr>
          <w:p w14:paraId="7D745057"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 A 2.3.</w:t>
            </w:r>
          </w:p>
        </w:tc>
        <w:tc>
          <w:tcPr>
            <w:tcW w:w="0" w:type="auto"/>
            <w:shd w:val="clear" w:color="000000" w:fill="E6EBF6"/>
            <w:vAlign w:val="center"/>
            <w:hideMark/>
          </w:tcPr>
          <w:p w14:paraId="723B1589"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Organizacija događanja za jačanje suradnje i kapaciteta lokalne i područne (regionalne) samouprave</w:t>
            </w:r>
          </w:p>
        </w:tc>
        <w:tc>
          <w:tcPr>
            <w:tcW w:w="0" w:type="auto"/>
            <w:shd w:val="clear" w:color="000000" w:fill="E6EBF6"/>
            <w:noWrap/>
            <w:vAlign w:val="center"/>
            <w:hideMark/>
          </w:tcPr>
          <w:p w14:paraId="5FB61364"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noWrap/>
            <w:vAlign w:val="center"/>
            <w:hideMark/>
          </w:tcPr>
          <w:p w14:paraId="6712CF7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JP(R)S</w:t>
            </w:r>
          </w:p>
        </w:tc>
        <w:tc>
          <w:tcPr>
            <w:tcW w:w="0" w:type="auto"/>
            <w:shd w:val="clear" w:color="auto" w:fill="auto"/>
            <w:noWrap/>
            <w:vAlign w:val="center"/>
            <w:hideMark/>
          </w:tcPr>
          <w:p w14:paraId="57AD4CB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E2EFD9" w:themeFill="accent6" w:themeFillTint="33"/>
            <w:vAlign w:val="center"/>
            <w:hideMark/>
          </w:tcPr>
          <w:p w14:paraId="2E65BFF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1081F6E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64EA51D6"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0C526EFD"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2</w:t>
            </w:r>
          </w:p>
        </w:tc>
        <w:tc>
          <w:tcPr>
            <w:tcW w:w="0" w:type="auto"/>
            <w:shd w:val="clear" w:color="auto" w:fill="E2EFD9" w:themeFill="accent6" w:themeFillTint="33"/>
            <w:vAlign w:val="center"/>
            <w:hideMark/>
          </w:tcPr>
          <w:p w14:paraId="5178972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1A4AC82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auto"/>
            <w:vAlign w:val="center"/>
            <w:hideMark/>
          </w:tcPr>
          <w:p w14:paraId="41EE0B23"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Održani stručni okrugli stol</w:t>
            </w:r>
          </w:p>
          <w:p w14:paraId="642E1EAC"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(broj)</w:t>
            </w:r>
          </w:p>
        </w:tc>
      </w:tr>
      <w:tr w:rsidR="00BF051A" w:rsidRPr="00925933" w14:paraId="73DF97AE" w14:textId="77777777" w:rsidTr="00F00704">
        <w:trPr>
          <w:cantSplit/>
          <w:trHeight w:val="20"/>
        </w:trPr>
        <w:tc>
          <w:tcPr>
            <w:tcW w:w="0" w:type="auto"/>
            <w:shd w:val="clear" w:color="000000" w:fill="5B9BD5"/>
            <w:noWrap/>
            <w:vAlign w:val="center"/>
            <w:hideMark/>
          </w:tcPr>
          <w:p w14:paraId="4A7C2CFB"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3.</w:t>
            </w:r>
          </w:p>
        </w:tc>
        <w:tc>
          <w:tcPr>
            <w:tcW w:w="0" w:type="auto"/>
            <w:gridSpan w:val="11"/>
            <w:shd w:val="clear" w:color="000000" w:fill="5B9BD5"/>
            <w:vAlign w:val="center"/>
            <w:hideMark/>
          </w:tcPr>
          <w:p w14:paraId="18D664A4" w14:textId="77777777" w:rsidR="00BF051A" w:rsidRPr="009D1D3C"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Određivanje nacionalnog sastava komunalnog otpada</w:t>
            </w:r>
            <w:r w:rsidRPr="00925933">
              <w:rPr>
                <w:rFonts w:eastAsia="Times New Roman" w:cstheme="minorHAnsi"/>
                <w:sz w:val="16"/>
                <w:szCs w:val="16"/>
                <w:lang w:eastAsia="hr-HR"/>
              </w:rPr>
              <w:t> </w:t>
            </w:r>
          </w:p>
        </w:tc>
      </w:tr>
      <w:tr w:rsidR="00BF051A" w:rsidRPr="00925933" w14:paraId="462D1633" w14:textId="77777777" w:rsidTr="00F00704">
        <w:trPr>
          <w:cantSplit/>
          <w:trHeight w:val="20"/>
        </w:trPr>
        <w:tc>
          <w:tcPr>
            <w:tcW w:w="0" w:type="auto"/>
            <w:shd w:val="clear" w:color="000000" w:fill="E6EBF6"/>
            <w:noWrap/>
            <w:vAlign w:val="center"/>
            <w:hideMark/>
          </w:tcPr>
          <w:p w14:paraId="63CADF93"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3.1.</w:t>
            </w:r>
          </w:p>
        </w:tc>
        <w:tc>
          <w:tcPr>
            <w:tcW w:w="0" w:type="auto"/>
            <w:shd w:val="clear" w:color="000000" w:fill="E6EBF6"/>
            <w:vAlign w:val="center"/>
            <w:hideMark/>
          </w:tcPr>
          <w:p w14:paraId="78F003DC"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Sortiranje i analiza sastava komunalnog otpada primjenom regionalnog koncepta s ciljem utvrđivanja nacionalnog sastava komunalnog otpada</w:t>
            </w:r>
          </w:p>
        </w:tc>
        <w:tc>
          <w:tcPr>
            <w:tcW w:w="0" w:type="auto"/>
            <w:shd w:val="clear" w:color="000000" w:fill="E6EBF6"/>
            <w:noWrap/>
            <w:vAlign w:val="center"/>
            <w:hideMark/>
          </w:tcPr>
          <w:p w14:paraId="2AD0F99F"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noWrap/>
            <w:vAlign w:val="center"/>
            <w:hideMark/>
          </w:tcPr>
          <w:p w14:paraId="2E05156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w:t>
            </w:r>
          </w:p>
        </w:tc>
        <w:tc>
          <w:tcPr>
            <w:tcW w:w="0" w:type="auto"/>
            <w:shd w:val="clear" w:color="auto" w:fill="auto"/>
            <w:noWrap/>
            <w:vAlign w:val="center"/>
            <w:hideMark/>
          </w:tcPr>
          <w:p w14:paraId="1413566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w:t>
            </w:r>
          </w:p>
        </w:tc>
        <w:tc>
          <w:tcPr>
            <w:tcW w:w="0" w:type="auto"/>
            <w:shd w:val="clear" w:color="auto" w:fill="E2EFD9" w:themeFill="accent6" w:themeFillTint="33"/>
            <w:vAlign w:val="center"/>
          </w:tcPr>
          <w:p w14:paraId="44E59D0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37C614E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vAlign w:val="center"/>
            <w:hideMark/>
          </w:tcPr>
          <w:p w14:paraId="451D737B"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vAlign w:val="center"/>
            <w:hideMark/>
          </w:tcPr>
          <w:p w14:paraId="15E4160B"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vAlign w:val="center"/>
            <w:hideMark/>
          </w:tcPr>
          <w:p w14:paraId="6A2E6E19"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242A79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22237AD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Određen nacionalni sastav komunalnog otpada</w:t>
            </w:r>
          </w:p>
        </w:tc>
      </w:tr>
      <w:tr w:rsidR="00BF051A" w:rsidRPr="00925933" w14:paraId="41C391B5" w14:textId="77777777" w:rsidTr="00F00704">
        <w:trPr>
          <w:cantSplit/>
          <w:trHeight w:val="20"/>
        </w:trPr>
        <w:tc>
          <w:tcPr>
            <w:tcW w:w="0" w:type="auto"/>
            <w:shd w:val="clear" w:color="000000" w:fill="5B9BD5"/>
            <w:noWrap/>
            <w:vAlign w:val="center"/>
            <w:hideMark/>
          </w:tcPr>
          <w:p w14:paraId="4AB978EB"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4.</w:t>
            </w:r>
          </w:p>
        </w:tc>
        <w:tc>
          <w:tcPr>
            <w:tcW w:w="0" w:type="auto"/>
            <w:gridSpan w:val="11"/>
            <w:shd w:val="clear" w:color="000000" w:fill="5B9BD5"/>
            <w:vAlign w:val="center"/>
            <w:hideMark/>
          </w:tcPr>
          <w:p w14:paraId="4860B9C5" w14:textId="77777777" w:rsidR="00BF051A" w:rsidRPr="009D1D3C"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 xml:space="preserve">Uvođenje naknade za odlaganje </w:t>
            </w:r>
          </w:p>
        </w:tc>
      </w:tr>
      <w:tr w:rsidR="00BF051A" w:rsidRPr="00925933" w14:paraId="248DE755" w14:textId="77777777" w:rsidTr="00F00704">
        <w:trPr>
          <w:cantSplit/>
          <w:trHeight w:val="20"/>
        </w:trPr>
        <w:tc>
          <w:tcPr>
            <w:tcW w:w="0" w:type="auto"/>
            <w:shd w:val="clear" w:color="000000" w:fill="E6EBF6"/>
            <w:noWrap/>
            <w:vAlign w:val="center"/>
            <w:hideMark/>
          </w:tcPr>
          <w:p w14:paraId="06B9B01D"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4.1.</w:t>
            </w:r>
          </w:p>
        </w:tc>
        <w:tc>
          <w:tcPr>
            <w:tcW w:w="0" w:type="auto"/>
            <w:shd w:val="clear" w:color="000000" w:fill="E6EBF6"/>
            <w:vAlign w:val="center"/>
            <w:hideMark/>
          </w:tcPr>
          <w:p w14:paraId="1CA5F678"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Primjena naknade za odlaganje otpada</w:t>
            </w:r>
          </w:p>
        </w:tc>
        <w:tc>
          <w:tcPr>
            <w:tcW w:w="0" w:type="auto"/>
            <w:shd w:val="clear" w:color="000000" w:fill="E6EBF6"/>
            <w:noWrap/>
            <w:vAlign w:val="center"/>
            <w:hideMark/>
          </w:tcPr>
          <w:p w14:paraId="25ED1A55"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1418065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Upravitelj odlagališta, DIRH</w:t>
            </w:r>
          </w:p>
        </w:tc>
        <w:tc>
          <w:tcPr>
            <w:tcW w:w="0" w:type="auto"/>
            <w:shd w:val="clear" w:color="auto" w:fill="auto"/>
            <w:noWrap/>
            <w:vAlign w:val="center"/>
            <w:hideMark/>
          </w:tcPr>
          <w:p w14:paraId="78B750A7"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E2EFD9" w:themeFill="accent6" w:themeFillTint="33"/>
            <w:vAlign w:val="center"/>
            <w:hideMark/>
          </w:tcPr>
          <w:p w14:paraId="2B9E00D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vAlign w:val="center"/>
            <w:hideMark/>
          </w:tcPr>
          <w:p w14:paraId="679320C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vAlign w:val="center"/>
            <w:hideMark/>
          </w:tcPr>
          <w:p w14:paraId="125D68F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vAlign w:val="center"/>
            <w:hideMark/>
          </w:tcPr>
          <w:p w14:paraId="2491343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18DAD79"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344E65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6545099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Naplata naknade za odlaganje otpada</w:t>
            </w:r>
          </w:p>
        </w:tc>
      </w:tr>
      <w:tr w:rsidR="00BF051A" w:rsidRPr="00925933" w14:paraId="731CC57D" w14:textId="77777777" w:rsidTr="00F00704">
        <w:trPr>
          <w:cantSplit/>
          <w:trHeight w:val="20"/>
        </w:trPr>
        <w:tc>
          <w:tcPr>
            <w:tcW w:w="0" w:type="auto"/>
            <w:shd w:val="clear" w:color="000000" w:fill="5B9BD5"/>
            <w:noWrap/>
            <w:vAlign w:val="center"/>
            <w:hideMark/>
          </w:tcPr>
          <w:p w14:paraId="72F07CEB"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5.</w:t>
            </w:r>
          </w:p>
        </w:tc>
        <w:tc>
          <w:tcPr>
            <w:tcW w:w="0" w:type="auto"/>
            <w:gridSpan w:val="11"/>
            <w:shd w:val="clear" w:color="000000" w:fill="5B9BD5"/>
            <w:vAlign w:val="center"/>
            <w:hideMark/>
          </w:tcPr>
          <w:p w14:paraId="0EF549CC" w14:textId="77777777" w:rsidR="00BF051A" w:rsidRPr="009D1D3C"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Izgradnja centara za gospodarenje otpadom</w:t>
            </w:r>
          </w:p>
        </w:tc>
      </w:tr>
      <w:tr w:rsidR="00BF051A" w:rsidRPr="00925933" w14:paraId="0A66EE9C" w14:textId="77777777" w:rsidTr="00F00704">
        <w:trPr>
          <w:cantSplit/>
          <w:trHeight w:val="20"/>
        </w:trPr>
        <w:tc>
          <w:tcPr>
            <w:tcW w:w="0" w:type="auto"/>
            <w:shd w:val="clear" w:color="000000" w:fill="E6EBF6"/>
            <w:noWrap/>
            <w:vAlign w:val="center"/>
            <w:hideMark/>
          </w:tcPr>
          <w:p w14:paraId="31D136F6"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5.1.</w:t>
            </w:r>
          </w:p>
        </w:tc>
        <w:tc>
          <w:tcPr>
            <w:tcW w:w="0" w:type="auto"/>
            <w:shd w:val="clear" w:color="000000" w:fill="E6EBF6"/>
            <w:vAlign w:val="center"/>
            <w:hideMark/>
          </w:tcPr>
          <w:p w14:paraId="42363A3B"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 xml:space="preserve">Izgradnja CGO Biljane Donje </w:t>
            </w:r>
          </w:p>
        </w:tc>
        <w:tc>
          <w:tcPr>
            <w:tcW w:w="0" w:type="auto"/>
            <w:shd w:val="clear" w:color="000000" w:fill="E6EBF6"/>
            <w:vAlign w:val="center"/>
            <w:hideMark/>
          </w:tcPr>
          <w:p w14:paraId="3564D27C"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ZŽ i dio LSŽ</w:t>
            </w:r>
          </w:p>
        </w:tc>
        <w:tc>
          <w:tcPr>
            <w:tcW w:w="0" w:type="auto"/>
            <w:shd w:val="clear" w:color="auto" w:fill="auto"/>
            <w:vAlign w:val="center"/>
            <w:hideMark/>
          </w:tcPr>
          <w:p w14:paraId="77EBABD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272C84A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JLS/FZOEU/EU</w:t>
            </w:r>
          </w:p>
        </w:tc>
        <w:tc>
          <w:tcPr>
            <w:tcW w:w="0" w:type="auto"/>
            <w:shd w:val="clear" w:color="auto" w:fill="E2EFD9" w:themeFill="accent6" w:themeFillTint="33"/>
            <w:vAlign w:val="center"/>
          </w:tcPr>
          <w:p w14:paraId="71E95520"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F73ACC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3B732F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62B192E"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0E71BF5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CC57CD0"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7F52111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CGO Biljane Donje</w:t>
            </w:r>
          </w:p>
        </w:tc>
      </w:tr>
      <w:tr w:rsidR="00BF051A" w:rsidRPr="00925933" w14:paraId="583AFC6F" w14:textId="77777777" w:rsidTr="00F00704">
        <w:trPr>
          <w:cantSplit/>
          <w:trHeight w:val="20"/>
        </w:trPr>
        <w:tc>
          <w:tcPr>
            <w:tcW w:w="0" w:type="auto"/>
            <w:shd w:val="clear" w:color="000000" w:fill="E6EBF6"/>
            <w:noWrap/>
            <w:vAlign w:val="center"/>
            <w:hideMark/>
          </w:tcPr>
          <w:p w14:paraId="29DC9A55"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5.2.</w:t>
            </w:r>
          </w:p>
        </w:tc>
        <w:tc>
          <w:tcPr>
            <w:tcW w:w="0" w:type="auto"/>
            <w:shd w:val="clear" w:color="000000" w:fill="E6EBF6"/>
            <w:vAlign w:val="center"/>
            <w:hideMark/>
          </w:tcPr>
          <w:p w14:paraId="0F19898C"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 xml:space="preserve">Izgradnja CGO </w:t>
            </w:r>
            <w:proofErr w:type="spellStart"/>
            <w:r w:rsidRPr="00925933">
              <w:rPr>
                <w:rFonts w:eastAsia="Times New Roman" w:cstheme="minorHAnsi"/>
                <w:color w:val="000000"/>
                <w:sz w:val="16"/>
                <w:szCs w:val="16"/>
                <w:lang w:eastAsia="hr-HR"/>
              </w:rPr>
              <w:t>Lučino</w:t>
            </w:r>
            <w:proofErr w:type="spellEnd"/>
            <w:r w:rsidRPr="00925933">
              <w:rPr>
                <w:rFonts w:eastAsia="Times New Roman" w:cstheme="minorHAnsi"/>
                <w:color w:val="000000"/>
                <w:sz w:val="16"/>
                <w:szCs w:val="16"/>
                <w:lang w:eastAsia="hr-HR"/>
              </w:rPr>
              <w:t xml:space="preserve"> </w:t>
            </w:r>
            <w:proofErr w:type="spellStart"/>
            <w:r w:rsidRPr="00925933">
              <w:rPr>
                <w:rFonts w:eastAsia="Times New Roman" w:cstheme="minorHAnsi"/>
                <w:color w:val="000000"/>
                <w:sz w:val="16"/>
                <w:szCs w:val="16"/>
                <w:lang w:eastAsia="hr-HR"/>
              </w:rPr>
              <w:t>razdolje</w:t>
            </w:r>
            <w:proofErr w:type="spellEnd"/>
          </w:p>
        </w:tc>
        <w:tc>
          <w:tcPr>
            <w:tcW w:w="0" w:type="auto"/>
            <w:shd w:val="clear" w:color="000000" w:fill="E6EBF6"/>
            <w:vAlign w:val="center"/>
            <w:hideMark/>
          </w:tcPr>
          <w:p w14:paraId="61BE6B17"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DNŽ</w:t>
            </w:r>
          </w:p>
        </w:tc>
        <w:tc>
          <w:tcPr>
            <w:tcW w:w="0" w:type="auto"/>
            <w:shd w:val="clear" w:color="auto" w:fill="auto"/>
            <w:vAlign w:val="center"/>
            <w:hideMark/>
          </w:tcPr>
          <w:p w14:paraId="611F4A2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086C196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JLS/FZOEU/EU</w:t>
            </w:r>
          </w:p>
        </w:tc>
        <w:tc>
          <w:tcPr>
            <w:tcW w:w="0" w:type="auto"/>
            <w:shd w:val="clear" w:color="auto" w:fill="E2EFD9" w:themeFill="accent6" w:themeFillTint="33"/>
            <w:vAlign w:val="center"/>
          </w:tcPr>
          <w:p w14:paraId="361835F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59DB875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55E323E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05E59AA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546ADFEB"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noWrap/>
            <w:vAlign w:val="center"/>
          </w:tcPr>
          <w:p w14:paraId="231D1FC0"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2F57D960"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 xml:space="preserve">CGO </w:t>
            </w:r>
            <w:proofErr w:type="spellStart"/>
            <w:r w:rsidRPr="00925933">
              <w:rPr>
                <w:rFonts w:eastAsia="Times New Roman" w:cstheme="minorHAnsi"/>
                <w:sz w:val="16"/>
                <w:szCs w:val="16"/>
                <w:lang w:eastAsia="hr-HR"/>
              </w:rPr>
              <w:t>Lučino</w:t>
            </w:r>
            <w:proofErr w:type="spellEnd"/>
            <w:r w:rsidRPr="00925933">
              <w:rPr>
                <w:rFonts w:eastAsia="Times New Roman" w:cstheme="minorHAnsi"/>
                <w:sz w:val="16"/>
                <w:szCs w:val="16"/>
                <w:lang w:eastAsia="hr-HR"/>
              </w:rPr>
              <w:t xml:space="preserve"> </w:t>
            </w:r>
            <w:proofErr w:type="spellStart"/>
            <w:r w:rsidRPr="00925933">
              <w:rPr>
                <w:rFonts w:eastAsia="Times New Roman" w:cstheme="minorHAnsi"/>
                <w:sz w:val="16"/>
                <w:szCs w:val="16"/>
                <w:lang w:eastAsia="hr-HR"/>
              </w:rPr>
              <w:t>razdolje</w:t>
            </w:r>
            <w:proofErr w:type="spellEnd"/>
          </w:p>
        </w:tc>
      </w:tr>
      <w:tr w:rsidR="00BF051A" w:rsidRPr="00925933" w14:paraId="5F706753" w14:textId="77777777" w:rsidTr="00F00704">
        <w:trPr>
          <w:cantSplit/>
          <w:trHeight w:val="20"/>
        </w:trPr>
        <w:tc>
          <w:tcPr>
            <w:tcW w:w="0" w:type="auto"/>
            <w:shd w:val="clear" w:color="000000" w:fill="E6EBF6"/>
            <w:noWrap/>
            <w:vAlign w:val="center"/>
            <w:hideMark/>
          </w:tcPr>
          <w:p w14:paraId="69F30FE1"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5.3.</w:t>
            </w:r>
          </w:p>
        </w:tc>
        <w:tc>
          <w:tcPr>
            <w:tcW w:w="0" w:type="auto"/>
            <w:shd w:val="clear" w:color="000000" w:fill="E6EBF6"/>
            <w:vAlign w:val="center"/>
            <w:hideMark/>
          </w:tcPr>
          <w:p w14:paraId="2CB5179C" w14:textId="474C99D2" w:rsidR="00BF051A" w:rsidRPr="00925933" w:rsidRDefault="0050217C" w:rsidP="00F00704">
            <w:pPr>
              <w:spacing w:after="0" w:line="240" w:lineRule="auto"/>
              <w:rPr>
                <w:rFonts w:eastAsia="Times New Roman" w:cstheme="minorHAnsi"/>
                <w:color w:val="000000"/>
                <w:sz w:val="16"/>
                <w:szCs w:val="16"/>
                <w:lang w:eastAsia="hr-HR"/>
              </w:rPr>
            </w:pPr>
            <w:r>
              <w:rPr>
                <w:rFonts w:eastAsia="Times New Roman" w:cstheme="minorHAnsi"/>
                <w:color w:val="000000"/>
                <w:sz w:val="16"/>
                <w:szCs w:val="16"/>
                <w:lang w:eastAsia="hr-HR"/>
              </w:rPr>
              <w:t>I</w:t>
            </w:r>
            <w:r w:rsidR="00BF051A" w:rsidRPr="00925933">
              <w:rPr>
                <w:rFonts w:eastAsia="Times New Roman" w:cstheme="minorHAnsi"/>
                <w:color w:val="000000"/>
                <w:sz w:val="16"/>
                <w:szCs w:val="16"/>
                <w:lang w:eastAsia="hr-HR"/>
              </w:rPr>
              <w:t xml:space="preserve">zgradnja CGO </w:t>
            </w:r>
            <w:proofErr w:type="spellStart"/>
            <w:r w:rsidR="00BF051A" w:rsidRPr="00925933">
              <w:rPr>
                <w:rFonts w:eastAsia="Times New Roman" w:cstheme="minorHAnsi"/>
                <w:color w:val="000000"/>
                <w:sz w:val="16"/>
                <w:szCs w:val="16"/>
                <w:lang w:eastAsia="hr-HR"/>
              </w:rPr>
              <w:t>Lećevica</w:t>
            </w:r>
            <w:proofErr w:type="spellEnd"/>
            <w:r w:rsidR="00BF051A" w:rsidRPr="00925933">
              <w:rPr>
                <w:rFonts w:eastAsia="Times New Roman" w:cstheme="minorHAnsi"/>
                <w:color w:val="000000"/>
                <w:sz w:val="16"/>
                <w:szCs w:val="16"/>
                <w:lang w:eastAsia="hr-HR"/>
              </w:rPr>
              <w:t xml:space="preserve"> za obradu ne više od 110.000 t miješanog komunalnog otpada godišnje</w:t>
            </w:r>
          </w:p>
        </w:tc>
        <w:tc>
          <w:tcPr>
            <w:tcW w:w="0" w:type="auto"/>
            <w:shd w:val="clear" w:color="000000" w:fill="E6EBF6"/>
            <w:vAlign w:val="center"/>
            <w:hideMark/>
          </w:tcPr>
          <w:p w14:paraId="3A579297"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SDŽ</w:t>
            </w:r>
          </w:p>
        </w:tc>
        <w:tc>
          <w:tcPr>
            <w:tcW w:w="0" w:type="auto"/>
            <w:shd w:val="clear" w:color="auto" w:fill="auto"/>
            <w:vAlign w:val="center"/>
            <w:hideMark/>
          </w:tcPr>
          <w:p w14:paraId="4C9F794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1CFD85FF"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JLS/FZOEU/EU</w:t>
            </w:r>
          </w:p>
        </w:tc>
        <w:tc>
          <w:tcPr>
            <w:tcW w:w="0" w:type="auto"/>
            <w:shd w:val="clear" w:color="auto" w:fill="E2EFD9" w:themeFill="accent6" w:themeFillTint="33"/>
            <w:vAlign w:val="center"/>
          </w:tcPr>
          <w:p w14:paraId="450A4740"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365C4442"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0CB361E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58C0CC0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775F8626"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noWrap/>
            <w:vAlign w:val="center"/>
          </w:tcPr>
          <w:p w14:paraId="26AA51B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6F0CF71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 xml:space="preserve">CGO </w:t>
            </w:r>
            <w:proofErr w:type="spellStart"/>
            <w:r w:rsidRPr="00925933">
              <w:rPr>
                <w:rFonts w:eastAsia="Times New Roman" w:cstheme="minorHAnsi"/>
                <w:sz w:val="16"/>
                <w:szCs w:val="16"/>
                <w:lang w:eastAsia="hr-HR"/>
              </w:rPr>
              <w:t>Lećevica</w:t>
            </w:r>
            <w:proofErr w:type="spellEnd"/>
          </w:p>
        </w:tc>
      </w:tr>
      <w:tr w:rsidR="00BF051A" w:rsidRPr="00925933" w14:paraId="5818B183" w14:textId="77777777" w:rsidTr="00F00704">
        <w:trPr>
          <w:cantSplit/>
          <w:trHeight w:val="20"/>
        </w:trPr>
        <w:tc>
          <w:tcPr>
            <w:tcW w:w="0" w:type="auto"/>
            <w:shd w:val="clear" w:color="000000" w:fill="E6EBF6"/>
            <w:noWrap/>
            <w:vAlign w:val="center"/>
            <w:hideMark/>
          </w:tcPr>
          <w:p w14:paraId="7638D50F" w14:textId="77777777" w:rsidR="00BF051A" w:rsidRPr="00925933" w:rsidRDefault="00BF051A" w:rsidP="00F00704">
            <w:pPr>
              <w:spacing w:after="0" w:line="240" w:lineRule="auto"/>
              <w:jc w:val="right"/>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5.4.</w:t>
            </w:r>
          </w:p>
        </w:tc>
        <w:tc>
          <w:tcPr>
            <w:tcW w:w="0" w:type="auto"/>
            <w:shd w:val="clear" w:color="000000" w:fill="E6EBF6"/>
            <w:vAlign w:val="center"/>
            <w:hideMark/>
          </w:tcPr>
          <w:p w14:paraId="7D528E97"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 xml:space="preserve">Priprema projekta i izgradnja CGO </w:t>
            </w:r>
            <w:proofErr w:type="spellStart"/>
            <w:r w:rsidRPr="00925933">
              <w:rPr>
                <w:rFonts w:eastAsia="Times New Roman" w:cstheme="minorHAnsi"/>
                <w:color w:val="000000"/>
                <w:sz w:val="16"/>
                <w:szCs w:val="16"/>
                <w:lang w:eastAsia="hr-HR"/>
              </w:rPr>
              <w:t>Piškornica</w:t>
            </w:r>
            <w:proofErr w:type="spellEnd"/>
            <w:r w:rsidRPr="00925933">
              <w:rPr>
                <w:rFonts w:eastAsia="Times New Roman" w:cstheme="minorHAnsi"/>
                <w:color w:val="000000"/>
                <w:sz w:val="16"/>
                <w:szCs w:val="16"/>
                <w:lang w:eastAsia="hr-HR"/>
              </w:rPr>
              <w:t xml:space="preserve"> za obradu ne više od 110.000 t miješanog komunalnog otpada godišnje</w:t>
            </w:r>
          </w:p>
        </w:tc>
        <w:tc>
          <w:tcPr>
            <w:tcW w:w="0" w:type="auto"/>
            <w:shd w:val="clear" w:color="000000" w:fill="E6EBF6"/>
            <w:vAlign w:val="center"/>
            <w:hideMark/>
          </w:tcPr>
          <w:p w14:paraId="633537A8"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KZŽ, VŽ, KKŽ, MŽ, BBŽ</w:t>
            </w:r>
          </w:p>
        </w:tc>
        <w:tc>
          <w:tcPr>
            <w:tcW w:w="0" w:type="auto"/>
            <w:shd w:val="clear" w:color="auto" w:fill="auto"/>
            <w:vAlign w:val="center"/>
            <w:hideMark/>
          </w:tcPr>
          <w:p w14:paraId="0BA50B2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55AA09A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JLS/FZOEU/EU</w:t>
            </w:r>
          </w:p>
        </w:tc>
        <w:tc>
          <w:tcPr>
            <w:tcW w:w="0" w:type="auto"/>
            <w:shd w:val="clear" w:color="auto" w:fill="E2EFD9" w:themeFill="accent6" w:themeFillTint="33"/>
            <w:vAlign w:val="center"/>
          </w:tcPr>
          <w:p w14:paraId="7740F26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11A0561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4F13E08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4898DCD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2B5D7A2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noWrap/>
            <w:vAlign w:val="center"/>
          </w:tcPr>
          <w:p w14:paraId="3C24E82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6EEB689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 xml:space="preserve">CGO </w:t>
            </w:r>
            <w:proofErr w:type="spellStart"/>
            <w:r w:rsidRPr="00925933">
              <w:rPr>
                <w:rFonts w:eastAsia="Times New Roman" w:cstheme="minorHAnsi"/>
                <w:sz w:val="16"/>
                <w:szCs w:val="16"/>
                <w:lang w:eastAsia="hr-HR"/>
              </w:rPr>
              <w:t>Piškornica</w:t>
            </w:r>
            <w:proofErr w:type="spellEnd"/>
          </w:p>
        </w:tc>
      </w:tr>
      <w:tr w:rsidR="00BF051A" w:rsidRPr="00925933" w14:paraId="72E6569D" w14:textId="77777777" w:rsidTr="00F00704">
        <w:trPr>
          <w:cantSplit/>
          <w:trHeight w:val="20"/>
        </w:trPr>
        <w:tc>
          <w:tcPr>
            <w:tcW w:w="0" w:type="auto"/>
            <w:shd w:val="clear" w:color="000000" w:fill="E6EBF6"/>
            <w:noWrap/>
            <w:vAlign w:val="center"/>
            <w:hideMark/>
          </w:tcPr>
          <w:p w14:paraId="465ED936" w14:textId="77777777" w:rsidR="00BF051A" w:rsidRPr="00925933" w:rsidRDefault="00BF051A" w:rsidP="00F00704">
            <w:pPr>
              <w:spacing w:after="0" w:line="240" w:lineRule="auto"/>
              <w:jc w:val="right"/>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5.5.</w:t>
            </w:r>
          </w:p>
        </w:tc>
        <w:tc>
          <w:tcPr>
            <w:tcW w:w="0" w:type="auto"/>
            <w:shd w:val="clear" w:color="000000" w:fill="E6EBF6"/>
            <w:vAlign w:val="center"/>
            <w:hideMark/>
          </w:tcPr>
          <w:p w14:paraId="3FBFD8AA" w14:textId="60B5EA0C" w:rsidR="00BF051A" w:rsidRPr="00925933" w:rsidRDefault="0050217C" w:rsidP="00F00704">
            <w:pPr>
              <w:spacing w:after="0" w:line="240" w:lineRule="auto"/>
              <w:rPr>
                <w:rFonts w:eastAsia="Times New Roman" w:cstheme="minorHAnsi"/>
                <w:color w:val="000000"/>
                <w:sz w:val="16"/>
                <w:szCs w:val="16"/>
                <w:lang w:eastAsia="hr-HR"/>
              </w:rPr>
            </w:pPr>
            <w:r>
              <w:rPr>
                <w:rFonts w:eastAsia="Times New Roman" w:cstheme="minorHAnsi"/>
                <w:color w:val="000000"/>
                <w:sz w:val="16"/>
                <w:szCs w:val="16"/>
                <w:lang w:eastAsia="hr-HR"/>
              </w:rPr>
              <w:t>I</w:t>
            </w:r>
            <w:r w:rsidRPr="00925933">
              <w:rPr>
                <w:rFonts w:eastAsia="Times New Roman" w:cstheme="minorHAnsi"/>
                <w:color w:val="000000"/>
                <w:sz w:val="16"/>
                <w:szCs w:val="16"/>
                <w:lang w:eastAsia="hr-HR"/>
              </w:rPr>
              <w:t xml:space="preserve">zgradnja </w:t>
            </w:r>
            <w:r w:rsidR="00BF051A" w:rsidRPr="00925933">
              <w:rPr>
                <w:rFonts w:eastAsia="Times New Roman" w:cstheme="minorHAnsi"/>
                <w:color w:val="000000"/>
                <w:sz w:val="16"/>
                <w:szCs w:val="16"/>
                <w:lang w:eastAsia="hr-HR"/>
              </w:rPr>
              <w:t>CGO Babina gora za obradu ne više od 30.000 t miješanog komunalnog otpada godišnje</w:t>
            </w:r>
          </w:p>
        </w:tc>
        <w:tc>
          <w:tcPr>
            <w:tcW w:w="0" w:type="auto"/>
            <w:shd w:val="clear" w:color="000000" w:fill="E6EBF6"/>
            <w:vAlign w:val="center"/>
            <w:hideMark/>
          </w:tcPr>
          <w:p w14:paraId="3DE7C8C0"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KŽ, dio LSŽ, dio SMŽ</w:t>
            </w:r>
          </w:p>
        </w:tc>
        <w:tc>
          <w:tcPr>
            <w:tcW w:w="0" w:type="auto"/>
            <w:shd w:val="clear" w:color="auto" w:fill="auto"/>
            <w:vAlign w:val="center"/>
            <w:hideMark/>
          </w:tcPr>
          <w:p w14:paraId="000D432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17D6A52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JLS/FZOEU/EU</w:t>
            </w:r>
          </w:p>
        </w:tc>
        <w:tc>
          <w:tcPr>
            <w:tcW w:w="0" w:type="auto"/>
            <w:shd w:val="clear" w:color="auto" w:fill="E2EFD9" w:themeFill="accent6" w:themeFillTint="33"/>
            <w:vAlign w:val="center"/>
          </w:tcPr>
          <w:p w14:paraId="208AD5E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093C2B3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6453BF9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7BEADEE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7C76EB5B"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noWrap/>
            <w:vAlign w:val="center"/>
          </w:tcPr>
          <w:p w14:paraId="79300A5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430A081F"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CGO Babina gora</w:t>
            </w:r>
          </w:p>
        </w:tc>
      </w:tr>
      <w:tr w:rsidR="00BF051A" w:rsidRPr="00925933" w14:paraId="15A73FC1" w14:textId="77777777" w:rsidTr="00F00704">
        <w:trPr>
          <w:cantSplit/>
          <w:trHeight w:val="20"/>
        </w:trPr>
        <w:tc>
          <w:tcPr>
            <w:tcW w:w="0" w:type="auto"/>
            <w:shd w:val="clear" w:color="000000" w:fill="E6EBF6"/>
            <w:noWrap/>
            <w:vAlign w:val="center"/>
            <w:hideMark/>
          </w:tcPr>
          <w:p w14:paraId="0995BE93" w14:textId="77777777" w:rsidR="00BF051A" w:rsidRPr="00925933" w:rsidRDefault="00BF051A" w:rsidP="00F00704">
            <w:pPr>
              <w:spacing w:after="0" w:line="240" w:lineRule="auto"/>
              <w:jc w:val="right"/>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5.6.</w:t>
            </w:r>
          </w:p>
        </w:tc>
        <w:tc>
          <w:tcPr>
            <w:tcW w:w="0" w:type="auto"/>
            <w:shd w:val="clear" w:color="000000" w:fill="E6EBF6"/>
            <w:vAlign w:val="center"/>
            <w:hideMark/>
          </w:tcPr>
          <w:p w14:paraId="50BCB27E"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 xml:space="preserve">Priprema projekta i izgradnja CGO </w:t>
            </w:r>
            <w:proofErr w:type="spellStart"/>
            <w:r w:rsidRPr="00925933">
              <w:rPr>
                <w:rFonts w:eastAsia="Times New Roman" w:cstheme="minorHAnsi"/>
                <w:color w:val="000000"/>
                <w:sz w:val="16"/>
                <w:szCs w:val="16"/>
                <w:lang w:eastAsia="hr-HR"/>
              </w:rPr>
              <w:t>Šagulje</w:t>
            </w:r>
            <w:proofErr w:type="spellEnd"/>
            <w:r w:rsidRPr="00925933">
              <w:rPr>
                <w:rFonts w:eastAsia="Times New Roman" w:cstheme="minorHAnsi"/>
                <w:color w:val="000000"/>
                <w:sz w:val="16"/>
                <w:szCs w:val="16"/>
                <w:lang w:eastAsia="hr-HR"/>
              </w:rPr>
              <w:t xml:space="preserve"> za obradu ne više od 55.000 t miješanog komunalnog otpada godišnje</w:t>
            </w:r>
          </w:p>
        </w:tc>
        <w:tc>
          <w:tcPr>
            <w:tcW w:w="0" w:type="auto"/>
            <w:shd w:val="clear" w:color="000000" w:fill="E6EBF6"/>
            <w:vAlign w:val="center"/>
            <w:hideMark/>
          </w:tcPr>
          <w:p w14:paraId="7218623D"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PSŽ, BPŽ, dio SMŽ i VPŽ</w:t>
            </w:r>
          </w:p>
        </w:tc>
        <w:tc>
          <w:tcPr>
            <w:tcW w:w="0" w:type="auto"/>
            <w:shd w:val="clear" w:color="auto" w:fill="auto"/>
            <w:vAlign w:val="center"/>
            <w:hideMark/>
          </w:tcPr>
          <w:p w14:paraId="2C7DAF87"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6CC3A12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JLS/FZOEU/EU</w:t>
            </w:r>
          </w:p>
        </w:tc>
        <w:tc>
          <w:tcPr>
            <w:tcW w:w="0" w:type="auto"/>
            <w:shd w:val="clear" w:color="auto" w:fill="E2EFD9" w:themeFill="accent6" w:themeFillTint="33"/>
            <w:vAlign w:val="center"/>
          </w:tcPr>
          <w:p w14:paraId="2809A66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1541FD2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1F99E0C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6D5094FE"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4770D3A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noWrap/>
            <w:vAlign w:val="center"/>
          </w:tcPr>
          <w:p w14:paraId="4E747F6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6648E5DD"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 xml:space="preserve">CGO </w:t>
            </w:r>
            <w:proofErr w:type="spellStart"/>
            <w:r w:rsidRPr="00925933">
              <w:rPr>
                <w:rFonts w:eastAsia="Times New Roman" w:cstheme="minorHAnsi"/>
                <w:sz w:val="16"/>
                <w:szCs w:val="16"/>
                <w:lang w:eastAsia="hr-HR"/>
              </w:rPr>
              <w:t>Šagulje</w:t>
            </w:r>
            <w:proofErr w:type="spellEnd"/>
          </w:p>
        </w:tc>
      </w:tr>
      <w:tr w:rsidR="00BF051A" w:rsidRPr="00925933" w14:paraId="4CA68A94" w14:textId="77777777" w:rsidTr="00F00704">
        <w:trPr>
          <w:cantSplit/>
          <w:trHeight w:val="20"/>
        </w:trPr>
        <w:tc>
          <w:tcPr>
            <w:tcW w:w="0" w:type="auto"/>
            <w:shd w:val="clear" w:color="000000" w:fill="E6EBF6"/>
            <w:noWrap/>
            <w:vAlign w:val="center"/>
            <w:hideMark/>
          </w:tcPr>
          <w:p w14:paraId="4C459B3D" w14:textId="77777777" w:rsidR="00BF051A" w:rsidRPr="00925933" w:rsidRDefault="00BF051A" w:rsidP="00F00704">
            <w:pPr>
              <w:spacing w:after="0" w:line="240" w:lineRule="auto"/>
              <w:jc w:val="right"/>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5.7.</w:t>
            </w:r>
          </w:p>
        </w:tc>
        <w:tc>
          <w:tcPr>
            <w:tcW w:w="0" w:type="auto"/>
            <w:shd w:val="clear" w:color="000000" w:fill="E6EBF6"/>
            <w:vAlign w:val="center"/>
            <w:hideMark/>
          </w:tcPr>
          <w:p w14:paraId="256161FB"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 xml:space="preserve">Priprema projekta i izgradnja CGO </w:t>
            </w:r>
            <w:proofErr w:type="spellStart"/>
            <w:r w:rsidRPr="00925933">
              <w:rPr>
                <w:rFonts w:eastAsia="Times New Roman" w:cstheme="minorHAnsi"/>
                <w:color w:val="000000"/>
                <w:sz w:val="16"/>
                <w:szCs w:val="16"/>
                <w:lang w:eastAsia="hr-HR"/>
              </w:rPr>
              <w:t>Orlovnjak</w:t>
            </w:r>
            <w:proofErr w:type="spellEnd"/>
            <w:r w:rsidRPr="00925933">
              <w:rPr>
                <w:rFonts w:eastAsia="Times New Roman" w:cstheme="minorHAnsi"/>
                <w:color w:val="000000"/>
                <w:sz w:val="16"/>
                <w:szCs w:val="16"/>
                <w:lang w:eastAsia="hr-HR"/>
              </w:rPr>
              <w:t xml:space="preserve"> za obradu ne više od 60.000 t miješanog komunalnog otpada godišnje</w:t>
            </w:r>
          </w:p>
        </w:tc>
        <w:tc>
          <w:tcPr>
            <w:tcW w:w="0" w:type="auto"/>
            <w:shd w:val="clear" w:color="000000" w:fill="E6EBF6"/>
            <w:vAlign w:val="center"/>
            <w:hideMark/>
          </w:tcPr>
          <w:p w14:paraId="23F8A676"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OBŽ i VSŽ</w:t>
            </w:r>
          </w:p>
        </w:tc>
        <w:tc>
          <w:tcPr>
            <w:tcW w:w="0" w:type="auto"/>
            <w:shd w:val="clear" w:color="auto" w:fill="auto"/>
            <w:vAlign w:val="center"/>
            <w:hideMark/>
          </w:tcPr>
          <w:p w14:paraId="1516D34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27B37560"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JLS/FZOEU/EU</w:t>
            </w:r>
          </w:p>
        </w:tc>
        <w:tc>
          <w:tcPr>
            <w:tcW w:w="0" w:type="auto"/>
            <w:shd w:val="clear" w:color="auto" w:fill="E2EFD9" w:themeFill="accent6" w:themeFillTint="33"/>
            <w:vAlign w:val="center"/>
          </w:tcPr>
          <w:p w14:paraId="2AAABB0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72D56BCE"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0095B87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0AD3A0F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73D268A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noWrap/>
            <w:vAlign w:val="center"/>
          </w:tcPr>
          <w:p w14:paraId="6A07082E"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2AD1C60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 xml:space="preserve">CGO </w:t>
            </w:r>
            <w:proofErr w:type="spellStart"/>
            <w:r w:rsidRPr="00925933">
              <w:rPr>
                <w:rFonts w:eastAsia="Times New Roman" w:cstheme="minorHAnsi"/>
                <w:sz w:val="16"/>
                <w:szCs w:val="16"/>
                <w:lang w:eastAsia="hr-HR"/>
              </w:rPr>
              <w:t>Orlovnjak</w:t>
            </w:r>
            <w:proofErr w:type="spellEnd"/>
          </w:p>
        </w:tc>
      </w:tr>
      <w:tr w:rsidR="00BF051A" w:rsidRPr="00925933" w14:paraId="14892384" w14:textId="77777777" w:rsidTr="00F00704">
        <w:trPr>
          <w:cantSplit/>
          <w:trHeight w:val="20"/>
        </w:trPr>
        <w:tc>
          <w:tcPr>
            <w:tcW w:w="0" w:type="auto"/>
            <w:shd w:val="clear" w:color="000000" w:fill="E6EBF6"/>
            <w:noWrap/>
            <w:vAlign w:val="center"/>
            <w:hideMark/>
          </w:tcPr>
          <w:p w14:paraId="2C1F24A9" w14:textId="77777777" w:rsidR="00BF051A" w:rsidRPr="00925933" w:rsidRDefault="00BF051A" w:rsidP="00F00704">
            <w:pPr>
              <w:spacing w:after="0" w:line="240" w:lineRule="auto"/>
              <w:jc w:val="right"/>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5.8.</w:t>
            </w:r>
          </w:p>
        </w:tc>
        <w:tc>
          <w:tcPr>
            <w:tcW w:w="0" w:type="auto"/>
            <w:shd w:val="clear" w:color="000000" w:fill="E6EBF6"/>
            <w:vAlign w:val="center"/>
            <w:hideMark/>
          </w:tcPr>
          <w:p w14:paraId="41CE3984"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Priprema projekta i izgradnja CGO Zagreb za obradu ne više od 180.000 t miješanog komunalnog otpada godišnje</w:t>
            </w:r>
          </w:p>
        </w:tc>
        <w:tc>
          <w:tcPr>
            <w:tcW w:w="0" w:type="auto"/>
            <w:shd w:val="clear" w:color="000000" w:fill="E6EBF6"/>
            <w:vAlign w:val="center"/>
            <w:hideMark/>
          </w:tcPr>
          <w:p w14:paraId="1F8159CB"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Grad Zagreb i ZŽ</w:t>
            </w:r>
          </w:p>
        </w:tc>
        <w:tc>
          <w:tcPr>
            <w:tcW w:w="0" w:type="auto"/>
            <w:shd w:val="clear" w:color="auto" w:fill="auto"/>
            <w:vAlign w:val="center"/>
            <w:hideMark/>
          </w:tcPr>
          <w:p w14:paraId="405E763F"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02EB1CE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FZOEU/JPP</w:t>
            </w:r>
          </w:p>
        </w:tc>
        <w:tc>
          <w:tcPr>
            <w:tcW w:w="0" w:type="auto"/>
            <w:shd w:val="thinDiagStripe" w:color="000000" w:fill="auto"/>
            <w:noWrap/>
            <w:vAlign w:val="center"/>
            <w:hideMark/>
          </w:tcPr>
          <w:p w14:paraId="10C00DAE"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2D97E3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CCAEE3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020F08B"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3AB8F26B"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noWrap/>
            <w:vAlign w:val="center"/>
          </w:tcPr>
          <w:p w14:paraId="6438B85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6F0456F7"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CGO Zagreb</w:t>
            </w:r>
          </w:p>
        </w:tc>
      </w:tr>
      <w:tr w:rsidR="00BF051A" w:rsidRPr="00925933" w14:paraId="43EEB4CA" w14:textId="77777777" w:rsidTr="00F00704">
        <w:trPr>
          <w:cantSplit/>
          <w:trHeight w:val="536"/>
        </w:trPr>
        <w:tc>
          <w:tcPr>
            <w:tcW w:w="0" w:type="auto"/>
            <w:gridSpan w:val="12"/>
            <w:shd w:val="clear" w:color="000000" w:fill="030F40"/>
            <w:vAlign w:val="center"/>
            <w:hideMark/>
          </w:tcPr>
          <w:p w14:paraId="6C243413" w14:textId="77777777" w:rsidR="00BF051A" w:rsidRPr="009D1D3C" w:rsidRDefault="00BF051A" w:rsidP="00F00704">
            <w:pPr>
              <w:spacing w:after="0" w:line="240" w:lineRule="auto"/>
              <w:rPr>
                <w:rFonts w:eastAsia="Times New Roman" w:cstheme="minorHAnsi"/>
                <w:b/>
                <w:bCs/>
                <w:color w:val="FFFFFF"/>
                <w:sz w:val="16"/>
                <w:szCs w:val="16"/>
                <w:lang w:eastAsia="hr-HR"/>
              </w:rPr>
            </w:pPr>
            <w:r w:rsidRPr="00925933">
              <w:rPr>
                <w:rFonts w:eastAsia="Times New Roman" w:cstheme="minorHAnsi"/>
                <w:b/>
                <w:bCs/>
                <w:color w:val="FFFFFF"/>
                <w:sz w:val="16"/>
                <w:szCs w:val="16"/>
                <w:lang w:eastAsia="hr-HR"/>
              </w:rPr>
              <w:t>MJERE I AKTIVNOSTI ZA OSTAVARENJE Cilja 2.  PGO – Otpadna ambalaža, Cilja 3. PGO - Otpadni plastični proizvodi za jednokratnu uporabu, Cilja 4. PGO  Građevni otpad, Cilja 5. PGO – Otpadna vozila, Cilja 6. PGO – Otpadne baterije i akumulatori, Cilja 7. PGO – Otpadna električna i elektronička oprema, Cilja 8. PGO – Otpadne gume i Cilja 9 PGO – Ostale posebne kategorije otpada</w:t>
            </w:r>
          </w:p>
        </w:tc>
      </w:tr>
      <w:tr w:rsidR="00BF051A" w:rsidRPr="00925933" w14:paraId="60BE3E9E" w14:textId="77777777" w:rsidTr="00F00704">
        <w:trPr>
          <w:cantSplit/>
          <w:trHeight w:val="20"/>
        </w:trPr>
        <w:tc>
          <w:tcPr>
            <w:tcW w:w="0" w:type="auto"/>
            <w:shd w:val="clear" w:color="000000" w:fill="5B9BD5"/>
            <w:noWrap/>
            <w:vAlign w:val="center"/>
            <w:hideMark/>
          </w:tcPr>
          <w:p w14:paraId="379A74D6"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6.</w:t>
            </w:r>
          </w:p>
        </w:tc>
        <w:tc>
          <w:tcPr>
            <w:tcW w:w="0" w:type="auto"/>
            <w:gridSpan w:val="11"/>
            <w:shd w:val="clear" w:color="000000" w:fill="5B9BD5"/>
            <w:vAlign w:val="center"/>
            <w:hideMark/>
          </w:tcPr>
          <w:p w14:paraId="3B810C36" w14:textId="77777777" w:rsidR="00BF051A" w:rsidRPr="009D1D3C"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Analiza učinkovitosti sustava za gospodarenje posebnim kategorijama otpada s prijedlozima za unaprjeđenje</w:t>
            </w:r>
          </w:p>
        </w:tc>
      </w:tr>
      <w:tr w:rsidR="00BF051A" w:rsidRPr="00925933" w14:paraId="1197DCAC" w14:textId="77777777" w:rsidTr="00F00704">
        <w:trPr>
          <w:cantSplit/>
          <w:trHeight w:val="20"/>
        </w:trPr>
        <w:tc>
          <w:tcPr>
            <w:tcW w:w="0" w:type="auto"/>
            <w:shd w:val="clear" w:color="000000" w:fill="E6EBF6"/>
            <w:noWrap/>
            <w:vAlign w:val="center"/>
            <w:hideMark/>
          </w:tcPr>
          <w:p w14:paraId="7D752CC7"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6.1.</w:t>
            </w:r>
          </w:p>
        </w:tc>
        <w:tc>
          <w:tcPr>
            <w:tcW w:w="0" w:type="auto"/>
            <w:shd w:val="clear" w:color="000000" w:fill="E6EBF6"/>
            <w:vAlign w:val="center"/>
            <w:hideMark/>
          </w:tcPr>
          <w:p w14:paraId="1343D864"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Izrada analiza postojećih sustava gospodarenja posebnim kategorijama otpada u sustavu proširene odgovornosti proizvođača</w:t>
            </w:r>
          </w:p>
        </w:tc>
        <w:tc>
          <w:tcPr>
            <w:tcW w:w="0" w:type="auto"/>
            <w:shd w:val="clear" w:color="000000" w:fill="E6EBF6"/>
            <w:vAlign w:val="center"/>
            <w:hideMark/>
          </w:tcPr>
          <w:p w14:paraId="2CD11ED0"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FZOEU</w:t>
            </w:r>
          </w:p>
        </w:tc>
        <w:tc>
          <w:tcPr>
            <w:tcW w:w="0" w:type="auto"/>
            <w:shd w:val="clear" w:color="auto" w:fill="auto"/>
            <w:vAlign w:val="center"/>
            <w:hideMark/>
          </w:tcPr>
          <w:p w14:paraId="6D97EB06"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782040B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w:t>
            </w:r>
          </w:p>
        </w:tc>
        <w:tc>
          <w:tcPr>
            <w:tcW w:w="0" w:type="auto"/>
            <w:shd w:val="clear" w:color="auto" w:fill="E2EFD9" w:themeFill="accent6" w:themeFillTint="33"/>
            <w:vAlign w:val="center"/>
          </w:tcPr>
          <w:p w14:paraId="08605A5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73779B8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4E9703B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275F2E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1F51C1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4343FF8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22AE3E47"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Izrađene analize postojećih sustava gospodarenja posebnim kategorijama otpada u sustavu proširene odgovornosti proizvođača</w:t>
            </w:r>
          </w:p>
        </w:tc>
      </w:tr>
      <w:tr w:rsidR="00BF051A" w:rsidRPr="00925933" w14:paraId="0D895A73" w14:textId="77777777" w:rsidTr="00F00704">
        <w:trPr>
          <w:cantSplit/>
          <w:trHeight w:val="20"/>
        </w:trPr>
        <w:tc>
          <w:tcPr>
            <w:tcW w:w="0" w:type="auto"/>
            <w:shd w:val="clear" w:color="000000" w:fill="E6EBF6"/>
            <w:noWrap/>
            <w:vAlign w:val="center"/>
            <w:hideMark/>
          </w:tcPr>
          <w:p w14:paraId="09F972C7"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6.2.</w:t>
            </w:r>
          </w:p>
        </w:tc>
        <w:tc>
          <w:tcPr>
            <w:tcW w:w="0" w:type="auto"/>
            <w:shd w:val="clear" w:color="000000" w:fill="E6EBF6"/>
            <w:vAlign w:val="center"/>
            <w:hideMark/>
          </w:tcPr>
          <w:p w14:paraId="41B4E9ED"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Izrada analize sustava gospodarenja medicinskim otpadom</w:t>
            </w:r>
          </w:p>
        </w:tc>
        <w:tc>
          <w:tcPr>
            <w:tcW w:w="0" w:type="auto"/>
            <w:shd w:val="clear" w:color="000000" w:fill="E6EBF6"/>
            <w:vAlign w:val="center"/>
            <w:hideMark/>
          </w:tcPr>
          <w:p w14:paraId="547EF453"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256FFC1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MINZDR</w:t>
            </w:r>
          </w:p>
        </w:tc>
        <w:tc>
          <w:tcPr>
            <w:tcW w:w="0" w:type="auto"/>
            <w:shd w:val="clear" w:color="auto" w:fill="auto"/>
            <w:vAlign w:val="center"/>
            <w:hideMark/>
          </w:tcPr>
          <w:p w14:paraId="542662A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thinDiagStripe" w:color="000000" w:fill="auto"/>
            <w:noWrap/>
            <w:vAlign w:val="center"/>
            <w:hideMark/>
          </w:tcPr>
          <w:p w14:paraId="5FA2B2B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7FB037AD"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2654F670"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247EF3A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555A2F6"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1597CA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5110D35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Izrađena analiza sustava gospodarenja medicinskim otpadom</w:t>
            </w:r>
          </w:p>
        </w:tc>
      </w:tr>
      <w:tr w:rsidR="00BF051A" w:rsidRPr="00925933" w14:paraId="0BF97C28" w14:textId="77777777" w:rsidTr="00F00704">
        <w:trPr>
          <w:cantSplit/>
          <w:trHeight w:val="20"/>
        </w:trPr>
        <w:tc>
          <w:tcPr>
            <w:tcW w:w="0" w:type="auto"/>
            <w:shd w:val="clear" w:color="000000" w:fill="E6EBF6"/>
            <w:noWrap/>
            <w:vAlign w:val="center"/>
            <w:hideMark/>
          </w:tcPr>
          <w:p w14:paraId="695FA213"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6.3.</w:t>
            </w:r>
          </w:p>
        </w:tc>
        <w:tc>
          <w:tcPr>
            <w:tcW w:w="0" w:type="auto"/>
            <w:shd w:val="clear" w:color="000000" w:fill="E6EBF6"/>
            <w:vAlign w:val="center"/>
            <w:hideMark/>
          </w:tcPr>
          <w:p w14:paraId="14D9AADE"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Izrada analize sustava gospodarenja jednokratnim plastičnim proizvodima</w:t>
            </w:r>
          </w:p>
        </w:tc>
        <w:tc>
          <w:tcPr>
            <w:tcW w:w="0" w:type="auto"/>
            <w:shd w:val="clear" w:color="000000" w:fill="E6EBF6"/>
            <w:vAlign w:val="center"/>
            <w:hideMark/>
          </w:tcPr>
          <w:p w14:paraId="7D7CB2B4"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FZOEU</w:t>
            </w:r>
          </w:p>
        </w:tc>
        <w:tc>
          <w:tcPr>
            <w:tcW w:w="0" w:type="auto"/>
            <w:shd w:val="clear" w:color="auto" w:fill="auto"/>
            <w:vAlign w:val="center"/>
            <w:hideMark/>
          </w:tcPr>
          <w:p w14:paraId="33E09C1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4AD15CE6"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w:t>
            </w:r>
          </w:p>
        </w:tc>
        <w:tc>
          <w:tcPr>
            <w:tcW w:w="0" w:type="auto"/>
            <w:shd w:val="clear" w:color="auto" w:fill="E2EFD9" w:themeFill="accent6" w:themeFillTint="33"/>
            <w:vAlign w:val="center"/>
            <w:hideMark/>
          </w:tcPr>
          <w:p w14:paraId="5CE5BA0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741E432E"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4804351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475BD72"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3F1B58E"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ACEB4B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26F7D02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Izrađena analiza sustava gospodarenja za jednokratne plastične proizvode</w:t>
            </w:r>
          </w:p>
        </w:tc>
      </w:tr>
      <w:tr w:rsidR="00BF051A" w:rsidRPr="00925933" w14:paraId="1DC095F0" w14:textId="77777777" w:rsidTr="00F00704">
        <w:trPr>
          <w:cantSplit/>
          <w:trHeight w:val="20"/>
        </w:trPr>
        <w:tc>
          <w:tcPr>
            <w:tcW w:w="0" w:type="auto"/>
            <w:shd w:val="clear" w:color="000000" w:fill="E6EBF6"/>
            <w:noWrap/>
            <w:vAlign w:val="center"/>
            <w:hideMark/>
          </w:tcPr>
          <w:p w14:paraId="7D1CB40A"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6.4.</w:t>
            </w:r>
          </w:p>
        </w:tc>
        <w:tc>
          <w:tcPr>
            <w:tcW w:w="0" w:type="auto"/>
            <w:shd w:val="clear" w:color="000000" w:fill="E6EBF6"/>
            <w:vAlign w:val="center"/>
            <w:hideMark/>
          </w:tcPr>
          <w:p w14:paraId="5133D599"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Izrada studije procjena količina otpada koji potječe od ribolovnih alata koji sadrže plastiku i načina gospodarenja</w:t>
            </w:r>
          </w:p>
        </w:tc>
        <w:tc>
          <w:tcPr>
            <w:tcW w:w="0" w:type="auto"/>
            <w:shd w:val="clear" w:color="000000" w:fill="E6EBF6"/>
            <w:vAlign w:val="center"/>
            <w:hideMark/>
          </w:tcPr>
          <w:p w14:paraId="4C96330F"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FZOEU</w:t>
            </w:r>
          </w:p>
        </w:tc>
        <w:tc>
          <w:tcPr>
            <w:tcW w:w="0" w:type="auto"/>
            <w:shd w:val="clear" w:color="auto" w:fill="auto"/>
            <w:vAlign w:val="center"/>
            <w:hideMark/>
          </w:tcPr>
          <w:p w14:paraId="3931B68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4334C22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FZOEU/EU</w:t>
            </w:r>
          </w:p>
        </w:tc>
        <w:tc>
          <w:tcPr>
            <w:tcW w:w="0" w:type="auto"/>
            <w:shd w:val="clear" w:color="auto" w:fill="E2EFD9" w:themeFill="accent6" w:themeFillTint="33"/>
            <w:vAlign w:val="center"/>
            <w:hideMark/>
          </w:tcPr>
          <w:p w14:paraId="5A08E280"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21E6394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82FCDB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CF350B9"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D6CBD59"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FA8C7C9"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39055CA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Izrađena studija procjena količina otpada koji potječe od ribolovnih alata koji sadrže plastiku i načina gospodarenja</w:t>
            </w:r>
          </w:p>
        </w:tc>
      </w:tr>
      <w:tr w:rsidR="00BF051A" w:rsidRPr="00925933" w14:paraId="0192D37C" w14:textId="77777777" w:rsidTr="00F00704">
        <w:trPr>
          <w:cantSplit/>
          <w:trHeight w:val="20"/>
        </w:trPr>
        <w:tc>
          <w:tcPr>
            <w:tcW w:w="0" w:type="auto"/>
            <w:shd w:val="clear" w:color="000000" w:fill="E6EBF6"/>
            <w:noWrap/>
            <w:vAlign w:val="center"/>
            <w:hideMark/>
          </w:tcPr>
          <w:p w14:paraId="0044EA2A"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6.5.</w:t>
            </w:r>
          </w:p>
        </w:tc>
        <w:tc>
          <w:tcPr>
            <w:tcW w:w="0" w:type="auto"/>
            <w:shd w:val="clear" w:color="000000" w:fill="E6EBF6"/>
            <w:vAlign w:val="center"/>
            <w:hideMark/>
          </w:tcPr>
          <w:p w14:paraId="6ED7F5CB"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Izrada Studije procjene količine otpada koji sadrži azbest po županijama</w:t>
            </w:r>
          </w:p>
        </w:tc>
        <w:tc>
          <w:tcPr>
            <w:tcW w:w="0" w:type="auto"/>
            <w:shd w:val="clear" w:color="000000" w:fill="E6EBF6"/>
            <w:vAlign w:val="center"/>
            <w:hideMark/>
          </w:tcPr>
          <w:p w14:paraId="6DFD50D9"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FZOEU</w:t>
            </w:r>
          </w:p>
        </w:tc>
        <w:tc>
          <w:tcPr>
            <w:tcW w:w="0" w:type="auto"/>
            <w:shd w:val="clear" w:color="auto" w:fill="auto"/>
            <w:vAlign w:val="center"/>
            <w:hideMark/>
          </w:tcPr>
          <w:p w14:paraId="2A1396D6"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MINGOR/JP(R)LS/JLS</w:t>
            </w:r>
          </w:p>
        </w:tc>
        <w:tc>
          <w:tcPr>
            <w:tcW w:w="0" w:type="auto"/>
            <w:shd w:val="clear" w:color="auto" w:fill="auto"/>
            <w:vAlign w:val="center"/>
            <w:hideMark/>
          </w:tcPr>
          <w:p w14:paraId="4C8E48E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FZOEU/EU</w:t>
            </w:r>
          </w:p>
        </w:tc>
        <w:tc>
          <w:tcPr>
            <w:tcW w:w="0" w:type="auto"/>
            <w:shd w:val="clear" w:color="auto" w:fill="E2EFD9" w:themeFill="accent6" w:themeFillTint="33"/>
            <w:vAlign w:val="center"/>
            <w:hideMark/>
          </w:tcPr>
          <w:p w14:paraId="09900331"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74D71B8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B481B1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844A77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CD92CD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299045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5347B90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Izrađena Studija procjene količine otpada koji sadrži azbest po županijama</w:t>
            </w:r>
          </w:p>
        </w:tc>
      </w:tr>
      <w:tr w:rsidR="00BF051A" w:rsidRPr="00925933" w14:paraId="369AA3BD" w14:textId="77777777" w:rsidTr="00F00704">
        <w:trPr>
          <w:cantSplit/>
          <w:trHeight w:val="20"/>
        </w:trPr>
        <w:tc>
          <w:tcPr>
            <w:tcW w:w="0" w:type="auto"/>
            <w:shd w:val="clear" w:color="000000" w:fill="E6EBF6"/>
            <w:noWrap/>
            <w:vAlign w:val="center"/>
            <w:hideMark/>
          </w:tcPr>
          <w:p w14:paraId="78C7F284"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6.6.</w:t>
            </w:r>
          </w:p>
        </w:tc>
        <w:tc>
          <w:tcPr>
            <w:tcW w:w="0" w:type="auto"/>
            <w:shd w:val="clear" w:color="000000" w:fill="E6EBF6"/>
            <w:vAlign w:val="center"/>
            <w:hideMark/>
          </w:tcPr>
          <w:p w14:paraId="29AFB42E"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Izrada analize potrebnog broja, lokacije i kapaciteta ploha za odlaganje građevnog otpada koji sadrži azbest</w:t>
            </w:r>
          </w:p>
        </w:tc>
        <w:tc>
          <w:tcPr>
            <w:tcW w:w="0" w:type="auto"/>
            <w:shd w:val="clear" w:color="000000" w:fill="E6EBF6"/>
            <w:vAlign w:val="center"/>
            <w:hideMark/>
          </w:tcPr>
          <w:p w14:paraId="54A02240"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FZOEU</w:t>
            </w:r>
          </w:p>
        </w:tc>
        <w:tc>
          <w:tcPr>
            <w:tcW w:w="0" w:type="auto"/>
            <w:shd w:val="clear" w:color="auto" w:fill="auto"/>
            <w:vAlign w:val="center"/>
            <w:hideMark/>
          </w:tcPr>
          <w:p w14:paraId="1E4ECD6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502B1F0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w:t>
            </w:r>
          </w:p>
        </w:tc>
        <w:tc>
          <w:tcPr>
            <w:tcW w:w="0" w:type="auto"/>
            <w:shd w:val="thinDiagStripe" w:color="000000" w:fill="auto"/>
            <w:noWrap/>
            <w:vAlign w:val="center"/>
            <w:hideMark/>
          </w:tcPr>
          <w:p w14:paraId="2151CF8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5A93E15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763871E9"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E76F76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4FDD25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87BBFD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3E7C036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Izrađena analiza s utvrđenim brojem, lokacijama i kapacitetima ploha za odlaganje građevnog otpada koji sadrži azbest</w:t>
            </w:r>
          </w:p>
        </w:tc>
      </w:tr>
      <w:tr w:rsidR="00BF051A" w:rsidRPr="00925933" w14:paraId="6C567D50" w14:textId="77777777" w:rsidTr="00F00704">
        <w:trPr>
          <w:cantSplit/>
          <w:trHeight w:val="20"/>
        </w:trPr>
        <w:tc>
          <w:tcPr>
            <w:tcW w:w="0" w:type="auto"/>
            <w:shd w:val="clear" w:color="000000" w:fill="E6EBF6"/>
            <w:noWrap/>
            <w:vAlign w:val="center"/>
            <w:hideMark/>
          </w:tcPr>
          <w:p w14:paraId="65885B08"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6.7.</w:t>
            </w:r>
          </w:p>
        </w:tc>
        <w:tc>
          <w:tcPr>
            <w:tcW w:w="0" w:type="auto"/>
            <w:shd w:val="clear" w:color="000000" w:fill="E6EBF6"/>
            <w:vAlign w:val="center"/>
            <w:hideMark/>
          </w:tcPr>
          <w:p w14:paraId="3B1925C9"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 xml:space="preserve">Izrada procjena količina proizvedenog građevnog otpada </w:t>
            </w:r>
          </w:p>
        </w:tc>
        <w:tc>
          <w:tcPr>
            <w:tcW w:w="0" w:type="auto"/>
            <w:shd w:val="clear" w:color="000000" w:fill="E6EBF6"/>
            <w:vAlign w:val="center"/>
            <w:hideMark/>
          </w:tcPr>
          <w:p w14:paraId="4ECB6EBA"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6D63C62F"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27B6F981"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thinDiagStripe" w:color="000000" w:fill="auto"/>
            <w:noWrap/>
            <w:vAlign w:val="center"/>
            <w:hideMark/>
          </w:tcPr>
          <w:p w14:paraId="318E8A3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4459AE0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3F765660"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9DC892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C87573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4F28D67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6CB8104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Izrađena procjena količina proizvedenog građevnog otpada</w:t>
            </w:r>
          </w:p>
        </w:tc>
      </w:tr>
      <w:tr w:rsidR="00BF051A" w:rsidRPr="00925933" w14:paraId="6438F572" w14:textId="77777777" w:rsidTr="00F00704">
        <w:trPr>
          <w:cantSplit/>
          <w:trHeight w:val="20"/>
        </w:trPr>
        <w:tc>
          <w:tcPr>
            <w:tcW w:w="0" w:type="auto"/>
            <w:shd w:val="clear" w:color="000000" w:fill="5B9BD5"/>
            <w:noWrap/>
            <w:vAlign w:val="center"/>
            <w:hideMark/>
          </w:tcPr>
          <w:p w14:paraId="4D12655D"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7.</w:t>
            </w:r>
          </w:p>
        </w:tc>
        <w:tc>
          <w:tcPr>
            <w:tcW w:w="0" w:type="auto"/>
            <w:gridSpan w:val="11"/>
            <w:shd w:val="clear" w:color="000000" w:fill="5B9BD5"/>
            <w:vAlign w:val="center"/>
            <w:hideMark/>
          </w:tcPr>
          <w:p w14:paraId="55C79200" w14:textId="77777777" w:rsidR="00BF051A" w:rsidRPr="00191FA9"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Unaprjeđenje sustava za gospodarenje otpadnom ambalažom i uspostava sustava za gospodarenje otpadnim plastičnim proizvodima za jednokratnu uporabu i ribolovnim alatima koji sadrže plastiku</w:t>
            </w:r>
            <w:r w:rsidRPr="00925933">
              <w:rPr>
                <w:rFonts w:eastAsia="Times New Roman" w:cstheme="minorHAnsi"/>
                <w:sz w:val="16"/>
                <w:szCs w:val="16"/>
                <w:lang w:eastAsia="hr-HR"/>
              </w:rPr>
              <w:t> </w:t>
            </w:r>
          </w:p>
        </w:tc>
      </w:tr>
      <w:tr w:rsidR="00BF051A" w:rsidRPr="00925933" w14:paraId="0E8811A1" w14:textId="77777777" w:rsidTr="00F00704">
        <w:trPr>
          <w:cantSplit/>
          <w:trHeight w:val="20"/>
        </w:trPr>
        <w:tc>
          <w:tcPr>
            <w:tcW w:w="0" w:type="auto"/>
            <w:shd w:val="clear" w:color="000000" w:fill="E6EBF6"/>
            <w:noWrap/>
            <w:vAlign w:val="center"/>
            <w:hideMark/>
          </w:tcPr>
          <w:p w14:paraId="782D0262"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7.1.</w:t>
            </w:r>
          </w:p>
        </w:tc>
        <w:tc>
          <w:tcPr>
            <w:tcW w:w="0" w:type="auto"/>
            <w:shd w:val="clear" w:color="000000" w:fill="E6EBF6"/>
            <w:vAlign w:val="center"/>
            <w:hideMark/>
          </w:tcPr>
          <w:p w14:paraId="71C15FFC"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 xml:space="preserve">Mjera 1. Aktivnost A 1.2. i Aktivnost 1.4. </w:t>
            </w:r>
          </w:p>
        </w:tc>
        <w:tc>
          <w:tcPr>
            <w:tcW w:w="0" w:type="auto"/>
            <w:shd w:val="clear" w:color="000000" w:fill="E6EBF6"/>
            <w:vAlign w:val="center"/>
            <w:hideMark/>
          </w:tcPr>
          <w:p w14:paraId="228C4674"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w:t>
            </w:r>
          </w:p>
        </w:tc>
        <w:tc>
          <w:tcPr>
            <w:tcW w:w="0" w:type="auto"/>
            <w:shd w:val="clear" w:color="auto" w:fill="auto"/>
            <w:vAlign w:val="center"/>
            <w:hideMark/>
          </w:tcPr>
          <w:p w14:paraId="7A77860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565D11E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thinDiagStripe" w:color="000000" w:fill="auto"/>
            <w:noWrap/>
            <w:vAlign w:val="center"/>
            <w:hideMark/>
          </w:tcPr>
          <w:p w14:paraId="4B85C69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62003E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543144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296DD3B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55EF65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71DDEB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2FF614C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r>
      <w:tr w:rsidR="00BF051A" w:rsidRPr="00925933" w14:paraId="0A1DAEE5" w14:textId="77777777" w:rsidTr="00F00704">
        <w:trPr>
          <w:cantSplit/>
          <w:trHeight w:val="20"/>
        </w:trPr>
        <w:tc>
          <w:tcPr>
            <w:tcW w:w="0" w:type="auto"/>
            <w:shd w:val="clear" w:color="000000" w:fill="E6EBF6"/>
            <w:noWrap/>
            <w:vAlign w:val="center"/>
            <w:hideMark/>
          </w:tcPr>
          <w:p w14:paraId="15190038" w14:textId="77777777" w:rsidR="00BF051A" w:rsidRPr="00925933" w:rsidRDefault="00BF051A" w:rsidP="00F00704">
            <w:pPr>
              <w:spacing w:after="0" w:line="240" w:lineRule="auto"/>
              <w:jc w:val="right"/>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7.2.</w:t>
            </w:r>
          </w:p>
        </w:tc>
        <w:tc>
          <w:tcPr>
            <w:tcW w:w="0" w:type="auto"/>
            <w:shd w:val="clear" w:color="000000" w:fill="E6EBF6"/>
            <w:vAlign w:val="center"/>
            <w:hideMark/>
          </w:tcPr>
          <w:p w14:paraId="7B2A16B1"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Priprema i provedba pilot-projekata gospodarenje otpadom od cigaretnih filtera</w:t>
            </w:r>
          </w:p>
        </w:tc>
        <w:tc>
          <w:tcPr>
            <w:tcW w:w="0" w:type="auto"/>
            <w:shd w:val="clear" w:color="000000" w:fill="E6EBF6"/>
            <w:vAlign w:val="center"/>
            <w:hideMark/>
          </w:tcPr>
          <w:p w14:paraId="18B586E7"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FZOEU</w:t>
            </w:r>
          </w:p>
        </w:tc>
        <w:tc>
          <w:tcPr>
            <w:tcW w:w="0" w:type="auto"/>
            <w:shd w:val="clear" w:color="auto" w:fill="auto"/>
            <w:vAlign w:val="center"/>
            <w:hideMark/>
          </w:tcPr>
          <w:p w14:paraId="0705167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MINGOR/JP (R) S/JLS</w:t>
            </w:r>
          </w:p>
        </w:tc>
        <w:tc>
          <w:tcPr>
            <w:tcW w:w="0" w:type="auto"/>
            <w:shd w:val="clear" w:color="auto" w:fill="auto"/>
            <w:vAlign w:val="center"/>
            <w:hideMark/>
          </w:tcPr>
          <w:p w14:paraId="693BEF87"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FZOEU/JLS/ EU</w:t>
            </w:r>
          </w:p>
        </w:tc>
        <w:tc>
          <w:tcPr>
            <w:tcW w:w="0" w:type="auto"/>
            <w:shd w:val="thinDiagStripe" w:color="000000" w:fill="auto"/>
            <w:noWrap/>
            <w:vAlign w:val="center"/>
            <w:hideMark/>
          </w:tcPr>
          <w:p w14:paraId="3B610A80"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4DC9F0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ECD90CE"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F3910B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2B4238D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268B17C0"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6</w:t>
            </w:r>
          </w:p>
        </w:tc>
        <w:tc>
          <w:tcPr>
            <w:tcW w:w="0" w:type="auto"/>
            <w:shd w:val="clear" w:color="auto" w:fill="auto"/>
            <w:vAlign w:val="center"/>
            <w:hideMark/>
          </w:tcPr>
          <w:p w14:paraId="411AE875"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Provedeni pilot projekti gospodarenjem otpadom od cigaretnih filtera</w:t>
            </w:r>
          </w:p>
          <w:p w14:paraId="4054A3D3"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(broj)</w:t>
            </w:r>
          </w:p>
        </w:tc>
      </w:tr>
      <w:tr w:rsidR="00BF051A" w:rsidRPr="00925933" w14:paraId="1B6A85A4" w14:textId="77777777" w:rsidTr="00F00704">
        <w:trPr>
          <w:cantSplit/>
          <w:trHeight w:val="20"/>
        </w:trPr>
        <w:tc>
          <w:tcPr>
            <w:tcW w:w="0" w:type="auto"/>
            <w:shd w:val="clear" w:color="000000" w:fill="E6EBF6"/>
            <w:noWrap/>
            <w:vAlign w:val="center"/>
            <w:hideMark/>
          </w:tcPr>
          <w:p w14:paraId="2FCB477B"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lastRenderedPageBreak/>
              <w:t>PGO A 7.3.</w:t>
            </w:r>
          </w:p>
        </w:tc>
        <w:tc>
          <w:tcPr>
            <w:tcW w:w="0" w:type="auto"/>
            <w:shd w:val="clear" w:color="000000" w:fill="E6EBF6"/>
            <w:vAlign w:val="center"/>
            <w:hideMark/>
          </w:tcPr>
          <w:p w14:paraId="24820DAE"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Organizacija radionica za privatni sektor na temu pripreme izvještaja i dostave podataka nadležnim tijelima o ambalaži i ambalažnom otpadu, otpadnim plastičnim proizvodima za jednokratnu uporabu i ribolovnim alatima koji sadrže plastiku (uključujući pripremu edukativnih materijala)</w:t>
            </w:r>
          </w:p>
        </w:tc>
        <w:tc>
          <w:tcPr>
            <w:tcW w:w="0" w:type="auto"/>
            <w:shd w:val="clear" w:color="000000" w:fill="E6EBF6"/>
            <w:vAlign w:val="center"/>
            <w:hideMark/>
          </w:tcPr>
          <w:p w14:paraId="2C539771"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1DE58B9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w:t>
            </w:r>
          </w:p>
        </w:tc>
        <w:tc>
          <w:tcPr>
            <w:tcW w:w="0" w:type="auto"/>
            <w:shd w:val="clear" w:color="auto" w:fill="auto"/>
            <w:vAlign w:val="center"/>
            <w:hideMark/>
          </w:tcPr>
          <w:p w14:paraId="0A29DD6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FZOEU/MINGOR</w:t>
            </w:r>
          </w:p>
        </w:tc>
        <w:tc>
          <w:tcPr>
            <w:tcW w:w="0" w:type="auto"/>
            <w:shd w:val="clear" w:color="auto" w:fill="E2EFD9" w:themeFill="accent6" w:themeFillTint="33"/>
            <w:vAlign w:val="center"/>
            <w:hideMark/>
          </w:tcPr>
          <w:p w14:paraId="031F8A5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2</w:t>
            </w:r>
          </w:p>
        </w:tc>
        <w:tc>
          <w:tcPr>
            <w:tcW w:w="0" w:type="auto"/>
            <w:shd w:val="thinDiagStripe" w:color="000000" w:fill="auto"/>
            <w:noWrap/>
            <w:vAlign w:val="center"/>
            <w:hideMark/>
          </w:tcPr>
          <w:p w14:paraId="6C0A0D5B"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8AF4449"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6DB8866"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F0C8FC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FF41C7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32F48E92"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Provedene radionice za privatni sektor u na temu pripreme izvještaja i dostave podataka nadležnim tijelima o ambalaži i ambalažnom otpadu, otpadnim plastičnim proizvodima za jednokratnu uporabu i ribolovnim alatima koji sadrže plastiku (uključujući pripremu edukativnih materijala)</w:t>
            </w:r>
          </w:p>
          <w:p w14:paraId="6B0E3740"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(broj)</w:t>
            </w:r>
          </w:p>
        </w:tc>
      </w:tr>
      <w:tr w:rsidR="00BF051A" w:rsidRPr="00925933" w14:paraId="134F2532" w14:textId="77777777" w:rsidTr="00F00704">
        <w:trPr>
          <w:cantSplit/>
          <w:trHeight w:val="20"/>
        </w:trPr>
        <w:tc>
          <w:tcPr>
            <w:tcW w:w="0" w:type="auto"/>
            <w:shd w:val="clear" w:color="000000" w:fill="5B9BD5"/>
            <w:noWrap/>
            <w:vAlign w:val="center"/>
            <w:hideMark/>
          </w:tcPr>
          <w:p w14:paraId="6095B3ED"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8.</w:t>
            </w:r>
          </w:p>
        </w:tc>
        <w:tc>
          <w:tcPr>
            <w:tcW w:w="0" w:type="auto"/>
            <w:gridSpan w:val="11"/>
            <w:shd w:val="clear" w:color="000000" w:fill="5B9BD5"/>
            <w:vAlign w:val="center"/>
            <w:hideMark/>
          </w:tcPr>
          <w:p w14:paraId="6A2472A5" w14:textId="77777777" w:rsidR="00BF051A" w:rsidRPr="00191FA9"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Unaprjeđenje sustava za gospodarenje građevnim otpadom i otpadom koji sadrži azbest</w:t>
            </w:r>
          </w:p>
        </w:tc>
      </w:tr>
      <w:tr w:rsidR="00BF051A" w:rsidRPr="00925933" w14:paraId="2A526D56" w14:textId="77777777" w:rsidTr="00F00704">
        <w:trPr>
          <w:cantSplit/>
          <w:trHeight w:val="20"/>
        </w:trPr>
        <w:tc>
          <w:tcPr>
            <w:tcW w:w="0" w:type="auto"/>
            <w:shd w:val="clear" w:color="000000" w:fill="E6EBF6"/>
            <w:noWrap/>
            <w:vAlign w:val="center"/>
            <w:hideMark/>
          </w:tcPr>
          <w:p w14:paraId="5E52AF4D"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PGO A 8.1.</w:t>
            </w:r>
          </w:p>
        </w:tc>
        <w:tc>
          <w:tcPr>
            <w:tcW w:w="0" w:type="auto"/>
            <w:shd w:val="clear" w:color="000000" w:fill="E6EBF6"/>
            <w:vAlign w:val="center"/>
            <w:hideMark/>
          </w:tcPr>
          <w:p w14:paraId="251C0965" w14:textId="77777777" w:rsidR="00BF051A" w:rsidRPr="00925933" w:rsidRDefault="00BF051A" w:rsidP="00F00704">
            <w:pPr>
              <w:spacing w:after="0" w:line="240" w:lineRule="auto"/>
              <w:rPr>
                <w:rFonts w:eastAsia="Times New Roman" w:cstheme="minorHAnsi"/>
                <w:sz w:val="16"/>
                <w:szCs w:val="16"/>
                <w:lang w:eastAsia="hr-HR"/>
              </w:rPr>
            </w:pPr>
            <w:r w:rsidRPr="00925933">
              <w:rPr>
                <w:rFonts w:eastAsia="Times New Roman" w:cstheme="minorHAnsi"/>
                <w:sz w:val="16"/>
                <w:szCs w:val="16"/>
                <w:lang w:eastAsia="hr-HR"/>
              </w:rPr>
              <w:t xml:space="preserve">Izrada uputa za odabir i </w:t>
            </w:r>
            <w:proofErr w:type="spellStart"/>
            <w:r w:rsidRPr="00925933">
              <w:rPr>
                <w:rFonts w:eastAsia="Times New Roman" w:cstheme="minorHAnsi"/>
                <w:sz w:val="16"/>
                <w:szCs w:val="16"/>
                <w:lang w:eastAsia="hr-HR"/>
              </w:rPr>
              <w:t>izdvanjanje</w:t>
            </w:r>
            <w:proofErr w:type="spellEnd"/>
            <w:r w:rsidRPr="00925933">
              <w:rPr>
                <w:rFonts w:eastAsia="Times New Roman" w:cstheme="minorHAnsi"/>
                <w:sz w:val="16"/>
                <w:szCs w:val="16"/>
                <w:lang w:eastAsia="hr-HR"/>
              </w:rPr>
              <w:t xml:space="preserve"> opasnog građevnog otpada </w:t>
            </w:r>
          </w:p>
        </w:tc>
        <w:tc>
          <w:tcPr>
            <w:tcW w:w="0" w:type="auto"/>
            <w:shd w:val="clear" w:color="000000" w:fill="E6EBF6"/>
            <w:vAlign w:val="center"/>
            <w:hideMark/>
          </w:tcPr>
          <w:p w14:paraId="3FA13B29"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noWrap/>
            <w:vAlign w:val="center"/>
            <w:hideMark/>
          </w:tcPr>
          <w:p w14:paraId="27677B1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 </w:t>
            </w:r>
          </w:p>
        </w:tc>
        <w:tc>
          <w:tcPr>
            <w:tcW w:w="0" w:type="auto"/>
            <w:shd w:val="clear" w:color="auto" w:fill="auto"/>
            <w:vAlign w:val="center"/>
            <w:hideMark/>
          </w:tcPr>
          <w:p w14:paraId="47E93FF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E2EFD9" w:themeFill="accent6" w:themeFillTint="33"/>
            <w:vAlign w:val="center"/>
          </w:tcPr>
          <w:p w14:paraId="5A47220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75F1045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A4148D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595217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531FAF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975D809"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58ED7FF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Izrađene upute za odabir i izdvajanje opasnog građevnog otpada</w:t>
            </w:r>
          </w:p>
        </w:tc>
      </w:tr>
      <w:tr w:rsidR="00BF051A" w:rsidRPr="00925933" w14:paraId="5AB52663" w14:textId="77777777" w:rsidTr="00F00704">
        <w:trPr>
          <w:cantSplit/>
          <w:trHeight w:val="20"/>
        </w:trPr>
        <w:tc>
          <w:tcPr>
            <w:tcW w:w="0" w:type="auto"/>
            <w:shd w:val="clear" w:color="000000" w:fill="E6EBF6"/>
            <w:noWrap/>
            <w:vAlign w:val="center"/>
            <w:hideMark/>
          </w:tcPr>
          <w:p w14:paraId="373950D6"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PGO A 8.2.</w:t>
            </w:r>
          </w:p>
        </w:tc>
        <w:tc>
          <w:tcPr>
            <w:tcW w:w="0" w:type="auto"/>
            <w:shd w:val="clear" w:color="000000" w:fill="E6EBF6"/>
            <w:vAlign w:val="center"/>
            <w:hideMark/>
          </w:tcPr>
          <w:p w14:paraId="2CDEFE5B" w14:textId="77777777" w:rsidR="00BF051A" w:rsidRPr="00925933" w:rsidRDefault="00BF051A" w:rsidP="00F00704">
            <w:pPr>
              <w:spacing w:after="0" w:line="240" w:lineRule="auto"/>
              <w:rPr>
                <w:rFonts w:eastAsia="Times New Roman" w:cstheme="minorHAnsi"/>
                <w:sz w:val="16"/>
                <w:szCs w:val="16"/>
                <w:lang w:eastAsia="hr-HR"/>
              </w:rPr>
            </w:pPr>
            <w:r w:rsidRPr="00925933">
              <w:rPr>
                <w:rFonts w:eastAsia="Times New Roman" w:cstheme="minorHAnsi"/>
                <w:sz w:val="16"/>
                <w:szCs w:val="16"/>
                <w:lang w:eastAsia="hr-HR"/>
              </w:rPr>
              <w:t xml:space="preserve">Izrada Uputa za primjenu kriterija za ukidanje statusa otpada za građevni otpad </w:t>
            </w:r>
          </w:p>
        </w:tc>
        <w:tc>
          <w:tcPr>
            <w:tcW w:w="0" w:type="auto"/>
            <w:shd w:val="clear" w:color="000000" w:fill="E6EBF6"/>
            <w:vAlign w:val="center"/>
            <w:hideMark/>
          </w:tcPr>
          <w:p w14:paraId="01D0B005"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noWrap/>
            <w:vAlign w:val="center"/>
            <w:hideMark/>
          </w:tcPr>
          <w:p w14:paraId="3DFD63D1"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 </w:t>
            </w:r>
          </w:p>
        </w:tc>
        <w:tc>
          <w:tcPr>
            <w:tcW w:w="0" w:type="auto"/>
            <w:shd w:val="clear" w:color="auto" w:fill="auto"/>
            <w:vAlign w:val="center"/>
            <w:hideMark/>
          </w:tcPr>
          <w:p w14:paraId="3CEB250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thinDiagStripe" w:color="000000" w:fill="auto"/>
            <w:noWrap/>
            <w:vAlign w:val="center"/>
            <w:hideMark/>
          </w:tcPr>
          <w:p w14:paraId="23F7DE00"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70C6DC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32DC6BF2"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4D25F81B"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44AC11CE"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833D83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17F986CD"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Izrađen</w:t>
            </w:r>
            <w:r>
              <w:rPr>
                <w:rFonts w:eastAsia="Times New Roman" w:cstheme="minorHAnsi"/>
                <w:sz w:val="16"/>
                <w:szCs w:val="16"/>
                <w:lang w:eastAsia="hr-HR"/>
              </w:rPr>
              <w:t>e</w:t>
            </w:r>
            <w:r w:rsidRPr="00925933">
              <w:rPr>
                <w:rFonts w:eastAsia="Times New Roman" w:cstheme="minorHAnsi"/>
                <w:sz w:val="16"/>
                <w:szCs w:val="16"/>
                <w:lang w:eastAsia="hr-HR"/>
              </w:rPr>
              <w:t xml:space="preserve"> Uputa za primjenu kriterija za ukidanje statusa otpada za građevni otpad</w:t>
            </w:r>
          </w:p>
        </w:tc>
      </w:tr>
      <w:tr w:rsidR="00BF051A" w:rsidRPr="00925933" w14:paraId="5AFD4D7F" w14:textId="77777777" w:rsidTr="00F00704">
        <w:trPr>
          <w:cantSplit/>
          <w:trHeight w:val="20"/>
        </w:trPr>
        <w:tc>
          <w:tcPr>
            <w:tcW w:w="0" w:type="auto"/>
            <w:shd w:val="clear" w:color="000000" w:fill="E6EBF6"/>
            <w:noWrap/>
            <w:vAlign w:val="center"/>
            <w:hideMark/>
          </w:tcPr>
          <w:p w14:paraId="728E7B7A"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PGO A 8.3.</w:t>
            </w:r>
          </w:p>
        </w:tc>
        <w:tc>
          <w:tcPr>
            <w:tcW w:w="0" w:type="auto"/>
            <w:shd w:val="clear" w:color="000000" w:fill="E6EBF6"/>
            <w:vAlign w:val="center"/>
            <w:hideMark/>
          </w:tcPr>
          <w:p w14:paraId="5F23FD84" w14:textId="77777777" w:rsidR="00BF051A" w:rsidRPr="00925933" w:rsidRDefault="00BF051A" w:rsidP="00F00704">
            <w:pPr>
              <w:spacing w:after="0" w:line="240" w:lineRule="auto"/>
              <w:rPr>
                <w:rFonts w:eastAsia="Times New Roman" w:cstheme="minorHAnsi"/>
                <w:sz w:val="16"/>
                <w:szCs w:val="16"/>
                <w:lang w:eastAsia="hr-HR"/>
              </w:rPr>
            </w:pPr>
            <w:r w:rsidRPr="00925933">
              <w:rPr>
                <w:rFonts w:eastAsia="Times New Roman" w:cstheme="minorHAnsi"/>
                <w:sz w:val="16"/>
                <w:szCs w:val="16"/>
                <w:lang w:eastAsia="hr-HR"/>
              </w:rPr>
              <w:t xml:space="preserve">Izgradnja i opremanje </w:t>
            </w:r>
            <w:proofErr w:type="spellStart"/>
            <w:r w:rsidRPr="00925933">
              <w:rPr>
                <w:rFonts w:eastAsia="Times New Roman" w:cstheme="minorHAnsi"/>
                <w:sz w:val="16"/>
                <w:szCs w:val="16"/>
                <w:lang w:eastAsia="hr-HR"/>
              </w:rPr>
              <w:t>reciklažnih</w:t>
            </w:r>
            <w:proofErr w:type="spellEnd"/>
            <w:r w:rsidRPr="00925933">
              <w:rPr>
                <w:rFonts w:eastAsia="Times New Roman" w:cstheme="minorHAnsi"/>
                <w:sz w:val="16"/>
                <w:szCs w:val="16"/>
                <w:lang w:eastAsia="hr-HR"/>
              </w:rPr>
              <w:t xml:space="preserve"> dvorišta za građevni otpad na kopnu i otocima</w:t>
            </w:r>
          </w:p>
        </w:tc>
        <w:tc>
          <w:tcPr>
            <w:tcW w:w="0" w:type="auto"/>
            <w:shd w:val="clear" w:color="000000" w:fill="E6EBF6"/>
            <w:vAlign w:val="center"/>
            <w:hideMark/>
          </w:tcPr>
          <w:p w14:paraId="02C19716"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noWrap/>
            <w:vAlign w:val="center"/>
            <w:hideMark/>
          </w:tcPr>
          <w:p w14:paraId="57CDCA3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 </w:t>
            </w:r>
          </w:p>
        </w:tc>
        <w:tc>
          <w:tcPr>
            <w:tcW w:w="0" w:type="auto"/>
            <w:shd w:val="clear" w:color="auto" w:fill="auto"/>
            <w:vAlign w:val="center"/>
            <w:hideMark/>
          </w:tcPr>
          <w:p w14:paraId="0CD33B56"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 xml:space="preserve">JLS /PU </w:t>
            </w:r>
          </w:p>
        </w:tc>
        <w:tc>
          <w:tcPr>
            <w:tcW w:w="0" w:type="auto"/>
            <w:shd w:val="clear" w:color="auto" w:fill="E2EFD9" w:themeFill="accent6" w:themeFillTint="33"/>
            <w:vAlign w:val="center"/>
            <w:hideMark/>
          </w:tcPr>
          <w:p w14:paraId="1E9801D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6</w:t>
            </w:r>
          </w:p>
        </w:tc>
        <w:tc>
          <w:tcPr>
            <w:tcW w:w="0" w:type="auto"/>
            <w:shd w:val="clear" w:color="auto" w:fill="E2EFD9" w:themeFill="accent6" w:themeFillTint="33"/>
            <w:vAlign w:val="center"/>
            <w:hideMark/>
          </w:tcPr>
          <w:p w14:paraId="488ABC3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10</w:t>
            </w:r>
          </w:p>
        </w:tc>
        <w:tc>
          <w:tcPr>
            <w:tcW w:w="0" w:type="auto"/>
            <w:shd w:val="clear" w:color="auto" w:fill="E2EFD9" w:themeFill="accent6" w:themeFillTint="33"/>
            <w:vAlign w:val="center"/>
            <w:hideMark/>
          </w:tcPr>
          <w:p w14:paraId="0D64600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10</w:t>
            </w:r>
          </w:p>
        </w:tc>
        <w:tc>
          <w:tcPr>
            <w:tcW w:w="0" w:type="auto"/>
            <w:shd w:val="clear" w:color="auto" w:fill="E2EFD9" w:themeFill="accent6" w:themeFillTint="33"/>
            <w:vAlign w:val="center"/>
            <w:hideMark/>
          </w:tcPr>
          <w:p w14:paraId="5EC4CDA6"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10</w:t>
            </w:r>
          </w:p>
        </w:tc>
        <w:tc>
          <w:tcPr>
            <w:tcW w:w="0" w:type="auto"/>
            <w:shd w:val="clear" w:color="auto" w:fill="E2EFD9" w:themeFill="accent6" w:themeFillTint="33"/>
            <w:vAlign w:val="center"/>
            <w:hideMark/>
          </w:tcPr>
          <w:p w14:paraId="3F1242B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14</w:t>
            </w:r>
          </w:p>
        </w:tc>
        <w:tc>
          <w:tcPr>
            <w:tcW w:w="0" w:type="auto"/>
            <w:shd w:val="thinDiagStripe" w:color="000000" w:fill="auto"/>
            <w:noWrap/>
            <w:vAlign w:val="center"/>
            <w:hideMark/>
          </w:tcPr>
          <w:p w14:paraId="3A96C93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45B20F2F"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 xml:space="preserve">Izgrađeno i opremljeno 30 </w:t>
            </w:r>
            <w:proofErr w:type="spellStart"/>
            <w:r w:rsidRPr="00925933">
              <w:rPr>
                <w:rFonts w:eastAsia="Times New Roman" w:cstheme="minorHAnsi"/>
                <w:sz w:val="16"/>
                <w:szCs w:val="16"/>
                <w:lang w:eastAsia="hr-HR"/>
              </w:rPr>
              <w:t>reciklažnih</w:t>
            </w:r>
            <w:proofErr w:type="spellEnd"/>
            <w:r w:rsidRPr="00925933">
              <w:rPr>
                <w:rFonts w:eastAsia="Times New Roman" w:cstheme="minorHAnsi"/>
                <w:sz w:val="16"/>
                <w:szCs w:val="16"/>
                <w:lang w:eastAsia="hr-HR"/>
              </w:rPr>
              <w:t xml:space="preserve"> dvorišta za građevni otpad na kopnu i 20 na otocima</w:t>
            </w:r>
          </w:p>
        </w:tc>
      </w:tr>
      <w:tr w:rsidR="00BF051A" w:rsidRPr="00925933" w14:paraId="2D3D36FD" w14:textId="77777777" w:rsidTr="00F00704">
        <w:trPr>
          <w:cantSplit/>
          <w:trHeight w:val="20"/>
        </w:trPr>
        <w:tc>
          <w:tcPr>
            <w:tcW w:w="0" w:type="auto"/>
            <w:shd w:val="clear" w:color="000000" w:fill="5B9BD5"/>
            <w:noWrap/>
            <w:vAlign w:val="center"/>
            <w:hideMark/>
          </w:tcPr>
          <w:p w14:paraId="4292EFA8"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9.</w:t>
            </w:r>
          </w:p>
        </w:tc>
        <w:tc>
          <w:tcPr>
            <w:tcW w:w="0" w:type="auto"/>
            <w:gridSpan w:val="11"/>
            <w:shd w:val="clear" w:color="000000" w:fill="5B9BD5"/>
            <w:vAlign w:val="center"/>
            <w:hideMark/>
          </w:tcPr>
          <w:p w14:paraId="1A00D6CD" w14:textId="77777777" w:rsidR="00BF051A" w:rsidRPr="00191FA9"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Unaprjeđenje sustava za gospodarenje otpadnim vozilima, otpadnim baterijama i akumulatorima, otpadnom električnom i elektroničkom opremom i otpadnim gumama</w:t>
            </w:r>
          </w:p>
        </w:tc>
      </w:tr>
      <w:tr w:rsidR="00BF051A" w:rsidRPr="00925933" w14:paraId="3AECAD6A" w14:textId="77777777" w:rsidTr="00F00704">
        <w:trPr>
          <w:cantSplit/>
          <w:trHeight w:val="20"/>
        </w:trPr>
        <w:tc>
          <w:tcPr>
            <w:tcW w:w="0" w:type="auto"/>
            <w:shd w:val="clear" w:color="000000" w:fill="E6EBF6"/>
            <w:noWrap/>
            <w:vAlign w:val="center"/>
            <w:hideMark/>
          </w:tcPr>
          <w:p w14:paraId="20734A73"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PGO A 9.1.</w:t>
            </w:r>
          </w:p>
        </w:tc>
        <w:tc>
          <w:tcPr>
            <w:tcW w:w="0" w:type="auto"/>
            <w:shd w:val="clear" w:color="000000" w:fill="E6EBF6"/>
            <w:vAlign w:val="center"/>
            <w:hideMark/>
          </w:tcPr>
          <w:p w14:paraId="01FBDCA5" w14:textId="77777777" w:rsidR="00BF051A" w:rsidRPr="00925933" w:rsidRDefault="00BF051A" w:rsidP="00F00704">
            <w:pPr>
              <w:spacing w:after="0" w:line="240" w:lineRule="auto"/>
              <w:rPr>
                <w:rFonts w:eastAsia="Times New Roman" w:cstheme="minorHAnsi"/>
                <w:sz w:val="16"/>
                <w:szCs w:val="16"/>
                <w:lang w:eastAsia="hr-HR"/>
              </w:rPr>
            </w:pPr>
            <w:r w:rsidRPr="00925933">
              <w:rPr>
                <w:rFonts w:eastAsia="Times New Roman" w:cstheme="minorHAnsi"/>
                <w:sz w:val="16"/>
                <w:szCs w:val="16"/>
                <w:lang w:eastAsia="hr-HR"/>
              </w:rPr>
              <w:t xml:space="preserve">Izrada studije izvodljivosti potrebnih kapaciteta za obradu posebnih kategorija otpada i unaprjeđenje sustava gospodarenja otpadnim vozilima, otpadnim baterijama i akumulatorima, otpadnom električnom i elektroničkom opremom i otpadnim guma </w:t>
            </w:r>
          </w:p>
        </w:tc>
        <w:tc>
          <w:tcPr>
            <w:tcW w:w="0" w:type="auto"/>
            <w:shd w:val="clear" w:color="000000" w:fill="E6EBF6"/>
            <w:vAlign w:val="center"/>
            <w:hideMark/>
          </w:tcPr>
          <w:p w14:paraId="364C68A1"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FZOEU</w:t>
            </w:r>
          </w:p>
        </w:tc>
        <w:tc>
          <w:tcPr>
            <w:tcW w:w="0" w:type="auto"/>
            <w:shd w:val="clear" w:color="auto" w:fill="auto"/>
            <w:noWrap/>
            <w:vAlign w:val="center"/>
            <w:hideMark/>
          </w:tcPr>
          <w:p w14:paraId="2C56B54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1575CFB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w:t>
            </w:r>
          </w:p>
        </w:tc>
        <w:tc>
          <w:tcPr>
            <w:tcW w:w="0" w:type="auto"/>
            <w:shd w:val="thinDiagStripe" w:color="000000" w:fill="auto"/>
            <w:noWrap/>
            <w:vAlign w:val="center"/>
            <w:hideMark/>
          </w:tcPr>
          <w:p w14:paraId="63ADA426"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77F206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030A8D5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46DC595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0E5BE3DB"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noWrap/>
            <w:vAlign w:val="center"/>
          </w:tcPr>
          <w:p w14:paraId="7641081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37E0821F"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Izrađena studija izvodljivosti potrebnih kapaciteta za obradu posebnih kategorija otpada i unaprjeđenje sustava gospodarenja otpadnim vozilima, otpadnim baterijama i akumulatorima, otpadnom električnom i elektroničkom opremom i otpadnim guma</w:t>
            </w:r>
          </w:p>
        </w:tc>
      </w:tr>
      <w:tr w:rsidR="00BF051A" w:rsidRPr="00925933" w14:paraId="47D78D58" w14:textId="77777777" w:rsidTr="00F00704">
        <w:trPr>
          <w:cantSplit/>
          <w:trHeight w:val="20"/>
        </w:trPr>
        <w:tc>
          <w:tcPr>
            <w:tcW w:w="0" w:type="auto"/>
            <w:gridSpan w:val="12"/>
            <w:shd w:val="clear" w:color="000000" w:fill="030F40"/>
            <w:vAlign w:val="center"/>
            <w:hideMark/>
          </w:tcPr>
          <w:p w14:paraId="24C5804B" w14:textId="77777777" w:rsidR="00BF051A" w:rsidRPr="00191FA9" w:rsidRDefault="00BF051A" w:rsidP="00F00704">
            <w:pPr>
              <w:spacing w:after="0" w:line="240" w:lineRule="auto"/>
              <w:rPr>
                <w:rFonts w:eastAsia="Times New Roman" w:cstheme="minorHAnsi"/>
                <w:b/>
                <w:bCs/>
                <w:color w:val="FFFFFF"/>
                <w:sz w:val="16"/>
                <w:szCs w:val="16"/>
                <w:lang w:eastAsia="hr-HR"/>
              </w:rPr>
            </w:pPr>
            <w:r w:rsidRPr="00925933">
              <w:rPr>
                <w:rFonts w:eastAsia="Times New Roman" w:cstheme="minorHAnsi"/>
                <w:b/>
                <w:bCs/>
                <w:color w:val="FFFFFF"/>
                <w:sz w:val="16"/>
                <w:szCs w:val="16"/>
                <w:lang w:eastAsia="hr-HR"/>
              </w:rPr>
              <w:t>MJERE I AKTIVNOSTI ZA OSTVARENJE Cilja 10. PGO - Unaprijediti sustav gospodarenja opasnim otpadom</w:t>
            </w:r>
          </w:p>
        </w:tc>
      </w:tr>
      <w:tr w:rsidR="00BF051A" w:rsidRPr="00925933" w14:paraId="0DCDA4AC" w14:textId="77777777" w:rsidTr="00F00704">
        <w:trPr>
          <w:cantSplit/>
          <w:trHeight w:val="20"/>
        </w:trPr>
        <w:tc>
          <w:tcPr>
            <w:tcW w:w="0" w:type="auto"/>
            <w:shd w:val="clear" w:color="000000" w:fill="5B9BD5"/>
            <w:noWrap/>
            <w:vAlign w:val="center"/>
            <w:hideMark/>
          </w:tcPr>
          <w:p w14:paraId="3356497A"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10.</w:t>
            </w:r>
          </w:p>
        </w:tc>
        <w:tc>
          <w:tcPr>
            <w:tcW w:w="0" w:type="auto"/>
            <w:gridSpan w:val="11"/>
            <w:shd w:val="clear" w:color="000000" w:fill="5B9BD5"/>
            <w:vAlign w:val="center"/>
            <w:hideMark/>
          </w:tcPr>
          <w:p w14:paraId="104DA55D" w14:textId="77777777" w:rsidR="00BF051A" w:rsidRPr="00191FA9"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Provedba projekta „Studija izvedivosti postojećih i potrebnih kapaciteta za obradu opasnog otpada i studija za identifikaciju novih lokacija onečišćenih opasnim otpadom („crne točke“)“</w:t>
            </w:r>
          </w:p>
        </w:tc>
      </w:tr>
      <w:tr w:rsidR="00BF051A" w:rsidRPr="00925933" w14:paraId="4C4B2C0B" w14:textId="77777777" w:rsidTr="00F00704">
        <w:trPr>
          <w:cantSplit/>
          <w:trHeight w:val="20"/>
        </w:trPr>
        <w:tc>
          <w:tcPr>
            <w:tcW w:w="0" w:type="auto"/>
            <w:shd w:val="clear" w:color="000000" w:fill="E6EBF6"/>
            <w:noWrap/>
            <w:vAlign w:val="center"/>
            <w:hideMark/>
          </w:tcPr>
          <w:p w14:paraId="253323B1"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10.1.</w:t>
            </w:r>
          </w:p>
        </w:tc>
        <w:tc>
          <w:tcPr>
            <w:tcW w:w="0" w:type="auto"/>
            <w:shd w:val="clear" w:color="000000" w:fill="E6EBF6"/>
            <w:vAlign w:val="center"/>
            <w:hideMark/>
          </w:tcPr>
          <w:p w14:paraId="35ED0289"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Izrada studije izvodljivosti potrebnih kapaciteta za obradu opasnog otpada i unaprjeđenje sustava gospodarenja opasnim otpadom</w:t>
            </w:r>
          </w:p>
        </w:tc>
        <w:tc>
          <w:tcPr>
            <w:tcW w:w="0" w:type="auto"/>
            <w:shd w:val="clear" w:color="000000" w:fill="E6EBF6"/>
            <w:vAlign w:val="center"/>
            <w:hideMark/>
          </w:tcPr>
          <w:p w14:paraId="60871550"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FZOEU</w:t>
            </w:r>
          </w:p>
        </w:tc>
        <w:tc>
          <w:tcPr>
            <w:tcW w:w="0" w:type="auto"/>
            <w:shd w:val="clear" w:color="auto" w:fill="auto"/>
            <w:vAlign w:val="center"/>
            <w:hideMark/>
          </w:tcPr>
          <w:p w14:paraId="39498C3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5594A78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w:t>
            </w:r>
          </w:p>
        </w:tc>
        <w:tc>
          <w:tcPr>
            <w:tcW w:w="0" w:type="auto"/>
            <w:shd w:val="clear" w:color="auto" w:fill="E2EFD9" w:themeFill="accent6" w:themeFillTint="33"/>
            <w:vAlign w:val="center"/>
            <w:hideMark/>
          </w:tcPr>
          <w:p w14:paraId="42EC549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F76F20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131204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24B06DA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F6B976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D9C2E4B"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6BA8F851"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Izrađena studija izvodljivosti potrebnih kapaciteta za obradu opasnog otpada i unaprjeđenje sustava gospodarenja opasnim otpadom</w:t>
            </w:r>
          </w:p>
        </w:tc>
      </w:tr>
      <w:tr w:rsidR="00BF051A" w:rsidRPr="00925933" w14:paraId="3E0AAE7F" w14:textId="77777777" w:rsidTr="00F00704">
        <w:trPr>
          <w:cantSplit/>
          <w:trHeight w:val="20"/>
        </w:trPr>
        <w:tc>
          <w:tcPr>
            <w:tcW w:w="0" w:type="auto"/>
            <w:shd w:val="clear" w:color="000000" w:fill="E6EBF6"/>
            <w:noWrap/>
            <w:vAlign w:val="center"/>
            <w:hideMark/>
          </w:tcPr>
          <w:p w14:paraId="7AE57C22"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10.2.</w:t>
            </w:r>
          </w:p>
        </w:tc>
        <w:tc>
          <w:tcPr>
            <w:tcW w:w="0" w:type="auto"/>
            <w:shd w:val="clear" w:color="000000" w:fill="E6EBF6"/>
            <w:vAlign w:val="center"/>
            <w:hideMark/>
          </w:tcPr>
          <w:p w14:paraId="50D811E5"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Izrada studije kojom se utvrđuju nove lokacije onečišćene opasnim otpadom (»crne točke«)</w:t>
            </w:r>
          </w:p>
        </w:tc>
        <w:tc>
          <w:tcPr>
            <w:tcW w:w="0" w:type="auto"/>
            <w:shd w:val="clear" w:color="000000" w:fill="E6EBF6"/>
            <w:vAlign w:val="center"/>
            <w:hideMark/>
          </w:tcPr>
          <w:p w14:paraId="0C336D9D"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FZOEU</w:t>
            </w:r>
          </w:p>
        </w:tc>
        <w:tc>
          <w:tcPr>
            <w:tcW w:w="0" w:type="auto"/>
            <w:shd w:val="clear" w:color="auto" w:fill="auto"/>
            <w:vAlign w:val="center"/>
            <w:hideMark/>
          </w:tcPr>
          <w:p w14:paraId="2C00D75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3751B3A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w:t>
            </w:r>
          </w:p>
        </w:tc>
        <w:tc>
          <w:tcPr>
            <w:tcW w:w="0" w:type="auto"/>
            <w:shd w:val="clear" w:color="auto" w:fill="E2EFD9" w:themeFill="accent6" w:themeFillTint="33"/>
            <w:vAlign w:val="center"/>
            <w:hideMark/>
          </w:tcPr>
          <w:p w14:paraId="54666E2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89CAF7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2E05997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27DD4DA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FF927A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44733B0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13ABB9F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Izrada studije kojom se utvrđuju nove lokacije onečišćene opasnim otpadom (»crne točke«)</w:t>
            </w:r>
          </w:p>
        </w:tc>
      </w:tr>
      <w:tr w:rsidR="00BF051A" w:rsidRPr="00925933" w14:paraId="1AC3B1FB" w14:textId="77777777" w:rsidTr="00F00704">
        <w:trPr>
          <w:cantSplit/>
          <w:trHeight w:val="20"/>
        </w:trPr>
        <w:tc>
          <w:tcPr>
            <w:tcW w:w="0" w:type="auto"/>
            <w:gridSpan w:val="12"/>
            <w:shd w:val="clear" w:color="000000" w:fill="030F40"/>
            <w:vAlign w:val="center"/>
            <w:hideMark/>
          </w:tcPr>
          <w:p w14:paraId="3AD50F96" w14:textId="77777777" w:rsidR="00BF051A" w:rsidRPr="00191FA9" w:rsidRDefault="00BF051A" w:rsidP="00F00704">
            <w:pPr>
              <w:spacing w:after="0" w:line="240" w:lineRule="auto"/>
              <w:rPr>
                <w:rFonts w:eastAsia="Times New Roman" w:cstheme="minorHAnsi"/>
                <w:b/>
                <w:bCs/>
                <w:color w:val="FFFFFF"/>
                <w:sz w:val="16"/>
                <w:szCs w:val="16"/>
                <w:lang w:eastAsia="hr-HR"/>
              </w:rPr>
            </w:pPr>
            <w:r w:rsidRPr="00925933">
              <w:rPr>
                <w:rFonts w:eastAsia="Times New Roman" w:cstheme="minorHAnsi"/>
                <w:b/>
                <w:bCs/>
                <w:color w:val="FFFFFF"/>
                <w:sz w:val="16"/>
                <w:szCs w:val="16"/>
                <w:lang w:eastAsia="hr-HR"/>
              </w:rPr>
              <w:t>MJERE I AKTIVNOSTI ZA OSTVARENJE Cilja 11. PGO - Sanirati lokacije onečišćene otpadom</w:t>
            </w:r>
          </w:p>
        </w:tc>
      </w:tr>
      <w:tr w:rsidR="00BF051A" w:rsidRPr="00925933" w14:paraId="6AD43E78" w14:textId="77777777" w:rsidTr="00F00704">
        <w:trPr>
          <w:cantSplit/>
          <w:trHeight w:val="20"/>
        </w:trPr>
        <w:tc>
          <w:tcPr>
            <w:tcW w:w="0" w:type="auto"/>
            <w:shd w:val="clear" w:color="000000" w:fill="5B9BD5"/>
            <w:noWrap/>
            <w:vAlign w:val="center"/>
            <w:hideMark/>
          </w:tcPr>
          <w:p w14:paraId="608F9E68"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11.</w:t>
            </w:r>
          </w:p>
        </w:tc>
        <w:tc>
          <w:tcPr>
            <w:tcW w:w="0" w:type="auto"/>
            <w:gridSpan w:val="11"/>
            <w:shd w:val="clear" w:color="000000" w:fill="5B9BD5"/>
            <w:vAlign w:val="center"/>
            <w:hideMark/>
          </w:tcPr>
          <w:p w14:paraId="00BCECC7" w14:textId="77777777" w:rsidR="00BF051A" w:rsidRPr="00191FA9"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Sanacija i zatvoreno odlagalište neopasnog otpada</w:t>
            </w:r>
            <w:r w:rsidRPr="00925933">
              <w:rPr>
                <w:rFonts w:eastAsia="Times New Roman" w:cstheme="minorHAnsi"/>
                <w:sz w:val="16"/>
                <w:szCs w:val="16"/>
                <w:lang w:eastAsia="hr-HR"/>
              </w:rPr>
              <w:t> </w:t>
            </w:r>
          </w:p>
        </w:tc>
      </w:tr>
      <w:tr w:rsidR="00BF051A" w:rsidRPr="00925933" w14:paraId="1A54925E" w14:textId="77777777" w:rsidTr="00F00704">
        <w:trPr>
          <w:cantSplit/>
          <w:trHeight w:val="20"/>
        </w:trPr>
        <w:tc>
          <w:tcPr>
            <w:tcW w:w="0" w:type="auto"/>
            <w:shd w:val="clear" w:color="000000" w:fill="E6EBF6"/>
            <w:noWrap/>
            <w:vAlign w:val="center"/>
            <w:hideMark/>
          </w:tcPr>
          <w:p w14:paraId="6B6D79ED"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11.1.</w:t>
            </w:r>
          </w:p>
        </w:tc>
        <w:tc>
          <w:tcPr>
            <w:tcW w:w="0" w:type="auto"/>
            <w:shd w:val="clear" w:color="000000" w:fill="E6EBF6"/>
            <w:vAlign w:val="center"/>
            <w:hideMark/>
          </w:tcPr>
          <w:p w14:paraId="61EB79E6"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Izrada dokumentacije i sanacijski radovi na odlagalištu neopasnog otpada</w:t>
            </w:r>
          </w:p>
        </w:tc>
        <w:tc>
          <w:tcPr>
            <w:tcW w:w="0" w:type="auto"/>
            <w:shd w:val="clear" w:color="000000" w:fill="E6EBF6"/>
            <w:vAlign w:val="center"/>
            <w:hideMark/>
          </w:tcPr>
          <w:p w14:paraId="21B04FB0"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JLS</w:t>
            </w:r>
          </w:p>
        </w:tc>
        <w:tc>
          <w:tcPr>
            <w:tcW w:w="0" w:type="auto"/>
            <w:shd w:val="clear" w:color="auto" w:fill="auto"/>
            <w:vAlign w:val="center"/>
            <w:hideMark/>
          </w:tcPr>
          <w:p w14:paraId="03EDD25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55AAAD9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JLS/FZOEU/EU/PU</w:t>
            </w:r>
          </w:p>
        </w:tc>
        <w:tc>
          <w:tcPr>
            <w:tcW w:w="0" w:type="auto"/>
            <w:shd w:val="clear" w:color="auto" w:fill="E2EFD9" w:themeFill="accent6" w:themeFillTint="33"/>
            <w:vAlign w:val="center"/>
            <w:hideMark/>
          </w:tcPr>
          <w:p w14:paraId="0FD35CB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8</w:t>
            </w:r>
          </w:p>
        </w:tc>
        <w:tc>
          <w:tcPr>
            <w:tcW w:w="0" w:type="auto"/>
            <w:shd w:val="clear" w:color="auto" w:fill="E2EFD9" w:themeFill="accent6" w:themeFillTint="33"/>
            <w:vAlign w:val="center"/>
            <w:hideMark/>
          </w:tcPr>
          <w:p w14:paraId="3A98BBE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8</w:t>
            </w:r>
          </w:p>
        </w:tc>
        <w:tc>
          <w:tcPr>
            <w:tcW w:w="0" w:type="auto"/>
            <w:shd w:val="clear" w:color="auto" w:fill="E2EFD9" w:themeFill="accent6" w:themeFillTint="33"/>
            <w:vAlign w:val="center"/>
            <w:hideMark/>
          </w:tcPr>
          <w:p w14:paraId="106DB4E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12</w:t>
            </w:r>
          </w:p>
        </w:tc>
        <w:tc>
          <w:tcPr>
            <w:tcW w:w="0" w:type="auto"/>
            <w:shd w:val="clear" w:color="auto" w:fill="E2EFD9" w:themeFill="accent6" w:themeFillTint="33"/>
            <w:vAlign w:val="center"/>
            <w:hideMark/>
          </w:tcPr>
          <w:p w14:paraId="5BC20B4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12</w:t>
            </w:r>
          </w:p>
        </w:tc>
        <w:tc>
          <w:tcPr>
            <w:tcW w:w="0" w:type="auto"/>
            <w:shd w:val="clear" w:color="auto" w:fill="E2EFD9" w:themeFill="accent6" w:themeFillTint="33"/>
            <w:vAlign w:val="center"/>
            <w:hideMark/>
          </w:tcPr>
          <w:p w14:paraId="3E36E12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16</w:t>
            </w:r>
          </w:p>
        </w:tc>
        <w:tc>
          <w:tcPr>
            <w:tcW w:w="0" w:type="auto"/>
            <w:shd w:val="clear" w:color="auto" w:fill="E2EFD9" w:themeFill="accent6" w:themeFillTint="33"/>
            <w:noWrap/>
            <w:vAlign w:val="center"/>
            <w:hideMark/>
          </w:tcPr>
          <w:p w14:paraId="5A6890E0"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24</w:t>
            </w:r>
          </w:p>
        </w:tc>
        <w:tc>
          <w:tcPr>
            <w:tcW w:w="0" w:type="auto"/>
            <w:shd w:val="clear" w:color="auto" w:fill="auto"/>
            <w:vAlign w:val="center"/>
            <w:hideMark/>
          </w:tcPr>
          <w:p w14:paraId="788AB6F1"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Sanirana i zatvorena odlagališta neopasnog otpada</w:t>
            </w:r>
          </w:p>
          <w:p w14:paraId="7C992605"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(broj)</w:t>
            </w:r>
          </w:p>
        </w:tc>
      </w:tr>
      <w:tr w:rsidR="00BF051A" w:rsidRPr="00925933" w14:paraId="60777F59" w14:textId="77777777" w:rsidTr="00F00704">
        <w:trPr>
          <w:cantSplit/>
          <w:trHeight w:val="20"/>
        </w:trPr>
        <w:tc>
          <w:tcPr>
            <w:tcW w:w="0" w:type="auto"/>
            <w:shd w:val="clear" w:color="000000" w:fill="5B9BD5"/>
            <w:noWrap/>
            <w:vAlign w:val="center"/>
            <w:hideMark/>
          </w:tcPr>
          <w:p w14:paraId="397FE010"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12.</w:t>
            </w:r>
          </w:p>
        </w:tc>
        <w:tc>
          <w:tcPr>
            <w:tcW w:w="0" w:type="auto"/>
            <w:gridSpan w:val="11"/>
            <w:shd w:val="clear" w:color="000000" w:fill="5B9BD5"/>
            <w:vAlign w:val="center"/>
            <w:hideMark/>
          </w:tcPr>
          <w:p w14:paraId="79C39D53" w14:textId="77777777" w:rsidR="00BF051A" w:rsidRPr="00191FA9"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Sanacija lokacija onečišćenih opasnim otpadom (»crne točke«)</w:t>
            </w:r>
          </w:p>
        </w:tc>
      </w:tr>
      <w:tr w:rsidR="00BF051A" w:rsidRPr="00925933" w14:paraId="551B4C1C" w14:textId="77777777" w:rsidTr="00F00704">
        <w:trPr>
          <w:cantSplit/>
          <w:trHeight w:val="20"/>
        </w:trPr>
        <w:tc>
          <w:tcPr>
            <w:tcW w:w="0" w:type="auto"/>
            <w:shd w:val="clear" w:color="000000" w:fill="E6EBF6"/>
            <w:noWrap/>
            <w:vAlign w:val="center"/>
            <w:hideMark/>
          </w:tcPr>
          <w:p w14:paraId="635D5F75"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12.1.</w:t>
            </w:r>
          </w:p>
        </w:tc>
        <w:tc>
          <w:tcPr>
            <w:tcW w:w="0" w:type="auto"/>
            <w:shd w:val="clear" w:color="000000" w:fill="E6EBF6"/>
            <w:vAlign w:val="center"/>
            <w:hideMark/>
          </w:tcPr>
          <w:p w14:paraId="1023FB73" w14:textId="77777777" w:rsidR="00BF051A" w:rsidRPr="00925933" w:rsidRDefault="00BF051A" w:rsidP="00F00704">
            <w:pPr>
              <w:spacing w:after="0" w:line="240" w:lineRule="auto"/>
              <w:rPr>
                <w:rFonts w:eastAsia="Times New Roman" w:cstheme="minorHAnsi"/>
                <w:sz w:val="16"/>
                <w:szCs w:val="16"/>
                <w:lang w:eastAsia="hr-HR"/>
              </w:rPr>
            </w:pPr>
            <w:r w:rsidRPr="00925933">
              <w:rPr>
                <w:rFonts w:eastAsia="Times New Roman" w:cstheme="minorHAnsi"/>
                <w:sz w:val="16"/>
                <w:szCs w:val="16"/>
                <w:lang w:eastAsia="hr-HR"/>
              </w:rPr>
              <w:t>Izrada dokumentacije i sanacijski radovi za lokacije onečišćene opasnim otpadom (»crne točke«) definirane ovim Planom i novo identificirane lokacije »crnih točaka« kroz mjeru 12.</w:t>
            </w:r>
          </w:p>
        </w:tc>
        <w:tc>
          <w:tcPr>
            <w:tcW w:w="0" w:type="auto"/>
            <w:gridSpan w:val="3"/>
            <w:shd w:val="clear" w:color="auto" w:fill="auto"/>
            <w:vAlign w:val="center"/>
            <w:hideMark/>
          </w:tcPr>
          <w:p w14:paraId="4F722C7D"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Ovisno o projektu</w:t>
            </w:r>
          </w:p>
        </w:tc>
        <w:tc>
          <w:tcPr>
            <w:tcW w:w="0" w:type="auto"/>
            <w:shd w:val="clear" w:color="auto" w:fill="E2EFD9" w:themeFill="accent6" w:themeFillTint="33"/>
            <w:vAlign w:val="center"/>
            <w:hideMark/>
          </w:tcPr>
          <w:p w14:paraId="6A219CB6"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2685E22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7941216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52AB00D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054D5B7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noWrap/>
            <w:vAlign w:val="center"/>
            <w:hideMark/>
          </w:tcPr>
          <w:p w14:paraId="03BB49D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430B7905"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Sanirana lokacija onečišćena opasnim otpadom (»crna točka«)</w:t>
            </w:r>
          </w:p>
          <w:p w14:paraId="2A2E8118"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(8 lokacija „crnih točaka“)</w:t>
            </w:r>
          </w:p>
        </w:tc>
      </w:tr>
      <w:tr w:rsidR="00BF051A" w:rsidRPr="00925933" w14:paraId="05041812" w14:textId="77777777" w:rsidTr="00F00704">
        <w:trPr>
          <w:cantSplit/>
          <w:trHeight w:val="20"/>
        </w:trPr>
        <w:tc>
          <w:tcPr>
            <w:tcW w:w="0" w:type="auto"/>
            <w:shd w:val="clear" w:color="000000" w:fill="5B9BD5"/>
            <w:noWrap/>
            <w:vAlign w:val="center"/>
            <w:hideMark/>
          </w:tcPr>
          <w:p w14:paraId="1343B893"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13.</w:t>
            </w:r>
          </w:p>
        </w:tc>
        <w:tc>
          <w:tcPr>
            <w:tcW w:w="0" w:type="auto"/>
            <w:gridSpan w:val="11"/>
            <w:shd w:val="clear" w:color="000000" w:fill="5B9BD5"/>
            <w:vAlign w:val="center"/>
            <w:hideMark/>
          </w:tcPr>
          <w:p w14:paraId="280C902F" w14:textId="77777777" w:rsidR="00BF051A" w:rsidRPr="00191FA9"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Sanacija lokacija onečišćenih otpadom odbačenim u okoliš</w:t>
            </w:r>
          </w:p>
        </w:tc>
      </w:tr>
      <w:tr w:rsidR="00BF051A" w:rsidRPr="00925933" w14:paraId="700F5C82" w14:textId="77777777" w:rsidTr="00F00704">
        <w:trPr>
          <w:cantSplit/>
          <w:trHeight w:val="20"/>
        </w:trPr>
        <w:tc>
          <w:tcPr>
            <w:tcW w:w="0" w:type="auto"/>
            <w:shd w:val="clear" w:color="000000" w:fill="E6EBF6"/>
            <w:noWrap/>
            <w:vAlign w:val="center"/>
            <w:hideMark/>
          </w:tcPr>
          <w:p w14:paraId="091C1879"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13.1.</w:t>
            </w:r>
          </w:p>
        </w:tc>
        <w:tc>
          <w:tcPr>
            <w:tcW w:w="0" w:type="auto"/>
            <w:shd w:val="clear" w:color="000000" w:fill="E6EBF6"/>
            <w:vAlign w:val="center"/>
            <w:hideMark/>
          </w:tcPr>
          <w:p w14:paraId="15E39AB3"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Uklanjanje otpada s lokacija onečišćenih otpadom odbačenim u okoliš i mjere sprječavanja ponovnog odbacivanja te nabava i postavljanje opreme na saniranim lokacijama odbačenog otpada</w:t>
            </w:r>
          </w:p>
        </w:tc>
        <w:tc>
          <w:tcPr>
            <w:tcW w:w="0" w:type="auto"/>
            <w:shd w:val="clear" w:color="000000" w:fill="E6EBF6"/>
            <w:vAlign w:val="center"/>
            <w:hideMark/>
          </w:tcPr>
          <w:p w14:paraId="57B2761B"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JLS</w:t>
            </w:r>
          </w:p>
        </w:tc>
        <w:tc>
          <w:tcPr>
            <w:tcW w:w="0" w:type="auto"/>
            <w:shd w:val="clear" w:color="auto" w:fill="auto"/>
            <w:vAlign w:val="center"/>
            <w:hideMark/>
          </w:tcPr>
          <w:p w14:paraId="7469C2A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185E2AA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JLS/FZOEU</w:t>
            </w:r>
          </w:p>
        </w:tc>
        <w:tc>
          <w:tcPr>
            <w:tcW w:w="0" w:type="auto"/>
            <w:shd w:val="clear" w:color="auto" w:fill="E2EFD9" w:themeFill="accent6" w:themeFillTint="33"/>
            <w:vAlign w:val="center"/>
            <w:hideMark/>
          </w:tcPr>
          <w:p w14:paraId="6F9757B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33</w:t>
            </w:r>
          </w:p>
        </w:tc>
        <w:tc>
          <w:tcPr>
            <w:tcW w:w="0" w:type="auto"/>
            <w:shd w:val="clear" w:color="auto" w:fill="E2EFD9" w:themeFill="accent6" w:themeFillTint="33"/>
            <w:vAlign w:val="center"/>
            <w:hideMark/>
          </w:tcPr>
          <w:p w14:paraId="1C0C8B1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33</w:t>
            </w:r>
          </w:p>
        </w:tc>
        <w:tc>
          <w:tcPr>
            <w:tcW w:w="0" w:type="auto"/>
            <w:shd w:val="clear" w:color="auto" w:fill="E2EFD9" w:themeFill="accent6" w:themeFillTint="33"/>
            <w:vAlign w:val="center"/>
            <w:hideMark/>
          </w:tcPr>
          <w:p w14:paraId="28404D51"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33</w:t>
            </w:r>
          </w:p>
        </w:tc>
        <w:tc>
          <w:tcPr>
            <w:tcW w:w="0" w:type="auto"/>
            <w:shd w:val="clear" w:color="auto" w:fill="E2EFD9" w:themeFill="accent6" w:themeFillTint="33"/>
            <w:vAlign w:val="center"/>
            <w:hideMark/>
          </w:tcPr>
          <w:p w14:paraId="45E2E81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33</w:t>
            </w:r>
          </w:p>
        </w:tc>
        <w:tc>
          <w:tcPr>
            <w:tcW w:w="0" w:type="auto"/>
            <w:shd w:val="clear" w:color="auto" w:fill="E2EFD9" w:themeFill="accent6" w:themeFillTint="33"/>
            <w:vAlign w:val="center"/>
            <w:hideMark/>
          </w:tcPr>
          <w:p w14:paraId="2CEF18D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33</w:t>
            </w:r>
          </w:p>
        </w:tc>
        <w:tc>
          <w:tcPr>
            <w:tcW w:w="0" w:type="auto"/>
            <w:shd w:val="clear" w:color="auto" w:fill="E2EFD9" w:themeFill="accent6" w:themeFillTint="33"/>
            <w:vAlign w:val="center"/>
            <w:hideMark/>
          </w:tcPr>
          <w:p w14:paraId="6B97EEED"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35</w:t>
            </w:r>
          </w:p>
        </w:tc>
        <w:tc>
          <w:tcPr>
            <w:tcW w:w="0" w:type="auto"/>
            <w:shd w:val="clear" w:color="auto" w:fill="auto"/>
            <w:vAlign w:val="center"/>
            <w:hideMark/>
          </w:tcPr>
          <w:p w14:paraId="3EB5F49B"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Sanirane lokacije onečišćene otpadom odbačenim u okoliš; Postavljena oprema (videonadzor, znakovi upozorenja i dr.) na sanirane lokacije onečišćene otpadom odbačenim u okoliš.</w:t>
            </w:r>
          </w:p>
          <w:p w14:paraId="6575B78C"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(broj)</w:t>
            </w:r>
          </w:p>
        </w:tc>
      </w:tr>
      <w:tr w:rsidR="00BF051A" w:rsidRPr="00925933" w14:paraId="66BED47D" w14:textId="77777777" w:rsidTr="00F00704">
        <w:trPr>
          <w:cantSplit/>
          <w:trHeight w:val="20"/>
        </w:trPr>
        <w:tc>
          <w:tcPr>
            <w:tcW w:w="0" w:type="auto"/>
            <w:shd w:val="clear" w:color="000000" w:fill="E6EBF6"/>
            <w:noWrap/>
            <w:vAlign w:val="center"/>
            <w:hideMark/>
          </w:tcPr>
          <w:p w14:paraId="185CE196"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PGO A 13.2.</w:t>
            </w:r>
          </w:p>
        </w:tc>
        <w:tc>
          <w:tcPr>
            <w:tcW w:w="0" w:type="auto"/>
            <w:shd w:val="clear" w:color="000000" w:fill="E6EBF6"/>
            <w:vAlign w:val="center"/>
            <w:hideMark/>
          </w:tcPr>
          <w:p w14:paraId="3E4702CC" w14:textId="77777777" w:rsidR="00BF051A" w:rsidRPr="00925933" w:rsidRDefault="00BF051A" w:rsidP="00F00704">
            <w:pPr>
              <w:spacing w:after="0" w:line="240" w:lineRule="auto"/>
              <w:rPr>
                <w:rFonts w:eastAsia="Times New Roman" w:cstheme="minorHAnsi"/>
                <w:sz w:val="16"/>
                <w:szCs w:val="16"/>
                <w:lang w:eastAsia="hr-HR"/>
              </w:rPr>
            </w:pPr>
            <w:r w:rsidRPr="00925933">
              <w:rPr>
                <w:rFonts w:eastAsia="Times New Roman" w:cstheme="minorHAnsi"/>
                <w:sz w:val="16"/>
                <w:szCs w:val="16"/>
                <w:lang w:eastAsia="hr-HR"/>
              </w:rPr>
              <w:t>Nabava tehnološke opreme (nadzorne kamere) radi efikasnijeg sprečavanja ilegalnog odbacivanja otpada</w:t>
            </w:r>
          </w:p>
        </w:tc>
        <w:tc>
          <w:tcPr>
            <w:tcW w:w="0" w:type="auto"/>
            <w:shd w:val="clear" w:color="000000" w:fill="E6EBF6"/>
            <w:vAlign w:val="center"/>
            <w:hideMark/>
          </w:tcPr>
          <w:p w14:paraId="454314A4"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noWrap/>
            <w:vAlign w:val="center"/>
            <w:hideMark/>
          </w:tcPr>
          <w:p w14:paraId="397BAAD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DIRH/JLS/JRS</w:t>
            </w:r>
          </w:p>
        </w:tc>
        <w:tc>
          <w:tcPr>
            <w:tcW w:w="0" w:type="auto"/>
            <w:shd w:val="clear" w:color="auto" w:fill="auto"/>
            <w:vAlign w:val="center"/>
            <w:hideMark/>
          </w:tcPr>
          <w:p w14:paraId="585532E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E2EFD9" w:themeFill="accent6" w:themeFillTint="33"/>
            <w:vAlign w:val="center"/>
            <w:hideMark/>
          </w:tcPr>
          <w:p w14:paraId="578F728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3528B8D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76482B9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49BCC94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6A833E40"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47F80EB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FFFFFF" w:themeFill="background1"/>
            <w:vAlign w:val="center"/>
            <w:hideMark/>
          </w:tcPr>
          <w:p w14:paraId="1258764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Nabavljena tehnološka oprema (nadzorne kamere) radi efikasnijeg sprečavanja ilegalnog odbacivanja otpada</w:t>
            </w:r>
          </w:p>
        </w:tc>
      </w:tr>
      <w:tr w:rsidR="00BF051A" w:rsidRPr="00925933" w14:paraId="3ADBE75E" w14:textId="77777777" w:rsidTr="00F00704">
        <w:trPr>
          <w:cantSplit/>
          <w:trHeight w:val="20"/>
        </w:trPr>
        <w:tc>
          <w:tcPr>
            <w:tcW w:w="0" w:type="auto"/>
            <w:shd w:val="clear" w:color="000000" w:fill="E6EBF6"/>
            <w:noWrap/>
            <w:vAlign w:val="center"/>
            <w:hideMark/>
          </w:tcPr>
          <w:p w14:paraId="41EAB6EC"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 xml:space="preserve">PGO </w:t>
            </w:r>
            <w:r w:rsidRPr="00925933">
              <w:rPr>
                <w:rFonts w:eastAsia="Times New Roman" w:cstheme="minorHAnsi"/>
                <w:b/>
                <w:bCs/>
                <w:sz w:val="16"/>
                <w:szCs w:val="16"/>
                <w:lang w:eastAsia="hr-HR"/>
              </w:rPr>
              <w:t>A 13.3.</w:t>
            </w:r>
          </w:p>
        </w:tc>
        <w:tc>
          <w:tcPr>
            <w:tcW w:w="0" w:type="auto"/>
            <w:shd w:val="clear" w:color="000000" w:fill="E6EBF6"/>
            <w:vAlign w:val="center"/>
            <w:hideMark/>
          </w:tcPr>
          <w:p w14:paraId="64784AB5"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Promocija aplikacije ELOO</w:t>
            </w:r>
          </w:p>
        </w:tc>
        <w:tc>
          <w:tcPr>
            <w:tcW w:w="0" w:type="auto"/>
            <w:shd w:val="clear" w:color="000000" w:fill="E6EBF6"/>
            <w:vAlign w:val="center"/>
            <w:hideMark/>
          </w:tcPr>
          <w:p w14:paraId="75D6ECD3"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51484A2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5D51521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E2EFD9" w:themeFill="accent6" w:themeFillTint="33"/>
            <w:vAlign w:val="center"/>
            <w:hideMark/>
          </w:tcPr>
          <w:p w14:paraId="13C6543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3A993CA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23B8FD3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0AD69D9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66697530"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6C1948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7B6B833C"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Provedene promotivne kampanje na temu aplikacije ELOO</w:t>
            </w:r>
          </w:p>
          <w:p w14:paraId="66969B97"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(broj 4)</w:t>
            </w:r>
          </w:p>
        </w:tc>
      </w:tr>
      <w:tr w:rsidR="00BF051A" w:rsidRPr="00925933" w14:paraId="5B082055" w14:textId="77777777" w:rsidTr="00F00704">
        <w:trPr>
          <w:cantSplit/>
          <w:trHeight w:val="20"/>
        </w:trPr>
        <w:tc>
          <w:tcPr>
            <w:tcW w:w="0" w:type="auto"/>
            <w:gridSpan w:val="12"/>
            <w:shd w:val="clear" w:color="000000" w:fill="030F40"/>
            <w:vAlign w:val="center"/>
            <w:hideMark/>
          </w:tcPr>
          <w:p w14:paraId="2147D020" w14:textId="77777777" w:rsidR="00BF051A" w:rsidRPr="00191FA9" w:rsidRDefault="00BF051A" w:rsidP="00F00704">
            <w:pPr>
              <w:spacing w:after="0" w:line="240" w:lineRule="auto"/>
              <w:rPr>
                <w:rFonts w:eastAsia="Times New Roman" w:cstheme="minorHAnsi"/>
                <w:b/>
                <w:bCs/>
                <w:color w:val="FFFFFF"/>
                <w:sz w:val="16"/>
                <w:szCs w:val="16"/>
                <w:lang w:eastAsia="hr-HR"/>
              </w:rPr>
            </w:pPr>
            <w:r w:rsidRPr="00925933">
              <w:rPr>
                <w:rFonts w:eastAsia="Times New Roman" w:cstheme="minorHAnsi"/>
                <w:b/>
                <w:bCs/>
                <w:color w:val="FFFFFF"/>
                <w:sz w:val="16"/>
                <w:szCs w:val="16"/>
                <w:lang w:eastAsia="hr-HR"/>
              </w:rPr>
              <w:t>MJERE I AKTIVNOSTI ZA OSTVARENJE Cilja 12. PGO - Unaprijediti informacijski sustav gospodarenja otpadom</w:t>
            </w:r>
          </w:p>
        </w:tc>
      </w:tr>
      <w:tr w:rsidR="00BF051A" w:rsidRPr="00925933" w14:paraId="0A1FE5BF" w14:textId="77777777" w:rsidTr="00F00704">
        <w:trPr>
          <w:cantSplit/>
          <w:trHeight w:val="20"/>
        </w:trPr>
        <w:tc>
          <w:tcPr>
            <w:tcW w:w="0" w:type="auto"/>
            <w:shd w:val="clear" w:color="000000" w:fill="5B9BD5"/>
            <w:noWrap/>
            <w:vAlign w:val="center"/>
            <w:hideMark/>
          </w:tcPr>
          <w:p w14:paraId="61CD4C5F" w14:textId="77777777" w:rsidR="00BF051A" w:rsidRPr="00925933" w:rsidRDefault="00BF051A" w:rsidP="00F00704">
            <w:pPr>
              <w:spacing w:after="0" w:line="240" w:lineRule="auto"/>
              <w:jc w:val="right"/>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14.</w:t>
            </w:r>
          </w:p>
        </w:tc>
        <w:tc>
          <w:tcPr>
            <w:tcW w:w="0" w:type="auto"/>
            <w:gridSpan w:val="11"/>
            <w:shd w:val="clear" w:color="000000" w:fill="5B9BD5"/>
            <w:vAlign w:val="center"/>
            <w:hideMark/>
          </w:tcPr>
          <w:p w14:paraId="1BF7BD25" w14:textId="77777777" w:rsidR="00BF051A" w:rsidRPr="00191FA9"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Izrada i/ili unaprjeđenje aplikacija koje su dio informacijskog sustava gospodarenja otpadom</w:t>
            </w:r>
          </w:p>
        </w:tc>
      </w:tr>
      <w:tr w:rsidR="00BF051A" w:rsidRPr="00925933" w14:paraId="27F0872B" w14:textId="77777777" w:rsidTr="00F00704">
        <w:trPr>
          <w:cantSplit/>
          <w:trHeight w:val="20"/>
        </w:trPr>
        <w:tc>
          <w:tcPr>
            <w:tcW w:w="0" w:type="auto"/>
            <w:shd w:val="clear" w:color="000000" w:fill="E6EBF6"/>
            <w:noWrap/>
            <w:vAlign w:val="center"/>
            <w:hideMark/>
          </w:tcPr>
          <w:p w14:paraId="04BD97CC"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14.1.</w:t>
            </w:r>
          </w:p>
        </w:tc>
        <w:tc>
          <w:tcPr>
            <w:tcW w:w="0" w:type="auto"/>
            <w:shd w:val="clear" w:color="000000" w:fill="E6EBF6"/>
            <w:vAlign w:val="center"/>
            <w:hideMark/>
          </w:tcPr>
          <w:p w14:paraId="7875248E"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Uspostava Registra proizvođača s proširenom odgovornosti</w:t>
            </w:r>
          </w:p>
        </w:tc>
        <w:tc>
          <w:tcPr>
            <w:tcW w:w="0" w:type="auto"/>
            <w:shd w:val="clear" w:color="000000" w:fill="E6EBF6"/>
            <w:vAlign w:val="center"/>
            <w:hideMark/>
          </w:tcPr>
          <w:p w14:paraId="4108454F"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FZOEU</w:t>
            </w:r>
          </w:p>
        </w:tc>
        <w:tc>
          <w:tcPr>
            <w:tcW w:w="0" w:type="auto"/>
            <w:shd w:val="clear" w:color="auto" w:fill="auto"/>
            <w:vAlign w:val="center"/>
            <w:hideMark/>
          </w:tcPr>
          <w:p w14:paraId="7557CCED"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445D8926"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w:t>
            </w:r>
          </w:p>
        </w:tc>
        <w:tc>
          <w:tcPr>
            <w:tcW w:w="0" w:type="auto"/>
            <w:shd w:val="clear" w:color="auto" w:fill="E2EFD9" w:themeFill="accent6" w:themeFillTint="33"/>
            <w:vAlign w:val="center"/>
            <w:hideMark/>
          </w:tcPr>
          <w:p w14:paraId="536343C1"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222B31D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E248A3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0AD7D3F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4EAD4F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0FF7D5DB"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31D3DDC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Funkcionalan Registar proizvođača s proširenom odgovornošću</w:t>
            </w:r>
          </w:p>
        </w:tc>
      </w:tr>
      <w:tr w:rsidR="00BF051A" w:rsidRPr="00925933" w14:paraId="2994CBEA" w14:textId="77777777" w:rsidTr="00F00704">
        <w:trPr>
          <w:cantSplit/>
          <w:trHeight w:val="20"/>
        </w:trPr>
        <w:tc>
          <w:tcPr>
            <w:tcW w:w="0" w:type="auto"/>
            <w:shd w:val="clear" w:color="000000" w:fill="E6EBF6"/>
            <w:noWrap/>
            <w:vAlign w:val="center"/>
            <w:hideMark/>
          </w:tcPr>
          <w:p w14:paraId="517E4EF7"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14.2.</w:t>
            </w:r>
          </w:p>
        </w:tc>
        <w:tc>
          <w:tcPr>
            <w:tcW w:w="0" w:type="auto"/>
            <w:shd w:val="clear" w:color="000000" w:fill="E6EBF6"/>
            <w:vAlign w:val="center"/>
            <w:hideMark/>
          </w:tcPr>
          <w:p w14:paraId="75A84B78"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Uspostava aplikacije Evidencija javne usluge</w:t>
            </w:r>
          </w:p>
        </w:tc>
        <w:tc>
          <w:tcPr>
            <w:tcW w:w="0" w:type="auto"/>
            <w:shd w:val="clear" w:color="000000" w:fill="E6EBF6"/>
            <w:vAlign w:val="center"/>
            <w:hideMark/>
          </w:tcPr>
          <w:p w14:paraId="54643074"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22A3C7B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00311E0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thinDiagStripe" w:color="000000" w:fill="auto"/>
            <w:noWrap/>
            <w:vAlign w:val="center"/>
            <w:hideMark/>
          </w:tcPr>
          <w:p w14:paraId="7758EF7E"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29E89A87"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5B7D088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6BD1AE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FBEE7E9"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9D3D279"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2E3E5D7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Funkcionalna aplikacija Evidencije javne usluge</w:t>
            </w:r>
          </w:p>
        </w:tc>
      </w:tr>
      <w:tr w:rsidR="00BF051A" w:rsidRPr="00925933" w14:paraId="6E21AB21" w14:textId="77777777" w:rsidTr="00F00704">
        <w:trPr>
          <w:cantSplit/>
          <w:trHeight w:val="20"/>
        </w:trPr>
        <w:tc>
          <w:tcPr>
            <w:tcW w:w="0" w:type="auto"/>
            <w:shd w:val="clear" w:color="000000" w:fill="E6EBF6"/>
            <w:noWrap/>
            <w:vAlign w:val="center"/>
            <w:hideMark/>
          </w:tcPr>
          <w:p w14:paraId="4C5FAB7F"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14.3.</w:t>
            </w:r>
          </w:p>
        </w:tc>
        <w:tc>
          <w:tcPr>
            <w:tcW w:w="0" w:type="auto"/>
            <w:shd w:val="clear" w:color="000000" w:fill="E6EBF6"/>
            <w:vAlign w:val="center"/>
            <w:hideMark/>
          </w:tcPr>
          <w:p w14:paraId="0D42F8AA"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Nadogradnja Portala sprječavanje nastanka otpada</w:t>
            </w:r>
          </w:p>
        </w:tc>
        <w:tc>
          <w:tcPr>
            <w:tcW w:w="0" w:type="auto"/>
            <w:shd w:val="clear" w:color="000000" w:fill="E6EBF6"/>
            <w:vAlign w:val="center"/>
            <w:hideMark/>
          </w:tcPr>
          <w:p w14:paraId="5D4A36D9"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0326F94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0936C9F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thinDiagStripe" w:color="000000" w:fill="auto"/>
            <w:noWrap/>
            <w:vAlign w:val="center"/>
            <w:hideMark/>
          </w:tcPr>
          <w:p w14:paraId="15EF4ED9"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8B088D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477E0BD6"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4998F8A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0C871F9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6D3BB4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73C52B7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Nadograđen Portal sprječavanja nastanka otpada</w:t>
            </w:r>
          </w:p>
        </w:tc>
      </w:tr>
      <w:tr w:rsidR="00BF051A" w:rsidRPr="00925933" w14:paraId="2B5E10F4" w14:textId="77777777" w:rsidTr="00F00704">
        <w:trPr>
          <w:cantSplit/>
          <w:trHeight w:val="20"/>
        </w:trPr>
        <w:tc>
          <w:tcPr>
            <w:tcW w:w="0" w:type="auto"/>
            <w:shd w:val="clear" w:color="000000" w:fill="E6EBF6"/>
            <w:noWrap/>
            <w:vAlign w:val="center"/>
            <w:hideMark/>
          </w:tcPr>
          <w:p w14:paraId="1CAEF9AA"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14.4.</w:t>
            </w:r>
          </w:p>
        </w:tc>
        <w:tc>
          <w:tcPr>
            <w:tcW w:w="0" w:type="auto"/>
            <w:shd w:val="clear" w:color="000000" w:fill="E6EBF6"/>
            <w:vAlign w:val="center"/>
            <w:hideMark/>
          </w:tcPr>
          <w:p w14:paraId="7FACBF27"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Uspostava aplikacije za nusproizvode i ukidanje statusa otpada</w:t>
            </w:r>
          </w:p>
        </w:tc>
        <w:tc>
          <w:tcPr>
            <w:tcW w:w="0" w:type="auto"/>
            <w:shd w:val="clear" w:color="000000" w:fill="E6EBF6"/>
            <w:vAlign w:val="center"/>
            <w:hideMark/>
          </w:tcPr>
          <w:p w14:paraId="212E378D"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0515E3C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33D0350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thinDiagStripe" w:color="000000" w:fill="auto"/>
            <w:noWrap/>
            <w:vAlign w:val="center"/>
            <w:hideMark/>
          </w:tcPr>
          <w:p w14:paraId="558FA21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024B187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15F55BB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00CCBCA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496E0120"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C2DF3C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29EE05B7"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Funkcionalna aplikacija za nusproizvode i ukidanje statusa otpada</w:t>
            </w:r>
          </w:p>
        </w:tc>
      </w:tr>
      <w:tr w:rsidR="00BF051A" w:rsidRPr="00925933" w14:paraId="04EAAE0E" w14:textId="77777777" w:rsidTr="00F00704">
        <w:trPr>
          <w:cantSplit/>
          <w:trHeight w:val="20"/>
        </w:trPr>
        <w:tc>
          <w:tcPr>
            <w:tcW w:w="0" w:type="auto"/>
            <w:shd w:val="clear" w:color="000000" w:fill="E6EBF6"/>
            <w:noWrap/>
            <w:vAlign w:val="center"/>
            <w:hideMark/>
          </w:tcPr>
          <w:p w14:paraId="52BD2174"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14.5.</w:t>
            </w:r>
          </w:p>
        </w:tc>
        <w:tc>
          <w:tcPr>
            <w:tcW w:w="0" w:type="auto"/>
            <w:shd w:val="clear" w:color="000000" w:fill="E6EBF6"/>
            <w:vAlign w:val="center"/>
            <w:hideMark/>
          </w:tcPr>
          <w:p w14:paraId="3CB93D8D"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Uspostava aplikacije za korištenje mulja u poljoprivredi i biološku obradu otpada na mjestu nastanka</w:t>
            </w:r>
          </w:p>
        </w:tc>
        <w:tc>
          <w:tcPr>
            <w:tcW w:w="0" w:type="auto"/>
            <w:shd w:val="clear" w:color="000000" w:fill="E6EBF6"/>
            <w:vAlign w:val="center"/>
            <w:hideMark/>
          </w:tcPr>
          <w:p w14:paraId="297B1EF8"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735FD447"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3E5F8CDF"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thinDiagStripe" w:color="000000" w:fill="auto"/>
            <w:noWrap/>
            <w:vAlign w:val="center"/>
            <w:hideMark/>
          </w:tcPr>
          <w:p w14:paraId="72AC2232"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0A8DA8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78D4BC11"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143FD38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FA1FB7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438EAE2"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0697B440"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Funkcionalna aplikacija za korištenje mulja u poljoprivredi i biološku obradu otpada na mjestu nastanka</w:t>
            </w:r>
          </w:p>
        </w:tc>
      </w:tr>
      <w:tr w:rsidR="00BF051A" w:rsidRPr="00925933" w14:paraId="3092F8F5" w14:textId="77777777" w:rsidTr="00F00704">
        <w:trPr>
          <w:cantSplit/>
          <w:trHeight w:val="20"/>
        </w:trPr>
        <w:tc>
          <w:tcPr>
            <w:tcW w:w="0" w:type="auto"/>
            <w:shd w:val="clear" w:color="000000" w:fill="E6EBF6"/>
            <w:noWrap/>
            <w:vAlign w:val="center"/>
            <w:hideMark/>
          </w:tcPr>
          <w:p w14:paraId="3A240868"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14.6.</w:t>
            </w:r>
          </w:p>
        </w:tc>
        <w:tc>
          <w:tcPr>
            <w:tcW w:w="0" w:type="auto"/>
            <w:shd w:val="clear" w:color="000000" w:fill="E6EBF6"/>
            <w:vAlign w:val="center"/>
            <w:hideMark/>
          </w:tcPr>
          <w:p w14:paraId="136355E6"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Nadogradnja Registra onečišćavanja okoliša (ROO)</w:t>
            </w:r>
          </w:p>
        </w:tc>
        <w:tc>
          <w:tcPr>
            <w:tcW w:w="0" w:type="auto"/>
            <w:shd w:val="clear" w:color="000000" w:fill="E6EBF6"/>
            <w:vAlign w:val="center"/>
            <w:hideMark/>
          </w:tcPr>
          <w:p w14:paraId="64E32368"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78D2383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33C3F50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thinDiagStripe" w:color="000000" w:fill="auto"/>
            <w:noWrap/>
            <w:vAlign w:val="center"/>
            <w:hideMark/>
          </w:tcPr>
          <w:p w14:paraId="7F9C771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091B43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0BBED1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2484356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7F023970"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1362694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416DE911"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Nadograđen Registar onečišćenja okoliša</w:t>
            </w:r>
          </w:p>
        </w:tc>
      </w:tr>
      <w:tr w:rsidR="00BF051A" w:rsidRPr="00925933" w14:paraId="68E1EE77" w14:textId="77777777" w:rsidTr="00F00704">
        <w:trPr>
          <w:cantSplit/>
          <w:trHeight w:val="20"/>
        </w:trPr>
        <w:tc>
          <w:tcPr>
            <w:tcW w:w="0" w:type="auto"/>
            <w:shd w:val="clear" w:color="000000" w:fill="E6EBF6"/>
            <w:noWrap/>
            <w:vAlign w:val="center"/>
            <w:hideMark/>
          </w:tcPr>
          <w:p w14:paraId="1165A94C"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14.7.</w:t>
            </w:r>
          </w:p>
        </w:tc>
        <w:tc>
          <w:tcPr>
            <w:tcW w:w="0" w:type="auto"/>
            <w:shd w:val="clear" w:color="000000" w:fill="E6EBF6"/>
            <w:vAlign w:val="center"/>
            <w:hideMark/>
          </w:tcPr>
          <w:p w14:paraId="041C775E"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Unaprjeđenje elektronskog Očevidnika o nastanku i tijeku otpada (e-ONTO)</w:t>
            </w:r>
          </w:p>
        </w:tc>
        <w:tc>
          <w:tcPr>
            <w:tcW w:w="0" w:type="auto"/>
            <w:shd w:val="clear" w:color="000000" w:fill="E6EBF6"/>
            <w:vAlign w:val="center"/>
            <w:hideMark/>
          </w:tcPr>
          <w:p w14:paraId="531C11D0"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76E4290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2A071B4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thinDiagStripe" w:color="000000" w:fill="auto"/>
            <w:noWrap/>
            <w:vAlign w:val="center"/>
            <w:hideMark/>
          </w:tcPr>
          <w:p w14:paraId="6DAD767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2A7662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B06268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601E74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211A85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5A74EC5F"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auto"/>
            <w:vAlign w:val="center"/>
            <w:hideMark/>
          </w:tcPr>
          <w:p w14:paraId="529CEAA0"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Unaprijeđen elektronski Očevidnik o nastanku i tijeku otpada (e-ONTO)</w:t>
            </w:r>
          </w:p>
        </w:tc>
      </w:tr>
      <w:tr w:rsidR="00BF051A" w:rsidRPr="00925933" w14:paraId="5B9914E4" w14:textId="77777777" w:rsidTr="00F00704">
        <w:trPr>
          <w:cantSplit/>
          <w:trHeight w:val="20"/>
        </w:trPr>
        <w:tc>
          <w:tcPr>
            <w:tcW w:w="0" w:type="auto"/>
            <w:shd w:val="clear" w:color="000000" w:fill="E6EBF6"/>
            <w:noWrap/>
            <w:vAlign w:val="center"/>
            <w:hideMark/>
          </w:tcPr>
          <w:p w14:paraId="3E862C1D"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14.8.</w:t>
            </w:r>
          </w:p>
        </w:tc>
        <w:tc>
          <w:tcPr>
            <w:tcW w:w="0" w:type="auto"/>
            <w:shd w:val="clear" w:color="000000" w:fill="E6EBF6"/>
            <w:vAlign w:val="center"/>
            <w:hideMark/>
          </w:tcPr>
          <w:p w14:paraId="3C57290E"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 xml:space="preserve">Jačanje integracije e-ONTO i ROO u svrhu prikupljanja podataka o količinama sakupljenog i obrađenog građevnog otpada </w:t>
            </w:r>
          </w:p>
        </w:tc>
        <w:tc>
          <w:tcPr>
            <w:tcW w:w="0" w:type="auto"/>
            <w:shd w:val="clear" w:color="000000" w:fill="E6EBF6"/>
            <w:vAlign w:val="center"/>
            <w:hideMark/>
          </w:tcPr>
          <w:p w14:paraId="76CED3BA"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779D780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 </w:t>
            </w:r>
          </w:p>
        </w:tc>
        <w:tc>
          <w:tcPr>
            <w:tcW w:w="0" w:type="auto"/>
            <w:shd w:val="clear" w:color="auto" w:fill="auto"/>
            <w:vAlign w:val="center"/>
            <w:hideMark/>
          </w:tcPr>
          <w:p w14:paraId="6F11E53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thinDiagStripe" w:color="000000" w:fill="auto"/>
            <w:noWrap/>
            <w:vAlign w:val="center"/>
            <w:hideMark/>
          </w:tcPr>
          <w:p w14:paraId="1C93CFB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6D93893F"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1,00</w:t>
            </w:r>
          </w:p>
        </w:tc>
        <w:tc>
          <w:tcPr>
            <w:tcW w:w="0" w:type="auto"/>
            <w:shd w:val="thinDiagStripe" w:color="000000" w:fill="auto"/>
            <w:noWrap/>
            <w:vAlign w:val="center"/>
            <w:hideMark/>
          </w:tcPr>
          <w:p w14:paraId="50052ED2"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1E20EB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085BA04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E20B250"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07657DD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Pojačana integracija e-ONTO i ROO u svrhu prikupljanja podataka o količinama sakupljenog i obrađenog građevnog otpada</w:t>
            </w:r>
          </w:p>
        </w:tc>
      </w:tr>
      <w:tr w:rsidR="00BF051A" w:rsidRPr="00925933" w14:paraId="466189C0" w14:textId="77777777" w:rsidTr="00F00704">
        <w:trPr>
          <w:cantSplit/>
          <w:trHeight w:val="20"/>
        </w:trPr>
        <w:tc>
          <w:tcPr>
            <w:tcW w:w="0" w:type="auto"/>
            <w:shd w:val="clear" w:color="000000" w:fill="E6EBF6"/>
            <w:noWrap/>
            <w:vAlign w:val="center"/>
            <w:hideMark/>
          </w:tcPr>
          <w:p w14:paraId="1AC357BB"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14.9.</w:t>
            </w:r>
          </w:p>
        </w:tc>
        <w:tc>
          <w:tcPr>
            <w:tcW w:w="0" w:type="auto"/>
            <w:shd w:val="clear" w:color="000000" w:fill="E6EBF6"/>
            <w:vAlign w:val="center"/>
            <w:hideMark/>
          </w:tcPr>
          <w:p w14:paraId="53095FCC"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Uspostava i nadogradnja središnje digitalne aplikacije za provođenje postupaka u vezi s prekograničnim prometom otpadom</w:t>
            </w:r>
          </w:p>
        </w:tc>
        <w:tc>
          <w:tcPr>
            <w:tcW w:w="0" w:type="auto"/>
            <w:shd w:val="clear" w:color="000000" w:fill="E6EBF6"/>
            <w:vAlign w:val="center"/>
            <w:hideMark/>
          </w:tcPr>
          <w:p w14:paraId="29ACFE29"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6C9F37B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3328887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MINGOR/EU</w:t>
            </w:r>
          </w:p>
        </w:tc>
        <w:tc>
          <w:tcPr>
            <w:tcW w:w="0" w:type="auto"/>
            <w:shd w:val="thinDiagStripe" w:color="000000" w:fill="auto"/>
            <w:noWrap/>
            <w:vAlign w:val="center"/>
            <w:hideMark/>
          </w:tcPr>
          <w:p w14:paraId="35085782"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C11EFFE"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730ADF9"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218F2D5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0CCAE3B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5E8F4C3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3A6B6DD6"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Funkcionalna središnja digitalne aplikacije za provođenje postupaka u vezi s prekograničnim prometom otpadom</w:t>
            </w:r>
          </w:p>
        </w:tc>
      </w:tr>
      <w:tr w:rsidR="00BF051A" w:rsidRPr="00925933" w14:paraId="1D77F2B6" w14:textId="77777777" w:rsidTr="00F00704">
        <w:trPr>
          <w:cantSplit/>
          <w:trHeight w:val="20"/>
        </w:trPr>
        <w:tc>
          <w:tcPr>
            <w:tcW w:w="0" w:type="auto"/>
            <w:shd w:val="clear" w:color="000000" w:fill="E6EBF6"/>
            <w:noWrap/>
            <w:vAlign w:val="center"/>
            <w:hideMark/>
          </w:tcPr>
          <w:p w14:paraId="26EE70E1"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14.10.</w:t>
            </w:r>
          </w:p>
        </w:tc>
        <w:tc>
          <w:tcPr>
            <w:tcW w:w="0" w:type="auto"/>
            <w:shd w:val="clear" w:color="000000" w:fill="E6EBF6"/>
            <w:vAlign w:val="center"/>
            <w:hideMark/>
          </w:tcPr>
          <w:p w14:paraId="246D3152"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Nadogradnja registra djelatnosti gospodarenja otpadom</w:t>
            </w:r>
          </w:p>
        </w:tc>
        <w:tc>
          <w:tcPr>
            <w:tcW w:w="0" w:type="auto"/>
            <w:shd w:val="clear" w:color="000000" w:fill="E6EBF6"/>
            <w:vAlign w:val="center"/>
            <w:hideMark/>
          </w:tcPr>
          <w:p w14:paraId="0C09D881"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70C38BCD"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18D7277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thinDiagStripe" w:color="000000" w:fill="auto"/>
            <w:noWrap/>
            <w:vAlign w:val="center"/>
            <w:hideMark/>
          </w:tcPr>
          <w:p w14:paraId="1112D58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A968432"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B5A381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F25F66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E6BEFB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2DD929C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auto"/>
            <w:vAlign w:val="center"/>
            <w:hideMark/>
          </w:tcPr>
          <w:p w14:paraId="7F23DA3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Nadograđen registar djelatnosti gospodarenja otpadom</w:t>
            </w:r>
          </w:p>
        </w:tc>
      </w:tr>
      <w:tr w:rsidR="00BF051A" w:rsidRPr="00925933" w14:paraId="0A848E28" w14:textId="77777777" w:rsidTr="00F00704">
        <w:trPr>
          <w:cantSplit/>
          <w:trHeight w:val="20"/>
        </w:trPr>
        <w:tc>
          <w:tcPr>
            <w:tcW w:w="0" w:type="auto"/>
            <w:shd w:val="clear" w:color="000000" w:fill="E6EBF6"/>
            <w:noWrap/>
            <w:vAlign w:val="center"/>
            <w:hideMark/>
          </w:tcPr>
          <w:p w14:paraId="1DA6EB8A"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14.11.</w:t>
            </w:r>
          </w:p>
        </w:tc>
        <w:tc>
          <w:tcPr>
            <w:tcW w:w="0" w:type="auto"/>
            <w:shd w:val="clear" w:color="000000" w:fill="E6EBF6"/>
            <w:vAlign w:val="center"/>
            <w:hideMark/>
          </w:tcPr>
          <w:p w14:paraId="27A6C22F"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 xml:space="preserve">Unaprjeđenje mogućnosti korištenja ELOO aplikacije na mobilnim uređajima radi lakše anonimne prijave ilegalnog odbacivanja otpada </w:t>
            </w:r>
          </w:p>
        </w:tc>
        <w:tc>
          <w:tcPr>
            <w:tcW w:w="0" w:type="auto"/>
            <w:shd w:val="clear" w:color="000000" w:fill="E6EBF6"/>
            <w:vAlign w:val="center"/>
            <w:hideMark/>
          </w:tcPr>
          <w:p w14:paraId="43744FA1"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601FA30F"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w:t>
            </w:r>
          </w:p>
        </w:tc>
        <w:tc>
          <w:tcPr>
            <w:tcW w:w="0" w:type="auto"/>
            <w:shd w:val="clear" w:color="auto" w:fill="auto"/>
            <w:vAlign w:val="center"/>
            <w:hideMark/>
          </w:tcPr>
          <w:p w14:paraId="38BF72E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thinDiagStripe" w:color="000000" w:fill="auto"/>
            <w:noWrap/>
            <w:vAlign w:val="center"/>
            <w:hideMark/>
          </w:tcPr>
          <w:p w14:paraId="23A7FCC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7E9A527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015A5AB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02574DBE"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A4E200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22FA61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0904718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Unaprijeđena mogućnost korištenja ELOO aplikacije na mobilnim uređajima radi lakše anonimne prijave ilegalnog odbacivanja otpada</w:t>
            </w:r>
          </w:p>
        </w:tc>
      </w:tr>
      <w:tr w:rsidR="00BF051A" w:rsidRPr="00925933" w14:paraId="2305DA35" w14:textId="77777777" w:rsidTr="00F00704">
        <w:trPr>
          <w:cantSplit/>
          <w:trHeight w:val="20"/>
        </w:trPr>
        <w:tc>
          <w:tcPr>
            <w:tcW w:w="0" w:type="auto"/>
            <w:shd w:val="clear" w:color="000000" w:fill="E6EBF6"/>
            <w:noWrap/>
            <w:vAlign w:val="center"/>
            <w:hideMark/>
          </w:tcPr>
          <w:p w14:paraId="1A4E51E6"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14.12.</w:t>
            </w:r>
          </w:p>
        </w:tc>
        <w:tc>
          <w:tcPr>
            <w:tcW w:w="0" w:type="auto"/>
            <w:shd w:val="clear" w:color="000000" w:fill="E6EBF6"/>
            <w:vAlign w:val="center"/>
            <w:hideMark/>
          </w:tcPr>
          <w:p w14:paraId="49A8B554"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Unaprjeđenje zajedničke IT platforme gospodarenja otpadom u RH, kao dio nacionalne platforme zaštite okoliša</w:t>
            </w:r>
          </w:p>
        </w:tc>
        <w:tc>
          <w:tcPr>
            <w:tcW w:w="0" w:type="auto"/>
            <w:shd w:val="clear" w:color="000000" w:fill="E6EBF6"/>
            <w:vAlign w:val="center"/>
            <w:hideMark/>
          </w:tcPr>
          <w:p w14:paraId="68412A02"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26F58E6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3564F30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thinDiagStripe" w:color="000000" w:fill="auto"/>
            <w:noWrap/>
            <w:vAlign w:val="center"/>
            <w:hideMark/>
          </w:tcPr>
          <w:p w14:paraId="7CCC968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4FB6C4D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1A9DD7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CA31AD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84A864B"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5E0EEEA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auto"/>
            <w:vAlign w:val="center"/>
            <w:hideMark/>
          </w:tcPr>
          <w:p w14:paraId="7DE7070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Unaprijeđena zajednička IT platforma gospodarenja otpadom u RH, kao dio nacionalne platforme zaštite okoliša</w:t>
            </w:r>
          </w:p>
        </w:tc>
      </w:tr>
      <w:tr w:rsidR="00BF051A" w:rsidRPr="00925933" w14:paraId="069D6CF6" w14:textId="77777777" w:rsidTr="00F00704">
        <w:trPr>
          <w:cantSplit/>
          <w:trHeight w:val="20"/>
        </w:trPr>
        <w:tc>
          <w:tcPr>
            <w:tcW w:w="0" w:type="auto"/>
            <w:shd w:val="clear" w:color="000000" w:fill="E6EBF6"/>
            <w:noWrap/>
            <w:vAlign w:val="center"/>
            <w:hideMark/>
          </w:tcPr>
          <w:p w14:paraId="3290F97F"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14.13.</w:t>
            </w:r>
          </w:p>
        </w:tc>
        <w:tc>
          <w:tcPr>
            <w:tcW w:w="0" w:type="auto"/>
            <w:shd w:val="clear" w:color="000000" w:fill="E6EBF6"/>
            <w:vAlign w:val="center"/>
            <w:hideMark/>
          </w:tcPr>
          <w:p w14:paraId="7EC05998"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Izrada aplikacije za procjenu učinka Zakona o gospodarenju otpadom</w:t>
            </w:r>
          </w:p>
        </w:tc>
        <w:tc>
          <w:tcPr>
            <w:tcW w:w="0" w:type="auto"/>
            <w:shd w:val="clear" w:color="000000" w:fill="E6EBF6"/>
            <w:vAlign w:val="center"/>
            <w:hideMark/>
          </w:tcPr>
          <w:p w14:paraId="343A21F8"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3535E36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6F62157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E2EFD9" w:themeFill="accent6" w:themeFillTint="33"/>
            <w:vAlign w:val="center"/>
            <w:hideMark/>
          </w:tcPr>
          <w:p w14:paraId="20DDC29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767F887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5A2A34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B5FC72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4468A2A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D35897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09E739B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Funkcionalna aplikacija za procjenu učinka Zakona o gospodarenju otpadom</w:t>
            </w:r>
          </w:p>
        </w:tc>
      </w:tr>
      <w:tr w:rsidR="00BF051A" w:rsidRPr="00925933" w14:paraId="65CDF2F2" w14:textId="77777777" w:rsidTr="00F00704">
        <w:trPr>
          <w:cantSplit/>
          <w:trHeight w:val="20"/>
        </w:trPr>
        <w:tc>
          <w:tcPr>
            <w:tcW w:w="0" w:type="auto"/>
            <w:shd w:val="clear" w:color="000000" w:fill="5B9BD5"/>
            <w:noWrap/>
            <w:vAlign w:val="center"/>
            <w:hideMark/>
          </w:tcPr>
          <w:p w14:paraId="6069C02E"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15.</w:t>
            </w:r>
          </w:p>
        </w:tc>
        <w:tc>
          <w:tcPr>
            <w:tcW w:w="0" w:type="auto"/>
            <w:gridSpan w:val="11"/>
            <w:shd w:val="clear" w:color="000000" w:fill="5B9BD5"/>
            <w:vAlign w:val="center"/>
            <w:hideMark/>
          </w:tcPr>
          <w:p w14:paraId="53FE81FF" w14:textId="77777777" w:rsidR="00BF051A" w:rsidRPr="00191FA9"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Izrada informacijskog sustava FZOEU za pripremu i provedbu projekata</w:t>
            </w:r>
            <w:r w:rsidRPr="00925933">
              <w:rPr>
                <w:rFonts w:eastAsia="Times New Roman" w:cstheme="minorHAnsi"/>
                <w:sz w:val="16"/>
                <w:szCs w:val="16"/>
                <w:lang w:eastAsia="hr-HR"/>
              </w:rPr>
              <w:t> </w:t>
            </w:r>
          </w:p>
        </w:tc>
      </w:tr>
      <w:tr w:rsidR="00BF051A" w:rsidRPr="00925933" w14:paraId="5F74E867" w14:textId="77777777" w:rsidTr="00F00704">
        <w:trPr>
          <w:cantSplit/>
          <w:trHeight w:val="20"/>
        </w:trPr>
        <w:tc>
          <w:tcPr>
            <w:tcW w:w="0" w:type="auto"/>
            <w:shd w:val="clear" w:color="000000" w:fill="E6EBF6"/>
            <w:noWrap/>
            <w:vAlign w:val="center"/>
            <w:hideMark/>
          </w:tcPr>
          <w:p w14:paraId="28EE098E"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15.1.</w:t>
            </w:r>
          </w:p>
        </w:tc>
        <w:tc>
          <w:tcPr>
            <w:tcW w:w="0" w:type="auto"/>
            <w:shd w:val="clear" w:color="000000" w:fill="E6EBF6"/>
            <w:vAlign w:val="center"/>
            <w:hideMark/>
          </w:tcPr>
          <w:p w14:paraId="4EF145AE"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Izrada jedinstvenog informacijskog sustava FZOEU za pripremu i provedbu projekata</w:t>
            </w:r>
          </w:p>
        </w:tc>
        <w:tc>
          <w:tcPr>
            <w:tcW w:w="0" w:type="auto"/>
            <w:shd w:val="clear" w:color="000000" w:fill="E6EBF6"/>
            <w:noWrap/>
            <w:vAlign w:val="center"/>
            <w:hideMark/>
          </w:tcPr>
          <w:p w14:paraId="190B0DCA"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FZOEU</w:t>
            </w:r>
          </w:p>
        </w:tc>
        <w:tc>
          <w:tcPr>
            <w:tcW w:w="0" w:type="auto"/>
            <w:shd w:val="clear" w:color="auto" w:fill="auto"/>
            <w:vAlign w:val="center"/>
            <w:hideMark/>
          </w:tcPr>
          <w:p w14:paraId="581CAF3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noWrap/>
            <w:vAlign w:val="center"/>
            <w:hideMark/>
          </w:tcPr>
          <w:p w14:paraId="5F7B7B1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w:t>
            </w:r>
          </w:p>
        </w:tc>
        <w:tc>
          <w:tcPr>
            <w:tcW w:w="0" w:type="auto"/>
            <w:shd w:val="thinDiagStripe" w:color="000000" w:fill="auto"/>
            <w:noWrap/>
            <w:vAlign w:val="center"/>
            <w:hideMark/>
          </w:tcPr>
          <w:p w14:paraId="1F2F2470"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6E959DC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7CD3956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C1707F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A98E16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60BE40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21373EE7"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Funkcionalni jedinstveni informacijski sustav FZOEU za pripremu i provedbu projekata</w:t>
            </w:r>
          </w:p>
        </w:tc>
      </w:tr>
      <w:tr w:rsidR="00BF051A" w:rsidRPr="00925933" w14:paraId="2CA6769A" w14:textId="77777777" w:rsidTr="00F00704">
        <w:trPr>
          <w:cantSplit/>
          <w:trHeight w:val="20"/>
        </w:trPr>
        <w:tc>
          <w:tcPr>
            <w:tcW w:w="0" w:type="auto"/>
            <w:shd w:val="clear" w:color="000000" w:fill="5B9BD5"/>
            <w:noWrap/>
            <w:vAlign w:val="center"/>
            <w:hideMark/>
          </w:tcPr>
          <w:p w14:paraId="23049202"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16.</w:t>
            </w:r>
          </w:p>
        </w:tc>
        <w:tc>
          <w:tcPr>
            <w:tcW w:w="0" w:type="auto"/>
            <w:gridSpan w:val="11"/>
            <w:shd w:val="clear" w:color="000000" w:fill="5B9BD5"/>
            <w:vAlign w:val="center"/>
            <w:hideMark/>
          </w:tcPr>
          <w:p w14:paraId="0162215C" w14:textId="77777777" w:rsidR="00BF051A" w:rsidRPr="00191FA9"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Izrada plana monitoringa provedbe Plana gospodarenja otpadom Republike Hrvatske</w:t>
            </w:r>
          </w:p>
        </w:tc>
      </w:tr>
      <w:tr w:rsidR="00BF051A" w:rsidRPr="00925933" w14:paraId="38457EE8" w14:textId="77777777" w:rsidTr="00F00704">
        <w:trPr>
          <w:cantSplit/>
          <w:trHeight w:val="20"/>
        </w:trPr>
        <w:tc>
          <w:tcPr>
            <w:tcW w:w="0" w:type="auto"/>
            <w:shd w:val="clear" w:color="000000" w:fill="E6EBF6"/>
            <w:noWrap/>
            <w:vAlign w:val="center"/>
            <w:hideMark/>
          </w:tcPr>
          <w:p w14:paraId="0920C3EC" w14:textId="77777777" w:rsidR="00BF051A" w:rsidRPr="00925933" w:rsidRDefault="00BF051A" w:rsidP="00F00704">
            <w:pPr>
              <w:spacing w:after="0" w:line="240" w:lineRule="auto"/>
              <w:jc w:val="right"/>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PGOA 16.1.</w:t>
            </w:r>
          </w:p>
        </w:tc>
        <w:tc>
          <w:tcPr>
            <w:tcW w:w="0" w:type="auto"/>
            <w:shd w:val="clear" w:color="000000" w:fill="E6EBF6"/>
            <w:vAlign w:val="center"/>
            <w:hideMark/>
          </w:tcPr>
          <w:p w14:paraId="4908E8C6"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Izrada plana praćenja provedbe Plana gospodarenja otpadom</w:t>
            </w:r>
          </w:p>
        </w:tc>
        <w:tc>
          <w:tcPr>
            <w:tcW w:w="0" w:type="auto"/>
            <w:shd w:val="clear" w:color="000000" w:fill="E6EBF6"/>
            <w:vAlign w:val="center"/>
            <w:hideMark/>
          </w:tcPr>
          <w:p w14:paraId="75D6C051"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4A9CD76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7E00DE3D"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E2EFD9" w:themeFill="accent6" w:themeFillTint="33"/>
            <w:vAlign w:val="center"/>
            <w:hideMark/>
          </w:tcPr>
          <w:p w14:paraId="025AB71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6D2F64D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4E3C8AB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03A33E2B"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2894B25E"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B8B833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623577E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Izrađen plan praćenja provedbe Plana gospodarenja otpadom</w:t>
            </w:r>
          </w:p>
        </w:tc>
      </w:tr>
      <w:tr w:rsidR="00BF051A" w:rsidRPr="00925933" w14:paraId="0BEEE4DC" w14:textId="77777777" w:rsidTr="00F00704">
        <w:trPr>
          <w:cantSplit/>
          <w:trHeight w:val="20"/>
        </w:trPr>
        <w:tc>
          <w:tcPr>
            <w:tcW w:w="0" w:type="auto"/>
            <w:gridSpan w:val="12"/>
            <w:shd w:val="clear" w:color="000000" w:fill="030F40"/>
            <w:vAlign w:val="center"/>
            <w:hideMark/>
          </w:tcPr>
          <w:p w14:paraId="5D2267A4" w14:textId="77777777" w:rsidR="00BF051A" w:rsidRPr="00B3093B" w:rsidRDefault="00BF051A" w:rsidP="00F00704">
            <w:pPr>
              <w:spacing w:after="0" w:line="240" w:lineRule="auto"/>
              <w:rPr>
                <w:rFonts w:eastAsia="Times New Roman" w:cstheme="minorHAnsi"/>
                <w:b/>
                <w:bCs/>
                <w:color w:val="FFFFFF"/>
                <w:sz w:val="16"/>
                <w:szCs w:val="16"/>
                <w:lang w:eastAsia="hr-HR"/>
              </w:rPr>
            </w:pPr>
            <w:r w:rsidRPr="00925933">
              <w:rPr>
                <w:rFonts w:eastAsia="Times New Roman" w:cstheme="minorHAnsi"/>
                <w:b/>
                <w:bCs/>
                <w:color w:val="FFFFFF"/>
                <w:sz w:val="16"/>
                <w:szCs w:val="16"/>
                <w:lang w:eastAsia="hr-HR"/>
              </w:rPr>
              <w:t>MJERE I AKTIVNOSTI ZA OSTVARENJE Cilja 13. PGO - Unaprijediti nadzor nad gospodarenjem otpadom</w:t>
            </w:r>
          </w:p>
        </w:tc>
      </w:tr>
      <w:tr w:rsidR="00BF051A" w:rsidRPr="00925933" w14:paraId="32980F5A" w14:textId="77777777" w:rsidTr="00F00704">
        <w:trPr>
          <w:cantSplit/>
          <w:trHeight w:val="20"/>
        </w:trPr>
        <w:tc>
          <w:tcPr>
            <w:tcW w:w="0" w:type="auto"/>
            <w:shd w:val="clear" w:color="000000" w:fill="5B9BD5"/>
            <w:noWrap/>
            <w:vAlign w:val="center"/>
            <w:hideMark/>
          </w:tcPr>
          <w:p w14:paraId="66CE7D13"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17.</w:t>
            </w:r>
          </w:p>
        </w:tc>
        <w:tc>
          <w:tcPr>
            <w:tcW w:w="0" w:type="auto"/>
            <w:gridSpan w:val="11"/>
            <w:shd w:val="clear" w:color="000000" w:fill="5B9BD5"/>
            <w:vAlign w:val="center"/>
            <w:hideMark/>
          </w:tcPr>
          <w:p w14:paraId="1AA121BD" w14:textId="77777777" w:rsidR="00BF051A" w:rsidRPr="00B3093B"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Mjera 19. Izobrazba sudionika uključenih u nadzor gospodarenja otpadom</w:t>
            </w:r>
          </w:p>
        </w:tc>
      </w:tr>
      <w:tr w:rsidR="00BF051A" w:rsidRPr="00925933" w14:paraId="123F45B1" w14:textId="77777777" w:rsidTr="00F00704">
        <w:trPr>
          <w:cantSplit/>
          <w:trHeight w:val="20"/>
        </w:trPr>
        <w:tc>
          <w:tcPr>
            <w:tcW w:w="0" w:type="auto"/>
            <w:shd w:val="clear" w:color="000000" w:fill="E6EBF6"/>
            <w:noWrap/>
            <w:vAlign w:val="center"/>
            <w:hideMark/>
          </w:tcPr>
          <w:p w14:paraId="0E91B24F"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lastRenderedPageBreak/>
              <w:t>PGO A 17.1.</w:t>
            </w:r>
          </w:p>
        </w:tc>
        <w:tc>
          <w:tcPr>
            <w:tcW w:w="0" w:type="auto"/>
            <w:shd w:val="clear" w:color="000000" w:fill="E6EBF6"/>
            <w:vAlign w:val="center"/>
            <w:hideMark/>
          </w:tcPr>
          <w:p w14:paraId="06724689"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Provedba izobrazbe sudionika uključenih u nadzor gospodarenja otpadom</w:t>
            </w:r>
          </w:p>
        </w:tc>
        <w:tc>
          <w:tcPr>
            <w:tcW w:w="0" w:type="auto"/>
            <w:shd w:val="clear" w:color="000000" w:fill="E6EBF6"/>
            <w:vAlign w:val="center"/>
            <w:hideMark/>
          </w:tcPr>
          <w:p w14:paraId="6908B455"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0DFB146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DIRH / JLS / JP(R)LS</w:t>
            </w:r>
          </w:p>
        </w:tc>
        <w:tc>
          <w:tcPr>
            <w:tcW w:w="0" w:type="auto"/>
            <w:shd w:val="clear" w:color="auto" w:fill="auto"/>
            <w:noWrap/>
            <w:vAlign w:val="center"/>
            <w:hideMark/>
          </w:tcPr>
          <w:p w14:paraId="744B2A27"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E2EFD9" w:themeFill="accent6" w:themeFillTint="33"/>
            <w:noWrap/>
            <w:vAlign w:val="center"/>
            <w:hideMark/>
          </w:tcPr>
          <w:p w14:paraId="029D1FD8"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1</w:t>
            </w:r>
          </w:p>
        </w:tc>
        <w:tc>
          <w:tcPr>
            <w:tcW w:w="0" w:type="auto"/>
            <w:shd w:val="clear" w:color="auto" w:fill="E2EFD9" w:themeFill="accent6" w:themeFillTint="33"/>
            <w:noWrap/>
            <w:vAlign w:val="center"/>
            <w:hideMark/>
          </w:tcPr>
          <w:p w14:paraId="60DB56BE"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1</w:t>
            </w:r>
          </w:p>
        </w:tc>
        <w:tc>
          <w:tcPr>
            <w:tcW w:w="0" w:type="auto"/>
            <w:shd w:val="clear" w:color="auto" w:fill="E2EFD9" w:themeFill="accent6" w:themeFillTint="33"/>
            <w:noWrap/>
            <w:vAlign w:val="center"/>
            <w:hideMark/>
          </w:tcPr>
          <w:p w14:paraId="599B967C"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1</w:t>
            </w:r>
          </w:p>
        </w:tc>
        <w:tc>
          <w:tcPr>
            <w:tcW w:w="0" w:type="auto"/>
            <w:shd w:val="clear" w:color="auto" w:fill="E2EFD9" w:themeFill="accent6" w:themeFillTint="33"/>
            <w:noWrap/>
            <w:vAlign w:val="center"/>
            <w:hideMark/>
          </w:tcPr>
          <w:p w14:paraId="40E8ED43"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1</w:t>
            </w:r>
          </w:p>
        </w:tc>
        <w:tc>
          <w:tcPr>
            <w:tcW w:w="0" w:type="auto"/>
            <w:shd w:val="clear" w:color="auto" w:fill="E2EFD9" w:themeFill="accent6" w:themeFillTint="33"/>
            <w:noWrap/>
            <w:vAlign w:val="center"/>
            <w:hideMark/>
          </w:tcPr>
          <w:p w14:paraId="42E2F17D"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1</w:t>
            </w:r>
          </w:p>
        </w:tc>
        <w:tc>
          <w:tcPr>
            <w:tcW w:w="0" w:type="auto"/>
            <w:shd w:val="clear" w:color="auto" w:fill="E2EFD9" w:themeFill="accent6" w:themeFillTint="33"/>
            <w:noWrap/>
            <w:vAlign w:val="center"/>
            <w:hideMark/>
          </w:tcPr>
          <w:p w14:paraId="1757338F"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1</w:t>
            </w:r>
          </w:p>
        </w:tc>
        <w:tc>
          <w:tcPr>
            <w:tcW w:w="0" w:type="auto"/>
            <w:shd w:val="clear" w:color="auto" w:fill="auto"/>
            <w:vAlign w:val="center"/>
            <w:hideMark/>
          </w:tcPr>
          <w:p w14:paraId="0761C50D"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Provedene izobrazbe</w:t>
            </w:r>
          </w:p>
          <w:p w14:paraId="4CD13DDE"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(broj)</w:t>
            </w:r>
          </w:p>
        </w:tc>
      </w:tr>
    </w:tbl>
    <w:p w14:paraId="17296AAF" w14:textId="77777777" w:rsidR="00BF051A" w:rsidRDefault="00BF051A" w:rsidP="00045752">
      <w:pPr>
        <w:sectPr w:rsidR="00BF051A" w:rsidSect="00BF051A">
          <w:pgSz w:w="23808" w:h="16840" w:orient="landscape" w:code="8"/>
          <w:pgMar w:top="1440" w:right="1440" w:bottom="1440" w:left="1440" w:header="708" w:footer="708" w:gutter="0"/>
          <w:cols w:space="720"/>
        </w:sectPr>
      </w:pPr>
    </w:p>
    <w:p w14:paraId="1A629926" w14:textId="4190EFCD" w:rsidR="00596ABF" w:rsidRDefault="00134062" w:rsidP="0018450E">
      <w:pPr>
        <w:pStyle w:val="IRNaslov1"/>
        <w:numPr>
          <w:ilvl w:val="0"/>
          <w:numId w:val="22"/>
        </w:numPr>
        <w:ind w:left="709" w:hanging="709"/>
      </w:pPr>
      <w:bookmarkStart w:id="355" w:name="_Ref116479991"/>
      <w:bookmarkStart w:id="356" w:name="_Toc123211704"/>
      <w:r>
        <w:rPr>
          <w:caps w:val="0"/>
        </w:rPr>
        <w:lastRenderedPageBreak/>
        <w:t>PROGRAM SPRJEČAVANJA NASTANKA OTPADA</w:t>
      </w:r>
      <w:bookmarkEnd w:id="355"/>
      <w:bookmarkEnd w:id="356"/>
    </w:p>
    <w:p w14:paraId="0D40107E" w14:textId="692C69A2" w:rsidR="00AE6341" w:rsidRDefault="00AE6341" w:rsidP="00AE6341">
      <w:pPr>
        <w:rPr>
          <w:rFonts w:cstheme="minorHAnsi"/>
        </w:rPr>
      </w:pPr>
    </w:p>
    <w:p w14:paraId="4737AC07" w14:textId="2F0B453C" w:rsidR="00AE6341" w:rsidRDefault="00AE6341" w:rsidP="005E34EF">
      <w:pPr>
        <w:pStyle w:val="IRNaslov2"/>
        <w:keepNext w:val="0"/>
        <w:ind w:left="720" w:hanging="720"/>
        <w:rPr>
          <w:rFonts w:cstheme="minorHAnsi"/>
        </w:rPr>
      </w:pPr>
      <w:bookmarkStart w:id="357" w:name="_Toc121138181"/>
      <w:bookmarkStart w:id="358" w:name="_Toc123211705"/>
      <w:r>
        <w:rPr>
          <w:rFonts w:cstheme="minorHAnsi"/>
        </w:rPr>
        <w:t>15.</w:t>
      </w:r>
      <w:r w:rsidR="005F1B1C">
        <w:rPr>
          <w:rFonts w:cstheme="minorHAnsi"/>
        </w:rPr>
        <w:t>1</w:t>
      </w:r>
      <w:r>
        <w:rPr>
          <w:rFonts w:cstheme="minorHAnsi"/>
        </w:rPr>
        <w:t>. Uvod</w:t>
      </w:r>
      <w:bookmarkEnd w:id="357"/>
      <w:bookmarkEnd w:id="358"/>
    </w:p>
    <w:p w14:paraId="243630C1" w14:textId="6C85B069" w:rsidR="00051866" w:rsidRPr="00802B47" w:rsidRDefault="00051866" w:rsidP="00051866">
      <w:pPr>
        <w:tabs>
          <w:tab w:val="left" w:pos="1434"/>
        </w:tabs>
        <w:rPr>
          <w:rFonts w:cstheme="minorHAnsi"/>
        </w:rPr>
      </w:pPr>
      <w:r>
        <w:rPr>
          <w:rFonts w:cstheme="minorHAnsi"/>
        </w:rPr>
        <w:t>S</w:t>
      </w:r>
      <w:r w:rsidRPr="00802B47">
        <w:rPr>
          <w:rFonts w:cstheme="minorHAnsi"/>
        </w:rPr>
        <w:t xml:space="preserve">ve veća potražnja za proizvodima na globalnoj razini </w:t>
      </w:r>
      <w:r>
        <w:rPr>
          <w:rFonts w:cstheme="minorHAnsi"/>
        </w:rPr>
        <w:t>uzrokuje sve</w:t>
      </w:r>
      <w:r w:rsidRPr="00802B47">
        <w:rPr>
          <w:rFonts w:cstheme="minorHAnsi"/>
        </w:rPr>
        <w:t xml:space="preserve"> veći pritisak na prirodne resurse </w:t>
      </w:r>
      <w:r>
        <w:rPr>
          <w:rFonts w:cstheme="minorHAnsi"/>
        </w:rPr>
        <w:t xml:space="preserve">sa značajnim </w:t>
      </w:r>
      <w:r w:rsidRPr="00802B47">
        <w:rPr>
          <w:rFonts w:cstheme="minorHAnsi"/>
        </w:rPr>
        <w:t>doprinos</w:t>
      </w:r>
      <w:r>
        <w:rPr>
          <w:rFonts w:cstheme="minorHAnsi"/>
        </w:rPr>
        <w:t>om</w:t>
      </w:r>
      <w:r w:rsidRPr="00802B47">
        <w:rPr>
          <w:rFonts w:cstheme="minorHAnsi"/>
        </w:rPr>
        <w:t xml:space="preserve"> ubrzanju klimatskih promjena. Kao posljedica toga, </w:t>
      </w:r>
      <w:r>
        <w:rPr>
          <w:rFonts w:cstheme="minorHAnsi"/>
        </w:rPr>
        <w:t>povećanje</w:t>
      </w:r>
      <w:r w:rsidRPr="00802B47">
        <w:rPr>
          <w:rFonts w:cstheme="minorHAnsi"/>
        </w:rPr>
        <w:t xml:space="preserve"> količin</w:t>
      </w:r>
      <w:r>
        <w:rPr>
          <w:rFonts w:cstheme="minorHAnsi"/>
        </w:rPr>
        <w:t>a</w:t>
      </w:r>
      <w:r w:rsidRPr="00802B47">
        <w:rPr>
          <w:rFonts w:cstheme="minorHAnsi"/>
        </w:rPr>
        <w:t xml:space="preserve"> otpada postaj</w:t>
      </w:r>
      <w:r>
        <w:rPr>
          <w:rFonts w:cstheme="minorHAnsi"/>
        </w:rPr>
        <w:t>e</w:t>
      </w:r>
      <w:r w:rsidRPr="00802B47">
        <w:rPr>
          <w:rFonts w:cstheme="minorHAnsi"/>
        </w:rPr>
        <w:t xml:space="preserve"> sve veći problem.</w:t>
      </w:r>
      <w:r>
        <w:rPr>
          <w:rFonts w:cstheme="minorHAnsi"/>
        </w:rPr>
        <w:t xml:space="preserve"> </w:t>
      </w:r>
      <w:r w:rsidR="00AE6341">
        <w:rPr>
          <w:rFonts w:cstheme="minorHAnsi"/>
        </w:rPr>
        <w:t xml:space="preserve">Ograničenost postojećih resursa (sirovina) i negativni utjecaji na okoliš uzrokovani njihovom potrošnjom zahtijevaju unaprjeđenje postojećih i razvoj novih modela za njihovo učinkovitije odnosno održivo korištenje. </w:t>
      </w:r>
    </w:p>
    <w:p w14:paraId="3DCF6395" w14:textId="4DF927B7" w:rsidR="00AE6341" w:rsidRDefault="00AE6341" w:rsidP="00AE6341">
      <w:pPr>
        <w:rPr>
          <w:rFonts w:cstheme="minorHAnsi"/>
        </w:rPr>
      </w:pPr>
      <w:r>
        <w:rPr>
          <w:rFonts w:cstheme="minorHAnsi"/>
        </w:rPr>
        <w:t>Jedan od osnovnih ciljeva EU je kontinuirano poticati unaprjeđenje gospodarskog sustava u smislu učinkovitijeg korištenja resursa i energije uz produžavanje životnog vijeka materijala i proizvoda. Cilj cjelokupnog gospodarskog sustava je svesti nastajanje otpada na najmanju moguću mjeru, i to ne samo otpada koji nastaje u proizvodnim procesima, već tijekom čitavog životnog ciklusa proizvoda i njegovih komponenti.</w:t>
      </w:r>
    </w:p>
    <w:p w14:paraId="582C1934" w14:textId="473D109B" w:rsidR="00AE6341" w:rsidRDefault="00AE6341" w:rsidP="00AE6341">
      <w:pPr>
        <w:rPr>
          <w:rFonts w:cstheme="minorHAnsi"/>
        </w:rPr>
      </w:pPr>
      <w:r>
        <w:rPr>
          <w:rFonts w:cstheme="minorHAnsi"/>
        </w:rPr>
        <w:t xml:space="preserve">Za prelazak na kružno gospodarstvo potrebne su promjene u cijelom lancu vrijednosti, od učinkovitog upravljanja resursima, dizajna proizvoda, novih poslovnih i tržišnih modela, novih načina pretvaranja otpada u resurse do novih modela ponašanja potrošača. To podrazumijeva potpunu promjenu postojećeg gospodarskog sustava koja je već u tijeku i inovacije u organizaciji, društvu, metodama financiranja i politikama. </w:t>
      </w:r>
    </w:p>
    <w:p w14:paraId="779BE654" w14:textId="20AB8138" w:rsidR="00A124AB" w:rsidRDefault="00A124AB" w:rsidP="00A124AB">
      <w:pPr>
        <w:tabs>
          <w:tab w:val="left" w:pos="1434"/>
        </w:tabs>
        <w:rPr>
          <w:rFonts w:cstheme="minorHAnsi"/>
        </w:rPr>
      </w:pPr>
      <w:r w:rsidRPr="00937BA1">
        <w:rPr>
          <w:rFonts w:cstheme="minorHAnsi"/>
        </w:rPr>
        <w:t xml:space="preserve">Održiva potrošnja utjelovljena u UN-ovoj politici održive potrošnje i proizvodnje (cilj 12, </w:t>
      </w:r>
      <w:hyperlink r:id="rId20" w:history="1">
        <w:r w:rsidRPr="00937BA1">
          <w:rPr>
            <w:rStyle w:val="Hiperveza"/>
            <w:rFonts w:cstheme="minorHAnsi"/>
          </w:rPr>
          <w:t>https://sdg12hub.org/</w:t>
        </w:r>
      </w:hyperlink>
      <w:r w:rsidRPr="00937BA1">
        <w:rPr>
          <w:rFonts w:cstheme="minorHAnsi"/>
        </w:rPr>
        <w:t xml:space="preserve">) </w:t>
      </w:r>
      <w:r w:rsidR="00051866" w:rsidRPr="00937BA1">
        <w:rPr>
          <w:rFonts w:cstheme="minorHAnsi"/>
        </w:rPr>
        <w:t xml:space="preserve">kao i </w:t>
      </w:r>
      <w:r w:rsidR="00937BA1" w:rsidRPr="00937BA1">
        <w:rPr>
          <w:rFonts w:cstheme="minorHAnsi"/>
        </w:rPr>
        <w:t xml:space="preserve">primjena </w:t>
      </w:r>
      <w:r w:rsidR="00051866" w:rsidRPr="00BB2706">
        <w:rPr>
          <w:rFonts w:cstheme="minorHAnsi"/>
        </w:rPr>
        <w:t>Globaln</w:t>
      </w:r>
      <w:r w:rsidR="00937BA1" w:rsidRPr="00BB2706">
        <w:rPr>
          <w:rFonts w:cstheme="minorHAnsi"/>
        </w:rPr>
        <w:t>e</w:t>
      </w:r>
      <w:r w:rsidR="00051866" w:rsidRPr="00BB2706">
        <w:rPr>
          <w:rFonts w:cstheme="minorHAnsi"/>
        </w:rPr>
        <w:t xml:space="preserve"> strategij</w:t>
      </w:r>
      <w:r w:rsidR="00937BA1" w:rsidRPr="00BB2706">
        <w:rPr>
          <w:rFonts w:cstheme="minorHAnsi"/>
        </w:rPr>
        <w:t>e</w:t>
      </w:r>
      <w:r w:rsidR="00051866" w:rsidRPr="00BB2706">
        <w:rPr>
          <w:rFonts w:cstheme="minorHAnsi"/>
        </w:rPr>
        <w:t xml:space="preserve"> održive potrošnje i proizvodnje 2023-2030 </w:t>
      </w:r>
      <w:r w:rsidR="00937BA1" w:rsidRPr="00937BA1">
        <w:rPr>
          <w:rFonts w:cstheme="minorHAnsi"/>
        </w:rPr>
        <w:t>su</w:t>
      </w:r>
      <w:r w:rsidR="00051866" w:rsidRPr="00937BA1">
        <w:rPr>
          <w:rFonts w:cstheme="minorHAnsi"/>
        </w:rPr>
        <w:t xml:space="preserve"> </w:t>
      </w:r>
      <w:r w:rsidRPr="00937BA1">
        <w:rPr>
          <w:rFonts w:cstheme="minorHAnsi"/>
        </w:rPr>
        <w:t>ključn</w:t>
      </w:r>
      <w:r w:rsidR="00937BA1" w:rsidRPr="00937BA1">
        <w:rPr>
          <w:rFonts w:cstheme="minorHAnsi"/>
        </w:rPr>
        <w:t>i</w:t>
      </w:r>
      <w:r w:rsidRPr="00937BA1">
        <w:rPr>
          <w:rFonts w:cstheme="minorHAnsi"/>
        </w:rPr>
        <w:t xml:space="preserve"> za postizanje promjene. Učinkovito korištenje resursa jedan je od glavnih stupova ovog cilja održivog razvoja u kojem </w:t>
      </w:r>
      <w:r w:rsidR="00937BA1">
        <w:rPr>
          <w:rFonts w:cstheme="minorHAnsi"/>
        </w:rPr>
        <w:t>sprječavanje nastanka</w:t>
      </w:r>
      <w:r w:rsidRPr="00937BA1">
        <w:rPr>
          <w:rFonts w:cstheme="minorHAnsi"/>
        </w:rPr>
        <w:t xml:space="preserve"> otpada ima ključnu </w:t>
      </w:r>
      <w:proofErr w:type="spellStart"/>
      <w:r w:rsidRPr="00937BA1">
        <w:rPr>
          <w:rFonts w:cstheme="minorHAnsi"/>
        </w:rPr>
        <w:t>uluga</w:t>
      </w:r>
      <w:proofErr w:type="spellEnd"/>
      <w:r w:rsidRPr="00937BA1">
        <w:rPr>
          <w:rFonts w:cstheme="minorHAnsi"/>
        </w:rPr>
        <w:t xml:space="preserve"> s obzirom da je sprječavanje nastanka otpada često najučinkovitiji način rješavanja ovih pritisaka, jer smanjuje nepotrebnu proizvodnju i preradu, a time i troškove, kao i emisije povezane s tim aktivnostima.</w:t>
      </w:r>
      <w:r w:rsidRPr="00802B47">
        <w:rPr>
          <w:rFonts w:cstheme="minorHAnsi"/>
        </w:rPr>
        <w:t xml:space="preserve"> </w:t>
      </w:r>
    </w:p>
    <w:p w14:paraId="2ECFC412" w14:textId="3DE0C99E" w:rsidR="00AE6341" w:rsidRDefault="00A124AB" w:rsidP="00AE6341">
      <w:pPr>
        <w:rPr>
          <w:rFonts w:cstheme="minorHAnsi"/>
        </w:rPr>
      </w:pPr>
      <w:proofErr w:type="spellStart"/>
      <w:r w:rsidRPr="00802B47">
        <w:rPr>
          <w:rFonts w:cstheme="minorHAnsi"/>
        </w:rPr>
        <w:t>Sp</w:t>
      </w:r>
      <w:r w:rsidR="00937BA1">
        <w:rPr>
          <w:rFonts w:cstheme="minorHAnsi"/>
        </w:rPr>
        <w:t>j</w:t>
      </w:r>
      <w:r w:rsidRPr="00802B47">
        <w:rPr>
          <w:rFonts w:cstheme="minorHAnsi"/>
        </w:rPr>
        <w:t>rečavanje</w:t>
      </w:r>
      <w:proofErr w:type="spellEnd"/>
      <w:r w:rsidRPr="00802B47">
        <w:rPr>
          <w:rFonts w:cstheme="minorHAnsi"/>
        </w:rPr>
        <w:t xml:space="preserve"> </w:t>
      </w:r>
      <w:r w:rsidR="00051866">
        <w:rPr>
          <w:rFonts w:cstheme="minorHAnsi"/>
        </w:rPr>
        <w:t>nastanka</w:t>
      </w:r>
      <w:r w:rsidRPr="00802B47">
        <w:rPr>
          <w:rFonts w:cstheme="minorHAnsi"/>
        </w:rPr>
        <w:t xml:space="preserve"> otpada ima veliki potencijal</w:t>
      </w:r>
      <w:r w:rsidR="00051866">
        <w:rPr>
          <w:rFonts w:cstheme="minorHAnsi"/>
        </w:rPr>
        <w:t xml:space="preserve"> s obzirom da</w:t>
      </w:r>
      <w:r w:rsidRPr="00802B47">
        <w:rPr>
          <w:rFonts w:cstheme="minorHAnsi"/>
        </w:rPr>
        <w:t xml:space="preserve"> proizvodi i materijali ne moraju postati otpad. Proizvodi se mogu dizajnirati tako da podržavaju duži životni vijek i omogućuju ponovnu upotrebu</w:t>
      </w:r>
      <w:r w:rsidR="00051866">
        <w:rPr>
          <w:rFonts w:cstheme="minorHAnsi"/>
        </w:rPr>
        <w:t xml:space="preserve"> i</w:t>
      </w:r>
      <w:r w:rsidRPr="00802B47">
        <w:rPr>
          <w:rFonts w:cstheme="minorHAnsi"/>
        </w:rPr>
        <w:t xml:space="preserve"> popravak. </w:t>
      </w:r>
      <w:r w:rsidR="00051866">
        <w:rPr>
          <w:rFonts w:cstheme="minorHAnsi"/>
        </w:rPr>
        <w:t xml:space="preserve">Razvojem u ovom smjeru </w:t>
      </w:r>
      <w:r w:rsidRPr="00802B47">
        <w:rPr>
          <w:rFonts w:cstheme="minorHAnsi"/>
        </w:rPr>
        <w:t xml:space="preserve">svi </w:t>
      </w:r>
      <w:r w:rsidR="00051866">
        <w:rPr>
          <w:rFonts w:cstheme="minorHAnsi"/>
        </w:rPr>
        <w:t>mogu značajno doprinijeti po pitanju</w:t>
      </w:r>
      <w:r w:rsidRPr="00802B47">
        <w:rPr>
          <w:rFonts w:cstheme="minorHAnsi"/>
        </w:rPr>
        <w:t xml:space="preserve"> ekonomske učinkovitosti</w:t>
      </w:r>
      <w:r w:rsidR="00051866">
        <w:rPr>
          <w:rFonts w:cstheme="minorHAnsi"/>
        </w:rPr>
        <w:t xml:space="preserve"> i</w:t>
      </w:r>
      <w:r w:rsidRPr="00802B47">
        <w:rPr>
          <w:rFonts w:cstheme="minorHAnsi"/>
        </w:rPr>
        <w:t xml:space="preserve"> </w:t>
      </w:r>
      <w:r w:rsidR="00051866">
        <w:rPr>
          <w:rFonts w:cstheme="minorHAnsi"/>
        </w:rPr>
        <w:t xml:space="preserve">utjecaja na </w:t>
      </w:r>
      <w:proofErr w:type="spellStart"/>
      <w:r w:rsidRPr="00802B47">
        <w:rPr>
          <w:rFonts w:cstheme="minorHAnsi"/>
        </w:rPr>
        <w:t>okoliš</w:t>
      </w:r>
      <w:r w:rsidR="00051866">
        <w:rPr>
          <w:rFonts w:cstheme="minorHAnsi"/>
        </w:rPr>
        <w:t>.</w:t>
      </w:r>
      <w:r w:rsidR="00AE6341">
        <w:rPr>
          <w:rFonts w:cstheme="minorHAnsi"/>
        </w:rPr>
        <w:t>Jedan</w:t>
      </w:r>
      <w:proofErr w:type="spellEnd"/>
      <w:r w:rsidR="00AE6341">
        <w:rPr>
          <w:rFonts w:cstheme="minorHAnsi"/>
        </w:rPr>
        <w:t xml:space="preserve"> od najvećih problema s kojima se susreće današnje društvo je manjak osjećaja odnosno spoznaje o potrebnoj količini resursa (materijala, energije, radnog vremena i sl.) za izradu i promet bilo kojega proizvoda na tržištu a bez čega je teško na individualnoj osnovi prepoznati koje učinke proizvodi konzumiranje ili odricanje od konzumiranja jednog proizvoda, odnosno koje dobrobiti donosi odabir prikladnijeg proizvoda (proizvoda s manjim okolišnim otiskom).</w:t>
      </w:r>
    </w:p>
    <w:p w14:paraId="73A1BAC1" w14:textId="77777777" w:rsidR="00AE6341" w:rsidRDefault="00AE6341" w:rsidP="00AE6341">
      <w:pPr>
        <w:rPr>
          <w:rFonts w:cstheme="minorHAnsi"/>
        </w:rPr>
      </w:pPr>
      <w:r>
        <w:rPr>
          <w:rFonts w:cstheme="minorHAnsi"/>
        </w:rPr>
        <w:t>Za poticanje promjena ponašanja radi postizanja održivog upravljanja resursima i otpadom, veliku važnost imaju aktivnosti na podizanju svijesti i senzibiliziranju javnosti kako bi javnost razumjela što znači prijelaz s linearnog na kružno gospodarstvo, kako će se to provesti te koji su financijski okviri za uspostavu principa kružnog gospodarstva.</w:t>
      </w:r>
    </w:p>
    <w:p w14:paraId="1E86849D" w14:textId="77777777" w:rsidR="00AE6341" w:rsidRDefault="00AE6341" w:rsidP="00AE6341">
      <w:pPr>
        <w:rPr>
          <w:rFonts w:cstheme="minorHAnsi"/>
        </w:rPr>
      </w:pPr>
      <w:r>
        <w:rPr>
          <w:rFonts w:cstheme="minorHAnsi"/>
        </w:rPr>
        <w:t xml:space="preserve">Za uspješnu provedbu mjera sprječavanja nastanka otpada potrebna je kombinacija regulatornih, ekonomskih, tehničkih i komunikacijskih mehanizama. U okviru ovog prioritetnog područja aktivnosti uključuju ciljane akcije za promjenu obrazaca potrošnje i proizvodnje, na primjer primjenom obrazovnih i informacijskih alata i poticaja kao što su ulaganja u podizanje javne svijesti, motiviranje </w:t>
      </w:r>
      <w:r>
        <w:rPr>
          <w:rFonts w:cstheme="minorHAnsi"/>
        </w:rPr>
        <w:lastRenderedPageBreak/>
        <w:t xml:space="preserve">potrošača da promijene svoje obrasce potrošnje prema održivoj potrošnji i povratu tradicionalnim obrascima potrošnje koji uključuju smanjenje ponovne uporabe i popravak proizvoda. </w:t>
      </w:r>
    </w:p>
    <w:p w14:paraId="299A3050" w14:textId="77777777" w:rsidR="00AE6341" w:rsidRDefault="00AE6341" w:rsidP="00AE6341">
      <w:pPr>
        <w:rPr>
          <w:rFonts w:cstheme="minorHAnsi"/>
        </w:rPr>
      </w:pPr>
      <w:r>
        <w:rPr>
          <w:rFonts w:cstheme="minorHAnsi"/>
        </w:rPr>
        <w:t xml:space="preserve">Da bi se shvatila važnost sprječavanja nastanka otpada te koja je korist i uloga pojedinaca u cijelom lancu gospodarenja otpadom, važno je da javnost bude adekvatno informirana i educirana o sprječavanju nastanka otpada, odvajanju otpada, tehnologijama razvrstavanja i recikliranja kao i projektima i troškovima obrade preostalog otpada u postrojenjima za obradu miješanog komunalnog otpada (Centri za gospodarenje otpadom i energane). </w:t>
      </w:r>
    </w:p>
    <w:p w14:paraId="1B3C2629" w14:textId="77777777" w:rsidR="00AE6341" w:rsidRDefault="00AE6341" w:rsidP="00AE6341">
      <w:pPr>
        <w:rPr>
          <w:rFonts w:cstheme="minorHAnsi"/>
        </w:rPr>
      </w:pPr>
      <w:r>
        <w:rPr>
          <w:rFonts w:cstheme="minorHAnsi"/>
        </w:rPr>
        <w:t xml:space="preserve">Održivo korištenje prirodnih resursa ima za cilj smanjiti utjecaj na okoliš pri korištenju resursa u rastućoj ekonomiji, pri čemu fokus na okolišne utjecaje korištenja resursa predstavlja odlučujući faktor u postizanju održivog razvoja. Naglasak se stavlja na povećanje učinkovitog upravljanja resursima za održiv razvoj gospodarskih sustava te se podržava prelazak na gospodarski rast učinkovitom uporabom resursa s niskim emisijama stakleničkih plinova. </w:t>
      </w:r>
    </w:p>
    <w:p w14:paraId="6D90B61A" w14:textId="77777777" w:rsidR="00AE6341" w:rsidRDefault="00AE6341" w:rsidP="00AE6341">
      <w:pPr>
        <w:rPr>
          <w:rFonts w:cstheme="minorHAnsi"/>
        </w:rPr>
      </w:pPr>
      <w:r>
        <w:rPr>
          <w:rFonts w:cstheme="minorHAnsi"/>
        </w:rPr>
        <w:t xml:space="preserve">U svrhu primjene politike gospodarenja otpadom koja podržava smanjenje nastanka otpada kroz razvoj funkcionalnog sustava gospodarenja otpadom, koji ima za cilj otpad koristiti kao vrijedan resurs, Okvirna direktiva o otpadu sukladno okolišnim koristima/troškovima jasno definira red prvenstva gospodarenja otpadom rangirajući opcije gospodarenja otpadom u smislu njihovih utjecaja na okoliš. Na vrhu te hijerarhije nalazi se sprječavanje nastanka otpada i predstavlja najučinkovitiji i najodrživiji način korištenja resursa. Kako je RH svoje zakonodavstvo uskladila s pravnom stečevinom EU, tako je i prihvatila navedeni red prvenstva gospodarenja otpadom kroz odredbe Zakona o gospodarenju otpadom. </w:t>
      </w:r>
    </w:p>
    <w:p w14:paraId="63A70106" w14:textId="77777777" w:rsidR="00AE6341" w:rsidRDefault="00AE6341" w:rsidP="00AE6341">
      <w:pPr>
        <w:rPr>
          <w:rFonts w:cstheme="minorHAnsi"/>
        </w:rPr>
      </w:pPr>
      <w:r>
        <w:rPr>
          <w:rFonts w:cstheme="minorHAnsi"/>
        </w:rPr>
        <w:t>Kretanje u smjeru kružnog gospodarstvu ostvaruje se različitim mjerama u lancu proizvodnje i potrošnje prirodnih i proizvedenih dobara te posljedično gospodarenja otpadom, čime se otpad nastoji vratiti u gospodarski ciklus. Navedeno se postiže primjenom reda prvenstva gospodarenju otpadom, kojim se posebno značenje daje sprječavanju nastanka otpada kao prvoj stepenici spomenutog reda prvenstva.</w:t>
      </w:r>
    </w:p>
    <w:p w14:paraId="18DF2D81" w14:textId="77777777" w:rsidR="00AE6341" w:rsidRDefault="00AE6341" w:rsidP="00AE6341">
      <w:pPr>
        <w:rPr>
          <w:rFonts w:cstheme="minorHAnsi"/>
        </w:rPr>
      </w:pPr>
      <w:r>
        <w:rPr>
          <w:rFonts w:cstheme="minorHAnsi"/>
        </w:rPr>
        <w:t xml:space="preserve">Prema Zakonu o gospodarenju otpadom sprječavanje nastanka otpada podrazumijeva mjere poduzete prije negoli neka tvar, materijal ili proizvod postane otpad, u svrhu smanjenja količina otpada, uključujući ponovnu uporabu proizvoda i produljenje njihova životnog vijeka, smanjenje negativnih utjecaja nastalog otpada na okoliš i ljudsko zdravlje, te smanjenje sadržaja opasnih tvari u materijalima i proizvodima. </w:t>
      </w:r>
    </w:p>
    <w:p w14:paraId="44E17E09" w14:textId="77777777" w:rsidR="00AE6341" w:rsidRDefault="00AE6341" w:rsidP="00AE6341">
      <w:pPr>
        <w:rPr>
          <w:rFonts w:cstheme="minorHAnsi"/>
        </w:rPr>
      </w:pPr>
      <w:r>
        <w:rPr>
          <w:rFonts w:cstheme="minorHAnsi"/>
        </w:rPr>
        <w:t>Sprječavanjem nastanka otpada postiže se smanjenje količina i negativnih utjecaja otpada na okoliš i ljudsko zdravlje prije nego bilo koji drugi postupak oporabe ili zbrinjavanja uopće postanu opcija.</w:t>
      </w:r>
    </w:p>
    <w:p w14:paraId="19AD06C0" w14:textId="77777777" w:rsidR="00AE6341" w:rsidRDefault="00AE6341" w:rsidP="00AE6341">
      <w:pPr>
        <w:rPr>
          <w:rFonts w:cstheme="minorHAnsi"/>
        </w:rPr>
      </w:pPr>
      <w:r>
        <w:rPr>
          <w:rFonts w:cstheme="minorHAnsi"/>
        </w:rPr>
        <w:t xml:space="preserve">Posebno područje zanimanja se odnosi na </w:t>
      </w:r>
      <w:r w:rsidRPr="000D2B45">
        <w:rPr>
          <w:rFonts w:cstheme="minorHAnsi"/>
          <w:highlight w:val="yellow"/>
        </w:rPr>
        <w:t xml:space="preserve">dizajn proizvoda kao i razvoj međusektorske suradnje i </w:t>
      </w:r>
      <w:commentRangeStart w:id="359"/>
      <w:r w:rsidRPr="000D2B45">
        <w:rPr>
          <w:rFonts w:cstheme="minorHAnsi"/>
          <w:highlight w:val="yellow"/>
        </w:rPr>
        <w:t>djelovanja</w:t>
      </w:r>
      <w:commentRangeEnd w:id="359"/>
      <w:r w:rsidR="000D2B45">
        <w:rPr>
          <w:rStyle w:val="Referencakomentara"/>
        </w:rPr>
        <w:commentReference w:id="359"/>
      </w:r>
      <w:r w:rsidRPr="000D2B45">
        <w:rPr>
          <w:rFonts w:cstheme="minorHAnsi"/>
          <w:highlight w:val="yellow"/>
        </w:rPr>
        <w:t>.</w:t>
      </w:r>
    </w:p>
    <w:p w14:paraId="1DE8A14F" w14:textId="77777777" w:rsidR="00AE6341" w:rsidRDefault="00AE6341" w:rsidP="00AE6341">
      <w:pPr>
        <w:rPr>
          <w:rFonts w:cstheme="minorHAnsi"/>
        </w:rPr>
      </w:pPr>
      <w:r>
        <w:rPr>
          <w:rFonts w:cstheme="minorHAnsi"/>
        </w:rPr>
        <w:t xml:space="preserve">Jedna od značajnih aktivnosti sprječavanja nastanka otpada je i ponovna uporaba predmeta i proizvoda koji nisu proglašeni otpadom i nisu ušli u sustav gospodarenja otpadom. </w:t>
      </w:r>
    </w:p>
    <w:p w14:paraId="008117F7" w14:textId="77777777" w:rsidR="00AE6341" w:rsidRDefault="00AE6341" w:rsidP="00AE6341">
      <w:pPr>
        <w:rPr>
          <w:rFonts w:cstheme="minorHAnsi"/>
        </w:rPr>
      </w:pPr>
      <w:r>
        <w:rPr>
          <w:rFonts w:cstheme="minorHAnsi"/>
        </w:rPr>
        <w:t xml:space="preserve">Za nove prioritetne teme kao što su otpad biootpad/otpad od hrane, električni i elektronički otpad, otpad od plastike, građevni otpad, otpadni tekstila i obuće i morski otpad će u narednom razdoblju biti važno osigurati kvalitetnu provedbu mjera sprječavanja nastanka otpada i izraditi odgovarajuće metodologije praćenja provedbe. </w:t>
      </w:r>
    </w:p>
    <w:p w14:paraId="7380FE0C" w14:textId="6D8699CC" w:rsidR="00AE6341" w:rsidRDefault="00AE6341" w:rsidP="005E34EF">
      <w:pPr>
        <w:pStyle w:val="IRNaslov2"/>
        <w:keepNext w:val="0"/>
        <w:pageBreakBefore/>
        <w:ind w:left="635" w:hanging="635"/>
        <w:rPr>
          <w:rFonts w:cstheme="minorHAnsi"/>
        </w:rPr>
      </w:pPr>
      <w:bookmarkStart w:id="360" w:name="_Toc121138182"/>
      <w:bookmarkStart w:id="361" w:name="_Toc123211706"/>
      <w:r>
        <w:rPr>
          <w:rFonts w:cstheme="minorHAnsi"/>
        </w:rPr>
        <w:lastRenderedPageBreak/>
        <w:t>15.</w:t>
      </w:r>
      <w:r w:rsidR="005F1B1C">
        <w:rPr>
          <w:rFonts w:cstheme="minorHAnsi"/>
        </w:rPr>
        <w:t>2</w:t>
      </w:r>
      <w:r>
        <w:rPr>
          <w:rFonts w:cstheme="minorHAnsi"/>
        </w:rPr>
        <w:t>. Europski Planovi i Strategije</w:t>
      </w:r>
      <w:bookmarkEnd w:id="360"/>
      <w:bookmarkEnd w:id="361"/>
    </w:p>
    <w:p w14:paraId="369F0FB7" w14:textId="20CF49A7" w:rsidR="00AE6341" w:rsidRDefault="00AE6341" w:rsidP="00AE6341">
      <w:pPr>
        <w:rPr>
          <w:rFonts w:cstheme="minorHAnsi"/>
        </w:rPr>
      </w:pPr>
      <w:r>
        <w:rPr>
          <w:rFonts w:cstheme="minorHAnsi"/>
        </w:rPr>
        <w:t xml:space="preserve">Europski zeleni plan COM(2019) 640 </w:t>
      </w:r>
      <w:proofErr w:type="spellStart"/>
      <w:r>
        <w:rPr>
          <w:rFonts w:cstheme="minorHAnsi"/>
        </w:rPr>
        <w:t>final</w:t>
      </w:r>
      <w:proofErr w:type="spellEnd"/>
      <w:r>
        <w:rPr>
          <w:rFonts w:cstheme="minorHAnsi"/>
        </w:rPr>
        <w:t xml:space="preserve">, predlaže novu strategija rasta s ciljem preobrazbe EU-a u pravedno i prosperitetno društvo s modernim, resursno učinkovitim i konkurentnim gospodarstvom u kojem 2050. godine neće biti neto emisija stakleničkih plinova i u kojem gospodarski rast nije povezan s upotrebom resursa. Ovim Planom nastoji se zaštititi, očuvati i povećati prirodni kapital EU-a te zaštititi zdravlje i dobrobit građana od rizika povezanih s okolišem i utjecaja okoliša na njih. </w:t>
      </w:r>
    </w:p>
    <w:p w14:paraId="4B49449D" w14:textId="77777777" w:rsidR="00932F27" w:rsidRDefault="00932F27" w:rsidP="00AE6341">
      <w:pPr>
        <w:rPr>
          <w:rFonts w:cstheme="minorHAnsi"/>
        </w:rPr>
      </w:pPr>
    </w:p>
    <w:p w14:paraId="7628440B" w14:textId="7111FC36" w:rsidR="00AE6341" w:rsidRDefault="00AE6341" w:rsidP="00AE6341">
      <w:pPr>
        <w:pStyle w:val="Slika"/>
        <w:rPr>
          <w:rStyle w:val="zadanifontodlomka-000023"/>
          <w:rFonts w:asciiTheme="minorHAnsi" w:hAnsiTheme="minorHAnsi" w:cstheme="minorHAnsi"/>
          <w:i w:val="0"/>
          <w:iCs w:val="0"/>
          <w:color w:val="auto"/>
          <w:sz w:val="20"/>
          <w:szCs w:val="22"/>
        </w:rPr>
      </w:pPr>
      <w:bookmarkStart w:id="362" w:name="_Toc125363976"/>
      <w:r>
        <w:t xml:space="preserve">Slika </w:t>
      </w:r>
      <w:fldSimple w:instr=" SEQ Slika \* ARABIC ">
        <w:r w:rsidR="00F37B62">
          <w:rPr>
            <w:noProof/>
          </w:rPr>
          <w:t>68</w:t>
        </w:r>
      </w:fldSimple>
      <w:r>
        <w:t xml:space="preserve">. </w:t>
      </w:r>
      <w:r>
        <w:rPr>
          <w:b w:val="0"/>
          <w:bCs/>
        </w:rPr>
        <w:t>Europski zeleni plan</w:t>
      </w:r>
      <w:bookmarkEnd w:id="362"/>
    </w:p>
    <w:p w14:paraId="01C74DC4" w14:textId="77777777" w:rsidR="00AE6341" w:rsidRPr="004D5E2A" w:rsidRDefault="00AE6341" w:rsidP="00AE6341">
      <w:pPr>
        <w:rPr>
          <w:rFonts w:cstheme="minorHAnsi"/>
        </w:rPr>
      </w:pPr>
      <w:r w:rsidRPr="004D5E2A">
        <w:rPr>
          <w:rStyle w:val="zadanifontodlomka-000023"/>
          <w:rFonts w:asciiTheme="minorHAnsi" w:hAnsiTheme="minorHAnsi" w:cstheme="minorHAnsi"/>
          <w:sz w:val="22"/>
          <w:szCs w:val="22"/>
        </w:rPr>
        <w:t>U Europskom zelenom planu se između ostalog navodi: „</w:t>
      </w:r>
      <w:r w:rsidRPr="004D5E2A">
        <w:rPr>
          <w:rFonts w:cstheme="minorHAnsi"/>
        </w:rPr>
        <w:t xml:space="preserve"> </w:t>
      </w:r>
      <w:r w:rsidRPr="004D5E2A">
        <w:rPr>
          <w:rStyle w:val="zadanifontodlomka-000024"/>
          <w:rFonts w:asciiTheme="minorHAnsi" w:hAnsiTheme="minorHAnsi" w:cstheme="minorHAnsi"/>
          <w:sz w:val="22"/>
          <w:szCs w:val="22"/>
        </w:rPr>
        <w:t xml:space="preserve">Održivom politikom proizvoda mogao bi se znatno smanjiti otpad. Ako se otpad ne može izbjeći, njegova gospodarska vrijednost mora se </w:t>
      </w:r>
      <w:proofErr w:type="spellStart"/>
      <w:r w:rsidRPr="004D5E2A">
        <w:rPr>
          <w:rStyle w:val="zadanifontodlomka-000024"/>
          <w:rFonts w:asciiTheme="minorHAnsi" w:hAnsiTheme="minorHAnsi" w:cstheme="minorHAnsi"/>
          <w:sz w:val="22"/>
          <w:szCs w:val="22"/>
        </w:rPr>
        <w:t>oporabiti</w:t>
      </w:r>
      <w:proofErr w:type="spellEnd"/>
      <w:r w:rsidRPr="004D5E2A">
        <w:rPr>
          <w:rStyle w:val="zadanifontodlomka-000024"/>
          <w:rFonts w:asciiTheme="minorHAnsi" w:hAnsiTheme="minorHAnsi" w:cstheme="minorHAnsi"/>
          <w:sz w:val="22"/>
          <w:szCs w:val="22"/>
        </w:rPr>
        <w:t>, a njegov utjecaj na okoliš i klimatske promjene izbjeći ili svesti na najmanju moguću mjeru. Za to je potrebno novo zakonodavstvo, uključujući ciljeve i mjere za rješavanje problema prekomjerne ambalaže i nastanka otpada. Usporedno s time, poduzeća iz EU-a trebala bi imati koristi od snažnog i integriranog jedinstvenog tržišta za sekundarne sirovine i nusproizvode. Za to je potrebna dublja suradnja u svim lancima vrijednosti, kao u slučaju Saveza za kružno gospodarstvo u području plastike</w:t>
      </w:r>
      <w:r w:rsidRPr="004D5E2A">
        <w:rPr>
          <w:rStyle w:val="zadanifontodlomka-000023"/>
          <w:rFonts w:asciiTheme="minorHAnsi" w:hAnsiTheme="minorHAnsi" w:cstheme="minorHAnsi"/>
          <w:sz w:val="22"/>
          <w:szCs w:val="22"/>
        </w:rPr>
        <w:t>.“</w:t>
      </w:r>
      <w:r w:rsidRPr="004D5E2A">
        <w:rPr>
          <w:rFonts w:cstheme="minorHAnsi"/>
        </w:rPr>
        <w:t xml:space="preserve"> </w:t>
      </w:r>
    </w:p>
    <w:p w14:paraId="55FEFDBE" w14:textId="77777777" w:rsidR="00AE6341" w:rsidRPr="004D5E2A" w:rsidRDefault="00AE6341" w:rsidP="00AE6341">
      <w:pPr>
        <w:rPr>
          <w:rStyle w:val="zadanifontodlomka-000023"/>
          <w:rFonts w:asciiTheme="minorHAnsi" w:hAnsiTheme="minorHAnsi" w:cstheme="minorHAnsi"/>
          <w:sz w:val="22"/>
          <w:szCs w:val="22"/>
        </w:rPr>
      </w:pPr>
      <w:r w:rsidRPr="004D5E2A">
        <w:rPr>
          <w:rStyle w:val="zadanifontodlomka-000023"/>
          <w:rFonts w:asciiTheme="minorHAnsi" w:hAnsiTheme="minorHAnsi" w:cstheme="minorHAnsi"/>
          <w:sz w:val="22"/>
          <w:szCs w:val="22"/>
        </w:rPr>
        <w:t xml:space="preserve">Kao jednu od glavnih sastavnica Europskog zelenog plana, Europska komisija predstavila novi </w:t>
      </w:r>
      <w:r w:rsidRPr="004D5E2A">
        <w:rPr>
          <w:rStyle w:val="zadanifontodlomka-000024"/>
          <w:rFonts w:asciiTheme="minorHAnsi" w:hAnsiTheme="minorHAnsi" w:cstheme="minorHAnsi"/>
          <w:sz w:val="22"/>
          <w:szCs w:val="22"/>
        </w:rPr>
        <w:t xml:space="preserve">Akcijski plan za kružno gospodarstvo - Za čišću i konkurentniju Europu COM(2020) 98 </w:t>
      </w:r>
      <w:proofErr w:type="spellStart"/>
      <w:r w:rsidRPr="004D5E2A">
        <w:rPr>
          <w:rStyle w:val="zadanifontodlomka-000024"/>
          <w:rFonts w:asciiTheme="minorHAnsi" w:hAnsiTheme="minorHAnsi" w:cstheme="minorHAnsi"/>
          <w:sz w:val="22"/>
          <w:szCs w:val="22"/>
        </w:rPr>
        <w:t>final</w:t>
      </w:r>
      <w:proofErr w:type="spellEnd"/>
      <w:r w:rsidRPr="004D5E2A">
        <w:rPr>
          <w:rStyle w:val="zadanifontodlomka-000023"/>
          <w:rFonts w:asciiTheme="minorHAnsi" w:hAnsiTheme="minorHAnsi" w:cstheme="minorHAnsi"/>
          <w:sz w:val="22"/>
          <w:szCs w:val="22"/>
        </w:rPr>
        <w:t>, koji predstavlja novi Plan EU-a za održivi rast. Navedeni Akcijski plan će pridonijeti modernizaciji gospodarstva EU-a i iskorištavanju mogućnosti kružnog gospodarstva.</w:t>
      </w:r>
    </w:p>
    <w:p w14:paraId="32593BF1" w14:textId="77777777" w:rsidR="00AE6341" w:rsidRPr="004D5E2A" w:rsidRDefault="00AE6341" w:rsidP="00AE6341">
      <w:pPr>
        <w:rPr>
          <w:rStyle w:val="zadanifontodlomka-000023"/>
          <w:rFonts w:asciiTheme="minorHAnsi" w:hAnsiTheme="minorHAnsi" w:cstheme="minorHAnsi"/>
          <w:sz w:val="22"/>
          <w:szCs w:val="22"/>
        </w:rPr>
      </w:pPr>
      <w:r w:rsidRPr="004D5E2A">
        <w:rPr>
          <w:rStyle w:val="zadanifontodlomka-000023"/>
          <w:rFonts w:asciiTheme="minorHAnsi" w:hAnsiTheme="minorHAnsi" w:cstheme="minorHAnsi"/>
          <w:sz w:val="22"/>
          <w:szCs w:val="22"/>
        </w:rPr>
        <w:t>Jedna od glavnih odredbi novog Akcijskog plana je usmjerenje na dizajn i proizvodnju proizvoda za kružno gospodarstvo, kako bi se osiguralo da se upotrijebljeni resursi što je moguće duže zadrže u gospodarstvu EU-a čime se želi postići odvajanje stvaranja otpada od gospodarskog rasta. Uvođenje politike za održive proizvode, koja uključuje dizajn održivih proizvoda, jačanje položaja potrošača i javnih naručitelja te načela kružnosti u proizvodnim postupcima i njezino prenošenje u posebno zakonodavstvo bit će ključno za postizanje napretka u sprječavanju nastanka otpada. Ovim Planom predlaže se uvođenje mjera u sektorima koji upotrebljavaju najviše resursa i u kojima postoji veliki potencijal za kružnost, kao što su: elektronika i informacijska i komunikacijska tehnologija, baterije i vozila, ambalaža, plastika, tekstil, građevinarstvo te hrana i voda.</w:t>
      </w:r>
    </w:p>
    <w:p w14:paraId="245D55D5" w14:textId="77777777" w:rsidR="00AE6341" w:rsidRPr="004D5E2A" w:rsidRDefault="00AE6341" w:rsidP="00AE6341">
      <w:pPr>
        <w:rPr>
          <w:rStyle w:val="zadanifontodlomka-000023"/>
          <w:rFonts w:asciiTheme="minorHAnsi" w:hAnsiTheme="minorHAnsi" w:cstheme="minorHAnsi"/>
          <w:sz w:val="22"/>
          <w:szCs w:val="22"/>
        </w:rPr>
      </w:pPr>
      <w:r w:rsidRPr="004D5E2A">
        <w:rPr>
          <w:rStyle w:val="zadanifontodlomka-000023"/>
          <w:rFonts w:asciiTheme="minorHAnsi" w:hAnsiTheme="minorHAnsi" w:cstheme="minorHAnsi"/>
          <w:sz w:val="22"/>
          <w:szCs w:val="22"/>
        </w:rPr>
        <w:t>Održivi proizvodi trebaju postati pravilo u EU te će u tom smislu Komisija predložiti zakonodavstvo o politici održivih proizvoda kako bi se osiguralo da su proizvodi koji se stavljaju na tržište EU-a osmišljeni tako da traju dulje, da se lakše mogu ponovno upotrebljavati, popravljati i reciklirati te da uključuju što je više moguće recikliranih materijala umjesto primarnih sirovina. Proizvodi za jednokratnu uporabu bit će ograničeni, rješavat će se problem preuranjenog zastarijevanja proizvoda, a uništavanje neprodane trajne robe bit će zabranjeno. Pored toga, za ponovnu uporabu, popravak i recikliranje proizvoda i otpada ključno je osigurati čiste tokove materijala kroz poticanje zamjene štetnih tvari i razvoj kriterija za promicanje sigurnih i održivih sirovina od same faze dizajna.</w:t>
      </w:r>
    </w:p>
    <w:p w14:paraId="2BB29895" w14:textId="77777777" w:rsidR="00AE6341" w:rsidRPr="004D5E2A" w:rsidRDefault="00AE6341" w:rsidP="00AE6341">
      <w:pPr>
        <w:rPr>
          <w:rStyle w:val="zadanifontodlomka-000023"/>
          <w:rFonts w:asciiTheme="minorHAnsi" w:hAnsiTheme="minorHAnsi" w:cstheme="minorHAnsi"/>
          <w:sz w:val="22"/>
          <w:szCs w:val="22"/>
        </w:rPr>
      </w:pPr>
      <w:r w:rsidRPr="004D5E2A">
        <w:rPr>
          <w:rStyle w:val="zadanifontodlomka-000023"/>
          <w:rFonts w:asciiTheme="minorHAnsi" w:hAnsiTheme="minorHAnsi" w:cstheme="minorHAnsi"/>
          <w:sz w:val="22"/>
          <w:szCs w:val="22"/>
        </w:rPr>
        <w:t>U svezi smanjenja količine otpada naglasak će biti na potpunom izbjegavanju otpada i njegovoj preobrazbi u visokokvalitetne sekundarne resurse kojima pogoduje dobro funkcioniranje tržišta sekundarnih sirovina. Razmotrit će se uspostava usklađenog modela za odvojeno prikupljanje i označavanje otpada na razini EU-a te poduzeti niz mjera za smanjenje izvoza otpada iz EU-a na najmanju moguću mjeru te mjera za rješavanje problema nezakonitih pošiljaka.</w:t>
      </w:r>
    </w:p>
    <w:p w14:paraId="7D945B8D" w14:textId="77777777" w:rsidR="00AE6341" w:rsidRPr="004D5E2A" w:rsidRDefault="00AE6341" w:rsidP="00AE6341">
      <w:pPr>
        <w:rPr>
          <w:rStyle w:val="zadanifontodlomka-000008"/>
          <w:rFonts w:asciiTheme="minorHAnsi" w:hAnsiTheme="minorHAnsi" w:cstheme="minorHAnsi"/>
          <w:sz w:val="22"/>
          <w:szCs w:val="22"/>
        </w:rPr>
      </w:pPr>
      <w:r w:rsidRPr="004D5E2A">
        <w:rPr>
          <w:rStyle w:val="zadanifontodlomka-000023"/>
          <w:rFonts w:asciiTheme="minorHAnsi" w:hAnsiTheme="minorHAnsi" w:cstheme="minorHAnsi"/>
          <w:sz w:val="22"/>
          <w:szCs w:val="22"/>
        </w:rPr>
        <w:lastRenderedPageBreak/>
        <w:t xml:space="preserve">Sprječavanje </w:t>
      </w:r>
      <w:r w:rsidRPr="004D5E2A">
        <w:rPr>
          <w:rStyle w:val="zadanifontodlomka-000008"/>
          <w:rFonts w:asciiTheme="minorHAnsi" w:hAnsiTheme="minorHAnsi" w:cstheme="minorHAnsi"/>
          <w:sz w:val="22"/>
          <w:szCs w:val="22"/>
        </w:rPr>
        <w:t>nastanka otpada je najučinkovitiji način poboljšanja iskoristivosti resursa i smanjenja utjecaja otpada na okoliš. Stoga je važno poduzimati odgovarajuće mjere za sprječavanje nastanka otpada te pratiti i procjenjivati napredak njihove provedbe. Kao dio tih mjera, potrebno je olakšati inovativne modele proizvodnje, poslovanja i potrošnje kojima se smanjuje prisutnost opasnih tvari u materijalima i proizvodima, potiče povećanje životnog vijeka proizvoda i promiče ponovna uporaba, uključujući osnivanje i podupiranje mreža za ponovnu uporabu i popravak, sustava povratne naknade za vraćanje proizvoda te povrata i ponovnog punjenja, kao i ponovne proizvodnje, preoblikovanja i, gdje je to prikladno, prenamjene proizvoda, kao i platforme za dijeljenje.</w:t>
      </w:r>
    </w:p>
    <w:p w14:paraId="3F891EBE" w14:textId="77777777" w:rsidR="00AE6341" w:rsidRPr="004D5E2A" w:rsidRDefault="00AE6341" w:rsidP="00AE6341">
      <w:pPr>
        <w:rPr>
          <w:rStyle w:val="zadanifontodlomka-000008"/>
          <w:rFonts w:asciiTheme="minorHAnsi" w:hAnsiTheme="minorHAnsi" w:cstheme="minorHAnsi"/>
          <w:sz w:val="22"/>
          <w:szCs w:val="22"/>
        </w:rPr>
      </w:pPr>
      <w:r w:rsidRPr="004D5E2A">
        <w:rPr>
          <w:rStyle w:val="zadanifontodlomka-000008"/>
          <w:rFonts w:asciiTheme="minorHAnsi" w:hAnsiTheme="minorHAnsi" w:cstheme="minorHAnsi"/>
          <w:sz w:val="22"/>
          <w:szCs w:val="22"/>
        </w:rPr>
        <w:t>Promicanje održivosti u proizvodnji i potrošnji može značajno doprinijeti sprječavanju nastanka otpada te treba poduzeti korake kako bi potrošači postali svjesni tog doprinosa i kako bi ih se potaknulo na aktivnije sudjelovanje s ciljem poboljšanja iskoristivosti resursa. Mjere za smanjenje nastanka otpada trebaju uključivati neprestanu komunikaciju i provođenje obrazovnih inicijativa s ciljem podizanja razine svijesti o problemima koji okružuju sprječavanje nastanka otpada i trebaju uključivati sustave povratne naknade za povrat proizvoda, utvrđivanje kvantitativnih ciljeva i, prema potrebi, davanje odgovarajućih ekonomskih poticaja proizvođačima.</w:t>
      </w:r>
    </w:p>
    <w:p w14:paraId="0A6D35DE" w14:textId="77777777" w:rsidR="00AE6341" w:rsidRPr="004D5E2A" w:rsidRDefault="00AE6341" w:rsidP="00AE6341">
      <w:pPr>
        <w:rPr>
          <w:rStyle w:val="zadanifontodlomka-000008"/>
          <w:rFonts w:asciiTheme="minorHAnsi" w:hAnsiTheme="minorHAnsi" w:cstheme="minorHAnsi"/>
          <w:sz w:val="22"/>
          <w:szCs w:val="22"/>
        </w:rPr>
      </w:pPr>
      <w:r w:rsidRPr="004D5E2A">
        <w:rPr>
          <w:rStyle w:val="zadanifontodlomka-000008"/>
          <w:rFonts w:asciiTheme="minorHAnsi" w:hAnsiTheme="minorHAnsi" w:cstheme="minorHAnsi"/>
          <w:sz w:val="22"/>
          <w:szCs w:val="22"/>
        </w:rPr>
        <w:t>Proizvođače proizvoda potrebno je poticati na razvoj, proizvodnju, marketing i korištenje proizvoda i sastavnih dijelova koji su pogodni za višekratnu uporabu, koji sadržavaju reciklirane materijale i tehnički su trajni, mogu se popraviti, a kad postanu otpad, pogodni su za pripremu za ponovnu uporabu i recikliranje, a sve kako bi se olakšala ispravna provedba reda prvenstva gospodarenja otpadom i to bez dovođenja u pitanje slobodnog kretanja robe na unutarnjem tržištu.</w:t>
      </w:r>
    </w:p>
    <w:p w14:paraId="1AB84D22" w14:textId="77777777" w:rsidR="00AE6341" w:rsidRPr="004D5E2A" w:rsidRDefault="00AE6341" w:rsidP="00AE6341">
      <w:pPr>
        <w:rPr>
          <w:rFonts w:cstheme="minorHAnsi"/>
        </w:rPr>
      </w:pPr>
      <w:r w:rsidRPr="004D5E2A">
        <w:rPr>
          <w:rStyle w:val="zadanifontodlomka-000008"/>
          <w:rFonts w:asciiTheme="minorHAnsi" w:hAnsiTheme="minorHAnsi" w:cstheme="minorHAnsi"/>
          <w:sz w:val="22"/>
          <w:szCs w:val="22"/>
        </w:rPr>
        <w:t>U procjeni poticaja potrebno je uzeti u obzir učinak proizvoda tijekom njihova cijelog životnog vijeka, red prvenstva gospodarenja otpadom i, gdje je to prikladno, potencijal za višestruko recikliranje. Proizvođači proizvoda trebaju kroz sustave proširene odgovornosti proizvođača pokrivati troškove potrebne za ispunjenje ciljeva gospodarenja otpadom, uključujući sprječavanje nastanka otpada. Posjednici proizvoda odnosno otpada od proizvoda koji su obuhvaćeni sustavima proširene odgovornosti proizvođača trebaju biti obaviješteni o mjerama za sprječavanje nastanka otpada, centrima za ponovnu uporabu i pripremu za ponovnu uporabu, sustavima za povrat i skupljanje otpada te sprječavanju odbacivanja otpada u okoliš.</w:t>
      </w:r>
      <w:r w:rsidRPr="004D5E2A">
        <w:rPr>
          <w:rFonts w:cstheme="minorHAnsi"/>
        </w:rPr>
        <w:t xml:space="preserve"> </w:t>
      </w:r>
    </w:p>
    <w:p w14:paraId="2B73CFC5" w14:textId="77777777" w:rsidR="00AE6341" w:rsidRPr="004D5E2A" w:rsidRDefault="00AE6341" w:rsidP="00AE6341">
      <w:pPr>
        <w:rPr>
          <w:rStyle w:val="zadanifontodlomka-000008"/>
          <w:rFonts w:asciiTheme="minorHAnsi" w:hAnsiTheme="minorHAnsi" w:cstheme="minorHAnsi"/>
          <w:sz w:val="22"/>
          <w:szCs w:val="22"/>
        </w:rPr>
      </w:pPr>
      <w:r w:rsidRPr="004D5E2A">
        <w:rPr>
          <w:rStyle w:val="zadanifontodlomka-000008"/>
          <w:rFonts w:asciiTheme="minorHAnsi" w:hAnsiTheme="minorHAnsi" w:cstheme="minorHAnsi"/>
          <w:sz w:val="22"/>
          <w:szCs w:val="22"/>
        </w:rPr>
        <w:t>U kontekstu sprječavanja nastanka otpada, Direktiva (EU) 2018/852 Europskog parlamenta i Vijeća od 30. svibnja 2018. godine o izmjeni Direktive 94/62/EZ o ambalaži i ambalažnom otpadu utvrđuje mjere kojima je osnovni cilj sprječavanje proizvodnje ambalažnog otpada te, kao dodatna temeljna načela, ponovna uporaba ambalaže, recikliranje i drugi oblici oporabe ambalažnog otpada i posljedično smanjenje konačnog zbrinjavanja takvog otpada kao aktivnosti najniže u redu prvenstva gospodarenja otpadom kako bi se doprinijelo prijelazu na kružno gospodarstvo. Ambalaža se mora dizajnirati, proizvoditi i komercijalizirati na način koji dopušta njezinu ponovnu uporabu ili oporabu, uključujući recikliranje, u skladu s redom prvenstva gospodarenja otpadom, i koji u najvećoj mogućoj mjeri smanjuje utjecaj na okoliš pri zbrinjavanju ambalažnog otpada ili ostataka preostalih nakon provedbe gospodarskih mjera gospodarenja ambalažnim otpadom. Potrebno je poduzeti mjere za poticanje povećanja udjela ponovno uporabljive ambalaže koja se stavlja na tržište i sustava koji omogućuju ponovnu uporabu ambalaže kao i druge preventivne mjere kako bi se spriječio nastanak ambalažnog otpada i smanjio utjecaj ambalaže na okoliš.</w:t>
      </w:r>
    </w:p>
    <w:p w14:paraId="14F677CF" w14:textId="77777777" w:rsidR="00AE6341" w:rsidRPr="004D5E2A" w:rsidRDefault="00AE6341" w:rsidP="00AE6341">
      <w:pPr>
        <w:rPr>
          <w:rStyle w:val="zadanifontodlomka-000023"/>
          <w:rFonts w:asciiTheme="minorHAnsi" w:hAnsiTheme="minorHAnsi" w:cstheme="minorHAnsi"/>
          <w:sz w:val="22"/>
          <w:szCs w:val="22"/>
        </w:rPr>
      </w:pPr>
      <w:r w:rsidRPr="004D5E2A">
        <w:rPr>
          <w:rStyle w:val="zadanifontodlomka-000008"/>
          <w:rFonts w:asciiTheme="minorHAnsi" w:hAnsiTheme="minorHAnsi" w:cstheme="minorHAnsi"/>
          <w:sz w:val="22"/>
          <w:szCs w:val="22"/>
        </w:rPr>
        <w:t xml:space="preserve">Direktivom (EU) 2019/904 Europskog parlamenta i Vijeća od 5. lipnja 2019. godine o smanjenju utjecaja određenih plastičnih proizvoda na okoliš promiču se kružni pristupi u kojima se prednost daje održivim i netoksičnim proizvodima koji se mogu ponovno upotrijebiti i sustavima za ponovnu uporabu nad proizvodima za jednokratnu uporabu, čime se prije svega želi smanjiti količina nastalog otpada. </w:t>
      </w:r>
      <w:r w:rsidRPr="004D5E2A">
        <w:rPr>
          <w:rStyle w:val="zadanifontodlomka-000008"/>
          <w:rFonts w:asciiTheme="minorHAnsi" w:hAnsiTheme="minorHAnsi" w:cstheme="minorHAnsi"/>
          <w:sz w:val="22"/>
          <w:szCs w:val="22"/>
        </w:rPr>
        <w:lastRenderedPageBreak/>
        <w:t xml:space="preserve">Takvo sprječavanje nastanka otpada je na vrhu reda prvenstva gospodarenja otpadom otpada utvrđene u Direktivi 2008/98/EZ i ključno je za ispunjavanje ciljeva ove Direktive, odnosno sprječavanje i smanjenje utjecaja određenih plastičnih proizvoda na okoliš, posebno vodeni okoliš, i na zdravlje ljudi te promicanje i prelazak na kružno gospodarstvo s inovativnim i održivim poslovnim modelima, proizvodima i materijalima. Proizvode od plastike potrebno je proizvoditi </w:t>
      </w:r>
      <w:r w:rsidRPr="004D5E2A">
        <w:rPr>
          <w:rStyle w:val="zadanifontodlomka-000023"/>
          <w:rFonts w:asciiTheme="minorHAnsi" w:hAnsiTheme="minorHAnsi" w:cstheme="minorHAnsi"/>
          <w:sz w:val="22"/>
          <w:szCs w:val="22"/>
        </w:rPr>
        <w:t xml:space="preserve">uzimajući u obzir cijeli njihov životni vijek dok je u dizajniranju plastičnih proizvoda potrebno uzeti u obzir fazu proizvodnje i uporabe te mogućnost ponovne uporabe i recikliranja proizvoda. Ova Direktiva donesena je u okviru </w:t>
      </w:r>
      <w:r w:rsidRPr="004D5E2A">
        <w:rPr>
          <w:rStyle w:val="zadanifontodlomka-000024"/>
          <w:rFonts w:asciiTheme="minorHAnsi" w:hAnsiTheme="minorHAnsi" w:cstheme="minorHAnsi"/>
          <w:sz w:val="22"/>
          <w:szCs w:val="22"/>
        </w:rPr>
        <w:t xml:space="preserve">Europske strategije za plastiku u kružnom gospodarstvu COM(2018) 28 </w:t>
      </w:r>
      <w:proofErr w:type="spellStart"/>
      <w:r w:rsidRPr="004D5E2A">
        <w:rPr>
          <w:rStyle w:val="zadanifontodlomka-000024"/>
          <w:rFonts w:asciiTheme="minorHAnsi" w:hAnsiTheme="minorHAnsi" w:cstheme="minorHAnsi"/>
          <w:sz w:val="22"/>
          <w:szCs w:val="22"/>
        </w:rPr>
        <w:t>final</w:t>
      </w:r>
      <w:proofErr w:type="spellEnd"/>
      <w:r w:rsidRPr="004D5E2A">
        <w:rPr>
          <w:rStyle w:val="zadanifontodlomka-000671"/>
          <w:rFonts w:asciiTheme="minorHAnsi" w:hAnsiTheme="minorHAnsi" w:cstheme="minorHAnsi"/>
          <w:sz w:val="22"/>
          <w:szCs w:val="22"/>
        </w:rPr>
        <w:t xml:space="preserve"> </w:t>
      </w:r>
      <w:r w:rsidRPr="004D5E2A">
        <w:rPr>
          <w:rStyle w:val="zadanifontodlomka-000023"/>
          <w:rFonts w:asciiTheme="minorHAnsi" w:hAnsiTheme="minorHAnsi" w:cstheme="minorHAnsi"/>
          <w:sz w:val="22"/>
          <w:szCs w:val="22"/>
        </w:rPr>
        <w:t>koju je Europska komisija donijela 16. siječnja 2018. godine, a koja predstavlja korak prema uspostavi kružnoga gospodarstva u kojem se dizajnom i proizvodnjom plastike i plastičnih proizvoda u potpunosti poštuju potrebe ponovne uporabe, popravka i recikliranja i u kojem se razvijaju i promiču održiviji materijali te kojom se između ostalog želi osigurati da se do 2030. godine sva plastična ambalaža stavljena na tržište EU može ponovno uporabiti ili lako reciklirati.</w:t>
      </w:r>
    </w:p>
    <w:p w14:paraId="4E5EFF5D" w14:textId="77777777" w:rsidR="00AE6341" w:rsidRPr="004D5E2A" w:rsidRDefault="00AE6341" w:rsidP="00AE6341">
      <w:pPr>
        <w:rPr>
          <w:rStyle w:val="zadanifontodlomka-000023"/>
          <w:rFonts w:asciiTheme="minorHAnsi" w:hAnsiTheme="minorHAnsi" w:cstheme="minorHAnsi"/>
          <w:sz w:val="22"/>
          <w:szCs w:val="22"/>
        </w:rPr>
      </w:pPr>
      <w:r w:rsidRPr="004D5E2A">
        <w:rPr>
          <w:rFonts w:cstheme="minorHAnsi"/>
        </w:rPr>
        <w:t xml:space="preserve"> </w:t>
      </w:r>
      <w:r w:rsidRPr="004D5E2A">
        <w:rPr>
          <w:rStyle w:val="zadanifontodlomka-000023"/>
          <w:rFonts w:asciiTheme="minorHAnsi" w:hAnsiTheme="minorHAnsi" w:cstheme="minorHAnsi"/>
          <w:sz w:val="22"/>
          <w:szCs w:val="22"/>
        </w:rPr>
        <w:t>U svrhu poticanja provedbe aktivnosti sprječavanja nastanka otpada, sve države članice EU, pa tako i RH dužne su izraditi Plan sprječavanja nastanka otpada sukladno Prilogu IV. (Primjeri mjera sprječavanja nastanka otpada) i Prilogu IV. a (Primjeri ekonomskih instrumenata i drugih mjera za pružanje poticaja za primjenu hijerarhije otpada) Direktive 2008/98/EZ, a koji su preneseni u nacionalno zakonodavstvo Zakonom o gospodarenju otpadom.</w:t>
      </w:r>
    </w:p>
    <w:p w14:paraId="2D777159" w14:textId="77777777" w:rsidR="00AE6341" w:rsidRDefault="00AE6341" w:rsidP="00AE6341">
      <w:pPr>
        <w:rPr>
          <w:rStyle w:val="zadanifontodlomka-000023"/>
          <w:rFonts w:cstheme="minorHAnsi"/>
        </w:rPr>
      </w:pPr>
    </w:p>
    <w:p w14:paraId="5A441FA6" w14:textId="3BB320A0" w:rsidR="00AE6341" w:rsidRDefault="00AE6341" w:rsidP="005E34EF">
      <w:pPr>
        <w:pStyle w:val="IRNaslov2"/>
        <w:ind w:left="0" w:firstLine="0"/>
        <w:rPr>
          <w:rFonts w:eastAsiaTheme="minorEastAsia"/>
          <w:sz w:val="30"/>
          <w:szCs w:val="30"/>
        </w:rPr>
      </w:pPr>
      <w:bookmarkStart w:id="363" w:name="_Toc121138183"/>
      <w:bookmarkStart w:id="364" w:name="_Toc123211707"/>
      <w:r>
        <w:t>15.</w:t>
      </w:r>
      <w:r w:rsidR="005F1B1C">
        <w:t>3</w:t>
      </w:r>
      <w:r>
        <w:t>. A</w:t>
      </w:r>
      <w:r w:rsidR="008B7ED2">
        <w:t>naliza stanja na području sprječavanja nastanka otpada</w:t>
      </w:r>
      <w:bookmarkEnd w:id="363"/>
      <w:bookmarkEnd w:id="364"/>
    </w:p>
    <w:p w14:paraId="027F059D" w14:textId="77777777" w:rsidR="00AE6341" w:rsidRDefault="00AE6341" w:rsidP="00AE6341">
      <w:pPr>
        <w:rPr>
          <w:rFonts w:cstheme="minorHAnsi"/>
        </w:rPr>
      </w:pPr>
      <w:r>
        <w:rPr>
          <w:rFonts w:cstheme="minorHAnsi"/>
        </w:rPr>
        <w:t xml:space="preserve">Sprječavanje nastanka otpada su mjere poduzete prije nego je tvar, materijal ili proizvod postao otpad, a kojima se smanjuju: količine otpada uključujući ponovnu uporabu proizvoda ili produženje životnog vijeka proizvoda; štetan učinak otpada na okoliš i zdravlje ljudi ili sadržaj opasnih tvari u materijalima i proizvodima. Čini najpoželjniju opciju u redu prvenstva u gospodarenju otpadom. </w:t>
      </w:r>
    </w:p>
    <w:p w14:paraId="5E07177F" w14:textId="77777777" w:rsidR="00AE6341" w:rsidRDefault="00AE6341" w:rsidP="00AE6341">
      <w:pPr>
        <w:rPr>
          <w:rFonts w:cstheme="minorHAnsi"/>
        </w:rPr>
      </w:pPr>
      <w:r>
        <w:rPr>
          <w:rFonts w:cstheme="minorHAnsi"/>
        </w:rPr>
        <w:t>Iako se posljednjih godina u RH evidentira pozitivan pomak u redu prvenstva u gospodarenju otpadom kroz porast stope recikliranja i smanjivanje stope odlaganja otpada, još uvijek je prisutan rastući trend ukupno nastalih količina otpada. Također se ne evidentira ni pad u količinama proizvedenog komunalnog otpada zbog visokog udjela u ukupnim količinama otpada (približno 30 %), njegova složenog sastava, ali i potencijala za smanjenje i/ili sprječavanje njegova nastanka.</w:t>
      </w:r>
    </w:p>
    <w:p w14:paraId="511D5D92" w14:textId="5F42787E" w:rsidR="00AE6341" w:rsidRDefault="00AE6341" w:rsidP="00AE6341">
      <w:pPr>
        <w:rPr>
          <w:rFonts w:cstheme="minorHAnsi"/>
        </w:rPr>
      </w:pPr>
      <w:r>
        <w:rPr>
          <w:rFonts w:cstheme="minorHAnsi"/>
        </w:rPr>
        <w:t>Kao i na EU razini, ti su trendovi uglavnom potaknuti gospodarskim rastom, međutim, količine otpada rastu u manjoj mjeri od rasta gospodarskih pokazatelja, što ukazuje na relativno razdvajanje nastanka otpada od gospodarskog rasta. Tako se za razdoblje od 2017. do 2021. godine, kada je prosječna mjesečna isplaćena neto plaća u RH porasla za ukupno 17 %, a količina nastalog komunalnog otpada za 3 %, može govoriti o blagom razdvajanju veze između stvaranja komunalnog otpada i gospodarskog razvoja (</w:t>
      </w:r>
      <w:r>
        <w:rPr>
          <w:rFonts w:cstheme="minorHAnsi"/>
        </w:rPr>
        <w:fldChar w:fldCharType="begin"/>
      </w:r>
      <w:r>
        <w:rPr>
          <w:rFonts w:cstheme="minorHAnsi"/>
        </w:rPr>
        <w:instrText xml:space="preserve"> REF _Ref114649279 \h  \* MERGEFORMAT </w:instrText>
      </w:r>
      <w:r>
        <w:rPr>
          <w:rFonts w:cstheme="minorHAnsi"/>
        </w:rPr>
      </w:r>
      <w:r>
        <w:rPr>
          <w:rFonts w:cstheme="minorHAnsi"/>
        </w:rPr>
        <w:fldChar w:fldCharType="separate"/>
      </w:r>
      <w:r w:rsidR="00F37B62" w:rsidRPr="00F37B62">
        <w:rPr>
          <w:rFonts w:cstheme="minorHAnsi"/>
        </w:rPr>
        <w:t xml:space="preserve">Slika </w:t>
      </w:r>
      <w:r w:rsidR="00F37B62" w:rsidRPr="006F70C8">
        <w:rPr>
          <w:rFonts w:cstheme="minorHAnsi"/>
          <w:noProof/>
        </w:rPr>
        <w:t>69</w:t>
      </w:r>
      <w:r>
        <w:rPr>
          <w:rFonts w:cstheme="minorHAnsi"/>
        </w:rPr>
        <w:fldChar w:fldCharType="end"/>
      </w:r>
      <w:r>
        <w:rPr>
          <w:rFonts w:cstheme="minorHAnsi"/>
        </w:rPr>
        <w:t>).</w:t>
      </w:r>
    </w:p>
    <w:p w14:paraId="1415703D" w14:textId="77777777" w:rsidR="00932F27" w:rsidRDefault="00932F27" w:rsidP="00AE6341">
      <w:pPr>
        <w:rPr>
          <w:rFonts w:cstheme="minorHAnsi"/>
        </w:rPr>
      </w:pPr>
    </w:p>
    <w:p w14:paraId="616C65E6" w14:textId="77777777" w:rsidR="00AE6341" w:rsidRDefault="00AE6341" w:rsidP="00AE6341">
      <w:pPr>
        <w:spacing w:after="0" w:line="276" w:lineRule="auto"/>
        <w:rPr>
          <w:rFonts w:eastAsia="Calibri" w:cstheme="minorHAnsi"/>
          <w:i/>
          <w:iCs/>
          <w:sz w:val="20"/>
          <w:szCs w:val="20"/>
        </w:rPr>
      </w:pPr>
      <w:r>
        <w:rPr>
          <w:rFonts w:eastAsia="Calibri" w:cstheme="minorHAnsi"/>
          <w:i/>
          <w:iCs/>
          <w:sz w:val="20"/>
          <w:szCs w:val="20"/>
        </w:rPr>
        <w:t>Izvor: MINGOR</w:t>
      </w:r>
    </w:p>
    <w:p w14:paraId="168E0133" w14:textId="608F6672" w:rsidR="00AE6341" w:rsidRDefault="00AE6341" w:rsidP="00AE6341">
      <w:pPr>
        <w:pStyle w:val="Slika"/>
      </w:pPr>
      <w:bookmarkStart w:id="365" w:name="_Ref114649279"/>
      <w:bookmarkStart w:id="366" w:name="_Toc125363977"/>
      <w:r>
        <w:t xml:space="preserve">Slika </w:t>
      </w:r>
      <w:fldSimple w:instr=" SEQ Slika \* ARABIC ">
        <w:r w:rsidR="00F37B62">
          <w:rPr>
            <w:noProof/>
          </w:rPr>
          <w:t>69</w:t>
        </w:r>
      </w:fldSimple>
      <w:bookmarkEnd w:id="365"/>
      <w:r>
        <w:t xml:space="preserve">. </w:t>
      </w:r>
      <w:r>
        <w:rPr>
          <w:b w:val="0"/>
          <w:bCs/>
        </w:rPr>
        <w:t>Razdvajanje veze između stvaranja komunalnog otpada i gospodarskog razvoja</w:t>
      </w:r>
      <w:bookmarkEnd w:id="366"/>
    </w:p>
    <w:p w14:paraId="60D0B06E" w14:textId="42761D14" w:rsidR="00AE6341" w:rsidRDefault="00AE6341" w:rsidP="005E34EF">
      <w:pPr>
        <w:pStyle w:val="IRNaslov2"/>
        <w:keepNext w:val="0"/>
        <w:ind w:left="0" w:firstLine="0"/>
        <w:rPr>
          <w:rFonts w:cstheme="minorHAnsi"/>
        </w:rPr>
      </w:pPr>
      <w:bookmarkStart w:id="367" w:name="_Toc121138184"/>
      <w:bookmarkStart w:id="368" w:name="_Toc123211708"/>
      <w:r>
        <w:rPr>
          <w:rFonts w:cstheme="minorHAnsi"/>
        </w:rPr>
        <w:t>15.</w:t>
      </w:r>
      <w:r w:rsidR="005F1B1C">
        <w:rPr>
          <w:rFonts w:cstheme="minorHAnsi"/>
        </w:rPr>
        <w:t>4</w:t>
      </w:r>
      <w:r>
        <w:rPr>
          <w:rFonts w:cstheme="minorHAnsi"/>
        </w:rPr>
        <w:t>. Postojeće mjere i njihov doprinos sprječavanju nastanka otpada</w:t>
      </w:r>
      <w:bookmarkEnd w:id="367"/>
      <w:bookmarkEnd w:id="368"/>
    </w:p>
    <w:p w14:paraId="410D60ED" w14:textId="77777777" w:rsidR="00AE6341" w:rsidRDefault="00AE6341" w:rsidP="00AE6341">
      <w:pPr>
        <w:rPr>
          <w:rFonts w:cstheme="minorHAnsi"/>
        </w:rPr>
      </w:pPr>
      <w:r>
        <w:rPr>
          <w:rFonts w:cstheme="minorHAnsi"/>
        </w:rPr>
        <w:lastRenderedPageBreak/>
        <w:t>Postojeće mjere i aktivnosti sprječavanja nastanka otpada usmjerene su na sprječavanje nastanka slijedećih kategorija otpada: komunalnog otpada, biootpada, električnog i elektroničkog otpada, otpadnog papira i kartona, građevnog otpada. Pri tome mjere i aktivnosti usmjere su na sve faze životnog ciklusa proizvoda; od dizajna, proizvodnje i distribucije do potrošnje i uporabe, uključujući i okvirne uvjete koji se odnose na proizvodnju otpada.</w:t>
      </w:r>
    </w:p>
    <w:p w14:paraId="394C2C54" w14:textId="6611AE45" w:rsidR="00AE6341" w:rsidRDefault="00AE6341" w:rsidP="00D058ED">
      <w:pPr>
        <w:pStyle w:val="IRNaslov3"/>
      </w:pPr>
      <w:bookmarkStart w:id="369" w:name="_Toc121138185"/>
      <w:bookmarkStart w:id="370" w:name="_Toc123211709"/>
      <w:r>
        <w:t>15.</w:t>
      </w:r>
      <w:r w:rsidR="005F1B1C">
        <w:t>4</w:t>
      </w:r>
      <w:r>
        <w:t xml:space="preserve">.1. Provedba mjera planiranja i drugih ekonomskih instrumenata kojima se promiče učinkovita </w:t>
      </w:r>
      <w:r w:rsidRPr="00D058ED">
        <w:t>uporaba</w:t>
      </w:r>
      <w:r>
        <w:t xml:space="preserve"> resursa i odgovornije ponašanje potrošača prema okolišu</w:t>
      </w:r>
      <w:bookmarkEnd w:id="369"/>
      <w:bookmarkEnd w:id="370"/>
    </w:p>
    <w:p w14:paraId="3A4D7040" w14:textId="77777777" w:rsidR="00AE6341" w:rsidRDefault="00AE6341" w:rsidP="00AE6341">
      <w:pPr>
        <w:rPr>
          <w:rFonts w:cstheme="minorHAnsi"/>
        </w:rPr>
      </w:pPr>
      <w:r>
        <w:rPr>
          <w:rFonts w:cstheme="minorHAnsi"/>
        </w:rPr>
        <w:t xml:space="preserve">Vlada RH je u lipnju 2019. godine donijela </w:t>
      </w:r>
      <w:r>
        <w:rPr>
          <w:rFonts w:cstheme="minorHAnsi"/>
          <w:b/>
          <w:bCs/>
        </w:rPr>
        <w:t>Plan sprječavanja i smanjenja nastajanja otpada od hrane Republike Hrvatske 2019. – 2022. godine</w:t>
      </w:r>
      <w:r>
        <w:rPr>
          <w:rFonts w:cstheme="minorHAnsi"/>
        </w:rPr>
        <w:t xml:space="preserve">, koji je ujedno i prvi takav cjeloviti dokument u RH, s ključnim mjerama i pripadajućim aktivnostima kojima se djeluje na sprječavanje nastajanja otpada od hrane duž cijelog prehrambenog lanca, a u skladu s ispunjenjem cilja 12.3 Agende 2030.. Plan prati i detaljni </w:t>
      </w:r>
      <w:r>
        <w:rPr>
          <w:rFonts w:cstheme="minorHAnsi"/>
          <w:b/>
          <w:bCs/>
        </w:rPr>
        <w:t>Program za provedbu Plana za sprječavanje i smanjenje nastajanja otpada od hrane.</w:t>
      </w:r>
    </w:p>
    <w:p w14:paraId="47D82A01" w14:textId="77777777" w:rsidR="00AE6341" w:rsidRDefault="00AE6341" w:rsidP="00AE6341">
      <w:pPr>
        <w:rPr>
          <w:rFonts w:eastAsia="Times New Roman" w:cstheme="minorHAnsi"/>
        </w:rPr>
      </w:pPr>
      <w:r>
        <w:rPr>
          <w:rFonts w:eastAsia="Times New Roman" w:cstheme="minorHAnsi"/>
        </w:rPr>
        <w:t xml:space="preserve">U RH je </w:t>
      </w:r>
      <w:r>
        <w:rPr>
          <w:rFonts w:eastAsia="Times New Roman" w:cstheme="minorHAnsi"/>
          <w:bCs/>
        </w:rPr>
        <w:t>Pravilnikom o ambalaži i otpadnoj ambalaži (NN, br. 88/15, 78/16,116/17, 14/20 i 144/20)</w:t>
      </w:r>
      <w:r>
        <w:rPr>
          <w:rFonts w:eastAsia="Times New Roman" w:cstheme="minorHAnsi"/>
        </w:rPr>
        <w:t xml:space="preserve"> propisana obveza prodavateljima da od siječnja 2019. godine naplaćuju potrošačima lagane </w:t>
      </w:r>
      <w:r>
        <w:rPr>
          <w:rFonts w:eastAsia="Times New Roman" w:cstheme="minorHAnsi"/>
          <w:b/>
          <w:bCs/>
        </w:rPr>
        <w:t>plastične vrećice za nošenje</w:t>
      </w:r>
      <w:r>
        <w:rPr>
          <w:rFonts w:eastAsia="Times New Roman" w:cstheme="minorHAnsi"/>
        </w:rPr>
        <w:t xml:space="preserve"> (</w:t>
      </w:r>
      <w:r>
        <w:rPr>
          <w:rFonts w:eastAsia="Times New Roman" w:cstheme="minorHAnsi"/>
          <w:lang w:eastAsia="hr-HR"/>
        </w:rPr>
        <w:t>debljina stjenke manja od 50 mikrona)</w:t>
      </w:r>
      <w:r>
        <w:rPr>
          <w:rFonts w:eastAsia="Times New Roman" w:cstheme="minorHAnsi"/>
        </w:rPr>
        <w:t>. Iznimka su vrlo lagane plastične vrećice za nošenje (</w:t>
      </w:r>
      <w:r>
        <w:rPr>
          <w:rFonts w:eastAsia="Times New Roman" w:cstheme="minorHAnsi"/>
          <w:lang w:eastAsia="hr-HR"/>
        </w:rPr>
        <w:t xml:space="preserve">debljina stjenke manja od 15 mikrona), koje se upotrebljavaju zbog higijenskih razloga ili služe kao primarna ambalaža za rasutu hranu kada to pomaže spriječiti bacanje hrane, a </w:t>
      </w:r>
      <w:r>
        <w:rPr>
          <w:rFonts w:eastAsia="Times New Roman" w:cstheme="minorHAnsi"/>
        </w:rPr>
        <w:t>za koje se na mjestu gdje su dostupne bez naknade obvezno ističe vidljiva obavijest „</w:t>
      </w:r>
      <w:r>
        <w:rPr>
          <w:rFonts w:eastAsia="Times New Roman" w:cstheme="minorHAnsi"/>
          <w:smallCaps/>
        </w:rPr>
        <w:t>VREĆICE KORISTITE ŠTEDLJIVO“</w:t>
      </w:r>
      <w:r>
        <w:rPr>
          <w:rFonts w:eastAsia="Times New Roman" w:cstheme="minorHAnsi"/>
        </w:rPr>
        <w:t>.</w:t>
      </w:r>
    </w:p>
    <w:p w14:paraId="4AD051A3" w14:textId="458C6EDE" w:rsidR="00AE6341" w:rsidRDefault="00AE6341" w:rsidP="00AE6341">
      <w:pPr>
        <w:rPr>
          <w:rFonts w:eastAsia="Times New Roman" w:cstheme="minorHAnsi"/>
        </w:rPr>
      </w:pPr>
      <w:r>
        <w:rPr>
          <w:rFonts w:eastAsia="Times New Roman" w:cstheme="minorHAnsi"/>
        </w:rPr>
        <w:t>Potrošnja laganih plastičnih vrećica (uključujući i vrlo lagane) iznosila je u 2019. godini 138, a u 2020. godini 90 komada po stanovniku što znači pad potrošnje od 35 %. Za vrlo lagane plastične vrećice potrošnja je pala za 36 %, a za lagane plastične vrećice 30 % (</w:t>
      </w:r>
      <w:r>
        <w:rPr>
          <w:rFonts w:eastAsia="Times New Roman" w:cstheme="minorHAnsi"/>
        </w:rPr>
        <w:fldChar w:fldCharType="begin"/>
      </w:r>
      <w:r>
        <w:rPr>
          <w:rFonts w:eastAsia="Times New Roman" w:cstheme="minorHAnsi"/>
        </w:rPr>
        <w:instrText xml:space="preserve"> REF _Ref114650953 \h  \* MERGEFORMAT </w:instrText>
      </w:r>
      <w:r>
        <w:rPr>
          <w:rFonts w:eastAsia="Times New Roman" w:cstheme="minorHAnsi"/>
        </w:rPr>
      </w:r>
      <w:r>
        <w:rPr>
          <w:rFonts w:eastAsia="Times New Roman" w:cstheme="minorHAnsi"/>
        </w:rPr>
        <w:fldChar w:fldCharType="separate"/>
      </w:r>
      <w:r w:rsidR="00F37B62" w:rsidRPr="00F37B62">
        <w:rPr>
          <w:rFonts w:cstheme="minorHAnsi"/>
        </w:rPr>
        <w:t xml:space="preserve">Tablica </w:t>
      </w:r>
      <w:r w:rsidR="00F37B62" w:rsidRPr="006F70C8">
        <w:rPr>
          <w:rFonts w:cstheme="minorHAnsi"/>
          <w:noProof/>
        </w:rPr>
        <w:t>71</w:t>
      </w:r>
      <w:r>
        <w:rPr>
          <w:rFonts w:eastAsia="Times New Roman" w:cstheme="minorHAnsi"/>
        </w:rPr>
        <w:fldChar w:fldCharType="end"/>
      </w:r>
      <w:r>
        <w:rPr>
          <w:rFonts w:eastAsia="Times New Roman" w:cstheme="minorHAnsi"/>
        </w:rPr>
        <w:t xml:space="preserve">). </w:t>
      </w:r>
    </w:p>
    <w:p w14:paraId="34D8BBEC" w14:textId="76B233C5" w:rsidR="00AE6341" w:rsidRPr="00BB2706" w:rsidRDefault="00AE6341" w:rsidP="00BB2706">
      <w:pPr>
        <w:pStyle w:val="Tablica"/>
        <w:rPr>
          <w:b w:val="0"/>
        </w:rPr>
      </w:pPr>
      <w:bookmarkStart w:id="371" w:name="_Ref114650953"/>
      <w:bookmarkStart w:id="372" w:name="_Ref114652670"/>
      <w:bookmarkStart w:id="373" w:name="_Toc125364460"/>
      <w:r w:rsidRPr="00BB2706">
        <w:t xml:space="preserve">Tablica </w:t>
      </w:r>
      <w:fldSimple w:instr=" SEQ Tablica \* ARABIC ">
        <w:r w:rsidR="00F37B62">
          <w:rPr>
            <w:noProof/>
          </w:rPr>
          <w:t>71</w:t>
        </w:r>
      </w:fldSimple>
      <w:bookmarkEnd w:id="371"/>
      <w:r w:rsidRPr="00BB2706">
        <w:t xml:space="preserve">. </w:t>
      </w:r>
      <w:r w:rsidRPr="00BB2706">
        <w:rPr>
          <w:b w:val="0"/>
        </w:rPr>
        <w:t>Potrošnja plastičnih vrećica u RH</w:t>
      </w:r>
      <w:bookmarkEnd w:id="372"/>
      <w:bookmarkEnd w:id="373"/>
    </w:p>
    <w:tbl>
      <w:tblPr>
        <w:tblStyle w:val="TABLICAHAOP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851"/>
        <w:gridCol w:w="850"/>
        <w:gridCol w:w="866"/>
        <w:gridCol w:w="976"/>
      </w:tblGrid>
      <w:tr w:rsidR="00AE6341" w14:paraId="066F059E" w14:textId="77777777" w:rsidTr="00AE6341">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524" w:type="dxa"/>
            <w:vMerge w:val="restart"/>
            <w:tcBorders>
              <w:top w:val="single" w:sz="4" w:space="0" w:color="auto"/>
              <w:left w:val="single" w:sz="4" w:space="0" w:color="auto"/>
              <w:bottom w:val="single" w:sz="4" w:space="0" w:color="auto"/>
              <w:right w:val="single" w:sz="4" w:space="0" w:color="auto"/>
            </w:tcBorders>
            <w:shd w:val="clear" w:color="auto" w:fill="002060"/>
            <w:noWrap/>
            <w:hideMark/>
          </w:tcPr>
          <w:p w14:paraId="79AE212D" w14:textId="77777777" w:rsidR="00AE6341" w:rsidRDefault="00AE6341">
            <w:pPr>
              <w:rPr>
                <w:rFonts w:asciiTheme="minorHAnsi" w:hAnsiTheme="minorHAnsi" w:cstheme="minorHAnsi"/>
                <w:b/>
                <w:bCs/>
                <w:szCs w:val="18"/>
                <w:lang w:eastAsia="hr-HR"/>
              </w:rPr>
            </w:pPr>
            <w:r>
              <w:rPr>
                <w:rFonts w:asciiTheme="minorHAnsi" w:hAnsiTheme="minorHAnsi" w:cstheme="minorHAnsi"/>
                <w:b/>
                <w:bCs/>
                <w:szCs w:val="18"/>
                <w:lang w:eastAsia="hr-HR"/>
              </w:rPr>
              <w:t>Vrste plastičnih vrećica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002060"/>
            <w:noWrap/>
            <w:hideMark/>
          </w:tcPr>
          <w:p w14:paraId="283BB063" w14:textId="77777777" w:rsidR="00AE6341" w:rsidRDefault="00AE634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Cs w:val="18"/>
                <w:lang w:eastAsia="hr-HR"/>
              </w:rPr>
            </w:pPr>
            <w:r>
              <w:rPr>
                <w:rFonts w:asciiTheme="minorHAnsi" w:hAnsiTheme="minorHAnsi" w:cstheme="minorHAnsi"/>
                <w:b/>
                <w:bCs/>
                <w:szCs w:val="18"/>
                <w:lang w:eastAsia="hr-HR"/>
              </w:rPr>
              <w:t>(tona)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002060"/>
            <w:noWrap/>
            <w:hideMark/>
          </w:tcPr>
          <w:p w14:paraId="14EA9551" w14:textId="77777777" w:rsidR="00AE6341" w:rsidRDefault="00AE634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Cs w:val="18"/>
                <w:lang w:eastAsia="hr-HR"/>
              </w:rPr>
            </w:pPr>
            <w:r>
              <w:rPr>
                <w:rFonts w:asciiTheme="minorHAnsi" w:hAnsiTheme="minorHAnsi" w:cstheme="minorHAnsi"/>
                <w:b/>
                <w:bCs/>
                <w:szCs w:val="18"/>
                <w:lang w:eastAsia="hr-HR"/>
              </w:rPr>
              <w:t>(1.000 komada)</w:t>
            </w:r>
          </w:p>
        </w:tc>
      </w:tr>
      <w:tr w:rsidR="00AE6341" w14:paraId="50ED4A12" w14:textId="77777777" w:rsidTr="00AE634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6C3732EC" w14:textId="77777777" w:rsidR="00AE6341" w:rsidRDefault="00AE6341">
            <w:pPr>
              <w:jc w:val="left"/>
              <w:rPr>
                <w:rFonts w:asciiTheme="minorHAnsi" w:hAnsiTheme="minorHAnsi" w:cstheme="minorHAnsi"/>
                <w:b/>
                <w:bCs/>
                <w:szCs w:val="18"/>
                <w:lang w:eastAsia="hr-HR"/>
              </w:rPr>
            </w:pPr>
          </w:p>
        </w:tc>
        <w:tc>
          <w:tcPr>
            <w:tcW w:w="851"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CA96E3D" w14:textId="77777777" w:rsidR="00AE6341" w:rsidRDefault="00AE63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Cs w:val="18"/>
                <w:lang w:eastAsia="hr-HR"/>
              </w:rPr>
            </w:pPr>
            <w:r>
              <w:rPr>
                <w:rFonts w:asciiTheme="minorHAnsi" w:hAnsiTheme="minorHAnsi" w:cstheme="minorHAnsi"/>
                <w:b/>
                <w:bCs/>
                <w:szCs w:val="18"/>
                <w:lang w:eastAsia="hr-HR"/>
              </w:rPr>
              <w:t>2019.</w:t>
            </w:r>
          </w:p>
        </w:tc>
        <w:tc>
          <w:tcPr>
            <w:tcW w:w="850"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AF6E038" w14:textId="77777777" w:rsidR="00AE6341" w:rsidRDefault="00AE63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Cs w:val="18"/>
                <w:lang w:eastAsia="hr-HR"/>
              </w:rPr>
            </w:pPr>
            <w:r>
              <w:rPr>
                <w:rFonts w:asciiTheme="minorHAnsi" w:hAnsiTheme="minorHAnsi" w:cstheme="minorHAnsi"/>
                <w:b/>
                <w:bCs/>
                <w:szCs w:val="18"/>
                <w:lang w:eastAsia="hr-HR"/>
              </w:rPr>
              <w:t>2020.</w:t>
            </w:r>
          </w:p>
        </w:tc>
        <w:tc>
          <w:tcPr>
            <w:tcW w:w="86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C0497D0" w14:textId="77777777" w:rsidR="00AE6341" w:rsidRDefault="00AE63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Cs w:val="18"/>
                <w:lang w:eastAsia="hr-HR"/>
              </w:rPr>
            </w:pPr>
            <w:r>
              <w:rPr>
                <w:rFonts w:asciiTheme="minorHAnsi" w:hAnsiTheme="minorHAnsi" w:cstheme="minorHAnsi"/>
                <w:b/>
                <w:bCs/>
                <w:szCs w:val="18"/>
                <w:lang w:eastAsia="hr-HR"/>
              </w:rPr>
              <w:t>2019.</w:t>
            </w:r>
          </w:p>
        </w:tc>
        <w:tc>
          <w:tcPr>
            <w:tcW w:w="97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740EDBD" w14:textId="77777777" w:rsidR="00AE6341" w:rsidRDefault="00AE63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Cs w:val="18"/>
                <w:lang w:eastAsia="hr-HR"/>
              </w:rPr>
            </w:pPr>
            <w:r>
              <w:rPr>
                <w:rFonts w:asciiTheme="minorHAnsi" w:hAnsiTheme="minorHAnsi" w:cstheme="minorHAnsi"/>
                <w:b/>
                <w:bCs/>
                <w:szCs w:val="18"/>
                <w:lang w:eastAsia="hr-HR"/>
              </w:rPr>
              <w:t>2020.</w:t>
            </w:r>
          </w:p>
        </w:tc>
      </w:tr>
      <w:tr w:rsidR="00AE6341" w14:paraId="4AE89B2B" w14:textId="77777777" w:rsidTr="00AE6341">
        <w:trPr>
          <w:trHeight w:val="285"/>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vAlign w:val="center"/>
            <w:hideMark/>
          </w:tcPr>
          <w:p w14:paraId="3A3F6949" w14:textId="77777777" w:rsidR="00AE6341" w:rsidRDefault="00AE6341">
            <w:pPr>
              <w:rPr>
                <w:rFonts w:asciiTheme="minorHAnsi" w:hAnsiTheme="minorHAnsi" w:cstheme="minorHAnsi"/>
                <w:bCs/>
                <w:szCs w:val="18"/>
                <w:lang w:eastAsia="hr-HR"/>
              </w:rPr>
            </w:pPr>
            <w:r>
              <w:rPr>
                <w:rFonts w:asciiTheme="minorHAnsi" w:hAnsiTheme="minorHAnsi" w:cstheme="minorHAnsi"/>
                <w:bCs/>
                <w:szCs w:val="18"/>
                <w:lang w:eastAsia="hr-HR"/>
              </w:rPr>
              <w:t>a) vrlo lagane pl. vrećice za nošenje, stjenka &lt; 15 µm</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B6D9B5" w14:textId="77777777" w:rsidR="00AE6341" w:rsidRDefault="00AE63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1.420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CAB378" w14:textId="77777777" w:rsidR="00AE6341" w:rsidRDefault="00AE63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906</w:t>
            </w:r>
          </w:p>
        </w:tc>
        <w:tc>
          <w:tcPr>
            <w:tcW w:w="866" w:type="dxa"/>
            <w:tcBorders>
              <w:top w:val="single" w:sz="4" w:space="0" w:color="auto"/>
              <w:left w:val="single" w:sz="4" w:space="0" w:color="auto"/>
              <w:bottom w:val="single" w:sz="4" w:space="0" w:color="auto"/>
              <w:right w:val="single" w:sz="4" w:space="0" w:color="auto"/>
            </w:tcBorders>
            <w:vAlign w:val="center"/>
            <w:hideMark/>
          </w:tcPr>
          <w:p w14:paraId="2D53DDB5" w14:textId="77777777" w:rsidR="00AE6341" w:rsidRDefault="00AE63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450.980</w:t>
            </w:r>
          </w:p>
        </w:tc>
        <w:tc>
          <w:tcPr>
            <w:tcW w:w="976" w:type="dxa"/>
            <w:tcBorders>
              <w:top w:val="single" w:sz="4" w:space="0" w:color="auto"/>
              <w:left w:val="single" w:sz="4" w:space="0" w:color="auto"/>
              <w:bottom w:val="single" w:sz="4" w:space="0" w:color="auto"/>
              <w:right w:val="single" w:sz="4" w:space="0" w:color="auto"/>
            </w:tcBorders>
            <w:vAlign w:val="center"/>
            <w:hideMark/>
          </w:tcPr>
          <w:p w14:paraId="056D3DCD" w14:textId="77777777" w:rsidR="00AE6341" w:rsidRDefault="00AE63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287.738</w:t>
            </w:r>
          </w:p>
        </w:tc>
      </w:tr>
      <w:tr w:rsidR="00AE6341" w14:paraId="51CEBAB0" w14:textId="77777777" w:rsidTr="00AE634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vAlign w:val="center"/>
            <w:hideMark/>
          </w:tcPr>
          <w:p w14:paraId="58959537" w14:textId="77777777" w:rsidR="00AE6341" w:rsidRDefault="00AE6341">
            <w:pPr>
              <w:rPr>
                <w:rFonts w:asciiTheme="minorHAnsi" w:hAnsiTheme="minorHAnsi" w:cstheme="minorHAnsi"/>
                <w:bCs/>
                <w:szCs w:val="18"/>
                <w:lang w:eastAsia="hr-HR"/>
              </w:rPr>
            </w:pPr>
            <w:r>
              <w:rPr>
                <w:rFonts w:asciiTheme="minorHAnsi" w:hAnsiTheme="minorHAnsi" w:cstheme="minorHAnsi"/>
                <w:bCs/>
                <w:szCs w:val="18"/>
                <w:lang w:eastAsia="hr-HR"/>
              </w:rPr>
              <w:t>b) lagane pl. vrećice za nošenje, stjenka ≥ 15 &lt; 50 µm</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8A3B97" w14:textId="77777777" w:rsidR="00AE6341" w:rsidRDefault="00AE63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1.658</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1CFD2D" w14:textId="77777777" w:rsidR="00AE6341" w:rsidRDefault="00AE63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1.163</w:t>
            </w:r>
          </w:p>
        </w:tc>
        <w:tc>
          <w:tcPr>
            <w:tcW w:w="866" w:type="dxa"/>
            <w:tcBorders>
              <w:top w:val="single" w:sz="4" w:space="0" w:color="auto"/>
              <w:left w:val="single" w:sz="4" w:space="0" w:color="auto"/>
              <w:bottom w:val="single" w:sz="4" w:space="0" w:color="auto"/>
              <w:right w:val="single" w:sz="4" w:space="0" w:color="auto"/>
            </w:tcBorders>
            <w:vAlign w:val="center"/>
            <w:hideMark/>
          </w:tcPr>
          <w:p w14:paraId="622981C9" w14:textId="77777777" w:rsidR="00AE6341" w:rsidRDefault="00AE63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110.330</w:t>
            </w:r>
          </w:p>
        </w:tc>
        <w:tc>
          <w:tcPr>
            <w:tcW w:w="976" w:type="dxa"/>
            <w:tcBorders>
              <w:top w:val="single" w:sz="4" w:space="0" w:color="auto"/>
              <w:left w:val="single" w:sz="4" w:space="0" w:color="auto"/>
              <w:bottom w:val="single" w:sz="4" w:space="0" w:color="auto"/>
              <w:right w:val="single" w:sz="4" w:space="0" w:color="auto"/>
            </w:tcBorders>
            <w:vAlign w:val="center"/>
            <w:hideMark/>
          </w:tcPr>
          <w:p w14:paraId="6D64DF13" w14:textId="77777777" w:rsidR="00AE6341" w:rsidRDefault="00AE63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77.402</w:t>
            </w:r>
          </w:p>
        </w:tc>
      </w:tr>
      <w:tr w:rsidR="00AE6341" w14:paraId="3293F156" w14:textId="77777777" w:rsidTr="00AE6341">
        <w:trPr>
          <w:trHeight w:val="285"/>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vAlign w:val="center"/>
            <w:hideMark/>
          </w:tcPr>
          <w:p w14:paraId="02DCC33D" w14:textId="77777777" w:rsidR="00AE6341" w:rsidRDefault="00AE6341">
            <w:pPr>
              <w:rPr>
                <w:rFonts w:asciiTheme="minorHAnsi" w:hAnsiTheme="minorHAnsi" w:cstheme="minorHAnsi"/>
                <w:bCs/>
                <w:szCs w:val="18"/>
                <w:lang w:eastAsia="hr-HR"/>
              </w:rPr>
            </w:pPr>
            <w:r>
              <w:rPr>
                <w:rFonts w:asciiTheme="minorHAnsi" w:hAnsiTheme="minorHAnsi" w:cstheme="minorHAnsi"/>
                <w:bCs/>
                <w:szCs w:val="18"/>
                <w:lang w:eastAsia="hr-HR"/>
              </w:rPr>
              <w:t>sve (</w:t>
            </w:r>
            <w:proofErr w:type="spellStart"/>
            <w:r>
              <w:rPr>
                <w:rFonts w:asciiTheme="minorHAnsi" w:hAnsiTheme="minorHAnsi" w:cstheme="minorHAnsi"/>
                <w:bCs/>
                <w:szCs w:val="18"/>
                <w:lang w:eastAsia="hr-HR"/>
              </w:rPr>
              <w:t>a+b</w:t>
            </w:r>
            <w:proofErr w:type="spellEnd"/>
            <w:r>
              <w:rPr>
                <w:rFonts w:asciiTheme="minorHAnsi" w:hAnsiTheme="minorHAnsi" w:cstheme="minorHAnsi"/>
                <w:bCs/>
                <w:szCs w:val="18"/>
                <w:lang w:eastAsia="hr-HR"/>
              </w:rPr>
              <w:t xml:space="preserve">) lagane pl. vrećice, stjenka &lt; 50 µm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3AB1B5" w14:textId="77777777" w:rsidR="00AE6341" w:rsidRDefault="00AE63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3.078</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C04F96" w14:textId="77777777" w:rsidR="00AE6341" w:rsidRDefault="00AE63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2.069</w:t>
            </w:r>
          </w:p>
        </w:tc>
        <w:tc>
          <w:tcPr>
            <w:tcW w:w="866" w:type="dxa"/>
            <w:tcBorders>
              <w:top w:val="single" w:sz="4" w:space="0" w:color="auto"/>
              <w:left w:val="single" w:sz="4" w:space="0" w:color="auto"/>
              <w:bottom w:val="single" w:sz="4" w:space="0" w:color="auto"/>
              <w:right w:val="single" w:sz="4" w:space="0" w:color="auto"/>
            </w:tcBorders>
            <w:vAlign w:val="center"/>
            <w:hideMark/>
          </w:tcPr>
          <w:p w14:paraId="34BA0E60" w14:textId="77777777" w:rsidR="00AE6341" w:rsidRDefault="00AE63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561.310</w:t>
            </w:r>
          </w:p>
        </w:tc>
        <w:tc>
          <w:tcPr>
            <w:tcW w:w="976" w:type="dxa"/>
            <w:tcBorders>
              <w:top w:val="single" w:sz="4" w:space="0" w:color="auto"/>
              <w:left w:val="single" w:sz="4" w:space="0" w:color="auto"/>
              <w:bottom w:val="single" w:sz="4" w:space="0" w:color="auto"/>
              <w:right w:val="single" w:sz="4" w:space="0" w:color="auto"/>
            </w:tcBorders>
            <w:vAlign w:val="center"/>
            <w:hideMark/>
          </w:tcPr>
          <w:p w14:paraId="60C64D64" w14:textId="77777777" w:rsidR="00AE6341" w:rsidRDefault="00AE63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365.140</w:t>
            </w:r>
          </w:p>
        </w:tc>
      </w:tr>
      <w:tr w:rsidR="00AE6341" w14:paraId="5BE9762A" w14:textId="77777777" w:rsidTr="00AE634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vAlign w:val="center"/>
            <w:hideMark/>
          </w:tcPr>
          <w:p w14:paraId="709E3B51" w14:textId="77777777" w:rsidR="00AE6341" w:rsidRDefault="00AE6341">
            <w:pPr>
              <w:rPr>
                <w:rFonts w:asciiTheme="minorHAnsi" w:hAnsiTheme="minorHAnsi" w:cstheme="minorHAnsi"/>
                <w:bCs/>
                <w:szCs w:val="18"/>
                <w:lang w:eastAsia="hr-HR"/>
              </w:rPr>
            </w:pPr>
            <w:r>
              <w:rPr>
                <w:rFonts w:asciiTheme="minorHAnsi" w:hAnsiTheme="minorHAnsi" w:cstheme="minorHAnsi"/>
                <w:bCs/>
                <w:szCs w:val="18"/>
                <w:lang w:eastAsia="hr-HR"/>
              </w:rPr>
              <w:t>ostale plastične vrećice za nošenje, stjenka ≥ 50 µm</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5692C8" w14:textId="77777777" w:rsidR="00AE6341" w:rsidRDefault="00AE63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591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49BBF9" w14:textId="77777777" w:rsidR="00AE6341" w:rsidRDefault="00AE63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581</w:t>
            </w:r>
          </w:p>
        </w:tc>
        <w:tc>
          <w:tcPr>
            <w:tcW w:w="866" w:type="dxa"/>
            <w:tcBorders>
              <w:top w:val="single" w:sz="4" w:space="0" w:color="auto"/>
              <w:left w:val="single" w:sz="4" w:space="0" w:color="auto"/>
              <w:bottom w:val="single" w:sz="4" w:space="0" w:color="auto"/>
              <w:right w:val="single" w:sz="4" w:space="0" w:color="auto"/>
            </w:tcBorders>
            <w:noWrap/>
            <w:vAlign w:val="center"/>
            <w:hideMark/>
          </w:tcPr>
          <w:p w14:paraId="34BD3DF0" w14:textId="77777777" w:rsidR="00AE6341" w:rsidRDefault="00AE63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8.836</w:t>
            </w:r>
          </w:p>
        </w:tc>
        <w:tc>
          <w:tcPr>
            <w:tcW w:w="976" w:type="dxa"/>
            <w:tcBorders>
              <w:top w:val="single" w:sz="4" w:space="0" w:color="auto"/>
              <w:left w:val="single" w:sz="4" w:space="0" w:color="auto"/>
              <w:bottom w:val="single" w:sz="4" w:space="0" w:color="auto"/>
              <w:right w:val="single" w:sz="4" w:space="0" w:color="auto"/>
            </w:tcBorders>
            <w:noWrap/>
            <w:vAlign w:val="center"/>
            <w:hideMark/>
          </w:tcPr>
          <w:p w14:paraId="5AFDF694" w14:textId="77777777" w:rsidR="00AE6341" w:rsidRDefault="00AE63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8.693</w:t>
            </w:r>
          </w:p>
        </w:tc>
      </w:tr>
    </w:tbl>
    <w:p w14:paraId="26670067" w14:textId="77777777" w:rsidR="00AE6341" w:rsidRDefault="00AE6341" w:rsidP="00AE6341">
      <w:pPr>
        <w:tabs>
          <w:tab w:val="left" w:pos="851"/>
        </w:tabs>
        <w:spacing w:after="240" w:line="240" w:lineRule="auto"/>
        <w:rPr>
          <w:rFonts w:eastAsia="Calibri" w:cstheme="minorHAnsi"/>
          <w:i/>
          <w:sz w:val="18"/>
          <w:szCs w:val="18"/>
        </w:rPr>
      </w:pPr>
      <w:r>
        <w:rPr>
          <w:rFonts w:eastAsia="Calibri" w:cstheme="minorHAnsi"/>
          <w:i/>
          <w:sz w:val="18"/>
          <w:szCs w:val="18"/>
        </w:rPr>
        <w:t>Izvor: FZOEU, obrada MINGOR</w:t>
      </w:r>
    </w:p>
    <w:p w14:paraId="58872C69" w14:textId="77777777" w:rsidR="00AE6341" w:rsidRDefault="00AE6341" w:rsidP="00AE6341">
      <w:pPr>
        <w:rPr>
          <w:rFonts w:cstheme="minorHAnsi"/>
        </w:rPr>
      </w:pPr>
      <w:r>
        <w:rPr>
          <w:rFonts w:cstheme="minorHAnsi"/>
        </w:rPr>
        <w:t>U 2021. godini, Zakonom o gospodarenju otpadom (NN, br. 84/21) uvodi se zabrana stavljanja na tržište laganih plastičnih vrećica za nošenje debljine stjenki od 15 do 50 µm, koja je stupila na snagu u 2022. godini.</w:t>
      </w:r>
    </w:p>
    <w:p w14:paraId="54BF8C70" w14:textId="77777777" w:rsidR="00AE6341" w:rsidRDefault="00AE6341" w:rsidP="00AE6341">
      <w:pPr>
        <w:rPr>
          <w:rFonts w:cstheme="minorHAnsi"/>
        </w:rPr>
      </w:pPr>
      <w:r>
        <w:rPr>
          <w:rFonts w:cstheme="minorHAnsi"/>
        </w:rPr>
        <w:t xml:space="preserve">Za </w:t>
      </w:r>
      <w:r>
        <w:rPr>
          <w:rFonts w:cstheme="minorHAnsi"/>
          <w:b/>
          <w:bCs/>
        </w:rPr>
        <w:t>građevni otpad</w:t>
      </w:r>
      <w:r>
        <w:rPr>
          <w:rFonts w:cstheme="minorHAnsi"/>
        </w:rPr>
        <w:t xml:space="preserve">, krajem 2021. godine pokrenut je projekt izrade </w:t>
      </w:r>
      <w:r>
        <w:rPr>
          <w:rFonts w:cstheme="minorHAnsi"/>
          <w:b/>
          <w:bCs/>
        </w:rPr>
        <w:t>Akcijskog plana za kružno gospodarstvo u sektoru gospodarenja građevnim otpadom u Republici Hrvatskoj</w:t>
      </w:r>
      <w:r>
        <w:rPr>
          <w:rFonts w:cstheme="minorHAnsi"/>
          <w:sz w:val="18"/>
          <w:szCs w:val="16"/>
          <w:vertAlign w:val="superscript"/>
        </w:rPr>
        <w:footnoteReference w:id="36"/>
      </w:r>
      <w:r>
        <w:rPr>
          <w:rFonts w:cstheme="minorHAnsi"/>
        </w:rPr>
        <w:t xml:space="preserve">. </w:t>
      </w:r>
    </w:p>
    <w:p w14:paraId="537B8BCA" w14:textId="77777777" w:rsidR="00AE6341" w:rsidRDefault="00AE6341" w:rsidP="00AE6341">
      <w:pPr>
        <w:rPr>
          <w:rFonts w:cstheme="minorHAnsi"/>
        </w:rPr>
      </w:pPr>
      <w:r>
        <w:rPr>
          <w:rFonts w:cstheme="minorHAnsi"/>
        </w:rPr>
        <w:t xml:space="preserve">Kako bi se osigurala kvalitetna ponovna uporaba građevnog materijala i recikliranje otpada nastalog nakon snažnog potresa koji je zadesio područje Sisačko-moslavačke županije u prosincu 2020. godine, početkom 2021. godine donesen je </w:t>
      </w:r>
      <w:r>
        <w:rPr>
          <w:rFonts w:cstheme="minorHAnsi"/>
          <w:b/>
          <w:bCs/>
        </w:rPr>
        <w:t>„Plan provedbe mjera gospodarenja otpadom nakon potresa na području Sisačko-moslavačke županije“</w:t>
      </w:r>
      <w:r>
        <w:rPr>
          <w:rFonts w:cstheme="minorHAnsi"/>
        </w:rPr>
        <w:t xml:space="preserve"> i Dopuna istog, te su izrađene posebne upute za postupanje </w:t>
      </w:r>
      <w:r>
        <w:rPr>
          <w:rFonts w:cstheme="minorHAnsi"/>
        </w:rPr>
        <w:lastRenderedPageBreak/>
        <w:t>na lokaciji rušenja i način evidentiranja građevnog materijala nastalog kao posljedica potresa. Uspostavljena su privremena skladišta građevnog materijala nastalog uslijed potresa odakle se isti pripremao za daljnju uporabu. Tijekom 2021. godine na privremena skladišta dovezeno je oko 220.000 m</w:t>
      </w:r>
      <w:r>
        <w:rPr>
          <w:rFonts w:cstheme="minorHAnsi"/>
          <w:vertAlign w:val="superscript"/>
        </w:rPr>
        <w:t xml:space="preserve">3 </w:t>
      </w:r>
      <w:r>
        <w:rPr>
          <w:rFonts w:cstheme="minorHAnsi"/>
        </w:rPr>
        <w:t>navedenog materijala, od čega je do kraja 2021. godine plasirano na daljnju uporabu 59.573 m</w:t>
      </w:r>
      <w:r>
        <w:rPr>
          <w:rFonts w:cstheme="minorHAnsi"/>
          <w:vertAlign w:val="superscript"/>
        </w:rPr>
        <w:t>3</w:t>
      </w:r>
      <w:r>
        <w:rPr>
          <w:rFonts w:cstheme="minorHAnsi"/>
        </w:rPr>
        <w:t xml:space="preserve"> (71.487 t), a od siječnja do svibnja 2022. godine još 62.390 m</w:t>
      </w:r>
      <w:r>
        <w:rPr>
          <w:rFonts w:cstheme="minorHAnsi"/>
          <w:vertAlign w:val="superscript"/>
        </w:rPr>
        <w:t xml:space="preserve">3 </w:t>
      </w:r>
      <w:r>
        <w:rPr>
          <w:rFonts w:cstheme="minorHAnsi"/>
        </w:rPr>
        <w:t>(74.868,0 t). Od navedenih količina, ukupno je oko 44.600 m</w:t>
      </w:r>
      <w:r>
        <w:rPr>
          <w:rFonts w:cstheme="minorHAnsi"/>
          <w:vertAlign w:val="superscript"/>
        </w:rPr>
        <w:t>3</w:t>
      </w:r>
      <w:r>
        <w:rPr>
          <w:rFonts w:cstheme="minorHAnsi"/>
        </w:rPr>
        <w:t xml:space="preserve"> (53.520 t) iskorišteno za potrebe uređenja samih lokacija. Procjenjuje se da je udio izdvojenog neiskoristivog materijala odnosno zaostalog otpada iznosio oko 15 % ukupnih ulaznih količina građevnog materijala dovezenog na lokacije privremenih skladišta. </w:t>
      </w:r>
    </w:p>
    <w:p w14:paraId="45AE9BD3" w14:textId="77777777" w:rsidR="00AE6341" w:rsidRDefault="00AE6341" w:rsidP="00AE6341">
      <w:pPr>
        <w:rPr>
          <w:rFonts w:cstheme="minorHAnsi"/>
        </w:rPr>
      </w:pPr>
      <w:r>
        <w:rPr>
          <w:rFonts w:cstheme="minorHAnsi"/>
        </w:rPr>
        <w:t xml:space="preserve">Vezano za razvoj tržišta sekundarnih sirovina, provode se aktivnosti na razvoju zajedničkih kriterija tj. standarda kvalitete za pojedine kategorije sekundarnih sirovina. Od važnijih može se izdvojiti usvajanje Pravilnika o gospodarenju otpadom (NN 106/22), kojim su raspisani detaljni uvjeti i način za dobivanje statusa </w:t>
      </w:r>
      <w:r>
        <w:rPr>
          <w:rFonts w:cstheme="minorHAnsi"/>
          <w:b/>
          <w:bCs/>
        </w:rPr>
        <w:t>nusproizvoda</w:t>
      </w:r>
      <w:r>
        <w:rPr>
          <w:rFonts w:cstheme="minorHAnsi"/>
        </w:rPr>
        <w:t>.</w:t>
      </w:r>
    </w:p>
    <w:p w14:paraId="569CC684" w14:textId="77777777" w:rsidR="00AE6341" w:rsidRDefault="00AE6341" w:rsidP="00AE6341">
      <w:pPr>
        <w:rPr>
          <w:rFonts w:cstheme="minorHAnsi"/>
        </w:rPr>
      </w:pPr>
      <w:r>
        <w:rPr>
          <w:rFonts w:cstheme="minorHAnsi"/>
        </w:rPr>
        <w:t>Obzirom da u svakom proizvodnom procesu osim proizvoda odnosno materijala koji se namjerno proizvode nastaje jedan ili više tvari/materijala koji nisu glavni cilj proizvodnog procesa, a čije nastajanje se ne može izbjeći, iznimno je važno znati prepoznati u kojem trenutku određeni materijal stvarno postaje otpad odnosno nusproizvod kako bi se izbjegla šteta za okoliš, ali i nepotrebni troškovi za poslovanje. Porast broja registriranih proizvođača nusproizvoda kao i povećanje količina nusproizvoda tijekom razdoblja od 2015. do 2020. godine pokazuje kako je sve više poslovnih subjekata svjesno navedenih prednosti.</w:t>
      </w:r>
    </w:p>
    <w:p w14:paraId="5778A020" w14:textId="4EBDBBA2" w:rsidR="00AE6341" w:rsidRDefault="00AE6341" w:rsidP="00AE6341">
      <w:pPr>
        <w:rPr>
          <w:rFonts w:cstheme="minorHAnsi"/>
        </w:rPr>
      </w:pPr>
      <w:r>
        <w:rPr>
          <w:rFonts w:cstheme="minorHAnsi"/>
        </w:rPr>
        <w:t>U  razdoblju od 2015. do 2018. godine bilježi se godišnje povećanje prijavljenih količina nusproizvoda u prosjeku od 20 %, nakon čega u 2019. godini slijedi pad od 49 % u odnosu na prethodnu godinu. U 2020. godini ponovo se evidentira porast i to za 48 %, a u 2021. godini pad količina za 28 %. (</w:t>
      </w:r>
      <w:r>
        <w:rPr>
          <w:rFonts w:cstheme="minorHAnsi"/>
        </w:rPr>
        <w:fldChar w:fldCharType="begin"/>
      </w:r>
      <w:r>
        <w:rPr>
          <w:rFonts w:cstheme="minorHAnsi"/>
        </w:rPr>
        <w:instrText xml:space="preserve"> REF _Ref114650856 \h  \* MERGEFORMAT </w:instrText>
      </w:r>
      <w:r>
        <w:rPr>
          <w:rFonts w:cstheme="minorHAnsi"/>
        </w:rPr>
      </w:r>
      <w:r>
        <w:rPr>
          <w:rFonts w:cstheme="minorHAnsi"/>
        </w:rPr>
        <w:fldChar w:fldCharType="separate"/>
      </w:r>
      <w:r w:rsidR="00F37B62" w:rsidRPr="00F37B62">
        <w:rPr>
          <w:rFonts w:cstheme="minorHAnsi"/>
        </w:rPr>
        <w:t xml:space="preserve">Slika </w:t>
      </w:r>
      <w:r w:rsidR="00F37B62" w:rsidRPr="006F70C8">
        <w:rPr>
          <w:rFonts w:cstheme="minorHAnsi"/>
          <w:noProof/>
        </w:rPr>
        <w:t>70</w:t>
      </w:r>
      <w:r>
        <w:rPr>
          <w:rFonts w:cstheme="minorHAnsi"/>
        </w:rPr>
        <w:fldChar w:fldCharType="end"/>
      </w:r>
      <w:r>
        <w:rPr>
          <w:rFonts w:cstheme="minorHAnsi"/>
        </w:rPr>
        <w:t>).</w:t>
      </w:r>
    </w:p>
    <w:p w14:paraId="5FD4037A" w14:textId="77777777" w:rsidR="00932F27" w:rsidRDefault="00932F27" w:rsidP="00AE6341">
      <w:pPr>
        <w:rPr>
          <w:rFonts w:cstheme="minorHAnsi"/>
        </w:rPr>
      </w:pPr>
    </w:p>
    <w:p w14:paraId="2D117E6D" w14:textId="77777777" w:rsidR="00AE6341" w:rsidRDefault="00AE6341" w:rsidP="00AE6341">
      <w:pPr>
        <w:spacing w:after="0" w:line="276" w:lineRule="auto"/>
        <w:rPr>
          <w:rFonts w:eastAsia="Calibri" w:cstheme="minorHAnsi"/>
          <w:i/>
          <w:iCs/>
          <w:sz w:val="20"/>
          <w:szCs w:val="20"/>
        </w:rPr>
      </w:pPr>
      <w:r>
        <w:rPr>
          <w:rFonts w:eastAsia="Calibri" w:cstheme="minorHAnsi"/>
          <w:i/>
          <w:iCs/>
          <w:sz w:val="20"/>
          <w:szCs w:val="20"/>
        </w:rPr>
        <w:t>Izvor: MINGOR</w:t>
      </w:r>
    </w:p>
    <w:p w14:paraId="132BEEC5" w14:textId="531000F3" w:rsidR="00AE6341" w:rsidRDefault="00AE6341" w:rsidP="00AE6341">
      <w:pPr>
        <w:pStyle w:val="Slika"/>
        <w:rPr>
          <w:b w:val="0"/>
          <w:bCs/>
          <w:lang w:eastAsia="hr-HR"/>
        </w:rPr>
      </w:pPr>
      <w:bookmarkStart w:id="374" w:name="_Ref114650856"/>
      <w:bookmarkStart w:id="375" w:name="_Toc125363978"/>
      <w:r>
        <w:t xml:space="preserve">Slika </w:t>
      </w:r>
      <w:fldSimple w:instr=" SEQ Slika \* ARABIC ">
        <w:r w:rsidR="00F37B62">
          <w:rPr>
            <w:noProof/>
          </w:rPr>
          <w:t>70</w:t>
        </w:r>
      </w:fldSimple>
      <w:bookmarkEnd w:id="374"/>
      <w:r>
        <w:t xml:space="preserve">. </w:t>
      </w:r>
      <w:r>
        <w:rPr>
          <w:b w:val="0"/>
          <w:bCs/>
          <w:lang w:eastAsia="hr-HR"/>
        </w:rPr>
        <w:t>Pregled prijavljenih količina nusproizvoda u razdoblju od 2015. do 2021. godine</w:t>
      </w:r>
      <w:bookmarkEnd w:id="375"/>
    </w:p>
    <w:p w14:paraId="1773C6DF" w14:textId="63C6AA64" w:rsidR="00AE6341" w:rsidRDefault="00AE6341" w:rsidP="00AE6341">
      <w:pPr>
        <w:rPr>
          <w:rFonts w:cstheme="minorHAnsi"/>
        </w:rPr>
      </w:pPr>
      <w:r>
        <w:rPr>
          <w:rFonts w:cstheme="minorHAnsi"/>
        </w:rPr>
        <w:t>U 2021. godini u ukupnoj količini nusproizvoda (329.118 tona) najveći dio otpada na ostatke od drva (55,2 %), nusproizvode biljnog porijekla (17,7 %) kao što su dijelovi voća i povrća, pivski trop i dr. te na nusproizvode koji su dalje namijenjeni za korištenje u građevinarstvu poput betonskih nusproizvoda, kamene vune, gipsa, lomljene cigle i dr.) (</w:t>
      </w:r>
      <w:r>
        <w:rPr>
          <w:rFonts w:cstheme="minorHAnsi"/>
        </w:rPr>
        <w:fldChar w:fldCharType="begin"/>
      </w:r>
      <w:r>
        <w:rPr>
          <w:rFonts w:cstheme="minorHAnsi"/>
        </w:rPr>
        <w:instrText xml:space="preserve"> REF _Ref114650865 \h  \* MERGEFORMAT </w:instrText>
      </w:r>
      <w:r>
        <w:rPr>
          <w:rFonts w:cstheme="minorHAnsi"/>
        </w:rPr>
      </w:r>
      <w:r>
        <w:rPr>
          <w:rFonts w:cstheme="minorHAnsi"/>
        </w:rPr>
        <w:fldChar w:fldCharType="separate"/>
      </w:r>
      <w:r w:rsidR="00F37B62" w:rsidRPr="00F37B62">
        <w:rPr>
          <w:rFonts w:cstheme="minorHAnsi"/>
        </w:rPr>
        <w:t xml:space="preserve">Slika </w:t>
      </w:r>
      <w:r w:rsidR="00F37B62" w:rsidRPr="006F70C8">
        <w:rPr>
          <w:rFonts w:cstheme="minorHAnsi"/>
          <w:noProof/>
        </w:rPr>
        <w:t>71</w:t>
      </w:r>
      <w:r>
        <w:rPr>
          <w:rFonts w:cstheme="minorHAnsi"/>
        </w:rPr>
        <w:fldChar w:fldCharType="end"/>
      </w:r>
      <w:r>
        <w:rPr>
          <w:rFonts w:cstheme="minorHAnsi"/>
        </w:rPr>
        <w:t>).</w:t>
      </w:r>
    </w:p>
    <w:p w14:paraId="139EB10F" w14:textId="77777777" w:rsidR="00932F27" w:rsidRDefault="00932F27" w:rsidP="00AE6341">
      <w:pPr>
        <w:spacing w:after="0" w:line="276" w:lineRule="auto"/>
        <w:rPr>
          <w:rFonts w:eastAsia="Calibri" w:cstheme="minorHAnsi"/>
          <w:i/>
          <w:iCs/>
          <w:sz w:val="20"/>
          <w:szCs w:val="20"/>
        </w:rPr>
      </w:pPr>
    </w:p>
    <w:p w14:paraId="7390A4BD" w14:textId="3E0652AE" w:rsidR="00AE6341" w:rsidRDefault="00AE6341" w:rsidP="00AE6341">
      <w:pPr>
        <w:spacing w:after="0" w:line="276" w:lineRule="auto"/>
        <w:rPr>
          <w:rFonts w:eastAsia="Calibri" w:cstheme="minorHAnsi"/>
          <w:i/>
          <w:iCs/>
          <w:sz w:val="20"/>
          <w:szCs w:val="20"/>
        </w:rPr>
      </w:pPr>
      <w:r>
        <w:rPr>
          <w:rFonts w:eastAsia="Calibri" w:cstheme="minorHAnsi"/>
          <w:i/>
          <w:iCs/>
          <w:sz w:val="20"/>
          <w:szCs w:val="20"/>
        </w:rPr>
        <w:t>Izvor: MINGOR</w:t>
      </w:r>
    </w:p>
    <w:p w14:paraId="0F0CDF4C" w14:textId="7BDC07C8" w:rsidR="00AE6341" w:rsidRDefault="00AE6341" w:rsidP="00AE6341">
      <w:pPr>
        <w:pStyle w:val="Slika"/>
        <w:rPr>
          <w:lang w:eastAsia="hr-HR"/>
        </w:rPr>
      </w:pPr>
      <w:bookmarkStart w:id="376" w:name="_Ref114650865"/>
      <w:bookmarkStart w:id="377" w:name="_Toc125363979"/>
      <w:r>
        <w:t xml:space="preserve">Slika </w:t>
      </w:r>
      <w:fldSimple w:instr=" SEQ Slika \* ARABIC ">
        <w:r w:rsidR="00F37B62">
          <w:rPr>
            <w:noProof/>
          </w:rPr>
          <w:t>71</w:t>
        </w:r>
      </w:fldSimple>
      <w:bookmarkEnd w:id="376"/>
      <w:r>
        <w:t xml:space="preserve">. </w:t>
      </w:r>
      <w:r>
        <w:rPr>
          <w:b w:val="0"/>
          <w:bCs/>
        </w:rPr>
        <w:t>Udjeli pojedinih vrsta nusproizvoda u ukupno nastaloj količini u 2021. godini</w:t>
      </w:r>
      <w:bookmarkEnd w:id="377"/>
    </w:p>
    <w:p w14:paraId="7BDF2B2A" w14:textId="77777777" w:rsidR="00AE6341" w:rsidRDefault="00AE6341" w:rsidP="00AE6341">
      <w:pPr>
        <w:rPr>
          <w:rFonts w:cstheme="minorHAnsi"/>
          <w:lang w:eastAsia="hr-HR"/>
        </w:rPr>
      </w:pPr>
      <w:r>
        <w:rPr>
          <w:rFonts w:cstheme="minorHAnsi"/>
          <w:lang w:eastAsia="hr-HR"/>
        </w:rPr>
        <w:t>Primjena mjera planiranja ili drugih ekonomskih instrumenata kojima se promiče učinkovita uporaba resursa i odgovornije ponašanje potrošača prema okolišu definirana je kao primjer mjere sprječavanja nastanka otpada Direktivom 2008/98/EZ, Dodatak IV, točka (1) i točka (11).</w:t>
      </w:r>
    </w:p>
    <w:p w14:paraId="3B87F22E" w14:textId="2EB974D7" w:rsidR="00AE6341" w:rsidRDefault="00AE6341" w:rsidP="005E34EF">
      <w:pPr>
        <w:pStyle w:val="IRNaslov3"/>
        <w:ind w:left="0" w:firstLine="0"/>
        <w:rPr>
          <w:rFonts w:cstheme="minorHAnsi"/>
        </w:rPr>
      </w:pPr>
      <w:bookmarkStart w:id="378" w:name="_Toc121138186"/>
      <w:bookmarkStart w:id="379" w:name="_Toc123211710"/>
      <w:r>
        <w:rPr>
          <w:rFonts w:cstheme="minorHAnsi"/>
        </w:rPr>
        <w:t>15.</w:t>
      </w:r>
      <w:r w:rsidR="005F1B1C">
        <w:rPr>
          <w:rFonts w:cstheme="minorHAnsi"/>
        </w:rPr>
        <w:t>4</w:t>
      </w:r>
      <w:r>
        <w:rPr>
          <w:rFonts w:cstheme="minorHAnsi"/>
        </w:rPr>
        <w:t>.2. Unaprjeđenje praćenja učinkovitosti mjera sprječavanja nastanka otpada</w:t>
      </w:r>
      <w:bookmarkEnd w:id="378"/>
      <w:bookmarkEnd w:id="379"/>
    </w:p>
    <w:p w14:paraId="6962955E" w14:textId="77777777" w:rsidR="00AE6341" w:rsidRDefault="00AE6341" w:rsidP="00AE6341">
      <w:pPr>
        <w:rPr>
          <w:rFonts w:cstheme="minorHAnsi"/>
        </w:rPr>
      </w:pPr>
      <w:r>
        <w:rPr>
          <w:rFonts w:cstheme="minorHAnsi"/>
        </w:rPr>
        <w:t xml:space="preserve">Za teme kao što su otpad od hrane, otpad od plastike i morski otpad MINGOR provodi aktivnosti razvijanja odgovarajućih metodologija praćenja provedbe propisa i osiguravanja podataka, administrativnim metodama i statističkim istraživanjima, a temeljem čega će osigurati kvalitetniju provedbu i praćenje provedbe mjera sprječavanja nastanka otpada. </w:t>
      </w:r>
    </w:p>
    <w:p w14:paraId="06091C01" w14:textId="77777777" w:rsidR="00AE6341" w:rsidRDefault="00AE6341" w:rsidP="00AE6341">
      <w:pPr>
        <w:rPr>
          <w:rFonts w:cstheme="minorHAnsi"/>
        </w:rPr>
      </w:pPr>
      <w:r>
        <w:rPr>
          <w:rFonts w:cstheme="minorHAnsi"/>
        </w:rPr>
        <w:lastRenderedPageBreak/>
        <w:t xml:space="preserve">Primjer je statističko istraživanje o </w:t>
      </w:r>
      <w:r>
        <w:rPr>
          <w:rFonts w:cstheme="minorHAnsi"/>
          <w:b/>
          <w:bCs/>
        </w:rPr>
        <w:t>otpadu od hrane</w:t>
      </w:r>
      <w:r>
        <w:rPr>
          <w:rFonts w:cstheme="minorHAnsi"/>
        </w:rPr>
        <w:t xml:space="preserve"> koje je tijekom 2021. godine provelo MINGOR. Statističko istraživanje se provelo sukladno metodologiji propisanoj Delegiranom odlukom Komisije (EU) 2019/1597 od 3. svibnja 2019., o dopuni Direktive 2008/98/EZ Europskog parlamenta i Vijeća u odnosu na zajedničku metodologiju i minimalne zahtjeve u pogledu kvalitete za ujednačeno mjerenje razine otpada od hrane (SL L 248, 27. 9. 2019.).</w:t>
      </w:r>
    </w:p>
    <w:p w14:paraId="26841893" w14:textId="6FA22D95" w:rsidR="00AE6341" w:rsidRDefault="00AE6341" w:rsidP="00AE6341">
      <w:pPr>
        <w:rPr>
          <w:rFonts w:cstheme="minorHAnsi"/>
        </w:rPr>
      </w:pPr>
      <w:r>
        <w:rPr>
          <w:rFonts w:cstheme="minorHAnsi"/>
        </w:rPr>
        <w:t>Isto je pokazalo da je u 2020. godini u RH nastalo ukupno 286.379 tona otpada od hrane odnosno 71 kg/stanovnik. U kućanstvima je nastalo 216.345 tona (76%) odnosno 54 kg/stanovnik, dok je ostatak od 70.034 tona (24%) proizveo poslovni sektor. Jestivi dio otpada koji je bilo moguće izbjeći iznosi čak 40 % ukupne količine nastalog otpada od hrane odnosno 106.037 tona (</w:t>
      </w:r>
      <w:r>
        <w:rPr>
          <w:rFonts w:cstheme="minorHAnsi"/>
        </w:rPr>
        <w:fldChar w:fldCharType="begin"/>
      </w:r>
      <w:r>
        <w:rPr>
          <w:rFonts w:cstheme="minorHAnsi"/>
        </w:rPr>
        <w:instrText xml:space="preserve"> REF _Ref114650961 \h  \* MERGEFORMAT </w:instrText>
      </w:r>
      <w:r>
        <w:rPr>
          <w:rFonts w:cstheme="minorHAnsi"/>
        </w:rPr>
      </w:r>
      <w:r>
        <w:rPr>
          <w:rFonts w:cstheme="minorHAnsi"/>
        </w:rPr>
        <w:fldChar w:fldCharType="separate"/>
      </w:r>
      <w:r w:rsidR="00F37B62" w:rsidRPr="00F37B62">
        <w:rPr>
          <w:rFonts w:cstheme="minorHAnsi"/>
        </w:rPr>
        <w:t xml:space="preserve">Tablica </w:t>
      </w:r>
      <w:r w:rsidR="00F37B62" w:rsidRPr="006F70C8">
        <w:rPr>
          <w:rFonts w:cstheme="minorHAnsi"/>
          <w:noProof/>
        </w:rPr>
        <w:t>72</w:t>
      </w:r>
      <w:r>
        <w:rPr>
          <w:rFonts w:cstheme="minorHAnsi"/>
        </w:rPr>
        <w:fldChar w:fldCharType="end"/>
      </w:r>
      <w:r>
        <w:rPr>
          <w:rFonts w:cstheme="minorHAnsi"/>
        </w:rPr>
        <w:t>).</w:t>
      </w:r>
    </w:p>
    <w:p w14:paraId="34AF7A72" w14:textId="184A9707" w:rsidR="00AE6341" w:rsidRDefault="00AE6341" w:rsidP="00AE6341">
      <w:pPr>
        <w:pStyle w:val="Tablica"/>
        <w:rPr>
          <w:b w:val="0"/>
          <w:bCs/>
        </w:rPr>
      </w:pPr>
      <w:bookmarkStart w:id="380" w:name="_Ref114650961"/>
      <w:bookmarkStart w:id="381" w:name="_Toc125364461"/>
      <w:r>
        <w:t xml:space="preserve">Tablica </w:t>
      </w:r>
      <w:fldSimple w:instr=" SEQ Tablica \* ARABIC ">
        <w:r w:rsidR="00F37B62">
          <w:rPr>
            <w:noProof/>
          </w:rPr>
          <w:t>72</w:t>
        </w:r>
      </w:fldSimple>
      <w:bookmarkEnd w:id="380"/>
      <w:r>
        <w:t xml:space="preserve">. </w:t>
      </w:r>
      <w:r>
        <w:rPr>
          <w:b w:val="0"/>
          <w:bCs/>
        </w:rPr>
        <w:t>Količine nastalog otpada od hrane u 2020. godini prema porijeklu</w:t>
      </w:r>
      <w:bookmarkEnd w:id="381"/>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1911"/>
        <w:gridCol w:w="2058"/>
        <w:gridCol w:w="1984"/>
      </w:tblGrid>
      <w:tr w:rsidR="00AE6341" w14:paraId="426CF0DB" w14:textId="77777777" w:rsidTr="00AE6341">
        <w:trPr>
          <w:trHeight w:val="20"/>
          <w:tblHeader/>
        </w:trPr>
        <w:tc>
          <w:tcPr>
            <w:tcW w:w="3109"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AF94659" w14:textId="77777777" w:rsidR="00AE6341" w:rsidRDefault="00AE6341">
            <w:pPr>
              <w:rPr>
                <w:b/>
                <w:bCs/>
              </w:rPr>
            </w:pPr>
          </w:p>
        </w:tc>
        <w:tc>
          <w:tcPr>
            <w:tcW w:w="1911"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80CA37D" w14:textId="77777777" w:rsidR="00AE6341" w:rsidRDefault="00AE6341">
            <w:pPr>
              <w:spacing w:after="0" w:line="240" w:lineRule="auto"/>
              <w:rPr>
                <w:rFonts w:eastAsia="Times New Roman" w:cstheme="minorHAnsi"/>
                <w:b/>
                <w:bCs/>
                <w:iCs/>
                <w:color w:val="FFFFFF"/>
                <w:sz w:val="18"/>
                <w:szCs w:val="18"/>
              </w:rPr>
            </w:pPr>
            <w:r>
              <w:rPr>
                <w:rFonts w:eastAsia="Times New Roman" w:cstheme="minorHAnsi"/>
                <w:b/>
                <w:bCs/>
                <w:iCs/>
                <w:color w:val="FFFFFF"/>
                <w:sz w:val="18"/>
                <w:szCs w:val="18"/>
              </w:rPr>
              <w:t xml:space="preserve">Kućanstva </w:t>
            </w:r>
          </w:p>
        </w:tc>
        <w:tc>
          <w:tcPr>
            <w:tcW w:w="205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7E8E679" w14:textId="77777777" w:rsidR="00AE6341" w:rsidRDefault="00AE6341">
            <w:pPr>
              <w:spacing w:after="0" w:line="240" w:lineRule="auto"/>
              <w:rPr>
                <w:rFonts w:eastAsia="Times New Roman" w:cstheme="minorHAnsi"/>
                <w:b/>
                <w:bCs/>
                <w:iCs/>
                <w:color w:val="FFFFFF"/>
                <w:sz w:val="18"/>
                <w:szCs w:val="18"/>
              </w:rPr>
            </w:pPr>
            <w:r>
              <w:rPr>
                <w:rFonts w:eastAsia="Times New Roman" w:cstheme="minorHAnsi"/>
                <w:b/>
                <w:bCs/>
                <w:iCs/>
                <w:color w:val="FFFFFF"/>
                <w:sz w:val="18"/>
                <w:szCs w:val="18"/>
              </w:rPr>
              <w:t>Poslovni sektor</w:t>
            </w:r>
          </w:p>
        </w:tc>
        <w:tc>
          <w:tcPr>
            <w:tcW w:w="19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CDE97A9" w14:textId="77777777" w:rsidR="00AE6341" w:rsidRDefault="00AE6341">
            <w:pPr>
              <w:spacing w:after="0" w:line="240" w:lineRule="auto"/>
              <w:rPr>
                <w:rFonts w:eastAsia="Times New Roman" w:cstheme="minorHAnsi"/>
                <w:b/>
                <w:bCs/>
                <w:iCs/>
                <w:color w:val="FFFFFF"/>
                <w:sz w:val="18"/>
                <w:szCs w:val="18"/>
              </w:rPr>
            </w:pPr>
            <w:r>
              <w:rPr>
                <w:rFonts w:eastAsia="Times New Roman" w:cstheme="minorHAnsi"/>
                <w:b/>
                <w:bCs/>
                <w:iCs/>
                <w:color w:val="FFFFFF"/>
                <w:sz w:val="18"/>
                <w:szCs w:val="18"/>
              </w:rPr>
              <w:t>Ukupno</w:t>
            </w:r>
          </w:p>
        </w:tc>
      </w:tr>
      <w:tr w:rsidR="00AE6341" w14:paraId="067F19BF" w14:textId="77777777" w:rsidTr="00AE6341">
        <w:trPr>
          <w:trHeight w:val="20"/>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6860DFD1" w14:textId="77777777" w:rsidR="00AE6341" w:rsidRDefault="00AE6341">
            <w:pPr>
              <w:spacing w:after="0" w:line="240" w:lineRule="auto"/>
              <w:rPr>
                <w:rFonts w:eastAsia="Times New Roman" w:cstheme="minorHAnsi"/>
                <w:color w:val="000000"/>
                <w:sz w:val="18"/>
                <w:szCs w:val="18"/>
              </w:rPr>
            </w:pPr>
            <w:r>
              <w:rPr>
                <w:rFonts w:eastAsia="Times New Roman" w:cstheme="minorHAnsi"/>
                <w:bCs/>
                <w:color w:val="000000"/>
                <w:sz w:val="18"/>
                <w:szCs w:val="18"/>
              </w:rPr>
              <w:t>RH - godišnje</w:t>
            </w:r>
          </w:p>
        </w:tc>
        <w:tc>
          <w:tcPr>
            <w:tcW w:w="1911" w:type="dxa"/>
            <w:tcBorders>
              <w:top w:val="single" w:sz="4" w:space="0" w:color="auto"/>
              <w:left w:val="single" w:sz="4" w:space="0" w:color="auto"/>
              <w:bottom w:val="single" w:sz="4" w:space="0" w:color="auto"/>
              <w:right w:val="single" w:sz="4" w:space="0" w:color="auto"/>
            </w:tcBorders>
            <w:noWrap/>
            <w:vAlign w:val="center"/>
            <w:hideMark/>
          </w:tcPr>
          <w:p w14:paraId="67774218"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216.345 t</w:t>
            </w:r>
          </w:p>
        </w:tc>
        <w:tc>
          <w:tcPr>
            <w:tcW w:w="2058" w:type="dxa"/>
            <w:tcBorders>
              <w:top w:val="single" w:sz="4" w:space="0" w:color="auto"/>
              <w:left w:val="single" w:sz="4" w:space="0" w:color="auto"/>
              <w:bottom w:val="single" w:sz="4" w:space="0" w:color="auto"/>
              <w:right w:val="single" w:sz="4" w:space="0" w:color="auto"/>
            </w:tcBorders>
            <w:noWrap/>
            <w:vAlign w:val="center"/>
            <w:hideMark/>
          </w:tcPr>
          <w:p w14:paraId="652F8582"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70.034 t</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B21B08E"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286.379 t</w:t>
            </w:r>
          </w:p>
        </w:tc>
      </w:tr>
      <w:tr w:rsidR="00AE6341" w14:paraId="2879D445" w14:textId="77777777" w:rsidTr="00AE6341">
        <w:trPr>
          <w:trHeight w:val="20"/>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550B6610"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Stanovnik/godina</w:t>
            </w:r>
          </w:p>
        </w:tc>
        <w:tc>
          <w:tcPr>
            <w:tcW w:w="1911" w:type="dxa"/>
            <w:tcBorders>
              <w:top w:val="single" w:sz="4" w:space="0" w:color="auto"/>
              <w:left w:val="single" w:sz="4" w:space="0" w:color="auto"/>
              <w:bottom w:val="single" w:sz="4" w:space="0" w:color="auto"/>
              <w:right w:val="single" w:sz="4" w:space="0" w:color="auto"/>
            </w:tcBorders>
            <w:noWrap/>
            <w:vAlign w:val="center"/>
            <w:hideMark/>
          </w:tcPr>
          <w:p w14:paraId="31575E10"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54 kg</w:t>
            </w:r>
          </w:p>
        </w:tc>
        <w:tc>
          <w:tcPr>
            <w:tcW w:w="2058" w:type="dxa"/>
            <w:tcBorders>
              <w:top w:val="single" w:sz="4" w:space="0" w:color="auto"/>
              <w:left w:val="single" w:sz="4" w:space="0" w:color="auto"/>
              <w:bottom w:val="single" w:sz="4" w:space="0" w:color="auto"/>
              <w:right w:val="single" w:sz="4" w:space="0" w:color="auto"/>
            </w:tcBorders>
            <w:noWrap/>
            <w:vAlign w:val="center"/>
            <w:hideMark/>
          </w:tcPr>
          <w:p w14:paraId="7FC05504"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17 kg</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08A660E"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71 kg</w:t>
            </w:r>
          </w:p>
        </w:tc>
      </w:tr>
      <w:tr w:rsidR="00AE6341" w14:paraId="2EFF182D" w14:textId="77777777" w:rsidTr="00AE6341">
        <w:trPr>
          <w:trHeight w:val="20"/>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64D122D9"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Stanovnik/dan</w:t>
            </w:r>
          </w:p>
        </w:tc>
        <w:tc>
          <w:tcPr>
            <w:tcW w:w="1911" w:type="dxa"/>
            <w:tcBorders>
              <w:top w:val="single" w:sz="4" w:space="0" w:color="auto"/>
              <w:left w:val="single" w:sz="4" w:space="0" w:color="auto"/>
              <w:bottom w:val="single" w:sz="4" w:space="0" w:color="auto"/>
              <w:right w:val="single" w:sz="4" w:space="0" w:color="auto"/>
            </w:tcBorders>
            <w:noWrap/>
            <w:vAlign w:val="center"/>
            <w:hideMark/>
          </w:tcPr>
          <w:p w14:paraId="4632B91F"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147 g</w:t>
            </w:r>
          </w:p>
        </w:tc>
        <w:tc>
          <w:tcPr>
            <w:tcW w:w="2058" w:type="dxa"/>
            <w:tcBorders>
              <w:top w:val="single" w:sz="4" w:space="0" w:color="auto"/>
              <w:left w:val="single" w:sz="4" w:space="0" w:color="auto"/>
              <w:bottom w:val="single" w:sz="4" w:space="0" w:color="auto"/>
              <w:right w:val="single" w:sz="4" w:space="0" w:color="auto"/>
            </w:tcBorders>
            <w:noWrap/>
            <w:vAlign w:val="center"/>
            <w:hideMark/>
          </w:tcPr>
          <w:p w14:paraId="22F4AF62"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48 g</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FF90344"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195 g</w:t>
            </w:r>
          </w:p>
        </w:tc>
      </w:tr>
      <w:tr w:rsidR="00AE6341" w14:paraId="79BE4B40" w14:textId="77777777" w:rsidTr="00AE6341">
        <w:trPr>
          <w:trHeight w:val="20"/>
        </w:trPr>
        <w:tc>
          <w:tcPr>
            <w:tcW w:w="3109"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0B4F5356"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Jestivi dio otpada od hrane - godišnje</w:t>
            </w:r>
          </w:p>
        </w:tc>
        <w:tc>
          <w:tcPr>
            <w:tcW w:w="191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7D3CCDAD"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86.726 t</w:t>
            </w:r>
          </w:p>
        </w:tc>
        <w:tc>
          <w:tcPr>
            <w:tcW w:w="2058"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20AB51F9"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19.311 t</w:t>
            </w:r>
          </w:p>
        </w:tc>
        <w:tc>
          <w:tcPr>
            <w:tcW w:w="198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67747520"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106.037 t</w:t>
            </w:r>
          </w:p>
        </w:tc>
      </w:tr>
      <w:tr w:rsidR="00AE6341" w14:paraId="71F5986F" w14:textId="77777777" w:rsidTr="00AE6341">
        <w:trPr>
          <w:trHeight w:val="20"/>
        </w:trPr>
        <w:tc>
          <w:tcPr>
            <w:tcW w:w="3109" w:type="dxa"/>
            <w:tcBorders>
              <w:top w:val="single" w:sz="4" w:space="0" w:color="auto"/>
              <w:left w:val="single" w:sz="4" w:space="0" w:color="auto"/>
              <w:bottom w:val="single" w:sz="4" w:space="0" w:color="auto"/>
              <w:right w:val="single" w:sz="4" w:space="0" w:color="auto"/>
            </w:tcBorders>
            <w:noWrap/>
            <w:hideMark/>
          </w:tcPr>
          <w:p w14:paraId="1459D568" w14:textId="77777777" w:rsidR="00AE6341" w:rsidRDefault="00AE6341">
            <w:pPr>
              <w:spacing w:after="0" w:line="240" w:lineRule="auto"/>
              <w:rPr>
                <w:rFonts w:eastAsia="Times New Roman" w:cstheme="minorHAnsi"/>
                <w:color w:val="000000"/>
                <w:sz w:val="18"/>
                <w:szCs w:val="18"/>
              </w:rPr>
            </w:pPr>
            <w:r>
              <w:rPr>
                <w:rFonts w:eastAsia="Calibri" w:cstheme="minorHAnsi"/>
                <w:sz w:val="18"/>
                <w:szCs w:val="18"/>
              </w:rPr>
              <w:t>Stanovnik/godina</w:t>
            </w:r>
          </w:p>
        </w:tc>
        <w:tc>
          <w:tcPr>
            <w:tcW w:w="1911" w:type="dxa"/>
            <w:tcBorders>
              <w:top w:val="single" w:sz="4" w:space="0" w:color="auto"/>
              <w:left w:val="single" w:sz="4" w:space="0" w:color="auto"/>
              <w:bottom w:val="single" w:sz="4" w:space="0" w:color="auto"/>
              <w:right w:val="single" w:sz="4" w:space="0" w:color="auto"/>
            </w:tcBorders>
            <w:noWrap/>
            <w:vAlign w:val="center"/>
            <w:hideMark/>
          </w:tcPr>
          <w:p w14:paraId="555CB3B2"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22 kg</w:t>
            </w:r>
          </w:p>
        </w:tc>
        <w:tc>
          <w:tcPr>
            <w:tcW w:w="2058" w:type="dxa"/>
            <w:tcBorders>
              <w:top w:val="single" w:sz="4" w:space="0" w:color="auto"/>
              <w:left w:val="single" w:sz="4" w:space="0" w:color="auto"/>
              <w:bottom w:val="single" w:sz="4" w:space="0" w:color="auto"/>
              <w:right w:val="single" w:sz="4" w:space="0" w:color="auto"/>
            </w:tcBorders>
            <w:noWrap/>
            <w:vAlign w:val="center"/>
            <w:hideMark/>
          </w:tcPr>
          <w:p w14:paraId="6066A75A"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5 kg</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D2F12EB"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26 kg</w:t>
            </w:r>
          </w:p>
        </w:tc>
      </w:tr>
      <w:tr w:rsidR="00AE6341" w14:paraId="6B375C8D" w14:textId="77777777" w:rsidTr="00AE6341">
        <w:trPr>
          <w:trHeight w:val="20"/>
        </w:trPr>
        <w:tc>
          <w:tcPr>
            <w:tcW w:w="3109" w:type="dxa"/>
            <w:tcBorders>
              <w:top w:val="single" w:sz="4" w:space="0" w:color="auto"/>
              <w:left w:val="single" w:sz="4" w:space="0" w:color="auto"/>
              <w:bottom w:val="single" w:sz="4" w:space="0" w:color="auto"/>
              <w:right w:val="single" w:sz="4" w:space="0" w:color="auto"/>
            </w:tcBorders>
            <w:noWrap/>
            <w:hideMark/>
          </w:tcPr>
          <w:p w14:paraId="75E5DD12" w14:textId="77777777" w:rsidR="00AE6341" w:rsidRDefault="00AE6341">
            <w:pPr>
              <w:spacing w:after="0" w:line="240" w:lineRule="auto"/>
              <w:rPr>
                <w:rFonts w:eastAsia="Times New Roman" w:cstheme="minorHAnsi"/>
                <w:color w:val="000000"/>
                <w:sz w:val="18"/>
                <w:szCs w:val="18"/>
              </w:rPr>
            </w:pPr>
            <w:r>
              <w:rPr>
                <w:rFonts w:eastAsia="Calibri" w:cstheme="minorHAnsi"/>
                <w:sz w:val="18"/>
                <w:szCs w:val="18"/>
              </w:rPr>
              <w:t>Stanovnik/dan</w:t>
            </w:r>
          </w:p>
        </w:tc>
        <w:tc>
          <w:tcPr>
            <w:tcW w:w="1911" w:type="dxa"/>
            <w:tcBorders>
              <w:top w:val="single" w:sz="4" w:space="0" w:color="auto"/>
              <w:left w:val="single" w:sz="4" w:space="0" w:color="auto"/>
              <w:bottom w:val="single" w:sz="4" w:space="0" w:color="auto"/>
              <w:right w:val="single" w:sz="4" w:space="0" w:color="auto"/>
            </w:tcBorders>
            <w:noWrap/>
            <w:vAlign w:val="center"/>
            <w:hideMark/>
          </w:tcPr>
          <w:p w14:paraId="0E5EFA65"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59 g</w:t>
            </w:r>
          </w:p>
        </w:tc>
        <w:tc>
          <w:tcPr>
            <w:tcW w:w="2058" w:type="dxa"/>
            <w:tcBorders>
              <w:top w:val="single" w:sz="4" w:space="0" w:color="auto"/>
              <w:left w:val="single" w:sz="4" w:space="0" w:color="auto"/>
              <w:bottom w:val="single" w:sz="4" w:space="0" w:color="auto"/>
              <w:right w:val="single" w:sz="4" w:space="0" w:color="auto"/>
            </w:tcBorders>
            <w:noWrap/>
            <w:vAlign w:val="center"/>
            <w:hideMark/>
          </w:tcPr>
          <w:p w14:paraId="6CB8BC18"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13 g</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614E8E5"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72 g</w:t>
            </w:r>
          </w:p>
        </w:tc>
      </w:tr>
      <w:tr w:rsidR="00AE6341" w14:paraId="3E5D8BE2" w14:textId="77777777" w:rsidTr="00AE6341">
        <w:trPr>
          <w:trHeight w:val="20"/>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45E67260"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Nejestivi dio otpada od hrane -godišnje</w:t>
            </w:r>
          </w:p>
        </w:tc>
        <w:tc>
          <w:tcPr>
            <w:tcW w:w="1911" w:type="dxa"/>
            <w:tcBorders>
              <w:top w:val="single" w:sz="4" w:space="0" w:color="auto"/>
              <w:left w:val="single" w:sz="4" w:space="0" w:color="auto"/>
              <w:bottom w:val="single" w:sz="4" w:space="0" w:color="auto"/>
              <w:right w:val="single" w:sz="4" w:space="0" w:color="auto"/>
            </w:tcBorders>
            <w:noWrap/>
            <w:vAlign w:val="center"/>
            <w:hideMark/>
          </w:tcPr>
          <w:p w14:paraId="34BEAF1B"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129.619 t</w:t>
            </w:r>
          </w:p>
        </w:tc>
        <w:tc>
          <w:tcPr>
            <w:tcW w:w="2058" w:type="dxa"/>
            <w:tcBorders>
              <w:top w:val="single" w:sz="4" w:space="0" w:color="auto"/>
              <w:left w:val="single" w:sz="4" w:space="0" w:color="auto"/>
              <w:bottom w:val="single" w:sz="4" w:space="0" w:color="auto"/>
              <w:right w:val="single" w:sz="4" w:space="0" w:color="auto"/>
            </w:tcBorders>
            <w:noWrap/>
            <w:vAlign w:val="center"/>
            <w:hideMark/>
          </w:tcPr>
          <w:p w14:paraId="12507DAC"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50.723 t</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4F1E150"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180.342 t</w:t>
            </w:r>
          </w:p>
        </w:tc>
      </w:tr>
      <w:tr w:rsidR="00AE6341" w14:paraId="3DDF8EDF" w14:textId="77777777" w:rsidTr="00AE6341">
        <w:trPr>
          <w:trHeight w:val="20"/>
        </w:trPr>
        <w:tc>
          <w:tcPr>
            <w:tcW w:w="3109" w:type="dxa"/>
            <w:tcBorders>
              <w:top w:val="single" w:sz="4" w:space="0" w:color="auto"/>
              <w:left w:val="single" w:sz="4" w:space="0" w:color="auto"/>
              <w:bottom w:val="single" w:sz="4" w:space="0" w:color="auto"/>
              <w:right w:val="single" w:sz="4" w:space="0" w:color="auto"/>
            </w:tcBorders>
            <w:noWrap/>
            <w:hideMark/>
          </w:tcPr>
          <w:p w14:paraId="25CC446E" w14:textId="77777777" w:rsidR="00AE6341" w:rsidRDefault="00AE6341">
            <w:pPr>
              <w:spacing w:after="0" w:line="240" w:lineRule="auto"/>
              <w:rPr>
                <w:rFonts w:eastAsia="Times New Roman" w:cstheme="minorHAnsi"/>
                <w:color w:val="000000"/>
                <w:sz w:val="18"/>
                <w:szCs w:val="18"/>
              </w:rPr>
            </w:pPr>
            <w:r>
              <w:rPr>
                <w:rFonts w:eastAsia="Calibri" w:cstheme="minorHAnsi"/>
                <w:sz w:val="18"/>
                <w:szCs w:val="18"/>
              </w:rPr>
              <w:t>Stanovnik/godina</w:t>
            </w:r>
          </w:p>
        </w:tc>
        <w:tc>
          <w:tcPr>
            <w:tcW w:w="1911" w:type="dxa"/>
            <w:tcBorders>
              <w:top w:val="single" w:sz="4" w:space="0" w:color="auto"/>
              <w:left w:val="single" w:sz="4" w:space="0" w:color="auto"/>
              <w:bottom w:val="single" w:sz="4" w:space="0" w:color="auto"/>
              <w:right w:val="single" w:sz="4" w:space="0" w:color="auto"/>
            </w:tcBorders>
            <w:noWrap/>
            <w:vAlign w:val="center"/>
            <w:hideMark/>
          </w:tcPr>
          <w:p w14:paraId="2869F5F2"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32 kg</w:t>
            </w:r>
          </w:p>
        </w:tc>
        <w:tc>
          <w:tcPr>
            <w:tcW w:w="2058" w:type="dxa"/>
            <w:tcBorders>
              <w:top w:val="single" w:sz="4" w:space="0" w:color="auto"/>
              <w:left w:val="single" w:sz="4" w:space="0" w:color="auto"/>
              <w:bottom w:val="single" w:sz="4" w:space="0" w:color="auto"/>
              <w:right w:val="single" w:sz="4" w:space="0" w:color="auto"/>
            </w:tcBorders>
            <w:noWrap/>
            <w:vAlign w:val="center"/>
            <w:hideMark/>
          </w:tcPr>
          <w:p w14:paraId="040D116B"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13 kg</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461FACF"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45 kg</w:t>
            </w:r>
          </w:p>
        </w:tc>
      </w:tr>
      <w:tr w:rsidR="00AE6341" w14:paraId="541B05ED" w14:textId="77777777" w:rsidTr="00AE6341">
        <w:trPr>
          <w:trHeight w:val="20"/>
        </w:trPr>
        <w:tc>
          <w:tcPr>
            <w:tcW w:w="3109" w:type="dxa"/>
            <w:tcBorders>
              <w:top w:val="single" w:sz="4" w:space="0" w:color="auto"/>
              <w:left w:val="single" w:sz="4" w:space="0" w:color="auto"/>
              <w:bottom w:val="single" w:sz="4" w:space="0" w:color="auto"/>
              <w:right w:val="single" w:sz="4" w:space="0" w:color="auto"/>
            </w:tcBorders>
            <w:noWrap/>
            <w:hideMark/>
          </w:tcPr>
          <w:p w14:paraId="4478D947" w14:textId="77777777" w:rsidR="00AE6341" w:rsidRDefault="00AE6341">
            <w:pPr>
              <w:spacing w:after="0" w:line="240" w:lineRule="auto"/>
              <w:rPr>
                <w:rFonts w:eastAsia="Times New Roman" w:cstheme="minorHAnsi"/>
                <w:color w:val="000000"/>
                <w:sz w:val="18"/>
                <w:szCs w:val="18"/>
              </w:rPr>
            </w:pPr>
            <w:r>
              <w:rPr>
                <w:rFonts w:eastAsia="Calibri" w:cstheme="minorHAnsi"/>
                <w:sz w:val="18"/>
                <w:szCs w:val="18"/>
              </w:rPr>
              <w:t>Stanovnik/dan</w:t>
            </w:r>
          </w:p>
        </w:tc>
        <w:tc>
          <w:tcPr>
            <w:tcW w:w="1911" w:type="dxa"/>
            <w:tcBorders>
              <w:top w:val="single" w:sz="4" w:space="0" w:color="auto"/>
              <w:left w:val="single" w:sz="4" w:space="0" w:color="auto"/>
              <w:bottom w:val="single" w:sz="4" w:space="0" w:color="auto"/>
              <w:right w:val="single" w:sz="4" w:space="0" w:color="auto"/>
            </w:tcBorders>
            <w:noWrap/>
            <w:vAlign w:val="center"/>
            <w:hideMark/>
          </w:tcPr>
          <w:p w14:paraId="6B345195"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88 g</w:t>
            </w:r>
          </w:p>
        </w:tc>
        <w:tc>
          <w:tcPr>
            <w:tcW w:w="2058" w:type="dxa"/>
            <w:tcBorders>
              <w:top w:val="single" w:sz="4" w:space="0" w:color="auto"/>
              <w:left w:val="single" w:sz="4" w:space="0" w:color="auto"/>
              <w:bottom w:val="single" w:sz="4" w:space="0" w:color="auto"/>
              <w:right w:val="single" w:sz="4" w:space="0" w:color="auto"/>
            </w:tcBorders>
            <w:noWrap/>
            <w:vAlign w:val="center"/>
            <w:hideMark/>
          </w:tcPr>
          <w:p w14:paraId="512AA455"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34 g</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BEF3D99" w14:textId="77777777" w:rsidR="00AE6341" w:rsidRDefault="00AE6341">
            <w:pPr>
              <w:keepNext/>
              <w:spacing w:after="0" w:line="240" w:lineRule="auto"/>
              <w:rPr>
                <w:rFonts w:eastAsia="Times New Roman" w:cstheme="minorHAnsi"/>
                <w:color w:val="000000"/>
                <w:sz w:val="18"/>
                <w:szCs w:val="18"/>
              </w:rPr>
            </w:pPr>
            <w:r>
              <w:rPr>
                <w:rFonts w:eastAsia="Times New Roman" w:cstheme="minorHAnsi"/>
                <w:color w:val="000000"/>
                <w:sz w:val="18"/>
                <w:szCs w:val="18"/>
              </w:rPr>
              <w:t>122 g</w:t>
            </w:r>
          </w:p>
        </w:tc>
      </w:tr>
    </w:tbl>
    <w:p w14:paraId="2BBF2BF1" w14:textId="77777777" w:rsidR="00AE6341" w:rsidRDefault="00AE6341" w:rsidP="00AE6341">
      <w:pPr>
        <w:tabs>
          <w:tab w:val="left" w:pos="851"/>
        </w:tabs>
        <w:spacing w:after="240" w:line="240" w:lineRule="auto"/>
        <w:rPr>
          <w:rFonts w:eastAsia="Calibri" w:cstheme="minorHAnsi"/>
          <w:i/>
          <w:sz w:val="18"/>
          <w:szCs w:val="18"/>
        </w:rPr>
      </w:pPr>
      <w:r>
        <w:rPr>
          <w:rFonts w:eastAsia="Calibri" w:cstheme="minorHAnsi"/>
          <w:i/>
          <w:sz w:val="18"/>
          <w:szCs w:val="18"/>
        </w:rPr>
        <w:t>Izvor: MINGOR</w:t>
      </w:r>
    </w:p>
    <w:p w14:paraId="60058408" w14:textId="77777777" w:rsidR="00AE6341" w:rsidRDefault="00AE6341" w:rsidP="00AE6341">
      <w:pPr>
        <w:rPr>
          <w:rFonts w:cstheme="minorHAnsi"/>
          <w:sz w:val="24"/>
          <w:szCs w:val="24"/>
        </w:rPr>
      </w:pPr>
      <w:r>
        <w:rPr>
          <w:rFonts w:cstheme="minorHAnsi"/>
        </w:rPr>
        <w:t xml:space="preserve">Oko 33 % hrane iz kućanstava koja se odbacuje završi u miješanom komunalnom otpadu, 23 % se iskoristi za hranu za domaće životinje, oko 17 % se odvojeno sakupi i proslijedi na obradu, 16 % se </w:t>
      </w:r>
      <w:proofErr w:type="spellStart"/>
      <w:r>
        <w:rPr>
          <w:rFonts w:cstheme="minorHAnsi"/>
        </w:rPr>
        <w:t>kompostira</w:t>
      </w:r>
      <w:proofErr w:type="spellEnd"/>
      <w:r>
        <w:rPr>
          <w:rFonts w:cstheme="minorHAnsi"/>
        </w:rPr>
        <w:t xml:space="preserve"> na mjestu nastanka (kućni </w:t>
      </w:r>
      <w:proofErr w:type="spellStart"/>
      <w:r>
        <w:rPr>
          <w:rFonts w:cstheme="minorHAnsi"/>
        </w:rPr>
        <w:t>komposteri</w:t>
      </w:r>
      <w:proofErr w:type="spellEnd"/>
      <w:r>
        <w:rPr>
          <w:rFonts w:cstheme="minorHAnsi"/>
        </w:rPr>
        <w:t>), 10 % završi u otpadnim vodama u sustavima odvodnje, dok se s udjelom od 1 % postupa na neki drugi način.</w:t>
      </w:r>
    </w:p>
    <w:p w14:paraId="4EA70BAF" w14:textId="77777777" w:rsidR="00AE6341" w:rsidRDefault="00AE6341" w:rsidP="00AE6341">
      <w:pPr>
        <w:rPr>
          <w:rFonts w:cstheme="minorHAnsi"/>
        </w:rPr>
      </w:pPr>
      <w:r>
        <w:rPr>
          <w:rFonts w:cstheme="minorHAnsi"/>
        </w:rPr>
        <w:t xml:space="preserve">Vezano za temu </w:t>
      </w:r>
      <w:r>
        <w:rPr>
          <w:rFonts w:cstheme="minorHAnsi"/>
          <w:b/>
          <w:bCs/>
        </w:rPr>
        <w:t>onečišćavanja morskog okoliša plastikom</w:t>
      </w:r>
      <w:r>
        <w:rPr>
          <w:rFonts w:cstheme="minorHAnsi"/>
        </w:rPr>
        <w:t xml:space="preserve"> i provedbu Direktive (EU) 2019/904 o smanjenju utjecaja određenih plastičnih proizvoda na okoliš, relevantan je projekt „Unaprjeđenje podataka o otpadu od plastike u RH“ čija je provedba u tijeku, a koji ima za cilj unaprijediti postojeće i uspostaviti nove statistike o plastici i otpadu od plastike uključujući i plastiku za jednokratnu uporabu.</w:t>
      </w:r>
    </w:p>
    <w:p w14:paraId="79781E2C" w14:textId="77777777" w:rsidR="00AE6341" w:rsidRDefault="00AE6341" w:rsidP="00AE6341">
      <w:pPr>
        <w:rPr>
          <w:rFonts w:cstheme="minorHAnsi"/>
        </w:rPr>
      </w:pPr>
      <w:r>
        <w:rPr>
          <w:rFonts w:cstheme="minorHAnsi"/>
        </w:rPr>
        <w:t>Unaprjeđenje kvalitete podataka, razvoj metodologije i pokazatelja učinkovitosti neophodni su za ocjenu učinkovitosti provedbe mjera i aktivnosti kao i učinkovitosti pokazatelja za praćenje tih mjera te definiranja eventualnih potrebnih izmjena i unaprjeđenja istih i/ili definiranja novih mjera, aktivnosti i pokazatelja. Direktiva 2008/98/EZ definira razvoj učinkovitih i sadržajnih pokazatelja opterećenja na okoliš povezanih s proizvodnjom otpada kao jedan od primjera mjera sprječavanja nastanka otpada (Dodatak IV, točka (3)).</w:t>
      </w:r>
    </w:p>
    <w:p w14:paraId="102A89E1" w14:textId="6FBB456D" w:rsidR="00AE6341" w:rsidRDefault="00AE6341" w:rsidP="005E34EF">
      <w:pPr>
        <w:pStyle w:val="IRNaslov3"/>
        <w:ind w:left="0" w:firstLine="0"/>
        <w:rPr>
          <w:rFonts w:cstheme="minorHAnsi"/>
        </w:rPr>
      </w:pPr>
      <w:bookmarkStart w:id="382" w:name="_Toc121138187"/>
      <w:bookmarkStart w:id="383" w:name="_Toc123211711"/>
      <w:r>
        <w:rPr>
          <w:rFonts w:cstheme="minorHAnsi"/>
        </w:rPr>
        <w:t>15.</w:t>
      </w:r>
      <w:r w:rsidR="005F1B1C">
        <w:rPr>
          <w:rFonts w:cstheme="minorHAnsi"/>
        </w:rPr>
        <w:t>4</w:t>
      </w:r>
      <w:r>
        <w:rPr>
          <w:rFonts w:cstheme="minorHAnsi"/>
        </w:rPr>
        <w:t>.3. Promicanje provjerenih eko-oznaka i sustava za gospodarenje okolišem</w:t>
      </w:r>
      <w:bookmarkEnd w:id="382"/>
      <w:bookmarkEnd w:id="383"/>
    </w:p>
    <w:p w14:paraId="4AF83502" w14:textId="77777777" w:rsidR="00AE6341" w:rsidRDefault="00AE6341" w:rsidP="00AE6341">
      <w:pPr>
        <w:rPr>
          <w:rFonts w:cstheme="minorHAnsi"/>
        </w:rPr>
      </w:pPr>
      <w:r>
        <w:rPr>
          <w:rFonts w:cstheme="minorHAnsi"/>
        </w:rPr>
        <w:t xml:space="preserve">Znak zaštite okoliša EU </w:t>
      </w:r>
      <w:proofErr w:type="spellStart"/>
      <w:r>
        <w:rPr>
          <w:rFonts w:cstheme="minorHAnsi"/>
        </w:rPr>
        <w:t>Ecolabel</w:t>
      </w:r>
      <w:proofErr w:type="spellEnd"/>
      <w:r>
        <w:rPr>
          <w:rFonts w:cstheme="minorHAnsi"/>
        </w:rPr>
        <w:t xml:space="preserve"> je pokretač kružnog gospodarstva jer potiče održivu proizvodnju i održivu potrošnju. Samo proizvodi i usluge koji imaju niži okolišni otisak od uobičajenih proizvoda i usluga mogu dobiti ovaj prestižni europski znak izvrsnosti sukladno propisanim uvjetima. Parametri koji se vrednuju pri definiraju pragova su potrošnja resursa, kemikalije, potrošnja energije, emisije stakleničkih plinova i nastanak otpada. </w:t>
      </w:r>
    </w:p>
    <w:p w14:paraId="2F167760" w14:textId="27AB0203" w:rsidR="00AE6341" w:rsidRDefault="00AE6341" w:rsidP="00AE6341">
      <w:pPr>
        <w:rPr>
          <w:rFonts w:cstheme="minorHAnsi"/>
        </w:rPr>
      </w:pPr>
      <w:r>
        <w:rPr>
          <w:rFonts w:cstheme="minorHAnsi"/>
        </w:rPr>
        <w:t xml:space="preserve">U razdoblju važenja Plana gospodarenja otpadom Republike Hrvatske za razdoblje od 2017.-2022. godine došlo je velikog interesa poslovnog sektora u Hrvatskoj za certificiranje proizvoda i usluga znakom zaštite okoliša EU </w:t>
      </w:r>
      <w:proofErr w:type="spellStart"/>
      <w:r>
        <w:rPr>
          <w:rFonts w:cstheme="minorHAnsi"/>
        </w:rPr>
        <w:t>Ecolabel</w:t>
      </w:r>
      <w:proofErr w:type="spellEnd"/>
      <w:r>
        <w:rPr>
          <w:rFonts w:cstheme="minorHAnsi"/>
        </w:rPr>
        <w:t xml:space="preserve"> jer su prepoznali okolišne i ekonomske prednosti certificiranih </w:t>
      </w:r>
      <w:r>
        <w:rPr>
          <w:rFonts w:cstheme="minorHAnsi"/>
        </w:rPr>
        <w:lastRenderedPageBreak/>
        <w:t>proizvoda i usluga prilikom plasiranja istih na tržište Republike Hrvatske i zajedničko tržište EU (</w:t>
      </w:r>
      <w:r>
        <w:rPr>
          <w:rFonts w:cstheme="minorHAnsi"/>
        </w:rPr>
        <w:fldChar w:fldCharType="begin"/>
      </w:r>
      <w:r>
        <w:rPr>
          <w:rFonts w:cstheme="minorHAnsi"/>
        </w:rPr>
        <w:instrText xml:space="preserve"> REF _Ref114651757 \h  \* MERGEFORMAT </w:instrText>
      </w:r>
      <w:r>
        <w:rPr>
          <w:rFonts w:cstheme="minorHAnsi"/>
        </w:rPr>
      </w:r>
      <w:r>
        <w:rPr>
          <w:rFonts w:cstheme="minorHAnsi"/>
        </w:rPr>
        <w:fldChar w:fldCharType="separate"/>
      </w:r>
      <w:r w:rsidR="00F37B62" w:rsidRPr="00F37B62">
        <w:rPr>
          <w:rFonts w:cstheme="minorHAnsi"/>
        </w:rPr>
        <w:t xml:space="preserve">Tablica </w:t>
      </w:r>
      <w:r w:rsidR="00F37B62" w:rsidRPr="006F70C8">
        <w:rPr>
          <w:rFonts w:cstheme="minorHAnsi"/>
          <w:noProof/>
        </w:rPr>
        <w:t>73</w:t>
      </w:r>
      <w:r>
        <w:rPr>
          <w:rFonts w:cstheme="minorHAnsi"/>
        </w:rPr>
        <w:fldChar w:fldCharType="end"/>
      </w:r>
      <w:r>
        <w:rPr>
          <w:rFonts w:cstheme="minorHAnsi"/>
        </w:rPr>
        <w:t xml:space="preserve">). Zaključno s rujnom 2022. godine znak EU </w:t>
      </w:r>
      <w:proofErr w:type="spellStart"/>
      <w:r>
        <w:rPr>
          <w:rFonts w:cstheme="minorHAnsi"/>
        </w:rPr>
        <w:t>Ecolabel</w:t>
      </w:r>
      <w:proofErr w:type="spellEnd"/>
      <w:r>
        <w:rPr>
          <w:rFonts w:cstheme="minorHAnsi"/>
        </w:rPr>
        <w:t xml:space="preserve"> dodijeljen je za 34 proizvoda i 9 usluga turističkog smještaja</w:t>
      </w:r>
      <w:r>
        <w:rPr>
          <w:rStyle w:val="Referencafusnote"/>
          <w:rFonts w:eastAsia="Calibri" w:cstheme="minorHAnsi"/>
        </w:rPr>
        <w:footnoteReference w:id="37"/>
      </w:r>
      <w:r>
        <w:rPr>
          <w:rFonts w:cstheme="minorHAnsi"/>
        </w:rPr>
        <w:t xml:space="preserve">. Interes gospodarstvenika za ovom eko-oznakom je i dalje u stalnom porastu što se prati kroz upite prema nadležnom Ministarstvu gospodarstva i održivog razvoja (e-mail adresa: </w:t>
      </w:r>
      <w:hyperlink r:id="rId21" w:history="1">
        <w:r>
          <w:rPr>
            <w:rStyle w:val="Hiperveza"/>
            <w:rFonts w:eastAsia="Calibri" w:cstheme="minorHAnsi"/>
          </w:rPr>
          <w:t>eko-oznake@mingor.hr</w:t>
        </w:r>
      </w:hyperlink>
      <w:r>
        <w:rPr>
          <w:rFonts w:cstheme="minorHAnsi"/>
          <w:color w:val="0563C1"/>
          <w:u w:val="single"/>
        </w:rPr>
        <w:t xml:space="preserve">). </w:t>
      </w:r>
    </w:p>
    <w:p w14:paraId="0BEE7C10" w14:textId="77777777" w:rsidR="00AE6341" w:rsidRDefault="00AE6341" w:rsidP="00AE6341">
      <w:pPr>
        <w:rPr>
          <w:rFonts w:eastAsia="Times New Roman" w:cstheme="minorHAnsi"/>
          <w:i/>
          <w:color w:val="000000"/>
          <w:lang w:eastAsia="hr-HR"/>
        </w:rPr>
      </w:pPr>
      <w:r>
        <w:rPr>
          <w:rFonts w:cstheme="minorHAnsi"/>
        </w:rPr>
        <w:t xml:space="preserve">Kako bi se dodatno potaknulo certificiranje proizvoda i usluga izmijenjen je relevantni propis kojim je </w:t>
      </w:r>
      <w:r>
        <w:rPr>
          <w:rFonts w:eastAsia="Times New Roman" w:cstheme="minorHAnsi"/>
          <w:color w:val="000000"/>
          <w:lang w:eastAsia="hr-HR"/>
        </w:rPr>
        <w:t xml:space="preserve">ukinuto plaćanje godišnje naknade za znak EU </w:t>
      </w:r>
      <w:proofErr w:type="spellStart"/>
      <w:r>
        <w:rPr>
          <w:rFonts w:eastAsia="Times New Roman" w:cstheme="minorHAnsi"/>
          <w:color w:val="000000"/>
          <w:lang w:eastAsia="hr-HR"/>
        </w:rPr>
        <w:t>Ecolabel</w:t>
      </w:r>
      <w:proofErr w:type="spellEnd"/>
      <w:r>
        <w:rPr>
          <w:rFonts w:eastAsia="Times New Roman" w:cstheme="minorHAnsi"/>
          <w:color w:val="000000"/>
          <w:lang w:eastAsia="hr-HR"/>
        </w:rPr>
        <w:t xml:space="preserve">. Nositelji znaka EU </w:t>
      </w:r>
      <w:proofErr w:type="spellStart"/>
      <w:r>
        <w:rPr>
          <w:rFonts w:eastAsia="Times New Roman" w:cstheme="minorHAnsi"/>
          <w:color w:val="000000"/>
          <w:lang w:eastAsia="hr-HR"/>
        </w:rPr>
        <w:t>Ecolabel</w:t>
      </w:r>
      <w:proofErr w:type="spellEnd"/>
      <w:r>
        <w:rPr>
          <w:rFonts w:eastAsia="Times New Roman" w:cstheme="minorHAnsi"/>
          <w:color w:val="000000"/>
          <w:lang w:eastAsia="hr-HR"/>
        </w:rPr>
        <w:t xml:space="preserve"> automatski dobivaju i nacionalni znak zaštite okoliša Prijatelj okoliša. Pokrenute su edukacije na temu znaka zaštite okoliša EU </w:t>
      </w:r>
      <w:proofErr w:type="spellStart"/>
      <w:r>
        <w:rPr>
          <w:rFonts w:eastAsia="Times New Roman" w:cstheme="minorHAnsi"/>
          <w:color w:val="000000"/>
          <w:lang w:eastAsia="hr-HR"/>
        </w:rPr>
        <w:t>Ecolabel</w:t>
      </w:r>
      <w:proofErr w:type="spellEnd"/>
      <w:r>
        <w:rPr>
          <w:rFonts w:eastAsia="Times New Roman" w:cstheme="minorHAnsi"/>
          <w:color w:val="000000"/>
          <w:lang w:eastAsia="hr-HR"/>
        </w:rPr>
        <w:t xml:space="preserve"> (ovlaštenika koji izrađuju elaborate o usklađenosti s mjerilima EU </w:t>
      </w:r>
      <w:proofErr w:type="spellStart"/>
      <w:r>
        <w:rPr>
          <w:rFonts w:eastAsia="Times New Roman" w:cstheme="minorHAnsi"/>
          <w:color w:val="000000"/>
          <w:lang w:eastAsia="hr-HR"/>
        </w:rPr>
        <w:t>Ecolabel</w:t>
      </w:r>
      <w:proofErr w:type="spellEnd"/>
      <w:r>
        <w:rPr>
          <w:rFonts w:eastAsia="Times New Roman" w:cstheme="minorHAnsi"/>
          <w:color w:val="000000"/>
          <w:lang w:eastAsia="hr-HR"/>
        </w:rPr>
        <w:t xml:space="preserve">, turističkog sektora i dr.) te se putem društvenih mreža redovito pružaju informacije i novosti vezano uz EU </w:t>
      </w:r>
      <w:proofErr w:type="spellStart"/>
      <w:r>
        <w:rPr>
          <w:rFonts w:eastAsia="Times New Roman" w:cstheme="minorHAnsi"/>
          <w:color w:val="000000"/>
          <w:lang w:eastAsia="hr-HR"/>
        </w:rPr>
        <w:t>Ecolabel</w:t>
      </w:r>
      <w:proofErr w:type="spellEnd"/>
      <w:r>
        <w:rPr>
          <w:rFonts w:eastAsia="Times New Roman" w:cstheme="minorHAnsi"/>
          <w:color w:val="000000"/>
          <w:lang w:eastAsia="hr-HR"/>
        </w:rPr>
        <w:t xml:space="preserve"> (</w:t>
      </w:r>
      <w:proofErr w:type="spellStart"/>
      <w:r>
        <w:rPr>
          <w:rFonts w:eastAsia="Times New Roman" w:cstheme="minorHAnsi"/>
          <w:color w:val="000000"/>
          <w:lang w:eastAsia="hr-HR"/>
        </w:rPr>
        <w:t>facebook</w:t>
      </w:r>
      <w:proofErr w:type="spellEnd"/>
      <w:r>
        <w:rPr>
          <w:rFonts w:eastAsia="Times New Roman" w:cstheme="minorHAnsi"/>
          <w:color w:val="000000"/>
          <w:lang w:eastAsia="hr-HR"/>
        </w:rPr>
        <w:t xml:space="preserve"> EU </w:t>
      </w:r>
      <w:proofErr w:type="spellStart"/>
      <w:r>
        <w:rPr>
          <w:rFonts w:eastAsia="Times New Roman" w:cstheme="minorHAnsi"/>
          <w:color w:val="000000"/>
          <w:lang w:eastAsia="hr-HR"/>
        </w:rPr>
        <w:t>Ecolabel</w:t>
      </w:r>
      <w:proofErr w:type="spellEnd"/>
      <w:r>
        <w:rPr>
          <w:rFonts w:eastAsia="Times New Roman" w:cstheme="minorHAnsi"/>
          <w:color w:val="000000"/>
          <w:lang w:eastAsia="hr-HR"/>
        </w:rPr>
        <w:t xml:space="preserve"> Hrvatska). </w:t>
      </w:r>
    </w:p>
    <w:p w14:paraId="571A31A6" w14:textId="7286A321" w:rsidR="00AE6341" w:rsidRDefault="00AE6341" w:rsidP="00AE6341">
      <w:pPr>
        <w:pStyle w:val="Tablica"/>
        <w:rPr>
          <w:b w:val="0"/>
          <w:bCs/>
        </w:rPr>
      </w:pPr>
      <w:bookmarkStart w:id="384" w:name="_Ref114651757"/>
      <w:bookmarkStart w:id="385" w:name="_Toc125364462"/>
      <w:bookmarkStart w:id="386" w:name="_Hlk114495697"/>
      <w:r>
        <w:t xml:space="preserve">Tablica </w:t>
      </w:r>
      <w:fldSimple w:instr=" SEQ Tablica \* ARABIC ">
        <w:r w:rsidR="00F37B62">
          <w:rPr>
            <w:noProof/>
          </w:rPr>
          <w:t>73</w:t>
        </w:r>
      </w:fldSimple>
      <w:bookmarkEnd w:id="384"/>
      <w:r>
        <w:t xml:space="preserve">. </w:t>
      </w:r>
      <w:r>
        <w:rPr>
          <w:b w:val="0"/>
          <w:bCs/>
        </w:rPr>
        <w:t xml:space="preserve">Broj dodijeljenih potvrda EU </w:t>
      </w:r>
      <w:proofErr w:type="spellStart"/>
      <w:r>
        <w:rPr>
          <w:b w:val="0"/>
          <w:bCs/>
        </w:rPr>
        <w:t>Ecolabel</w:t>
      </w:r>
      <w:proofErr w:type="spellEnd"/>
      <w:r>
        <w:rPr>
          <w:b w:val="0"/>
          <w:bCs/>
        </w:rPr>
        <w:t xml:space="preserve"> u RH u razdoblju od 2017. – 2022. godine</w:t>
      </w:r>
      <w:bookmarkEnd w:id="385"/>
    </w:p>
    <w:bookmarkEnd w:id="386"/>
    <w:tbl>
      <w:tblPr>
        <w:tblStyle w:val="TABLICAHAOP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629"/>
        <w:gridCol w:w="629"/>
        <w:gridCol w:w="629"/>
        <w:gridCol w:w="629"/>
        <w:gridCol w:w="629"/>
        <w:gridCol w:w="719"/>
        <w:gridCol w:w="897"/>
      </w:tblGrid>
      <w:tr w:rsidR="00AE6341" w14:paraId="6686738B" w14:textId="77777777" w:rsidTr="00AE6341">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shd w:val="clear" w:color="auto" w:fill="002060"/>
          </w:tcPr>
          <w:p w14:paraId="22EFA438" w14:textId="77777777" w:rsidR="00AE6341" w:rsidRDefault="00AE6341">
            <w:pPr>
              <w:tabs>
                <w:tab w:val="left" w:pos="708"/>
              </w:tabs>
              <w:rPr>
                <w:rFonts w:asciiTheme="minorHAnsi" w:eastAsia="Times New Roman" w:hAnsiTheme="minorHAnsi" w:cstheme="minorHAnsi"/>
                <w:b/>
                <w:bCs/>
                <w:iCs/>
                <w:color w:val="FFFFFF"/>
                <w:szCs w:val="18"/>
              </w:rPr>
            </w:pPr>
          </w:p>
        </w:tc>
        <w:tc>
          <w:tcPr>
            <w:tcW w:w="0" w:type="auto"/>
            <w:tcBorders>
              <w:top w:val="single" w:sz="4" w:space="0" w:color="auto"/>
              <w:left w:val="single" w:sz="4" w:space="0" w:color="auto"/>
              <w:bottom w:val="single" w:sz="4" w:space="0" w:color="auto"/>
              <w:right w:val="single" w:sz="4" w:space="0" w:color="auto"/>
            </w:tcBorders>
            <w:shd w:val="clear" w:color="auto" w:fill="002060"/>
            <w:hideMark/>
          </w:tcPr>
          <w:p w14:paraId="5E7BB5EF" w14:textId="77777777" w:rsidR="00AE6341" w:rsidRDefault="00AE6341">
            <w:pPr>
              <w:tabs>
                <w:tab w:val="clear" w:pos="1701"/>
                <w:tab w:val="left" w:pos="708"/>
              </w:tabs>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iCs/>
                <w:color w:val="FFFFFF"/>
                <w:szCs w:val="18"/>
              </w:rPr>
            </w:pPr>
            <w:r>
              <w:rPr>
                <w:rFonts w:asciiTheme="minorHAnsi" w:eastAsia="Times New Roman" w:hAnsiTheme="minorHAnsi" w:cstheme="minorHAnsi"/>
                <w:b/>
                <w:bCs/>
                <w:iCs/>
                <w:color w:val="FFFFFF"/>
                <w:szCs w:val="18"/>
              </w:rPr>
              <w:t>2017.</w:t>
            </w:r>
          </w:p>
        </w:tc>
        <w:tc>
          <w:tcPr>
            <w:tcW w:w="0" w:type="auto"/>
            <w:tcBorders>
              <w:top w:val="single" w:sz="4" w:space="0" w:color="auto"/>
              <w:left w:val="single" w:sz="4" w:space="0" w:color="auto"/>
              <w:bottom w:val="single" w:sz="4" w:space="0" w:color="auto"/>
              <w:right w:val="single" w:sz="4" w:space="0" w:color="auto"/>
            </w:tcBorders>
            <w:shd w:val="clear" w:color="auto" w:fill="002060"/>
            <w:hideMark/>
          </w:tcPr>
          <w:p w14:paraId="4AFF7780" w14:textId="77777777" w:rsidR="00AE6341" w:rsidRDefault="00AE6341">
            <w:pPr>
              <w:tabs>
                <w:tab w:val="clear" w:pos="1701"/>
                <w:tab w:val="left" w:pos="708"/>
              </w:tabs>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iCs/>
                <w:color w:val="FFFFFF"/>
                <w:szCs w:val="18"/>
              </w:rPr>
            </w:pPr>
            <w:r>
              <w:rPr>
                <w:rFonts w:asciiTheme="minorHAnsi" w:eastAsia="Times New Roman" w:hAnsiTheme="minorHAnsi" w:cstheme="minorHAnsi"/>
                <w:b/>
                <w:bCs/>
                <w:iCs/>
                <w:color w:val="FFFFFF"/>
                <w:szCs w:val="18"/>
              </w:rPr>
              <w:t>2018.</w:t>
            </w:r>
          </w:p>
        </w:tc>
        <w:tc>
          <w:tcPr>
            <w:tcW w:w="0" w:type="auto"/>
            <w:tcBorders>
              <w:top w:val="single" w:sz="4" w:space="0" w:color="auto"/>
              <w:left w:val="single" w:sz="4" w:space="0" w:color="auto"/>
              <w:bottom w:val="single" w:sz="4" w:space="0" w:color="auto"/>
              <w:right w:val="single" w:sz="4" w:space="0" w:color="auto"/>
            </w:tcBorders>
            <w:shd w:val="clear" w:color="auto" w:fill="002060"/>
            <w:hideMark/>
          </w:tcPr>
          <w:p w14:paraId="459855FF" w14:textId="77777777" w:rsidR="00AE6341" w:rsidRDefault="00AE6341">
            <w:pPr>
              <w:tabs>
                <w:tab w:val="clear" w:pos="1701"/>
                <w:tab w:val="left" w:pos="708"/>
              </w:tabs>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iCs/>
                <w:color w:val="FFFFFF"/>
                <w:szCs w:val="18"/>
              </w:rPr>
            </w:pPr>
            <w:r>
              <w:rPr>
                <w:rFonts w:asciiTheme="minorHAnsi" w:eastAsia="Times New Roman" w:hAnsiTheme="minorHAnsi" w:cstheme="minorHAnsi"/>
                <w:b/>
                <w:bCs/>
                <w:iCs/>
                <w:color w:val="FFFFFF"/>
                <w:szCs w:val="18"/>
              </w:rPr>
              <w:t>2019.</w:t>
            </w:r>
          </w:p>
        </w:tc>
        <w:tc>
          <w:tcPr>
            <w:tcW w:w="0" w:type="auto"/>
            <w:tcBorders>
              <w:top w:val="single" w:sz="4" w:space="0" w:color="auto"/>
              <w:left w:val="single" w:sz="4" w:space="0" w:color="auto"/>
              <w:bottom w:val="single" w:sz="4" w:space="0" w:color="auto"/>
              <w:right w:val="single" w:sz="4" w:space="0" w:color="auto"/>
            </w:tcBorders>
            <w:shd w:val="clear" w:color="auto" w:fill="002060"/>
            <w:hideMark/>
          </w:tcPr>
          <w:p w14:paraId="0027F214" w14:textId="77777777" w:rsidR="00AE6341" w:rsidRDefault="00AE6341">
            <w:pPr>
              <w:tabs>
                <w:tab w:val="clear" w:pos="1701"/>
                <w:tab w:val="left" w:pos="708"/>
              </w:tabs>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iCs/>
                <w:color w:val="FFFFFF"/>
                <w:szCs w:val="18"/>
              </w:rPr>
            </w:pPr>
            <w:r>
              <w:rPr>
                <w:rFonts w:asciiTheme="minorHAnsi" w:eastAsia="Times New Roman" w:hAnsiTheme="minorHAnsi" w:cstheme="minorHAnsi"/>
                <w:b/>
                <w:bCs/>
                <w:iCs/>
                <w:color w:val="FFFFFF"/>
                <w:szCs w:val="18"/>
              </w:rPr>
              <w:t>2020.</w:t>
            </w:r>
          </w:p>
        </w:tc>
        <w:tc>
          <w:tcPr>
            <w:tcW w:w="0" w:type="auto"/>
            <w:tcBorders>
              <w:top w:val="single" w:sz="4" w:space="0" w:color="auto"/>
              <w:left w:val="single" w:sz="4" w:space="0" w:color="auto"/>
              <w:bottom w:val="single" w:sz="4" w:space="0" w:color="auto"/>
              <w:right w:val="single" w:sz="4" w:space="0" w:color="auto"/>
            </w:tcBorders>
            <w:shd w:val="clear" w:color="auto" w:fill="002060"/>
            <w:hideMark/>
          </w:tcPr>
          <w:p w14:paraId="177EA5F6" w14:textId="77777777" w:rsidR="00AE6341" w:rsidRDefault="00AE6341">
            <w:pPr>
              <w:tabs>
                <w:tab w:val="clear" w:pos="1701"/>
                <w:tab w:val="left" w:pos="708"/>
              </w:tabs>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iCs/>
                <w:color w:val="FFFFFF"/>
                <w:szCs w:val="18"/>
              </w:rPr>
            </w:pPr>
            <w:r>
              <w:rPr>
                <w:rFonts w:asciiTheme="minorHAnsi" w:eastAsia="Times New Roman" w:hAnsiTheme="minorHAnsi" w:cstheme="minorHAnsi"/>
                <w:b/>
                <w:bCs/>
                <w:iCs/>
                <w:color w:val="FFFFFF"/>
                <w:szCs w:val="18"/>
              </w:rPr>
              <w:t>2021.</w:t>
            </w:r>
          </w:p>
        </w:tc>
        <w:tc>
          <w:tcPr>
            <w:tcW w:w="0" w:type="auto"/>
            <w:tcBorders>
              <w:top w:val="single" w:sz="4" w:space="0" w:color="auto"/>
              <w:left w:val="single" w:sz="4" w:space="0" w:color="auto"/>
              <w:bottom w:val="single" w:sz="4" w:space="0" w:color="auto"/>
              <w:right w:val="single" w:sz="4" w:space="0" w:color="auto"/>
            </w:tcBorders>
            <w:shd w:val="clear" w:color="auto" w:fill="002060"/>
            <w:hideMark/>
          </w:tcPr>
          <w:p w14:paraId="70B186C9" w14:textId="77777777" w:rsidR="00AE6341" w:rsidRDefault="00AE6341">
            <w:pPr>
              <w:tabs>
                <w:tab w:val="clear" w:pos="1701"/>
                <w:tab w:val="left" w:pos="708"/>
              </w:tabs>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iCs/>
                <w:color w:val="FFFFFF"/>
                <w:szCs w:val="18"/>
              </w:rPr>
            </w:pPr>
            <w:r>
              <w:rPr>
                <w:rFonts w:asciiTheme="minorHAnsi" w:eastAsia="Times New Roman" w:hAnsiTheme="minorHAnsi" w:cstheme="minorHAnsi"/>
                <w:b/>
                <w:bCs/>
                <w:iCs/>
                <w:color w:val="FFFFFF"/>
                <w:szCs w:val="18"/>
              </w:rPr>
              <w:t>2022.*</w:t>
            </w:r>
          </w:p>
        </w:tc>
        <w:tc>
          <w:tcPr>
            <w:tcW w:w="0" w:type="auto"/>
            <w:tcBorders>
              <w:top w:val="single" w:sz="4" w:space="0" w:color="auto"/>
              <w:left w:val="single" w:sz="4" w:space="0" w:color="auto"/>
              <w:bottom w:val="single" w:sz="4" w:space="0" w:color="auto"/>
              <w:right w:val="single" w:sz="4" w:space="0" w:color="auto"/>
            </w:tcBorders>
            <w:shd w:val="clear" w:color="auto" w:fill="002060"/>
            <w:hideMark/>
          </w:tcPr>
          <w:p w14:paraId="658CD2F8" w14:textId="77777777" w:rsidR="00AE6341" w:rsidRDefault="00AE6341">
            <w:pPr>
              <w:tabs>
                <w:tab w:val="clear" w:pos="1701"/>
                <w:tab w:val="left" w:pos="708"/>
              </w:tabs>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iCs/>
                <w:color w:val="FFFFFF"/>
                <w:szCs w:val="18"/>
              </w:rPr>
            </w:pPr>
            <w:r>
              <w:rPr>
                <w:rFonts w:asciiTheme="minorHAnsi" w:eastAsia="Times New Roman" w:hAnsiTheme="minorHAnsi" w:cstheme="minorHAnsi"/>
                <w:b/>
                <w:bCs/>
                <w:iCs/>
                <w:color w:val="FFFFFF"/>
                <w:szCs w:val="18"/>
              </w:rPr>
              <w:t>Ukupno*</w:t>
            </w:r>
          </w:p>
        </w:tc>
      </w:tr>
      <w:tr w:rsidR="00AE6341" w14:paraId="50804108" w14:textId="77777777" w:rsidTr="00AE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0B9A93" w14:textId="77777777" w:rsidR="00AE6341" w:rsidRDefault="00AE6341">
            <w:pPr>
              <w:tabs>
                <w:tab w:val="clear" w:pos="1701"/>
                <w:tab w:val="left" w:pos="708"/>
              </w:tabs>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Ukupan broj dodijeljenih potvrda organizacijama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35D5A5"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51BF0F"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1B6B0D"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E6D24E"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1EA220"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3E6A69"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850E3F"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20</w:t>
            </w:r>
          </w:p>
        </w:tc>
      </w:tr>
      <w:tr w:rsidR="00AE6341" w14:paraId="1A4CCAC5" w14:textId="77777777" w:rsidTr="00AE6341">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4BA7F2" w14:textId="77777777" w:rsidR="00AE6341" w:rsidRDefault="00AE6341">
            <w:pPr>
              <w:tabs>
                <w:tab w:val="clear" w:pos="1701"/>
                <w:tab w:val="left" w:pos="708"/>
              </w:tabs>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 xml:space="preserve">Ukupan broj proizvoda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76D929" w14:textId="77777777" w:rsidR="00AE6341" w:rsidRDefault="00AE6341">
            <w:pPr>
              <w:tabs>
                <w:tab w:val="clear" w:pos="1701"/>
                <w:tab w:val="left" w:pos="708"/>
              </w:tabs>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75E977" w14:textId="77777777" w:rsidR="00AE6341" w:rsidRDefault="00AE6341">
            <w:pPr>
              <w:tabs>
                <w:tab w:val="clear" w:pos="1701"/>
                <w:tab w:val="left" w:pos="708"/>
              </w:tabs>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8A3F76" w14:textId="77777777" w:rsidR="00AE6341" w:rsidRDefault="00AE6341">
            <w:pPr>
              <w:tabs>
                <w:tab w:val="clear" w:pos="1701"/>
                <w:tab w:val="left" w:pos="708"/>
              </w:tabs>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B18BC8" w14:textId="77777777" w:rsidR="00AE6341" w:rsidRDefault="00AE6341">
            <w:pPr>
              <w:tabs>
                <w:tab w:val="clear" w:pos="1701"/>
                <w:tab w:val="left" w:pos="708"/>
              </w:tabs>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4C1926" w14:textId="77777777" w:rsidR="00AE6341" w:rsidRDefault="00AE6341">
            <w:pPr>
              <w:tabs>
                <w:tab w:val="clear" w:pos="1701"/>
                <w:tab w:val="left" w:pos="708"/>
              </w:tabs>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6DA811" w14:textId="77777777" w:rsidR="00AE6341" w:rsidRDefault="00AE6341">
            <w:pPr>
              <w:tabs>
                <w:tab w:val="clear" w:pos="1701"/>
                <w:tab w:val="left" w:pos="708"/>
              </w:tabs>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D555E4" w14:textId="77777777" w:rsidR="00AE6341" w:rsidRDefault="00AE6341">
            <w:pPr>
              <w:tabs>
                <w:tab w:val="clear" w:pos="1701"/>
                <w:tab w:val="left" w:pos="708"/>
              </w:tabs>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34</w:t>
            </w:r>
          </w:p>
        </w:tc>
      </w:tr>
      <w:tr w:rsidR="00AE6341" w14:paraId="16654281" w14:textId="77777777" w:rsidTr="00AE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0BB139" w14:textId="77777777" w:rsidR="00AE6341" w:rsidRDefault="00AE6341">
            <w:pPr>
              <w:tabs>
                <w:tab w:val="clear" w:pos="1701"/>
                <w:tab w:val="left" w:pos="708"/>
              </w:tabs>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Ukupan broj usluga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9AA063"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07D726"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D596D5"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0854E7"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ADEE7F"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A34A0A"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5C3B8C"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9</w:t>
            </w:r>
          </w:p>
        </w:tc>
      </w:tr>
    </w:tbl>
    <w:p w14:paraId="45B4FDC5" w14:textId="77777777" w:rsidR="00AE6341" w:rsidRDefault="00AE6341" w:rsidP="00AE6341">
      <w:pPr>
        <w:tabs>
          <w:tab w:val="left" w:pos="851"/>
        </w:tabs>
        <w:spacing w:after="240" w:line="240" w:lineRule="auto"/>
        <w:rPr>
          <w:rFonts w:eastAsia="Calibri" w:cstheme="minorHAnsi"/>
          <w:i/>
          <w:sz w:val="18"/>
          <w:szCs w:val="18"/>
        </w:rPr>
      </w:pPr>
      <w:r>
        <w:rPr>
          <w:rFonts w:eastAsia="Calibri" w:cstheme="minorHAnsi"/>
          <w:i/>
          <w:sz w:val="18"/>
          <w:szCs w:val="18"/>
        </w:rPr>
        <w:t>*status 12.9.2022.; Izvor: MINGOR</w:t>
      </w:r>
    </w:p>
    <w:p w14:paraId="4B783D2A" w14:textId="77777777" w:rsidR="00AE6341" w:rsidRDefault="00AE6341" w:rsidP="00AE6341">
      <w:pPr>
        <w:rPr>
          <w:rFonts w:cstheme="minorHAnsi"/>
        </w:rPr>
      </w:pPr>
      <w:r>
        <w:rPr>
          <w:rFonts w:cstheme="minorHAnsi"/>
        </w:rPr>
        <w:t xml:space="preserve">Kada je riječ o promicanju provjerenih sustava za gospodarenje okolišem, uočen je pozitivan pomak vezano uz sustav ISO 14001 koji je prepoznat kao važan za učinkovito poslovanje sve većeg broja tvrtki. Ipak, ova mjera još uvijek nije u dovoljnoj mjeri primijenjena da bi mogla rezultirati smanjenjem nastanka otpada. </w:t>
      </w:r>
    </w:p>
    <w:p w14:paraId="5ECF62DA" w14:textId="77777777" w:rsidR="00AE6341" w:rsidRDefault="00AE6341" w:rsidP="00AE6341">
      <w:pPr>
        <w:rPr>
          <w:rFonts w:cstheme="minorHAnsi"/>
        </w:rPr>
      </w:pPr>
      <w:r>
        <w:rPr>
          <w:rFonts w:cstheme="minorHAnsi"/>
        </w:rPr>
        <w:t xml:space="preserve">EMAS (eng. Eco-Management </w:t>
      </w:r>
      <w:proofErr w:type="spellStart"/>
      <w:r>
        <w:rPr>
          <w:rFonts w:cstheme="minorHAnsi"/>
        </w:rPr>
        <w:t>and</w:t>
      </w:r>
      <w:proofErr w:type="spellEnd"/>
      <w:r>
        <w:rPr>
          <w:rFonts w:cstheme="minorHAnsi"/>
        </w:rPr>
        <w:t xml:space="preserve"> Audit </w:t>
      </w:r>
      <w:proofErr w:type="spellStart"/>
      <w:r>
        <w:rPr>
          <w:rFonts w:cstheme="minorHAnsi"/>
        </w:rPr>
        <w:t>Scheme</w:t>
      </w:r>
      <w:proofErr w:type="spellEnd"/>
      <w:r>
        <w:rPr>
          <w:rFonts w:cstheme="minorHAnsi"/>
        </w:rPr>
        <w:t>) je certifikat koji označava da je organizacija uvela sustav ekološkog upravljanja i neovisnog ocjenjivanja. Pravila su definirana Uredbom o EMAS-u (EZ) br. 1221/2009, dok su Zakon o zaštiti okoliša i Uredba o EMAS-u (NN, br. 131/2020) omogućili uspostavu nacionalne sheme. EMAS je razvila Europska komisija kao bi potaknula organizacije da primijene visoke standarde zaštite okoliša te da stalno mjere i kontroliraju svoj utjecaj na okoliš i klimu. Temelji se na normi ISO 14001 ali za dobiti EMAS zahtjevi su opsežniji. Sustav EMAS obvezuje organizaciju pratiti potrošnju energije (energetska učinkovitost) i vode, nastanak otpada, emisije stakleničkih plinova i utjecaj na bioraznolikost. Doprinosi smanjenju rizika zbog obveze uspostave operativnih procedura, boljem odnosu sa zaposlenicima (treninzi o EMAS-u) i s vanjskim suradnicima i dobavljačima. Izjave o okolišu se verificiraju i javno objavljuju. Uspostavlja se trajno praćenje usklađenosti s propisima te doprinosi smanjenju troškova poslovanja. Sustav EMAS je namijenjen svim vrstama organizacija, privatnim i javnim koje žele pratiti i smanjivati svoj utjecaj na okoliš. Vodiči za uvođenje EMAS-a izrađeni su za javnu upravu i sektore gospodarenja otpadom, turizam, maloprodaju, proizvodnju hrane i pića, poljoprivredu i dr. Ministarstvo gospodarstva i održivog razvoja kao nadležno tijelo vodi sustav dodjele certifikata EMAS, vodi Povjerenstvo za EMAS, nacionalnu mrežnu stranicu o EMAS-u i registar te provodi informacijsko-edukacijske aktivnosti. Evidentiran je pozitivan pomak vezano za uvođenje EMAS sustava. Tri EMAS organizacije registrirane su u RH u razdoblju 2019.- 2020. godine.</w:t>
      </w:r>
    </w:p>
    <w:p w14:paraId="551022EE" w14:textId="77777777" w:rsidR="00AE6341" w:rsidRDefault="00AE6341" w:rsidP="00AE6341">
      <w:pPr>
        <w:rPr>
          <w:rFonts w:cstheme="minorHAnsi"/>
        </w:rPr>
      </w:pPr>
      <w:r>
        <w:rPr>
          <w:rFonts w:cstheme="minorHAnsi"/>
        </w:rPr>
        <w:t xml:space="preserve">Promicanje korištenja eko-oznaka prepoznato je kao važan i učinkovit alat za implementaciju EU zelenih politika. Direktive 2008/98/EZ definira ovu mjeru kao korisnu za sprječavanje nastanka otpada </w:t>
      </w:r>
      <w:r>
        <w:rPr>
          <w:rFonts w:cstheme="minorHAnsi"/>
        </w:rPr>
        <w:lastRenderedPageBreak/>
        <w:t>(Dodatak IV, točka (13)). Također, promicanje provjerenih sustava za gospodarenje okolišem, EMAS i ISO 14001, definirane su u Dodatku IV, točci (10), Direktive 2008/98/EZ.</w:t>
      </w:r>
    </w:p>
    <w:p w14:paraId="6718E737" w14:textId="1B1496DF" w:rsidR="00AE6341" w:rsidRDefault="00AE6341" w:rsidP="005E34EF">
      <w:pPr>
        <w:pStyle w:val="IRNaslov3"/>
        <w:ind w:left="0" w:firstLine="0"/>
        <w:rPr>
          <w:rFonts w:cstheme="minorHAnsi"/>
        </w:rPr>
      </w:pPr>
      <w:bookmarkStart w:id="387" w:name="_Toc121138188"/>
      <w:bookmarkStart w:id="388" w:name="_Toc123211712"/>
      <w:r>
        <w:rPr>
          <w:rFonts w:cstheme="minorHAnsi"/>
        </w:rPr>
        <w:t>15.</w:t>
      </w:r>
      <w:r w:rsidR="005F1B1C">
        <w:rPr>
          <w:rFonts w:cstheme="minorHAnsi"/>
        </w:rPr>
        <w:t>4</w:t>
      </w:r>
      <w:r>
        <w:rPr>
          <w:rFonts w:cstheme="minorHAnsi"/>
        </w:rPr>
        <w:t>.4. Zelena i održiva javna nabava</w:t>
      </w:r>
      <w:bookmarkEnd w:id="387"/>
      <w:bookmarkEnd w:id="388"/>
    </w:p>
    <w:p w14:paraId="416B1241" w14:textId="77777777" w:rsidR="00AE6341" w:rsidRDefault="00AE6341" w:rsidP="00AE6341">
      <w:pPr>
        <w:rPr>
          <w:rFonts w:cstheme="minorHAnsi"/>
        </w:rPr>
      </w:pPr>
      <w:r>
        <w:rPr>
          <w:rFonts w:cstheme="minorHAnsi"/>
        </w:rPr>
        <w:t>Uvođenjem prakse zelene javne nabave potiče se održiva potrošnja i razvoj tržišta zelenih proizvoda i usluga, odnosno kupovanje proizvoda i usluga koji imaju niži okolišni otisak od uobičajenih proizvoda i usluga. Parametri koji se vrednuju pri definiraju pragova su potrošnja resursa, kemikalije, potrošnja energije, obnovljivi izvori energije, emisije stakleničkih plinova, nastanak otpada i smanjenje količine ambalaže, udio recikliranog materijala, popravljivost proizvoda i dr.</w:t>
      </w:r>
    </w:p>
    <w:p w14:paraId="43A82952" w14:textId="29678A90" w:rsidR="00AE6341" w:rsidRDefault="00AE6341" w:rsidP="00AE6341">
      <w:pPr>
        <w:rPr>
          <w:rFonts w:cstheme="minorHAnsi"/>
        </w:rPr>
      </w:pPr>
      <w:r>
        <w:rPr>
          <w:rFonts w:cstheme="minorHAnsi"/>
        </w:rPr>
        <w:t>Zakon o javnoj nabavi (NN, br. 120/16</w:t>
      </w:r>
      <w:r w:rsidR="00280EDD">
        <w:rPr>
          <w:rFonts w:cstheme="minorHAnsi"/>
        </w:rPr>
        <w:t>, 114/22</w:t>
      </w:r>
      <w:r>
        <w:rPr>
          <w:rFonts w:cstheme="minorHAnsi"/>
        </w:rPr>
        <w:t>) propisuje isključivo ekonomski najpovoljniju ponudu kao kriterij za odabir ponude, čime je omogućeno uključivanje mjerila zelene javne nabave u postupke javne nabave. Nadalje, na sjednici Vlade RH održanoj u svibnju 2021. godine donesena je Odluka o zelenoj javnoj nabavi u postupcima središnje javne nabave (OG 49/2021). Ovom Odlukom se dala obveza Središnjem državnom uredu za središnju javnu nabavu, kao četvrtom po veličini javnom naručitelju u Hrvatskoj da provodi zelenu javnu  nabavu a naročito za uredski materijal, potrošni materijal, računala i računalnu oprema, motorna vozila i opskrbu električnom energijom.</w:t>
      </w:r>
    </w:p>
    <w:p w14:paraId="2546033C" w14:textId="7B6BF25C" w:rsidR="00AE6341" w:rsidRDefault="00AE6341" w:rsidP="00AE6341">
      <w:pPr>
        <w:rPr>
          <w:rFonts w:cstheme="minorHAnsi"/>
        </w:rPr>
      </w:pPr>
      <w:r>
        <w:rPr>
          <w:rFonts w:cstheme="minorHAnsi"/>
        </w:rPr>
        <w:t>Statističko izvješće o javnoj nabavi izrađuje se od 2007. godine, a podatak o zelenoj javnoj nabavi, prati se zasebno od 2015. godine. Broj ugovora u kojima je korišten kriterij zelene javne nabave naglo je rastao do 2019. godine dok je u 2020. zabilježen blagi pad od 2 % u odnosu na prethodnu godinu, ali uz porast vrijednosti tako sklopljenih ugovora od 45 %. Tijekom 2021. evidentira se daljnji porast broja „zelenih ugovora“. U odnosu na 2020. godinu (1.692 ugovor) objavljeno je 800 ugovora više što je povećanje od 47%. Udio „zelenih ugovora“ u ukupnom broju sklopljenih ugovora za 2021. godinu iznosi 9%. Ipak, zabilježen je pad vrijednosti ugovora tijekom 2021. godine u odnosu na vrijednost sklopljenih „zelenih ugovora“ prethodne godine od 8% (vrijednost „zelenih ugovora“ u 2020. godini iznosi</w:t>
      </w:r>
      <w:r w:rsidR="00AD0869">
        <w:rPr>
          <w:rFonts w:cstheme="minorHAnsi"/>
        </w:rPr>
        <w:t xml:space="preserve"> 815.421.664,21 EUR</w:t>
      </w:r>
      <w:r>
        <w:rPr>
          <w:rFonts w:cstheme="minorHAnsi"/>
        </w:rPr>
        <w:t xml:space="preserve"> </w:t>
      </w:r>
      <w:r w:rsidR="00AD0869">
        <w:rPr>
          <w:rFonts w:cstheme="minorHAnsi"/>
        </w:rPr>
        <w:t>(</w:t>
      </w:r>
      <w:r>
        <w:rPr>
          <w:rFonts w:cstheme="minorHAnsi"/>
        </w:rPr>
        <w:t>6.143.794.529 kn</w:t>
      </w:r>
      <w:r w:rsidR="00AD0869">
        <w:rPr>
          <w:rFonts w:cstheme="minorHAnsi"/>
        </w:rPr>
        <w:t>)</w:t>
      </w:r>
      <w:r>
        <w:rPr>
          <w:rFonts w:cstheme="minorHAnsi"/>
        </w:rPr>
        <w:t xml:space="preserve"> dok je ista u 2021. </w:t>
      </w:r>
      <w:r w:rsidR="00AD0869">
        <w:rPr>
          <w:rFonts w:cstheme="minorHAnsi"/>
        </w:rPr>
        <w:t>752.960.358,09 EUR (</w:t>
      </w:r>
      <w:r>
        <w:rPr>
          <w:rFonts w:cstheme="minorHAnsi"/>
        </w:rPr>
        <w:t>5.673.179.818 kn</w:t>
      </w:r>
      <w:r w:rsidR="00AD0869">
        <w:rPr>
          <w:rFonts w:cstheme="minorHAnsi"/>
        </w:rPr>
        <w:t>)</w:t>
      </w:r>
      <w:r>
        <w:rPr>
          <w:rFonts w:cstheme="minorHAnsi"/>
        </w:rPr>
        <w:t xml:space="preserve">, bez PDV-a). </w:t>
      </w:r>
    </w:p>
    <w:p w14:paraId="09F6E37A" w14:textId="77777777" w:rsidR="00AE6341" w:rsidRDefault="00AE6341" w:rsidP="00AE6341">
      <w:pPr>
        <w:rPr>
          <w:rFonts w:cstheme="minorHAnsi"/>
        </w:rPr>
      </w:pPr>
      <w:r>
        <w:rPr>
          <w:rFonts w:cstheme="minorHAnsi"/>
        </w:rPr>
        <w:t>Unatoč povećanju broja sklopljenih ugovora, vrijednost ugovora u kojima je korišten kriterij zelene javne nabave iznosi 9 % ukupno sklopljenih ugovora javne nabave u 2021. godini, što je daleko ispod planiranog cilja za 2020. godinu</w:t>
      </w:r>
      <w:r>
        <w:rPr>
          <w:rFonts w:cstheme="minorHAnsi"/>
          <w:sz w:val="18"/>
          <w:szCs w:val="16"/>
          <w:vertAlign w:val="superscript"/>
        </w:rPr>
        <w:footnoteReference w:id="38"/>
      </w:r>
      <w:r>
        <w:rPr>
          <w:rFonts w:cstheme="minorHAnsi"/>
        </w:rPr>
        <w:t xml:space="preserve">, odnosno 50 %. </w:t>
      </w:r>
    </w:p>
    <w:p w14:paraId="78952230" w14:textId="218E5E82" w:rsidR="00280EDD" w:rsidRDefault="00280EDD" w:rsidP="00AE6341">
      <w:pPr>
        <w:rPr>
          <w:rFonts w:cstheme="minorHAnsi"/>
        </w:rPr>
      </w:pPr>
      <w:r w:rsidRPr="00385625">
        <w:rPr>
          <w:rFonts w:cstheme="minorHAnsi"/>
        </w:rPr>
        <w:t>Ministarstvo gospodarstva i održivog razvoja vodi nacionalnu stranicu zelena nabava na kojoj objavljuje novosti, edukacijske materijale, rezultate projekata i primjere dobre prakse</w:t>
      </w:r>
      <w:r>
        <w:rPr>
          <w:rFonts w:cstheme="minorHAnsi"/>
        </w:rPr>
        <w:t>.</w:t>
      </w:r>
    </w:p>
    <w:p w14:paraId="5F816828" w14:textId="77777777" w:rsidR="00AE6341" w:rsidRDefault="00AE6341" w:rsidP="00AE6341">
      <w:pPr>
        <w:rPr>
          <w:rFonts w:cstheme="minorHAnsi"/>
        </w:rPr>
      </w:pPr>
      <w:r>
        <w:rPr>
          <w:rFonts w:cstheme="minorHAnsi"/>
        </w:rPr>
        <w:t xml:space="preserve">Jačanje zelene i održive javne nabave važan je alat kojim se potiče održiva potrošnja i proizvodnja pri čemu se utječe na smanjenje okolišnih pritisaka, između ostalog i nastajanja otpada i smanjenje prisutnosti otrovnih tvari. Zelena javna nabava je važna i za postizanje klimatskih ciljeva (mjera u Strategiji </w:t>
      </w:r>
      <w:proofErr w:type="spellStart"/>
      <w:r>
        <w:rPr>
          <w:rFonts w:cstheme="minorHAnsi"/>
        </w:rPr>
        <w:t>niskougljičnog</w:t>
      </w:r>
      <w:proofErr w:type="spellEnd"/>
      <w:r>
        <w:rPr>
          <w:rFonts w:cstheme="minorHAnsi"/>
        </w:rPr>
        <w:t xml:space="preserve"> gospodarstva Republike Hrvatske do 2030. s pogledom na 2050. godinu i mjera u Nacionalnom akcijskom planu za energetsku učinkovitost). Europski zeleni plan i Akcijski plan za kružno gospodarstvo (2020) prepoznaju javnu nabavu kao važan alat koji sustavno pridonosi ostvarenju EU zelene tranzicije. Također Direktiva 2008/98/EZ (Dodatak IV, točka (15) i Dodatak </w:t>
      </w:r>
      <w:proofErr w:type="spellStart"/>
      <w:r>
        <w:rPr>
          <w:rFonts w:cstheme="minorHAnsi"/>
        </w:rPr>
        <w:t>IVa</w:t>
      </w:r>
      <w:proofErr w:type="spellEnd"/>
      <w:r>
        <w:rPr>
          <w:rFonts w:cstheme="minorHAnsi"/>
        </w:rPr>
        <w:t>, točka (7)) definira integraciju kriterija zaštite okoliša i sprječavanja nastanka otpada u postupcima javnih i korporativnih nabava kao primjer mjere za sprječavanje nastanka otpada i učinkovitu primjenu reda prvenstva u gospodarenju otpadom.</w:t>
      </w:r>
    </w:p>
    <w:p w14:paraId="0285A026" w14:textId="78B16D04" w:rsidR="00AE6341" w:rsidRDefault="00AE6341" w:rsidP="005E34EF">
      <w:pPr>
        <w:pStyle w:val="IRNaslov3"/>
        <w:ind w:left="0" w:firstLine="0"/>
        <w:rPr>
          <w:rFonts w:cstheme="minorHAnsi"/>
        </w:rPr>
      </w:pPr>
      <w:bookmarkStart w:id="389" w:name="_Toc121138189"/>
      <w:bookmarkStart w:id="390" w:name="_Toc123211713"/>
      <w:r>
        <w:rPr>
          <w:rFonts w:cstheme="minorHAnsi"/>
        </w:rPr>
        <w:lastRenderedPageBreak/>
        <w:t>15.</w:t>
      </w:r>
      <w:r w:rsidR="005F1B1C">
        <w:rPr>
          <w:rFonts w:cstheme="minorHAnsi"/>
        </w:rPr>
        <w:t>4</w:t>
      </w:r>
      <w:r>
        <w:rPr>
          <w:rFonts w:cstheme="minorHAnsi"/>
        </w:rPr>
        <w:t xml:space="preserve">.5. Provedba </w:t>
      </w:r>
      <w:proofErr w:type="spellStart"/>
      <w:r>
        <w:rPr>
          <w:rFonts w:cstheme="minorHAnsi"/>
        </w:rPr>
        <w:t>izobrazno</w:t>
      </w:r>
      <w:proofErr w:type="spellEnd"/>
      <w:r>
        <w:rPr>
          <w:rFonts w:cstheme="minorHAnsi"/>
        </w:rPr>
        <w:t>-informativnih aktivnosti i unaprjeđenje dostupnosti i transparentnosti informacijama o sprječavanju nastanka otpada</w:t>
      </w:r>
      <w:bookmarkEnd w:id="389"/>
      <w:bookmarkEnd w:id="390"/>
    </w:p>
    <w:p w14:paraId="5B5D8E92" w14:textId="77777777" w:rsidR="00AE6341" w:rsidRDefault="00AE6341" w:rsidP="00AE6341">
      <w:pPr>
        <w:rPr>
          <w:rFonts w:cstheme="minorHAnsi"/>
        </w:rPr>
      </w:pPr>
      <w:r>
        <w:rPr>
          <w:rFonts w:cstheme="minorHAnsi"/>
        </w:rPr>
        <w:t xml:space="preserve">Tijekom razdoblja od 2017. do 2021. godine, a nakon usvajanja prvog nacionalnog Plana sprječavanja nastanka otpada za razdoblje 2017. - 2022., intenzivno su se provodile </w:t>
      </w:r>
      <w:proofErr w:type="spellStart"/>
      <w:r>
        <w:rPr>
          <w:rFonts w:cstheme="minorHAnsi"/>
        </w:rPr>
        <w:t>izobrazno</w:t>
      </w:r>
      <w:proofErr w:type="spellEnd"/>
      <w:r>
        <w:rPr>
          <w:rFonts w:cstheme="minorHAnsi"/>
        </w:rPr>
        <w:t>-informativne aktivnosti jačanja svijesti i odgovornosti stručne i šire javnosti, aktivnosti promocije ponovne uporabe proizvoda, aktivnosti praćenja sprječavanja nastanka otpada, omogućavanje uvjeta za razvoj tržišta sekundarnih sirovina i dr., na lokalnoj, regionalnoj i nacionalnoj razini.</w:t>
      </w:r>
    </w:p>
    <w:p w14:paraId="2F335CCC" w14:textId="77777777" w:rsidR="00AE6341" w:rsidRDefault="00AE6341" w:rsidP="00AE6341">
      <w:pPr>
        <w:rPr>
          <w:rFonts w:cstheme="minorHAnsi"/>
          <w:color w:val="FF0000"/>
        </w:rPr>
      </w:pPr>
      <w:r>
        <w:rPr>
          <w:rFonts w:cstheme="minorHAnsi"/>
        </w:rPr>
        <w:t xml:space="preserve">Na nacionalnoj razini FZOEU je proveo i pripremio nekoliko nacionalnih kampanja i projekata s ciljem </w:t>
      </w:r>
      <w:r>
        <w:rPr>
          <w:rFonts w:cstheme="minorHAnsi"/>
          <w:b/>
          <w:bCs/>
        </w:rPr>
        <w:t xml:space="preserve">izobrazbe i informiranja javnosti </w:t>
      </w:r>
      <w:r>
        <w:rPr>
          <w:rFonts w:cstheme="minorHAnsi"/>
        </w:rPr>
        <w:t xml:space="preserve">usmjerenih na poticanje ponovne uporabe, smanjenje nastanka otpada od hrane, smanjenje korištenja jednokratnih plastičnih vrećica, smanjenje nastanka otpada u vrijeme blagdana i poticanje ponovne uporabe i odvajanja otpada i dr. </w:t>
      </w:r>
    </w:p>
    <w:p w14:paraId="607BBBD9" w14:textId="180FEFDC" w:rsidR="00AE6341" w:rsidRDefault="00AE6341" w:rsidP="00AE6341">
      <w:pPr>
        <w:pStyle w:val="Tablica"/>
      </w:pPr>
      <w:bookmarkStart w:id="391" w:name="_Toc125364463"/>
      <w:r>
        <w:t xml:space="preserve">Tablica </w:t>
      </w:r>
      <w:fldSimple w:instr=" SEQ Tablica \* ARABIC ">
        <w:r w:rsidR="00F37B62">
          <w:rPr>
            <w:noProof/>
          </w:rPr>
          <w:t>74</w:t>
        </w:r>
      </w:fldSimple>
      <w:r>
        <w:t xml:space="preserve">. </w:t>
      </w:r>
      <w:r>
        <w:rPr>
          <w:b w:val="0"/>
          <w:bCs/>
        </w:rPr>
        <w:t>Pregled kampanja i projekata na temu sprječavanja nastanka otpada organiziranih od strane FZOEU</w:t>
      </w:r>
      <w:bookmarkEnd w:id="391"/>
    </w:p>
    <w:tbl>
      <w:tblPr>
        <w:tblStyle w:val="Reetkatablice"/>
        <w:tblW w:w="9209" w:type="dxa"/>
        <w:tblLook w:val="04A0" w:firstRow="1" w:lastRow="0" w:firstColumn="1" w:lastColumn="0" w:noHBand="0" w:noVBand="1"/>
      </w:tblPr>
      <w:tblGrid>
        <w:gridCol w:w="3321"/>
        <w:gridCol w:w="1636"/>
        <w:gridCol w:w="4252"/>
      </w:tblGrid>
      <w:tr w:rsidR="00AE6341" w14:paraId="4396E5B6" w14:textId="77777777" w:rsidTr="00AE6341">
        <w:trPr>
          <w:tblHeader/>
        </w:trPr>
        <w:tc>
          <w:tcPr>
            <w:tcW w:w="3321" w:type="dxa"/>
            <w:tcBorders>
              <w:top w:val="single" w:sz="4" w:space="0" w:color="auto"/>
              <w:left w:val="single" w:sz="4" w:space="0" w:color="auto"/>
              <w:bottom w:val="single" w:sz="4" w:space="0" w:color="auto"/>
              <w:right w:val="single" w:sz="4" w:space="0" w:color="auto"/>
            </w:tcBorders>
            <w:shd w:val="clear" w:color="auto" w:fill="002060"/>
            <w:hideMark/>
          </w:tcPr>
          <w:p w14:paraId="05E26773" w14:textId="77777777" w:rsidR="00AE6341" w:rsidRDefault="00AE6341">
            <w:pPr>
              <w:rPr>
                <w:rFonts w:eastAsia="Calibri" w:cstheme="minorHAnsi"/>
                <w:b/>
                <w:color w:val="FFFFFF" w:themeColor="background1"/>
                <w:sz w:val="18"/>
                <w:szCs w:val="18"/>
              </w:rPr>
            </w:pPr>
            <w:r>
              <w:rPr>
                <w:rFonts w:eastAsia="Calibri" w:cstheme="minorHAnsi"/>
                <w:b/>
                <w:color w:val="FFFFFF" w:themeColor="background1"/>
                <w:sz w:val="18"/>
                <w:szCs w:val="18"/>
              </w:rPr>
              <w:t>Naziv kampanje/projekta</w:t>
            </w:r>
          </w:p>
        </w:tc>
        <w:tc>
          <w:tcPr>
            <w:tcW w:w="1636" w:type="dxa"/>
            <w:tcBorders>
              <w:top w:val="single" w:sz="4" w:space="0" w:color="auto"/>
              <w:left w:val="single" w:sz="4" w:space="0" w:color="auto"/>
              <w:bottom w:val="single" w:sz="4" w:space="0" w:color="auto"/>
              <w:right w:val="single" w:sz="4" w:space="0" w:color="auto"/>
            </w:tcBorders>
            <w:shd w:val="clear" w:color="auto" w:fill="002060"/>
            <w:hideMark/>
          </w:tcPr>
          <w:p w14:paraId="59A764AB" w14:textId="77777777" w:rsidR="00AE6341" w:rsidRDefault="00AE6341">
            <w:pPr>
              <w:jc w:val="center"/>
              <w:rPr>
                <w:rFonts w:eastAsia="Calibri" w:cstheme="minorHAnsi"/>
                <w:b/>
                <w:color w:val="FFFFFF" w:themeColor="background1"/>
                <w:sz w:val="18"/>
                <w:szCs w:val="18"/>
              </w:rPr>
            </w:pPr>
            <w:r>
              <w:rPr>
                <w:rFonts w:eastAsia="Calibri" w:cstheme="minorHAnsi"/>
                <w:b/>
                <w:color w:val="FFFFFF" w:themeColor="background1"/>
                <w:sz w:val="18"/>
                <w:szCs w:val="18"/>
              </w:rPr>
              <w:t>Godina provedbe</w:t>
            </w:r>
          </w:p>
        </w:tc>
        <w:tc>
          <w:tcPr>
            <w:tcW w:w="4252" w:type="dxa"/>
            <w:tcBorders>
              <w:top w:val="single" w:sz="4" w:space="0" w:color="auto"/>
              <w:left w:val="single" w:sz="4" w:space="0" w:color="auto"/>
              <w:bottom w:val="single" w:sz="4" w:space="0" w:color="auto"/>
              <w:right w:val="single" w:sz="4" w:space="0" w:color="auto"/>
            </w:tcBorders>
            <w:shd w:val="clear" w:color="auto" w:fill="002060"/>
            <w:hideMark/>
          </w:tcPr>
          <w:p w14:paraId="05CDCF50" w14:textId="77777777" w:rsidR="00AE6341" w:rsidRDefault="00AE6341">
            <w:pPr>
              <w:jc w:val="center"/>
              <w:rPr>
                <w:rFonts w:eastAsia="Calibri" w:cstheme="minorHAnsi"/>
                <w:b/>
                <w:color w:val="FFFFFF" w:themeColor="background1"/>
                <w:sz w:val="18"/>
                <w:szCs w:val="18"/>
              </w:rPr>
            </w:pPr>
            <w:r>
              <w:rPr>
                <w:rFonts w:eastAsia="Calibri" w:cstheme="minorHAnsi"/>
                <w:b/>
                <w:color w:val="FFFFFF" w:themeColor="background1"/>
                <w:sz w:val="18"/>
                <w:szCs w:val="18"/>
              </w:rPr>
              <w:t>Cilj/svrha</w:t>
            </w:r>
          </w:p>
        </w:tc>
      </w:tr>
      <w:tr w:rsidR="00AE6341" w14:paraId="6A88FE0F" w14:textId="77777777" w:rsidTr="00AE6341">
        <w:tc>
          <w:tcPr>
            <w:tcW w:w="3321" w:type="dxa"/>
            <w:tcBorders>
              <w:top w:val="single" w:sz="4" w:space="0" w:color="auto"/>
              <w:left w:val="single" w:sz="4" w:space="0" w:color="auto"/>
              <w:bottom w:val="single" w:sz="4" w:space="0" w:color="auto"/>
              <w:right w:val="single" w:sz="4" w:space="0" w:color="auto"/>
            </w:tcBorders>
            <w:hideMark/>
          </w:tcPr>
          <w:p w14:paraId="0EF7530F" w14:textId="77777777" w:rsidR="00AE6341" w:rsidRDefault="00AE6341">
            <w:pPr>
              <w:rPr>
                <w:rFonts w:eastAsia="Times New Roman" w:cstheme="minorHAnsi"/>
                <w:sz w:val="18"/>
                <w:szCs w:val="18"/>
                <w:lang w:eastAsia="hr-HR"/>
              </w:rPr>
            </w:pPr>
            <w:r>
              <w:rPr>
                <w:rFonts w:eastAsia="Times New Roman" w:cstheme="minorHAnsi"/>
                <w:sz w:val="18"/>
                <w:szCs w:val="18"/>
                <w:lang w:eastAsia="hr-HR"/>
              </w:rPr>
              <w:t>Kampanja „I bez ukrasnog papira dar u srce dira“</w:t>
            </w:r>
          </w:p>
        </w:tc>
        <w:tc>
          <w:tcPr>
            <w:tcW w:w="1636" w:type="dxa"/>
            <w:tcBorders>
              <w:top w:val="single" w:sz="4" w:space="0" w:color="auto"/>
              <w:left w:val="single" w:sz="4" w:space="0" w:color="auto"/>
              <w:bottom w:val="single" w:sz="4" w:space="0" w:color="auto"/>
              <w:right w:val="single" w:sz="4" w:space="0" w:color="auto"/>
            </w:tcBorders>
            <w:hideMark/>
          </w:tcPr>
          <w:p w14:paraId="413A150E" w14:textId="77777777" w:rsidR="00AE6341" w:rsidRDefault="00AE6341">
            <w:pPr>
              <w:rPr>
                <w:rFonts w:eastAsia="Calibri" w:cstheme="minorHAnsi"/>
                <w:sz w:val="18"/>
                <w:szCs w:val="18"/>
              </w:rPr>
            </w:pPr>
            <w:r>
              <w:rPr>
                <w:rFonts w:eastAsia="Calibri" w:cstheme="minorHAnsi"/>
                <w:sz w:val="18"/>
                <w:szCs w:val="18"/>
              </w:rPr>
              <w:t xml:space="preserve">2019. </w:t>
            </w:r>
          </w:p>
        </w:tc>
        <w:tc>
          <w:tcPr>
            <w:tcW w:w="4252" w:type="dxa"/>
            <w:tcBorders>
              <w:top w:val="single" w:sz="4" w:space="0" w:color="auto"/>
              <w:left w:val="single" w:sz="4" w:space="0" w:color="auto"/>
              <w:bottom w:val="single" w:sz="4" w:space="0" w:color="auto"/>
              <w:right w:val="single" w:sz="4" w:space="0" w:color="auto"/>
            </w:tcBorders>
            <w:hideMark/>
          </w:tcPr>
          <w:p w14:paraId="6C46932C" w14:textId="77777777" w:rsidR="00AE6341" w:rsidRDefault="00AE6341">
            <w:pPr>
              <w:rPr>
                <w:rFonts w:eastAsia="Calibri" w:cstheme="minorHAnsi"/>
                <w:sz w:val="18"/>
                <w:szCs w:val="18"/>
              </w:rPr>
            </w:pPr>
            <w:r>
              <w:rPr>
                <w:rFonts w:eastAsia="Calibri" w:cstheme="minorHAnsi"/>
                <w:sz w:val="18"/>
                <w:szCs w:val="18"/>
              </w:rPr>
              <w:t>Usmjerena na smanjenje nastanka otpada u vrijeme blagdana i poticanje ponovne uporabe i odvajanja otpada</w:t>
            </w:r>
          </w:p>
        </w:tc>
      </w:tr>
      <w:tr w:rsidR="00AE6341" w14:paraId="326600A7" w14:textId="77777777" w:rsidTr="00AE6341">
        <w:tc>
          <w:tcPr>
            <w:tcW w:w="3321" w:type="dxa"/>
            <w:tcBorders>
              <w:top w:val="single" w:sz="4" w:space="0" w:color="auto"/>
              <w:left w:val="single" w:sz="4" w:space="0" w:color="auto"/>
              <w:bottom w:val="single" w:sz="4" w:space="0" w:color="auto"/>
              <w:right w:val="single" w:sz="4" w:space="0" w:color="auto"/>
            </w:tcBorders>
            <w:hideMark/>
          </w:tcPr>
          <w:p w14:paraId="2487880D" w14:textId="77777777" w:rsidR="00AE6341" w:rsidRDefault="00AE6341">
            <w:pPr>
              <w:rPr>
                <w:rFonts w:eastAsia="Calibri" w:cstheme="minorHAnsi"/>
                <w:sz w:val="18"/>
                <w:szCs w:val="18"/>
              </w:rPr>
            </w:pPr>
            <w:r>
              <w:rPr>
                <w:rFonts w:eastAsia="Times New Roman" w:cstheme="minorHAnsi"/>
                <w:sz w:val="18"/>
                <w:szCs w:val="18"/>
                <w:lang w:eastAsia="hr-HR"/>
              </w:rPr>
              <w:t>Kampanja “Za ljepšu našu“. </w:t>
            </w:r>
          </w:p>
        </w:tc>
        <w:tc>
          <w:tcPr>
            <w:tcW w:w="1636" w:type="dxa"/>
            <w:tcBorders>
              <w:top w:val="single" w:sz="4" w:space="0" w:color="auto"/>
              <w:left w:val="single" w:sz="4" w:space="0" w:color="auto"/>
              <w:bottom w:val="single" w:sz="4" w:space="0" w:color="auto"/>
              <w:right w:val="single" w:sz="4" w:space="0" w:color="auto"/>
            </w:tcBorders>
            <w:hideMark/>
          </w:tcPr>
          <w:p w14:paraId="7E7B2533" w14:textId="77777777" w:rsidR="00AE6341" w:rsidRDefault="00AE6341">
            <w:pPr>
              <w:rPr>
                <w:rFonts w:eastAsia="Calibri" w:cstheme="minorHAnsi"/>
                <w:sz w:val="18"/>
                <w:szCs w:val="18"/>
              </w:rPr>
            </w:pPr>
            <w:r>
              <w:rPr>
                <w:rFonts w:eastAsia="Calibri" w:cstheme="minorHAnsi"/>
                <w:sz w:val="18"/>
                <w:szCs w:val="18"/>
              </w:rPr>
              <w:t>Od 2019. nadalje</w:t>
            </w:r>
          </w:p>
        </w:tc>
        <w:tc>
          <w:tcPr>
            <w:tcW w:w="4252" w:type="dxa"/>
            <w:tcBorders>
              <w:top w:val="single" w:sz="4" w:space="0" w:color="auto"/>
              <w:left w:val="single" w:sz="4" w:space="0" w:color="auto"/>
              <w:bottom w:val="single" w:sz="4" w:space="0" w:color="auto"/>
              <w:right w:val="single" w:sz="4" w:space="0" w:color="auto"/>
            </w:tcBorders>
          </w:tcPr>
          <w:p w14:paraId="554F047F" w14:textId="77777777" w:rsidR="00AE6341" w:rsidRDefault="00AE6341">
            <w:pPr>
              <w:rPr>
                <w:rFonts w:eastAsia="Calibri" w:cstheme="minorHAnsi"/>
                <w:sz w:val="18"/>
                <w:szCs w:val="18"/>
              </w:rPr>
            </w:pPr>
            <w:r>
              <w:rPr>
                <w:rFonts w:eastAsia="Calibri" w:cstheme="minorHAnsi"/>
                <w:sz w:val="18"/>
                <w:szCs w:val="18"/>
              </w:rPr>
              <w:t>Kampanja je provedena s ciljem povećanja svjesnosti o značaju održivog gospodarenja otpadom te poticanja građana da s otpadom postupaju ispravno i odgovorno. U sklopu navedene kampanje uspostavljena je i vodi se i Facebook stranica koja broji gotovo 12.000 pratitelja.</w:t>
            </w:r>
          </w:p>
          <w:p w14:paraId="536C566D" w14:textId="77777777" w:rsidR="00AE6341" w:rsidRDefault="00AE6341">
            <w:pPr>
              <w:rPr>
                <w:rFonts w:eastAsia="Calibri" w:cstheme="minorHAnsi"/>
                <w:sz w:val="18"/>
                <w:szCs w:val="18"/>
              </w:rPr>
            </w:pPr>
          </w:p>
          <w:p w14:paraId="7E3C68B6" w14:textId="77777777" w:rsidR="00AE6341" w:rsidRDefault="00AE6341">
            <w:pPr>
              <w:rPr>
                <w:rFonts w:eastAsia="Calibri" w:cstheme="minorHAnsi"/>
                <w:sz w:val="18"/>
                <w:szCs w:val="18"/>
              </w:rPr>
            </w:pPr>
            <w:r>
              <w:rPr>
                <w:rFonts w:eastAsia="Calibri" w:cstheme="minorHAnsi"/>
                <w:sz w:val="18"/>
                <w:szCs w:val="18"/>
              </w:rPr>
              <w:t>Komunikacijom putem ove društvene mreže potiče se građane na odvajanje (pravilno odvajanje) otpada, na smanjenje nastanka otpada (svih vrsta, uključujući otpada od hrane) kroz poticanje ponovne uporabe i odgovornog kupovanja i ophođenja sa stvarima, razmjenu ideja i savjeta po pitanju odgovornog ponašanja prema okolišu.</w:t>
            </w:r>
          </w:p>
          <w:p w14:paraId="6E8A1B81" w14:textId="77777777" w:rsidR="00AE6341" w:rsidRDefault="00AE6341">
            <w:pPr>
              <w:rPr>
                <w:rFonts w:eastAsia="Calibri" w:cstheme="minorHAnsi"/>
                <w:sz w:val="18"/>
                <w:szCs w:val="18"/>
              </w:rPr>
            </w:pPr>
          </w:p>
          <w:p w14:paraId="434E1AC6" w14:textId="77777777" w:rsidR="00AE6341" w:rsidRDefault="00AE6341">
            <w:pPr>
              <w:rPr>
                <w:rFonts w:eastAsia="Calibri" w:cstheme="minorHAnsi"/>
                <w:sz w:val="18"/>
                <w:szCs w:val="18"/>
              </w:rPr>
            </w:pPr>
            <w:r>
              <w:rPr>
                <w:rFonts w:eastAsia="Calibri" w:cstheme="minorHAnsi"/>
                <w:sz w:val="18"/>
                <w:szCs w:val="18"/>
              </w:rPr>
              <w:t>Kampanja se u 2022. godini provodi i putem oglasnih površina u osnovnim i srednjim školama. Planirano trajanje je do kraja 2022. godine.</w:t>
            </w:r>
          </w:p>
          <w:p w14:paraId="266601F6" w14:textId="77777777" w:rsidR="00AE6341" w:rsidRDefault="00AE6341">
            <w:pPr>
              <w:rPr>
                <w:rFonts w:eastAsia="Calibri" w:cstheme="minorHAnsi"/>
                <w:sz w:val="18"/>
                <w:szCs w:val="18"/>
              </w:rPr>
            </w:pPr>
          </w:p>
        </w:tc>
      </w:tr>
      <w:tr w:rsidR="00AE6341" w14:paraId="2EF08DBC" w14:textId="77777777" w:rsidTr="00AE6341">
        <w:tc>
          <w:tcPr>
            <w:tcW w:w="3321" w:type="dxa"/>
            <w:tcBorders>
              <w:top w:val="single" w:sz="4" w:space="0" w:color="auto"/>
              <w:left w:val="single" w:sz="4" w:space="0" w:color="auto"/>
              <w:bottom w:val="single" w:sz="4" w:space="0" w:color="auto"/>
              <w:right w:val="single" w:sz="4" w:space="0" w:color="auto"/>
            </w:tcBorders>
            <w:hideMark/>
          </w:tcPr>
          <w:p w14:paraId="0E33C8AF" w14:textId="77777777" w:rsidR="00AE6341" w:rsidRDefault="00AE6341">
            <w:pPr>
              <w:rPr>
                <w:rFonts w:eastAsia="Times New Roman" w:cstheme="minorHAnsi"/>
                <w:sz w:val="18"/>
                <w:szCs w:val="18"/>
                <w:lang w:eastAsia="hr-HR"/>
              </w:rPr>
            </w:pPr>
            <w:r>
              <w:rPr>
                <w:rFonts w:eastAsia="Times New Roman" w:cstheme="minorHAnsi"/>
                <w:sz w:val="18"/>
                <w:szCs w:val="18"/>
                <w:lang w:eastAsia="hr-HR"/>
              </w:rPr>
              <w:t>Kampanja „Od starog novo, za dar od srca“</w:t>
            </w:r>
          </w:p>
        </w:tc>
        <w:tc>
          <w:tcPr>
            <w:tcW w:w="1636" w:type="dxa"/>
            <w:tcBorders>
              <w:top w:val="single" w:sz="4" w:space="0" w:color="auto"/>
              <w:left w:val="single" w:sz="4" w:space="0" w:color="auto"/>
              <w:bottom w:val="single" w:sz="4" w:space="0" w:color="auto"/>
              <w:right w:val="single" w:sz="4" w:space="0" w:color="auto"/>
            </w:tcBorders>
            <w:hideMark/>
          </w:tcPr>
          <w:p w14:paraId="73A69605" w14:textId="77777777" w:rsidR="00AE6341" w:rsidRDefault="00AE6341">
            <w:pPr>
              <w:rPr>
                <w:rFonts w:eastAsia="Calibri" w:cstheme="minorHAnsi"/>
                <w:sz w:val="18"/>
                <w:szCs w:val="18"/>
              </w:rPr>
            </w:pPr>
            <w:r>
              <w:rPr>
                <w:rFonts w:eastAsia="Calibri" w:cstheme="minorHAnsi"/>
                <w:sz w:val="18"/>
                <w:szCs w:val="18"/>
              </w:rPr>
              <w:t>2020./2021.</w:t>
            </w:r>
          </w:p>
        </w:tc>
        <w:tc>
          <w:tcPr>
            <w:tcW w:w="4252" w:type="dxa"/>
            <w:tcBorders>
              <w:top w:val="single" w:sz="4" w:space="0" w:color="auto"/>
              <w:left w:val="single" w:sz="4" w:space="0" w:color="auto"/>
              <w:bottom w:val="single" w:sz="4" w:space="0" w:color="auto"/>
              <w:right w:val="single" w:sz="4" w:space="0" w:color="auto"/>
            </w:tcBorders>
            <w:hideMark/>
          </w:tcPr>
          <w:p w14:paraId="58D643B6" w14:textId="77777777" w:rsidR="00AE6341" w:rsidRDefault="00AE6341">
            <w:pPr>
              <w:rPr>
                <w:rFonts w:eastAsia="Calibri" w:cstheme="minorHAnsi"/>
                <w:sz w:val="18"/>
                <w:szCs w:val="18"/>
              </w:rPr>
            </w:pPr>
            <w:r>
              <w:rPr>
                <w:rFonts w:eastAsia="Calibri" w:cstheme="minorHAnsi"/>
                <w:sz w:val="18"/>
                <w:szCs w:val="18"/>
              </w:rPr>
              <w:t>Namijenjena djeci osnovnih i srednjih škola, kojom ih se želi potaknuti da na zabavan i zanimljiv način otkriju vrijednosti starih i odbačenih stvari te ih višekratno koriste i tako utječu na smanjenje otpada. Riječ je o nagradnom natječaju u kojem sudjeluju škole.</w:t>
            </w:r>
          </w:p>
        </w:tc>
      </w:tr>
      <w:tr w:rsidR="00AE6341" w14:paraId="62A1BFE4" w14:textId="77777777" w:rsidTr="00AE6341">
        <w:tc>
          <w:tcPr>
            <w:tcW w:w="3321" w:type="dxa"/>
            <w:tcBorders>
              <w:top w:val="single" w:sz="4" w:space="0" w:color="auto"/>
              <w:left w:val="single" w:sz="4" w:space="0" w:color="auto"/>
              <w:bottom w:val="single" w:sz="4" w:space="0" w:color="auto"/>
              <w:right w:val="single" w:sz="4" w:space="0" w:color="auto"/>
            </w:tcBorders>
            <w:hideMark/>
          </w:tcPr>
          <w:p w14:paraId="5D7A3F5C" w14:textId="77777777" w:rsidR="00AE6341" w:rsidRDefault="00AE6341">
            <w:pPr>
              <w:rPr>
                <w:rFonts w:eastAsia="Calibri" w:cstheme="minorHAnsi"/>
                <w:sz w:val="18"/>
                <w:szCs w:val="18"/>
              </w:rPr>
            </w:pPr>
            <w:r>
              <w:rPr>
                <w:rFonts w:eastAsia="Calibri" w:cstheme="minorHAnsi"/>
                <w:sz w:val="18"/>
                <w:szCs w:val="18"/>
              </w:rPr>
              <w:t>Kampanja „Ne zaboravi me“</w:t>
            </w:r>
          </w:p>
        </w:tc>
        <w:tc>
          <w:tcPr>
            <w:tcW w:w="1636" w:type="dxa"/>
            <w:tcBorders>
              <w:top w:val="single" w:sz="4" w:space="0" w:color="auto"/>
              <w:left w:val="single" w:sz="4" w:space="0" w:color="auto"/>
              <w:bottom w:val="single" w:sz="4" w:space="0" w:color="auto"/>
              <w:right w:val="single" w:sz="4" w:space="0" w:color="auto"/>
            </w:tcBorders>
            <w:hideMark/>
          </w:tcPr>
          <w:p w14:paraId="35DD9300" w14:textId="77777777" w:rsidR="00AE6341" w:rsidRDefault="00AE6341">
            <w:pPr>
              <w:rPr>
                <w:rFonts w:eastAsia="Calibri" w:cstheme="minorHAnsi"/>
                <w:sz w:val="18"/>
                <w:szCs w:val="18"/>
              </w:rPr>
            </w:pPr>
            <w:r>
              <w:rPr>
                <w:rFonts w:eastAsia="Calibri" w:cstheme="minorHAnsi"/>
                <w:sz w:val="18"/>
                <w:szCs w:val="18"/>
              </w:rPr>
              <w:t>2021.</w:t>
            </w:r>
          </w:p>
        </w:tc>
        <w:tc>
          <w:tcPr>
            <w:tcW w:w="4252" w:type="dxa"/>
            <w:tcBorders>
              <w:top w:val="single" w:sz="4" w:space="0" w:color="auto"/>
              <w:left w:val="single" w:sz="4" w:space="0" w:color="auto"/>
              <w:bottom w:val="single" w:sz="4" w:space="0" w:color="auto"/>
              <w:right w:val="single" w:sz="4" w:space="0" w:color="auto"/>
            </w:tcBorders>
            <w:hideMark/>
          </w:tcPr>
          <w:p w14:paraId="105D3408" w14:textId="77777777" w:rsidR="00AE6341" w:rsidRDefault="00AE6341">
            <w:pPr>
              <w:rPr>
                <w:rFonts w:eastAsia="Calibri" w:cstheme="minorHAnsi"/>
                <w:sz w:val="18"/>
                <w:szCs w:val="18"/>
              </w:rPr>
            </w:pPr>
            <w:r>
              <w:rPr>
                <w:rFonts w:eastAsia="Calibri" w:cstheme="minorHAnsi"/>
                <w:sz w:val="18"/>
                <w:szCs w:val="18"/>
              </w:rPr>
              <w:t>Usmjerena na smanjenje korištenja jednokratnih plastičnih vrećica</w:t>
            </w:r>
          </w:p>
        </w:tc>
      </w:tr>
      <w:tr w:rsidR="00AE6341" w14:paraId="4C250EEB" w14:textId="77777777" w:rsidTr="00AE6341">
        <w:tc>
          <w:tcPr>
            <w:tcW w:w="3321" w:type="dxa"/>
            <w:tcBorders>
              <w:top w:val="single" w:sz="4" w:space="0" w:color="auto"/>
              <w:left w:val="single" w:sz="4" w:space="0" w:color="auto"/>
              <w:bottom w:val="single" w:sz="4" w:space="0" w:color="auto"/>
              <w:right w:val="single" w:sz="4" w:space="0" w:color="auto"/>
            </w:tcBorders>
            <w:hideMark/>
          </w:tcPr>
          <w:p w14:paraId="724B7560" w14:textId="77777777" w:rsidR="00AE6341" w:rsidRDefault="00AE6341">
            <w:pPr>
              <w:rPr>
                <w:rFonts w:eastAsia="Calibri" w:cstheme="minorHAnsi"/>
                <w:sz w:val="18"/>
                <w:szCs w:val="18"/>
              </w:rPr>
            </w:pPr>
            <w:r>
              <w:rPr>
                <w:rFonts w:eastAsia="Calibri" w:cstheme="minorHAnsi"/>
                <w:sz w:val="18"/>
                <w:szCs w:val="18"/>
              </w:rPr>
              <w:t>Kampanja „Moj svijet. Moja odgovornost.“</w:t>
            </w:r>
          </w:p>
        </w:tc>
        <w:tc>
          <w:tcPr>
            <w:tcW w:w="1636" w:type="dxa"/>
            <w:tcBorders>
              <w:top w:val="single" w:sz="4" w:space="0" w:color="auto"/>
              <w:left w:val="single" w:sz="4" w:space="0" w:color="auto"/>
              <w:bottom w:val="single" w:sz="4" w:space="0" w:color="auto"/>
              <w:right w:val="single" w:sz="4" w:space="0" w:color="auto"/>
            </w:tcBorders>
            <w:hideMark/>
          </w:tcPr>
          <w:p w14:paraId="53E2E520" w14:textId="77777777" w:rsidR="00AE6341" w:rsidRDefault="00AE6341">
            <w:pPr>
              <w:rPr>
                <w:rFonts w:eastAsia="Calibri" w:cstheme="minorHAnsi"/>
                <w:sz w:val="18"/>
                <w:szCs w:val="18"/>
              </w:rPr>
            </w:pPr>
            <w:r>
              <w:rPr>
                <w:rFonts w:eastAsia="Calibri" w:cstheme="minorHAnsi"/>
                <w:sz w:val="18"/>
                <w:szCs w:val="18"/>
              </w:rPr>
              <w:t>2021.</w:t>
            </w:r>
          </w:p>
        </w:tc>
        <w:tc>
          <w:tcPr>
            <w:tcW w:w="4252" w:type="dxa"/>
            <w:tcBorders>
              <w:top w:val="single" w:sz="4" w:space="0" w:color="auto"/>
              <w:left w:val="single" w:sz="4" w:space="0" w:color="auto"/>
              <w:bottom w:val="single" w:sz="4" w:space="0" w:color="auto"/>
              <w:right w:val="single" w:sz="4" w:space="0" w:color="auto"/>
            </w:tcBorders>
            <w:hideMark/>
          </w:tcPr>
          <w:p w14:paraId="427CE334" w14:textId="77777777" w:rsidR="00AE6341" w:rsidRDefault="00AE6341">
            <w:pPr>
              <w:rPr>
                <w:rFonts w:eastAsia="Calibri" w:cstheme="minorHAnsi"/>
                <w:sz w:val="18"/>
                <w:szCs w:val="18"/>
              </w:rPr>
            </w:pPr>
            <w:r>
              <w:rPr>
                <w:rFonts w:eastAsia="Calibri" w:cstheme="minorHAnsi"/>
                <w:sz w:val="18"/>
                <w:szCs w:val="18"/>
              </w:rPr>
              <w:t>Usmjerena na podizanje svijesti o očuvanju okoliša.</w:t>
            </w:r>
          </w:p>
        </w:tc>
      </w:tr>
      <w:tr w:rsidR="00AE6341" w14:paraId="28385345" w14:textId="77777777" w:rsidTr="00AE6341">
        <w:tc>
          <w:tcPr>
            <w:tcW w:w="3321" w:type="dxa"/>
            <w:tcBorders>
              <w:top w:val="single" w:sz="4" w:space="0" w:color="auto"/>
              <w:left w:val="single" w:sz="4" w:space="0" w:color="auto"/>
              <w:bottom w:val="single" w:sz="4" w:space="0" w:color="auto"/>
              <w:right w:val="single" w:sz="4" w:space="0" w:color="auto"/>
            </w:tcBorders>
            <w:hideMark/>
          </w:tcPr>
          <w:p w14:paraId="44BA1CB8" w14:textId="77777777" w:rsidR="00AE6341" w:rsidRDefault="00AE6341">
            <w:pPr>
              <w:rPr>
                <w:rFonts w:eastAsia="Calibri" w:cstheme="minorHAnsi"/>
                <w:sz w:val="18"/>
                <w:szCs w:val="18"/>
              </w:rPr>
            </w:pPr>
            <w:r>
              <w:rPr>
                <w:rFonts w:eastAsia="Calibri" w:cstheme="minorHAnsi"/>
                <w:sz w:val="18"/>
                <w:szCs w:val="18"/>
              </w:rPr>
              <w:t>Kampanja namijenjena osvještavanju građana o negativnom utjecaju prekomjernog korištenja plastičnih vrećica.</w:t>
            </w:r>
          </w:p>
        </w:tc>
        <w:tc>
          <w:tcPr>
            <w:tcW w:w="1636" w:type="dxa"/>
            <w:tcBorders>
              <w:top w:val="single" w:sz="4" w:space="0" w:color="auto"/>
              <w:left w:val="single" w:sz="4" w:space="0" w:color="auto"/>
              <w:bottom w:val="single" w:sz="4" w:space="0" w:color="auto"/>
              <w:right w:val="single" w:sz="4" w:space="0" w:color="auto"/>
            </w:tcBorders>
            <w:hideMark/>
          </w:tcPr>
          <w:p w14:paraId="32ECA665" w14:textId="77777777" w:rsidR="00AE6341" w:rsidRDefault="00AE6341">
            <w:pPr>
              <w:rPr>
                <w:rFonts w:eastAsia="Calibri" w:cstheme="minorHAnsi"/>
                <w:sz w:val="18"/>
                <w:szCs w:val="18"/>
              </w:rPr>
            </w:pPr>
            <w:r>
              <w:rPr>
                <w:rFonts w:eastAsia="Calibri" w:cstheme="minorHAnsi"/>
                <w:sz w:val="18"/>
                <w:szCs w:val="18"/>
              </w:rPr>
              <w:t>Listopad 2022.</w:t>
            </w:r>
          </w:p>
        </w:tc>
        <w:tc>
          <w:tcPr>
            <w:tcW w:w="4252" w:type="dxa"/>
            <w:tcBorders>
              <w:top w:val="single" w:sz="4" w:space="0" w:color="auto"/>
              <w:left w:val="single" w:sz="4" w:space="0" w:color="auto"/>
              <w:bottom w:val="single" w:sz="4" w:space="0" w:color="auto"/>
              <w:right w:val="single" w:sz="4" w:space="0" w:color="auto"/>
            </w:tcBorders>
            <w:hideMark/>
          </w:tcPr>
          <w:p w14:paraId="3BB84B94" w14:textId="77777777" w:rsidR="00AE6341" w:rsidRDefault="00AE6341">
            <w:pPr>
              <w:rPr>
                <w:rFonts w:eastAsia="Calibri" w:cstheme="minorHAnsi"/>
                <w:sz w:val="18"/>
                <w:szCs w:val="18"/>
              </w:rPr>
            </w:pPr>
            <w:r>
              <w:rPr>
                <w:rFonts w:eastAsia="Calibri" w:cstheme="minorHAnsi"/>
                <w:sz w:val="18"/>
                <w:szCs w:val="18"/>
              </w:rPr>
              <w:t xml:space="preserve">Pod sloganom „Ako si u modi, održivost te vodi“, napravit će se istraživanje o tome koliko se vrećica prosječno potroši na jednoj zagrebačkoj tržnici subotom ujutro. Temeljem provedenog istraživanja izraditi će se procjena za ukupnu potrošnju takvih vrećica u RH, a sve s ciljem da se građanima ukaže na poželjniju alternativu – višekratne vrećice za voće i povrće te općenito višekratne vrećice, PVC ili tekstilne,. U sklopu kampanje planirane su i aktivnosti na društvenim mrežama poput Instagrama i </w:t>
            </w:r>
            <w:proofErr w:type="spellStart"/>
            <w:r>
              <w:rPr>
                <w:rFonts w:eastAsia="Calibri" w:cstheme="minorHAnsi"/>
                <w:sz w:val="18"/>
                <w:szCs w:val="18"/>
              </w:rPr>
              <w:t>TikToka</w:t>
            </w:r>
            <w:proofErr w:type="spellEnd"/>
            <w:r>
              <w:rPr>
                <w:rFonts w:eastAsia="Calibri" w:cstheme="minorHAnsi"/>
                <w:sz w:val="18"/>
                <w:szCs w:val="18"/>
              </w:rPr>
              <w:t>.</w:t>
            </w:r>
          </w:p>
        </w:tc>
      </w:tr>
      <w:tr w:rsidR="00AE6341" w14:paraId="23BC7DAE" w14:textId="77777777" w:rsidTr="00AE6341">
        <w:tc>
          <w:tcPr>
            <w:tcW w:w="3321" w:type="dxa"/>
            <w:tcBorders>
              <w:top w:val="single" w:sz="4" w:space="0" w:color="auto"/>
              <w:left w:val="single" w:sz="4" w:space="0" w:color="auto"/>
              <w:bottom w:val="single" w:sz="4" w:space="0" w:color="auto"/>
              <w:right w:val="single" w:sz="4" w:space="0" w:color="auto"/>
            </w:tcBorders>
            <w:hideMark/>
          </w:tcPr>
          <w:p w14:paraId="13DF4421" w14:textId="77777777" w:rsidR="00AE6341" w:rsidRDefault="00AE6341">
            <w:pPr>
              <w:rPr>
                <w:rFonts w:eastAsia="Calibri" w:cstheme="minorHAnsi"/>
                <w:sz w:val="18"/>
                <w:szCs w:val="18"/>
              </w:rPr>
            </w:pPr>
            <w:r>
              <w:rPr>
                <w:rFonts w:eastAsia="Calibri" w:cstheme="minorHAnsi"/>
                <w:sz w:val="18"/>
                <w:szCs w:val="18"/>
              </w:rPr>
              <w:t>Pilot projekt „Smanji otpad od hrane, kuhaj za svoje goste</w:t>
            </w:r>
          </w:p>
        </w:tc>
        <w:tc>
          <w:tcPr>
            <w:tcW w:w="1636" w:type="dxa"/>
            <w:tcBorders>
              <w:top w:val="single" w:sz="4" w:space="0" w:color="auto"/>
              <w:left w:val="single" w:sz="4" w:space="0" w:color="auto"/>
              <w:bottom w:val="single" w:sz="4" w:space="0" w:color="auto"/>
              <w:right w:val="single" w:sz="4" w:space="0" w:color="auto"/>
            </w:tcBorders>
            <w:hideMark/>
          </w:tcPr>
          <w:p w14:paraId="77455318" w14:textId="77777777" w:rsidR="00AE6341" w:rsidRDefault="00AE6341">
            <w:pPr>
              <w:rPr>
                <w:rFonts w:eastAsia="Calibri" w:cstheme="minorHAnsi"/>
                <w:sz w:val="18"/>
                <w:szCs w:val="18"/>
              </w:rPr>
            </w:pPr>
            <w:r>
              <w:rPr>
                <w:rFonts w:eastAsia="Calibri" w:cstheme="minorHAnsi"/>
                <w:sz w:val="18"/>
                <w:szCs w:val="18"/>
              </w:rPr>
              <w:t>2021./2022.</w:t>
            </w:r>
          </w:p>
        </w:tc>
        <w:tc>
          <w:tcPr>
            <w:tcW w:w="4252" w:type="dxa"/>
            <w:tcBorders>
              <w:top w:val="single" w:sz="4" w:space="0" w:color="auto"/>
              <w:left w:val="single" w:sz="4" w:space="0" w:color="auto"/>
              <w:bottom w:val="single" w:sz="4" w:space="0" w:color="auto"/>
              <w:right w:val="single" w:sz="4" w:space="0" w:color="auto"/>
            </w:tcBorders>
            <w:hideMark/>
          </w:tcPr>
          <w:p w14:paraId="3991A6E5" w14:textId="77777777" w:rsidR="00AE6341" w:rsidRDefault="00AE6341">
            <w:pPr>
              <w:rPr>
                <w:rFonts w:eastAsia="Calibri" w:cstheme="minorHAnsi"/>
                <w:sz w:val="18"/>
                <w:szCs w:val="18"/>
              </w:rPr>
            </w:pPr>
            <w:r>
              <w:rPr>
                <w:rFonts w:eastAsia="Calibri" w:cstheme="minorHAnsi"/>
                <w:sz w:val="18"/>
                <w:szCs w:val="18"/>
              </w:rPr>
              <w:t xml:space="preserve">Proveden u suradnji s Ministarstvom gospodarstva i održivog razvoja te Ministarstvom turizma i sporta. Cilj projekta je bilo provođenje radnih metoda u hotelskim </w:t>
            </w:r>
            <w:r>
              <w:rPr>
                <w:rFonts w:eastAsia="Calibri" w:cstheme="minorHAnsi"/>
                <w:sz w:val="18"/>
                <w:szCs w:val="18"/>
              </w:rPr>
              <w:lastRenderedPageBreak/>
              <w:t>kuhinjama kojima bi se smanjio biootpad, odnosno otpad od hrane.</w:t>
            </w:r>
          </w:p>
        </w:tc>
      </w:tr>
      <w:tr w:rsidR="00AE6341" w14:paraId="5BBFE39A" w14:textId="77777777" w:rsidTr="00AE6341">
        <w:tc>
          <w:tcPr>
            <w:tcW w:w="3321" w:type="dxa"/>
            <w:tcBorders>
              <w:top w:val="single" w:sz="4" w:space="0" w:color="auto"/>
              <w:left w:val="single" w:sz="4" w:space="0" w:color="auto"/>
              <w:bottom w:val="single" w:sz="4" w:space="0" w:color="auto"/>
              <w:right w:val="single" w:sz="4" w:space="0" w:color="auto"/>
            </w:tcBorders>
            <w:hideMark/>
          </w:tcPr>
          <w:p w14:paraId="112E3190" w14:textId="77777777" w:rsidR="00AE6341" w:rsidRDefault="00AE6341">
            <w:pPr>
              <w:rPr>
                <w:rFonts w:eastAsia="Calibri" w:cstheme="minorHAnsi"/>
                <w:sz w:val="18"/>
                <w:szCs w:val="18"/>
              </w:rPr>
            </w:pPr>
            <w:r>
              <w:rPr>
                <w:rFonts w:eastAsia="Calibri" w:cstheme="minorHAnsi"/>
                <w:sz w:val="18"/>
                <w:szCs w:val="18"/>
              </w:rPr>
              <w:lastRenderedPageBreak/>
              <w:t>Neposredno sufinanciranje projekata poticanja „</w:t>
            </w:r>
            <w:proofErr w:type="spellStart"/>
            <w:r>
              <w:rPr>
                <w:rFonts w:eastAsia="Calibri" w:cstheme="minorHAnsi"/>
                <w:sz w:val="18"/>
                <w:szCs w:val="18"/>
              </w:rPr>
              <w:t>Plastic</w:t>
            </w:r>
            <w:proofErr w:type="spellEnd"/>
            <w:r>
              <w:rPr>
                <w:rFonts w:eastAsia="Calibri" w:cstheme="minorHAnsi"/>
                <w:sz w:val="18"/>
                <w:szCs w:val="18"/>
              </w:rPr>
              <w:t xml:space="preserve"> Free Zone"</w:t>
            </w:r>
          </w:p>
        </w:tc>
        <w:tc>
          <w:tcPr>
            <w:tcW w:w="1636" w:type="dxa"/>
            <w:tcBorders>
              <w:top w:val="single" w:sz="4" w:space="0" w:color="auto"/>
              <w:left w:val="single" w:sz="4" w:space="0" w:color="auto"/>
              <w:bottom w:val="single" w:sz="4" w:space="0" w:color="auto"/>
              <w:right w:val="single" w:sz="4" w:space="0" w:color="auto"/>
            </w:tcBorders>
            <w:hideMark/>
          </w:tcPr>
          <w:p w14:paraId="34302161" w14:textId="77777777" w:rsidR="00AE6341" w:rsidRDefault="00AE6341">
            <w:pPr>
              <w:rPr>
                <w:rFonts w:eastAsia="Calibri" w:cstheme="minorHAnsi"/>
                <w:sz w:val="18"/>
                <w:szCs w:val="18"/>
              </w:rPr>
            </w:pPr>
            <w:r>
              <w:rPr>
                <w:rFonts w:eastAsia="Calibri" w:cstheme="minorHAnsi"/>
                <w:sz w:val="18"/>
                <w:szCs w:val="18"/>
              </w:rPr>
              <w:t>2022.</w:t>
            </w:r>
          </w:p>
        </w:tc>
        <w:tc>
          <w:tcPr>
            <w:tcW w:w="4252" w:type="dxa"/>
            <w:tcBorders>
              <w:top w:val="single" w:sz="4" w:space="0" w:color="auto"/>
              <w:left w:val="single" w:sz="4" w:space="0" w:color="auto"/>
              <w:bottom w:val="single" w:sz="4" w:space="0" w:color="auto"/>
              <w:right w:val="single" w:sz="4" w:space="0" w:color="auto"/>
            </w:tcBorders>
          </w:tcPr>
          <w:p w14:paraId="357D4554" w14:textId="77777777" w:rsidR="00AE6341" w:rsidRDefault="00AE6341">
            <w:pPr>
              <w:rPr>
                <w:rFonts w:eastAsia="Calibri" w:cstheme="minorHAnsi"/>
                <w:sz w:val="18"/>
                <w:szCs w:val="18"/>
              </w:rPr>
            </w:pPr>
            <w:r>
              <w:rPr>
                <w:rFonts w:eastAsia="Calibri" w:cstheme="minorHAnsi"/>
                <w:sz w:val="18"/>
                <w:szCs w:val="18"/>
              </w:rPr>
              <w:t>Usmjereno podupiranju mjera koje doprinose ograničenju korištenja jednokratnih plastičnih proizvoda kao i uklanjanju otpadne plastike i drugih vrsta otpada u zaštićenim područjima prirode.</w:t>
            </w:r>
          </w:p>
          <w:p w14:paraId="21D97F1C" w14:textId="77777777" w:rsidR="00AE6341" w:rsidRDefault="00AE6341">
            <w:pPr>
              <w:rPr>
                <w:rFonts w:eastAsia="Calibri" w:cstheme="minorHAnsi"/>
                <w:sz w:val="18"/>
                <w:szCs w:val="18"/>
              </w:rPr>
            </w:pPr>
          </w:p>
          <w:p w14:paraId="2FEE159D" w14:textId="77777777" w:rsidR="00AE6341" w:rsidRDefault="00AE6341">
            <w:pPr>
              <w:rPr>
                <w:rFonts w:eastAsia="Calibri" w:cstheme="minorHAnsi"/>
                <w:sz w:val="18"/>
                <w:szCs w:val="18"/>
              </w:rPr>
            </w:pPr>
            <w:r>
              <w:rPr>
                <w:rFonts w:eastAsia="Calibri" w:cstheme="minorHAnsi"/>
                <w:sz w:val="18"/>
                <w:szCs w:val="18"/>
              </w:rPr>
              <w:t>Osim opremanja javnih ustanova potrebnom opremom, navedeno uključuje i informiranje, promotivne akcije i edukaciju šire javnosti, djelatnike javnih ustanova, posjetitelja, ugostitelja kao i drugih</w:t>
            </w:r>
            <w:r>
              <w:t xml:space="preserve"> </w:t>
            </w:r>
            <w:r>
              <w:rPr>
                <w:rFonts w:eastAsia="Calibri" w:cstheme="minorHAnsi"/>
                <w:sz w:val="18"/>
                <w:szCs w:val="18"/>
              </w:rPr>
              <w:t>pravnih i fizičkih osoba koje obavljaju svoje usluge u zaštićenim područjima prirode.</w:t>
            </w:r>
          </w:p>
        </w:tc>
      </w:tr>
    </w:tbl>
    <w:p w14:paraId="6B8B744B" w14:textId="77777777" w:rsidR="00AE6341" w:rsidRDefault="00AE6341" w:rsidP="00AE6341">
      <w:pPr>
        <w:tabs>
          <w:tab w:val="left" w:pos="851"/>
        </w:tabs>
        <w:spacing w:after="240" w:line="240" w:lineRule="auto"/>
        <w:rPr>
          <w:rFonts w:eastAsia="Calibri" w:cstheme="minorHAnsi"/>
          <w:i/>
          <w:sz w:val="18"/>
          <w:szCs w:val="18"/>
        </w:rPr>
      </w:pPr>
      <w:r>
        <w:rPr>
          <w:rFonts w:eastAsia="Calibri" w:cstheme="minorHAnsi"/>
          <w:i/>
          <w:sz w:val="18"/>
          <w:szCs w:val="18"/>
        </w:rPr>
        <w:t>Izvor: MINGOR</w:t>
      </w:r>
    </w:p>
    <w:p w14:paraId="5FF949EB" w14:textId="77777777" w:rsidR="00AE6341" w:rsidRDefault="00AE6341" w:rsidP="00AE6341">
      <w:pPr>
        <w:rPr>
          <w:rFonts w:cstheme="minorHAnsi"/>
        </w:rPr>
      </w:pPr>
      <w:r>
        <w:rPr>
          <w:rFonts w:cstheme="minorHAnsi"/>
        </w:rPr>
        <w:t xml:space="preserve">Nadalje, MINGOR je 2017. godine izradilo </w:t>
      </w:r>
      <w:bookmarkStart w:id="392" w:name="_Hlk111474227"/>
      <w:r>
        <w:rPr>
          <w:rFonts w:cstheme="minorHAnsi"/>
          <w:i/>
          <w:iCs/>
        </w:rPr>
        <w:t xml:space="preserve">Program </w:t>
      </w:r>
      <w:proofErr w:type="spellStart"/>
      <w:r>
        <w:rPr>
          <w:rFonts w:cstheme="minorHAnsi"/>
          <w:i/>
          <w:iCs/>
        </w:rPr>
        <w:t>izobrazno</w:t>
      </w:r>
      <w:proofErr w:type="spellEnd"/>
      <w:r>
        <w:rPr>
          <w:rFonts w:cstheme="minorHAnsi"/>
          <w:i/>
          <w:iCs/>
        </w:rPr>
        <w:t>-informativnih aktivnosti o održivom gospodarenju otpadom</w:t>
      </w:r>
      <w:bookmarkEnd w:id="392"/>
      <w:r>
        <w:rPr>
          <w:rFonts w:cstheme="minorHAnsi"/>
        </w:rPr>
        <w:t xml:space="preserve">, a u 2018. godini temeljem javnog poziva započelo s dodjelom bespovratnih sredstava putem programa OPKK 2014-2020 za provedbu ovog Programa. Do kraja 2021. godine sufinanciran je i proveden 91 projekt </w:t>
      </w:r>
      <w:proofErr w:type="spellStart"/>
      <w:r>
        <w:rPr>
          <w:rFonts w:cstheme="minorHAnsi"/>
        </w:rPr>
        <w:t>izobrazno</w:t>
      </w:r>
      <w:proofErr w:type="spellEnd"/>
      <w:r>
        <w:rPr>
          <w:rFonts w:cstheme="minorHAnsi"/>
        </w:rPr>
        <w:t xml:space="preserve"> - informativnih aktivnosti ukupne vrijednosti 53,6 milijuna kuna (7,1 milijuna eura). Korisnici tih projekata su bile JLS, a aktivnosti su se provele na području 300-tinjak JLS-ova. </w:t>
      </w:r>
    </w:p>
    <w:p w14:paraId="7995B321" w14:textId="77777777" w:rsidR="00AE6341" w:rsidRDefault="00AE6341" w:rsidP="00AE6341">
      <w:pPr>
        <w:rPr>
          <w:rFonts w:cstheme="minorHAnsi"/>
        </w:rPr>
      </w:pPr>
      <w:r>
        <w:rPr>
          <w:rFonts w:cstheme="minorHAnsi"/>
        </w:rPr>
        <w:t>Dodatno, MINGOR je u suradnji sa Svjetskom bankom za obnovu i razvoj u sklopu projekta „Tehnička pomoć Ministarstvu gospodarstva i održivog razvoja za održivo gospodarenje otpadom – prijelaz na kružno gospodarstvo“ tijekom 2022. godine, provelo program edukacije i jačanja kapaciteta kroz niz radionica, konzultacijskih sastanka i treninga na temu kružnog gospodarstva u sektoru građevnog otpada. Program edukacije obuhvatio je širok spektar dionika: javna uprava, privatni sektor (predstavnika građevinskog sektora i tvrtki koje obavljaju djelatnost gospodarenja otpadom), akademska zajednica i nevladine organizacije.</w:t>
      </w:r>
    </w:p>
    <w:p w14:paraId="7F05F55E" w14:textId="77777777" w:rsidR="00AE6341" w:rsidRDefault="00AE6341" w:rsidP="00AE6341">
      <w:pPr>
        <w:rPr>
          <w:rFonts w:cstheme="minorHAnsi"/>
        </w:rPr>
      </w:pPr>
      <w:r>
        <w:rPr>
          <w:rFonts w:cstheme="minorHAnsi"/>
        </w:rPr>
        <w:t xml:space="preserve">U svrhu edukacije, praćenja i prikupljanja podataka o projektima i aktivnostima iz područja sprječavanja nastanka otpada 2017. godine pri MINGOR je izrađen </w:t>
      </w:r>
      <w:r>
        <w:rPr>
          <w:rFonts w:cstheme="minorHAnsi"/>
          <w:b/>
          <w:bCs/>
          <w:i/>
          <w:iCs/>
        </w:rPr>
        <w:t>Portal sprječavanja nastanka otpada</w:t>
      </w:r>
      <w:r>
        <w:rPr>
          <w:rFonts w:cstheme="minorHAnsi"/>
          <w:vertAlign w:val="superscript"/>
        </w:rPr>
        <w:footnoteReference w:id="39"/>
      </w:r>
      <w:r>
        <w:rPr>
          <w:rFonts w:cstheme="minorHAnsi"/>
        </w:rPr>
        <w:t xml:space="preserve"> (u daljnjem tekstu: Portal). Portal sadrži opće informacije o temi sprječavanja nastanka otpada, mjerama propisanim nacionalnim planskim dokumentima i propisima te propisima EU, informacije o planiranim i provedenim projektima i aktivnostima sprječavanja nastanka otpada, primjere dobre prakse, a omogućuje i pregled novosti iz ovoga područja. </w:t>
      </w:r>
    </w:p>
    <w:p w14:paraId="22A30512" w14:textId="77777777" w:rsidR="00AE6341" w:rsidRDefault="00AE6341" w:rsidP="00AE6341">
      <w:pPr>
        <w:rPr>
          <w:rFonts w:cstheme="minorHAnsi"/>
        </w:rPr>
      </w:pPr>
      <w:r>
        <w:rPr>
          <w:rFonts w:cstheme="minorHAnsi"/>
        </w:rPr>
        <w:t xml:space="preserve">Također, Portal je koncipiran na način da omogućuje raznim relevantnim dionicima (JLS, nadležnim tijelima, poslovnim subjektima, udrugama i građanima) prijavu aktivnosti koje provode, a koje su usmjerene na sprječavanje nastanka otpada, njegovu ponovnu uporabu ili odvojeno sakupljanje. Na ovaj način omogućen je </w:t>
      </w:r>
      <w:proofErr w:type="spellStart"/>
      <w:r>
        <w:rPr>
          <w:rFonts w:cstheme="minorHAnsi"/>
        </w:rPr>
        <w:t>proaktivan</w:t>
      </w:r>
      <w:proofErr w:type="spellEnd"/>
      <w:r>
        <w:rPr>
          <w:rFonts w:cstheme="minorHAnsi"/>
        </w:rPr>
        <w:t xml:space="preserve"> monitoring aktivnosti sprječavanja nastanka otpada i pristup informacijama o njihovoj provedbi stručnoj i široj javnosti, obzirom da je sažeti prikaz prijavljenih aktivnosti dostupan putem Portala.</w:t>
      </w:r>
    </w:p>
    <w:p w14:paraId="630648FF" w14:textId="10CE8E4E" w:rsidR="00AE6341" w:rsidRDefault="00AE6341" w:rsidP="00AE6341">
      <w:pPr>
        <w:rPr>
          <w:rFonts w:cstheme="minorHAnsi"/>
        </w:rPr>
      </w:pPr>
      <w:r>
        <w:rPr>
          <w:rFonts w:cstheme="minorHAnsi"/>
        </w:rPr>
        <w:t xml:space="preserve">Od uspostave Portala do kraja 2020. godine ukupno je prijavljeno 123 projekata i 956 aktivnosti. Najveći broj aktivnosti/projekata proveden je u 2018. i 2019. godini, kao posljedica objave prethodno spomenutog javnog poziva za provedbu </w:t>
      </w:r>
      <w:r>
        <w:rPr>
          <w:rFonts w:cstheme="minorHAnsi"/>
          <w:i/>
          <w:iCs/>
        </w:rPr>
        <w:t xml:space="preserve">Programa </w:t>
      </w:r>
      <w:proofErr w:type="spellStart"/>
      <w:r>
        <w:rPr>
          <w:rFonts w:cstheme="minorHAnsi"/>
          <w:i/>
          <w:iCs/>
        </w:rPr>
        <w:t>izobrazno</w:t>
      </w:r>
      <w:proofErr w:type="spellEnd"/>
      <w:r>
        <w:rPr>
          <w:rFonts w:cstheme="minorHAnsi"/>
          <w:i/>
          <w:iCs/>
        </w:rPr>
        <w:t>-informativnih aktivnosti o održivom gospodarenju otpadom</w:t>
      </w:r>
      <w:r>
        <w:rPr>
          <w:rFonts w:cstheme="minorHAnsi"/>
        </w:rPr>
        <w:t xml:space="preserve">, te je oko 95 % aktivnosti/projekata sufinanciranih iz navedenog izvora prijavljeno tijekom 2018. i 2019. godine. Unatoč tome što je sufinanciranje bilo moguće i za projekte </w:t>
      </w:r>
      <w:r>
        <w:rPr>
          <w:rFonts w:cstheme="minorHAnsi"/>
        </w:rPr>
        <w:lastRenderedPageBreak/>
        <w:t>provedene do kraja 2020. godine, pandemija bolesti COVID-19 utjecala je na smanjenje broja provedenih aktivnosti/projekata u toj godini (</w:t>
      </w:r>
      <w:r>
        <w:rPr>
          <w:rFonts w:cstheme="minorHAnsi"/>
        </w:rPr>
        <w:fldChar w:fldCharType="begin"/>
      </w:r>
      <w:r>
        <w:rPr>
          <w:rFonts w:cstheme="minorHAnsi"/>
        </w:rPr>
        <w:instrText xml:space="preserve"> REF _Ref114651942 \h  \* MERGEFORMAT </w:instrText>
      </w:r>
      <w:r>
        <w:rPr>
          <w:rFonts w:cstheme="minorHAnsi"/>
        </w:rPr>
      </w:r>
      <w:r>
        <w:rPr>
          <w:rFonts w:cstheme="minorHAnsi"/>
        </w:rPr>
        <w:fldChar w:fldCharType="separate"/>
      </w:r>
      <w:r w:rsidR="00F37B62" w:rsidRPr="00F37B62">
        <w:rPr>
          <w:rFonts w:cstheme="minorHAnsi"/>
        </w:rPr>
        <w:t xml:space="preserve">Slika </w:t>
      </w:r>
      <w:r w:rsidR="00F37B62" w:rsidRPr="00F37B62">
        <w:rPr>
          <w:rFonts w:cstheme="minorHAnsi"/>
          <w:noProof/>
        </w:rPr>
        <w:t>72</w:t>
      </w:r>
      <w:r>
        <w:rPr>
          <w:rFonts w:cstheme="minorHAnsi"/>
        </w:rPr>
        <w:fldChar w:fldCharType="end"/>
      </w:r>
      <w:r>
        <w:rPr>
          <w:rFonts w:cstheme="minorHAnsi"/>
        </w:rPr>
        <w:t>).</w:t>
      </w:r>
    </w:p>
    <w:p w14:paraId="5F35F564" w14:textId="77777777" w:rsidR="00932F27" w:rsidRDefault="00932F27" w:rsidP="00AE6341">
      <w:pPr>
        <w:rPr>
          <w:rFonts w:cstheme="minorHAnsi"/>
        </w:rPr>
      </w:pPr>
    </w:p>
    <w:p w14:paraId="2E52F8C6" w14:textId="77777777" w:rsidR="00AE6341" w:rsidRDefault="00AE6341" w:rsidP="00AE6341">
      <w:pPr>
        <w:spacing w:after="0" w:line="276" w:lineRule="auto"/>
        <w:rPr>
          <w:rFonts w:eastAsia="Calibri" w:cstheme="minorHAnsi"/>
          <w:i/>
          <w:iCs/>
          <w:sz w:val="20"/>
          <w:szCs w:val="20"/>
        </w:rPr>
      </w:pPr>
      <w:r>
        <w:rPr>
          <w:rFonts w:eastAsia="Calibri" w:cstheme="minorHAnsi"/>
          <w:i/>
          <w:iCs/>
          <w:sz w:val="20"/>
          <w:szCs w:val="20"/>
        </w:rPr>
        <w:t>Izvor: MINGOR</w:t>
      </w:r>
    </w:p>
    <w:p w14:paraId="401E9F58" w14:textId="0CBAEA54" w:rsidR="00AE6341" w:rsidRDefault="00AE6341" w:rsidP="00AE6341">
      <w:pPr>
        <w:pStyle w:val="Slika"/>
        <w:rPr>
          <w:lang w:eastAsia="hr-HR"/>
        </w:rPr>
      </w:pPr>
      <w:bookmarkStart w:id="393" w:name="_Ref114651942"/>
      <w:bookmarkStart w:id="394" w:name="_Toc125363980"/>
      <w:r>
        <w:t xml:space="preserve">Slika </w:t>
      </w:r>
      <w:fldSimple w:instr=" SEQ Slika \* ARABIC ">
        <w:r w:rsidR="00F37B62">
          <w:rPr>
            <w:noProof/>
          </w:rPr>
          <w:t>72</w:t>
        </w:r>
      </w:fldSimple>
      <w:bookmarkEnd w:id="393"/>
      <w:r>
        <w:t xml:space="preserve">. </w:t>
      </w:r>
      <w:r>
        <w:rPr>
          <w:b w:val="0"/>
          <w:bCs/>
        </w:rPr>
        <w:t>Broj prijavljenih provedenih aktivnosti/projekata sprječavanja nastanka otpada po godinama</w:t>
      </w:r>
      <w:bookmarkEnd w:id="394"/>
    </w:p>
    <w:p w14:paraId="71D3D486" w14:textId="77777777" w:rsidR="00AE6341" w:rsidRDefault="00AE6341" w:rsidP="00AE6341">
      <w:pPr>
        <w:rPr>
          <w:rFonts w:cstheme="minorHAnsi"/>
        </w:rPr>
      </w:pPr>
      <w:r>
        <w:rPr>
          <w:rFonts w:cstheme="minorHAnsi"/>
        </w:rPr>
        <w:t>Najčešće se radilo o provedbi aktivnosti informativno-edukacije prirode kao što su: izrada letaka, plakata i vodiča (brošura). Od ukupnog broja prijavljenih projekata/aktivnosti 84 % ih je bilo usmjereno na sve vrste otpada, potom slijede aktivnosti/projekti usmjereni na otpadni papir i karton te otpad od plastike.</w:t>
      </w:r>
    </w:p>
    <w:p w14:paraId="668D058C" w14:textId="77777777" w:rsidR="00AE6341" w:rsidRDefault="00AE6341" w:rsidP="00AE6341">
      <w:pPr>
        <w:rPr>
          <w:rFonts w:cstheme="minorHAnsi"/>
        </w:rPr>
      </w:pPr>
      <w:r>
        <w:rPr>
          <w:rFonts w:cstheme="minorHAnsi"/>
        </w:rPr>
        <w:t xml:space="preserve">Dodatno, od drugih mjera kojima se jača tržište sekundarnih sirovina, povećava dostupnost informacija i jača dijalog među dionicima treba izdvojiti ponovno pokretanje </w:t>
      </w:r>
      <w:r>
        <w:rPr>
          <w:rFonts w:cstheme="minorHAnsi"/>
          <w:b/>
          <w:bCs/>
        </w:rPr>
        <w:t>„Burze otpada“</w:t>
      </w:r>
      <w:r>
        <w:rPr>
          <w:rFonts w:cstheme="minorHAnsi"/>
        </w:rPr>
        <w:t xml:space="preserve"> pri Hrvatskoj gospodarskoj komori 2018. godine</w:t>
      </w:r>
      <w:r>
        <w:rPr>
          <w:rStyle w:val="Referencafusnote"/>
          <w:rFonts w:eastAsia="Calibri" w:cstheme="minorHAnsi"/>
        </w:rPr>
        <w:footnoteReference w:id="40"/>
      </w:r>
      <w:r>
        <w:rPr>
          <w:rFonts w:cstheme="minorHAnsi"/>
        </w:rPr>
        <w:t>.</w:t>
      </w:r>
    </w:p>
    <w:p w14:paraId="4B1AC937" w14:textId="77777777" w:rsidR="00AE6341" w:rsidRDefault="00AE6341" w:rsidP="00AE6341">
      <w:pPr>
        <w:rPr>
          <w:rFonts w:cstheme="minorHAnsi"/>
          <w:shd w:val="clear" w:color="auto" w:fill="FFFFFF"/>
        </w:rPr>
      </w:pPr>
      <w:r>
        <w:rPr>
          <w:rFonts w:cstheme="minorHAnsi"/>
          <w:shd w:val="clear" w:color="auto" w:fill="FFFFFF"/>
        </w:rPr>
        <w:t xml:space="preserve">Edukacija i senzibilizacija stručne i šire javnosti, te osiguravanja dostupnosti informacija je neophodno za uspješnu provedbu sprječavanja nastanka otpada, a osobito ako se uzme u obzir da je riječ o složenoj tematici koja zahtjeva zajednički angažman velikog broja dionika. Važnost provedbe ove vrste mjera sprječavanja nastanka otpada istaknuta je i u Direktivi 2008/98/EZ (članak 9., točka (m) i Dodatak IV, točka (12) i Dodatak </w:t>
      </w:r>
      <w:proofErr w:type="spellStart"/>
      <w:r>
        <w:rPr>
          <w:rFonts w:cstheme="minorHAnsi"/>
          <w:shd w:val="clear" w:color="auto" w:fill="FFFFFF"/>
        </w:rPr>
        <w:t>IVa</w:t>
      </w:r>
      <w:proofErr w:type="spellEnd"/>
      <w:r>
        <w:rPr>
          <w:rFonts w:cstheme="minorHAnsi"/>
          <w:shd w:val="clear" w:color="auto" w:fill="FFFFFF"/>
        </w:rPr>
        <w:t>, točke (13) i (14)).</w:t>
      </w:r>
    </w:p>
    <w:p w14:paraId="5DA61866" w14:textId="7E9AA760" w:rsidR="00AE6341" w:rsidRDefault="00AE6341" w:rsidP="005E34EF">
      <w:pPr>
        <w:pStyle w:val="IRNaslov3"/>
        <w:ind w:left="0" w:firstLine="0"/>
        <w:rPr>
          <w:rFonts w:cstheme="minorHAnsi"/>
        </w:rPr>
      </w:pPr>
      <w:bookmarkStart w:id="395" w:name="_Toc121138190"/>
      <w:bookmarkStart w:id="396" w:name="_Toc123211714"/>
      <w:bookmarkStart w:id="397" w:name="_Toc100736538"/>
      <w:bookmarkStart w:id="398" w:name="_Toc100732667"/>
      <w:r>
        <w:rPr>
          <w:rFonts w:cstheme="minorHAnsi"/>
        </w:rPr>
        <w:t>15.</w:t>
      </w:r>
      <w:r w:rsidR="005F1B1C">
        <w:rPr>
          <w:rFonts w:cstheme="minorHAnsi"/>
        </w:rPr>
        <w:t>4</w:t>
      </w:r>
      <w:r>
        <w:rPr>
          <w:rFonts w:cstheme="minorHAnsi"/>
        </w:rPr>
        <w:t>.6. Promicanje ponovne uporabe i/ili popravka odgovarajućih odbačenih proizvoda ili njihovih sastavnih dijelova</w:t>
      </w:r>
      <w:bookmarkEnd w:id="395"/>
      <w:bookmarkEnd w:id="396"/>
    </w:p>
    <w:bookmarkEnd w:id="397"/>
    <w:bookmarkEnd w:id="398"/>
    <w:p w14:paraId="4802DD97" w14:textId="77777777" w:rsidR="00AE6341" w:rsidRDefault="00AE6341" w:rsidP="00AE6341">
      <w:pPr>
        <w:rPr>
          <w:rFonts w:cstheme="minorHAnsi"/>
        </w:rPr>
      </w:pPr>
      <w:r>
        <w:rPr>
          <w:rFonts w:cstheme="minorHAnsi"/>
        </w:rPr>
        <w:t xml:space="preserve">Jedna od važnih aktivnosti </w:t>
      </w:r>
      <w:r>
        <w:rPr>
          <w:rFonts w:cstheme="minorHAnsi"/>
          <w:shd w:val="clear" w:color="auto" w:fill="FFFFFF"/>
        </w:rPr>
        <w:t xml:space="preserve">sprječavanja nastanka otpada </w:t>
      </w:r>
      <w:r>
        <w:rPr>
          <w:rFonts w:cstheme="minorHAnsi"/>
        </w:rPr>
        <w:t xml:space="preserve">je i uspostava </w:t>
      </w:r>
      <w:r>
        <w:rPr>
          <w:rFonts w:cstheme="minorHAnsi"/>
          <w:b/>
          <w:bCs/>
        </w:rPr>
        <w:t>centara za ponovnu uporabu.</w:t>
      </w:r>
      <w:r>
        <w:rPr>
          <w:rFonts w:cstheme="minorHAnsi"/>
        </w:rPr>
        <w:t xml:space="preserve"> Zakon o gospodarenju otpadom propisuje obvezu registracije takvih centara u Evidenciji centara ponovne uporabe. Službena evidencija pri MINGOR će biti uspostavljena po donošenju podzakonskog propisa Pravilnika o gospodarenju otpadom pa stoga službeno nije evidentiran niti jedan centar za ponovnu uporabu.</w:t>
      </w:r>
    </w:p>
    <w:p w14:paraId="30FBD035" w14:textId="77777777" w:rsidR="00AE6341" w:rsidRDefault="00AE6341" w:rsidP="00AE6341">
      <w:pPr>
        <w:rPr>
          <w:rFonts w:cstheme="minorHAnsi"/>
        </w:rPr>
      </w:pPr>
      <w:r>
        <w:rPr>
          <w:rFonts w:cstheme="minorHAnsi"/>
        </w:rPr>
        <w:t xml:space="preserve">Neovisno o tome, u RH se provode aktivnosti vezane uz ponovnu uporabu i/ili popravak odgovarajućih odbačenih proizvoda ili njihovih sastavnih. </w:t>
      </w:r>
    </w:p>
    <w:p w14:paraId="476F5FBD" w14:textId="77777777" w:rsidR="00AE6341" w:rsidRDefault="00AE6341" w:rsidP="00AE6341">
      <w:pPr>
        <w:rPr>
          <w:rFonts w:cstheme="minorHAnsi"/>
        </w:rPr>
      </w:pPr>
      <w:r>
        <w:rPr>
          <w:rFonts w:cstheme="minorHAnsi"/>
        </w:rPr>
        <w:t>Kao pozitivan primjer zajedničke inicijative javnog sektora i privatnog poduzetništva može se istaknuti radionica za popravak sitnih predmeta „</w:t>
      </w:r>
      <w:proofErr w:type="spellStart"/>
      <w:r>
        <w:rPr>
          <w:rFonts w:cstheme="minorHAnsi"/>
        </w:rPr>
        <w:t>Riperaj</w:t>
      </w:r>
      <w:proofErr w:type="spellEnd"/>
      <w:r>
        <w:rPr>
          <w:rFonts w:cstheme="minorHAnsi"/>
        </w:rPr>
        <w:t>“ otvorena u listopadu 2019. godine u Rijeci. U radionici građani mogu besplatno popraviti neispravne kućanske uređaje, razbijeni i oštećeni namještaj, odjeću, igračke i slično uz pomoć majstora.</w:t>
      </w:r>
    </w:p>
    <w:p w14:paraId="16B8B160" w14:textId="77777777" w:rsidR="00AE6341" w:rsidRDefault="00AE6341" w:rsidP="00AE6341">
      <w:pPr>
        <w:rPr>
          <w:rFonts w:cstheme="minorHAnsi"/>
        </w:rPr>
      </w:pPr>
      <w:r>
        <w:rPr>
          <w:rFonts w:cstheme="minorHAnsi"/>
        </w:rPr>
        <w:t>Nadalje, tvrtka Gradsko komunalno poduzeće PRE-KOM d.o.o. iz Preloga je u Prelogu 2017. godine osnovala Centar za ponovnu uporabu gdje se razvrstava prikupljeni namještaj, posuđe, igračke, knjige, odjeća, obuća i drugi predmeti koji građanima više nisu potrebni, a još su upotrebljivi.  Prikupljeni predmeti se u Centru popravljaju i restauriraju i nakon toga prodaju. Tijekom 2019. i 2020. godine za ponovnu uporabu na toj lokaciji osposobljeno je 8.626 kg različitih predmeta od čega 5.100 kg namještaja, 2.307 kg odjeće i 1.219 kg knjiga, koji bi u protivnom postali otpad. Time je spriječeno nastajanje glomaznog otpada za 15-20 %.</w:t>
      </w:r>
    </w:p>
    <w:p w14:paraId="46796FF0" w14:textId="77777777" w:rsidR="00AE6341" w:rsidRDefault="00AE6341" w:rsidP="00AE6341">
      <w:pPr>
        <w:rPr>
          <w:rFonts w:cstheme="minorHAnsi"/>
        </w:rPr>
      </w:pPr>
      <w:r>
        <w:rPr>
          <w:rFonts w:cstheme="minorHAnsi"/>
        </w:rPr>
        <w:t xml:space="preserve">Dio rabljenih proizvoda od tekstila i obuće prikupljaju humanitarne i druge organizacije za potrebe doniranja i ponovne uporabe. Kao pozitivan primjer, koji osim na ekološkom području djeluje i na </w:t>
      </w:r>
      <w:r>
        <w:rPr>
          <w:rFonts w:cstheme="minorHAnsi"/>
        </w:rPr>
        <w:lastRenderedPageBreak/>
        <w:t>društvenom i ekonomskom području, valja istaknuti Socijalnu zadrugu Humana Nova u kojoj se odbačeni tekstil prerađuje u kvalitetne proizvodi. Zadruga zapošljava društveno isključene osobe čime se doprinosi održivom razvoju lokalne zajednice. Rabljena odjeća sakuplja se putem donacija te putem sustava kontejnera za tekstil na javnim površinama, najviše s područja Međimurske županije i sjeverozapadne Hrvatske. Kroz donacije je u 2019. prikupljeno 162 tona tekstila. Čista i cjelovita odjeća predaje se u maloprodaju (</w:t>
      </w:r>
      <w:proofErr w:type="spellStart"/>
      <w:r>
        <w:rPr>
          <w:rFonts w:cstheme="minorHAnsi"/>
        </w:rPr>
        <w:t>second-hand</w:t>
      </w:r>
      <w:proofErr w:type="spellEnd"/>
      <w:r>
        <w:rPr>
          <w:rFonts w:cstheme="minorHAnsi"/>
        </w:rPr>
        <w:t xml:space="preserve"> trgovine) ili donira u lokalnoj zajednici. Dio odjeće se prilagođava u </w:t>
      </w:r>
      <w:proofErr w:type="spellStart"/>
      <w:r>
        <w:rPr>
          <w:rFonts w:cstheme="minorHAnsi"/>
        </w:rPr>
        <w:t>šivaonici</w:t>
      </w:r>
      <w:proofErr w:type="spellEnd"/>
      <w:r>
        <w:rPr>
          <w:rFonts w:cstheme="minorHAnsi"/>
        </w:rPr>
        <w:t xml:space="preserve"> za nove proizvode. Dio sakupljenog tekstila koristi se za izradu industrijskih krpa, a ostali tekstil upućuje se ovlaštenim </w:t>
      </w:r>
      <w:proofErr w:type="spellStart"/>
      <w:r>
        <w:rPr>
          <w:rFonts w:cstheme="minorHAnsi"/>
        </w:rPr>
        <w:t>reciklažerima</w:t>
      </w:r>
      <w:proofErr w:type="spellEnd"/>
      <w:r>
        <w:rPr>
          <w:rFonts w:cstheme="minorHAnsi"/>
        </w:rPr>
        <w:t xml:space="preserve">. Tijekom 2019. godine na ponovnu uporabu i recikliranje Socijalna zadruga Humana Nova Čakovec, predala je 447 tona otpadnog tekstila, s time da je 5 t upućeno u </w:t>
      </w:r>
      <w:proofErr w:type="spellStart"/>
      <w:r>
        <w:rPr>
          <w:rFonts w:cstheme="minorHAnsi"/>
        </w:rPr>
        <w:t>second-hand</w:t>
      </w:r>
      <w:proofErr w:type="spellEnd"/>
      <w:r>
        <w:rPr>
          <w:rFonts w:cstheme="minorHAnsi"/>
        </w:rPr>
        <w:t xml:space="preserve"> trgovine, a 19,2 t izrezano u industrijske krpe. </w:t>
      </w:r>
    </w:p>
    <w:p w14:paraId="3BC82FA4" w14:textId="77777777" w:rsidR="00AE6341" w:rsidRDefault="00AE6341" w:rsidP="00AE6341">
      <w:pPr>
        <w:rPr>
          <w:rFonts w:cstheme="minorHAnsi"/>
        </w:rPr>
      </w:pPr>
      <w:r>
        <w:rPr>
          <w:rFonts w:cstheme="minorHAnsi"/>
        </w:rPr>
        <w:t xml:space="preserve">Nakon uspostave Evidencije centara ponovne uporabe, očekuje se da će se evidentirati više lokacija na kojima se provode aktivnosti vezane uz ponovnu uporabu, a za koje trenutno ne postoje saznanja. Dodatno će se na godišnjoj razini evidentirati i količine otpada/materijala koji se u takvim centrima pripreme za ponovnu uporabu. </w:t>
      </w:r>
    </w:p>
    <w:p w14:paraId="09D87E2C" w14:textId="77777777" w:rsidR="00AE6341" w:rsidRDefault="00AE6341" w:rsidP="00AE6341">
      <w:pPr>
        <w:rPr>
          <w:rFonts w:cstheme="minorHAnsi"/>
        </w:rPr>
      </w:pPr>
      <w:r>
        <w:rPr>
          <w:rFonts w:cstheme="minorHAnsi"/>
        </w:rPr>
        <w:t>Svakako je potrebno daljnje intenziviranje provedbi mjera i aktivnosti vezano za ponovnu uporabu te veću integraciju aktivnosti popravka odgovarajućih odbačenih proizvoda ili njihovih sastavnih dijelova.</w:t>
      </w:r>
    </w:p>
    <w:p w14:paraId="516D1E6C" w14:textId="77777777" w:rsidR="00AE6341" w:rsidRDefault="00AE6341" w:rsidP="00AE6341">
      <w:pPr>
        <w:rPr>
          <w:rFonts w:cstheme="minorHAnsi"/>
        </w:rPr>
      </w:pPr>
      <w:r>
        <w:rPr>
          <w:rFonts w:cstheme="minorHAnsi"/>
        </w:rPr>
        <w:t>Važnost provedbe ovih mjera i aktivnosti potkrjepljuje i činjenica da je promicanje ponovne uporabe defilirano kao primjer mjere Direktivom 2008/98/EZ, članak 9, točka (d) i Dodatak IV, točka (16).</w:t>
      </w:r>
    </w:p>
    <w:p w14:paraId="6234F72A" w14:textId="7868B99B" w:rsidR="00AE6341" w:rsidRDefault="00AE6341" w:rsidP="005E34EF">
      <w:pPr>
        <w:pStyle w:val="IRNaslov2"/>
      </w:pPr>
      <w:bookmarkStart w:id="399" w:name="_Toc121138191"/>
      <w:bookmarkStart w:id="400" w:name="_Toc123211715"/>
      <w:r>
        <w:t>15.</w:t>
      </w:r>
      <w:r w:rsidR="005F1B1C">
        <w:t>5</w:t>
      </w:r>
      <w:r>
        <w:t>. C</w:t>
      </w:r>
      <w:r w:rsidR="008B7ED2">
        <w:t>iljevi i prioriteti</w:t>
      </w:r>
      <w:bookmarkEnd w:id="399"/>
      <w:bookmarkEnd w:id="400"/>
    </w:p>
    <w:p w14:paraId="24FAEF9C" w14:textId="27F8765B" w:rsidR="00AE6341" w:rsidRDefault="005E34EF" w:rsidP="005E34EF">
      <w:pPr>
        <w:pStyle w:val="IRNaslov2"/>
        <w:keepNext w:val="0"/>
        <w:ind w:left="0" w:firstLine="0"/>
        <w:rPr>
          <w:rFonts w:cstheme="minorHAnsi"/>
        </w:rPr>
      </w:pPr>
      <w:bookmarkStart w:id="401" w:name="_Toc121138192"/>
      <w:bookmarkStart w:id="402" w:name="_Toc123211716"/>
      <w:r>
        <w:rPr>
          <w:rFonts w:cstheme="minorHAnsi"/>
        </w:rPr>
        <w:t>15.</w:t>
      </w:r>
      <w:r w:rsidR="005F1B1C">
        <w:rPr>
          <w:rFonts w:cstheme="minorHAnsi"/>
        </w:rPr>
        <w:t>6</w:t>
      </w:r>
      <w:r w:rsidR="00AE6341">
        <w:rPr>
          <w:rFonts w:cstheme="minorHAnsi"/>
        </w:rPr>
        <w:t xml:space="preserve">. </w:t>
      </w:r>
      <w:r w:rsidR="008B7ED2">
        <w:rPr>
          <w:rFonts w:cstheme="minorHAnsi"/>
        </w:rPr>
        <w:t>Uvod</w:t>
      </w:r>
      <w:bookmarkEnd w:id="401"/>
      <w:bookmarkEnd w:id="402"/>
    </w:p>
    <w:p w14:paraId="49C6F5FC" w14:textId="77777777" w:rsidR="00AE6341" w:rsidRDefault="00AE6341" w:rsidP="00AE6341">
      <w:pPr>
        <w:rPr>
          <w:rFonts w:cstheme="minorHAnsi"/>
        </w:rPr>
      </w:pPr>
      <w:r>
        <w:rPr>
          <w:rFonts w:cstheme="minorHAnsi"/>
        </w:rPr>
        <w:t xml:space="preserve">Zakonodavno-regulatornim okvirom vezanim za gospodarenje otpadom u RH nastoji se uspostaviti kvalitetniji sustav gospodarenja otpadom temeljen na sprječavanju nastanka otpada, ponovnoj uporabi i uspostavi učinkovitog sustava odvojenog sakupljanja otpada u svrhu recikliranja. Koncept sprječavanja stvaranja otpada osmišljen je kako bi u osnovi utjecao na planiranje, proizvodnju te zadovoljavanje potražnje. </w:t>
      </w:r>
    </w:p>
    <w:p w14:paraId="70D794DE" w14:textId="77777777" w:rsidR="00AE6341" w:rsidRDefault="00AE6341" w:rsidP="00AE6341">
      <w:pPr>
        <w:rPr>
          <w:rFonts w:cstheme="minorHAnsi"/>
        </w:rPr>
      </w:pPr>
      <w:r>
        <w:rPr>
          <w:rFonts w:cstheme="minorHAnsi"/>
        </w:rPr>
        <w:t>Ispunjenje ciljeva određenih prethodnim Planom nastavit će se i u novom Planu sprječavanja nastanka otpada, usmjerenih ka:</w:t>
      </w:r>
    </w:p>
    <w:p w14:paraId="1976FE10" w14:textId="77777777" w:rsidR="00AE6341" w:rsidRDefault="00AE6341" w:rsidP="004C775C">
      <w:pPr>
        <w:pStyle w:val="Odlomakpopisa"/>
        <w:numPr>
          <w:ilvl w:val="0"/>
          <w:numId w:val="49"/>
        </w:numPr>
        <w:spacing w:line="256" w:lineRule="auto"/>
        <w:rPr>
          <w:rFonts w:cstheme="minorHAnsi"/>
          <w:shd w:val="clear" w:color="auto" w:fill="FFFFFF"/>
        </w:rPr>
      </w:pPr>
      <w:r>
        <w:rPr>
          <w:rFonts w:cstheme="minorHAnsi"/>
          <w:shd w:val="clear" w:color="auto" w:fill="FFFFFF"/>
        </w:rPr>
        <w:t>odvajanje gospodarskog rasta od porasta količina nastalog otpada</w:t>
      </w:r>
    </w:p>
    <w:p w14:paraId="04FD7792" w14:textId="77777777" w:rsidR="00AE6341" w:rsidRDefault="00AE6341" w:rsidP="004C775C">
      <w:pPr>
        <w:pStyle w:val="Odlomakpopisa"/>
        <w:numPr>
          <w:ilvl w:val="0"/>
          <w:numId w:val="49"/>
        </w:numPr>
        <w:spacing w:line="256" w:lineRule="auto"/>
        <w:rPr>
          <w:rFonts w:cstheme="minorHAnsi"/>
          <w:shd w:val="clear" w:color="auto" w:fill="FFFFFF"/>
        </w:rPr>
      </w:pPr>
      <w:r>
        <w:rPr>
          <w:rFonts w:cstheme="minorHAnsi"/>
          <w:shd w:val="clear" w:color="auto" w:fill="FFFFFF"/>
        </w:rPr>
        <w:t>očuvanju prirodnih resursa</w:t>
      </w:r>
    </w:p>
    <w:p w14:paraId="0AE0C1A8" w14:textId="77777777" w:rsidR="00AE6341" w:rsidRDefault="00AE6341" w:rsidP="004C775C">
      <w:pPr>
        <w:pStyle w:val="Odlomakpopisa"/>
        <w:numPr>
          <w:ilvl w:val="0"/>
          <w:numId w:val="49"/>
        </w:numPr>
        <w:spacing w:line="256" w:lineRule="auto"/>
        <w:rPr>
          <w:rFonts w:cstheme="minorHAnsi"/>
          <w:shd w:val="clear" w:color="auto" w:fill="FFFFFF"/>
        </w:rPr>
      </w:pPr>
      <w:r>
        <w:rPr>
          <w:rFonts w:cstheme="minorHAnsi"/>
          <w:shd w:val="clear" w:color="auto" w:fill="FFFFFF"/>
        </w:rPr>
        <w:t>smanjenju ukupne mase otpada koja se odlaže na odlagališta</w:t>
      </w:r>
    </w:p>
    <w:p w14:paraId="6B72048C" w14:textId="77777777" w:rsidR="00AE6341" w:rsidRDefault="00AE6341" w:rsidP="004C775C">
      <w:pPr>
        <w:pStyle w:val="Odlomakpopisa"/>
        <w:numPr>
          <w:ilvl w:val="0"/>
          <w:numId w:val="49"/>
        </w:numPr>
        <w:spacing w:line="256" w:lineRule="auto"/>
        <w:rPr>
          <w:rFonts w:cstheme="minorHAnsi"/>
          <w:shd w:val="clear" w:color="auto" w:fill="FFFFFF"/>
        </w:rPr>
      </w:pPr>
      <w:r>
        <w:rPr>
          <w:rFonts w:cstheme="minorHAnsi"/>
          <w:shd w:val="clear" w:color="auto" w:fill="FFFFFF"/>
        </w:rPr>
        <w:t>smanjenju emisija onečišćujućih tvari u okoliš</w:t>
      </w:r>
    </w:p>
    <w:p w14:paraId="102569BF" w14:textId="77777777" w:rsidR="00AE6341" w:rsidRDefault="00AE6341" w:rsidP="004C775C">
      <w:pPr>
        <w:pStyle w:val="Odlomakpopisa"/>
        <w:numPr>
          <w:ilvl w:val="0"/>
          <w:numId w:val="49"/>
        </w:numPr>
        <w:spacing w:line="256" w:lineRule="auto"/>
        <w:rPr>
          <w:rFonts w:cstheme="minorHAnsi"/>
          <w:shd w:val="clear" w:color="auto" w:fill="FFFFFF"/>
        </w:rPr>
      </w:pPr>
      <w:r>
        <w:rPr>
          <w:rFonts w:cstheme="minorHAnsi"/>
          <w:shd w:val="clear" w:color="auto" w:fill="FFFFFF"/>
        </w:rPr>
        <w:t>smanjenje opasnosti za zdravlje ljudi i okoliš</w:t>
      </w:r>
    </w:p>
    <w:p w14:paraId="065673AC" w14:textId="77777777" w:rsidR="00AE6341" w:rsidRDefault="00AE6341" w:rsidP="004C775C">
      <w:pPr>
        <w:pStyle w:val="Odlomakpopisa"/>
        <w:numPr>
          <w:ilvl w:val="0"/>
          <w:numId w:val="49"/>
        </w:numPr>
        <w:spacing w:line="256" w:lineRule="auto"/>
        <w:rPr>
          <w:rFonts w:cstheme="minorHAnsi"/>
          <w:shd w:val="clear" w:color="auto" w:fill="FFFFFF"/>
        </w:rPr>
      </w:pPr>
      <w:r>
        <w:rPr>
          <w:rFonts w:cstheme="minorHAnsi"/>
          <w:shd w:val="clear" w:color="auto" w:fill="FFFFFF"/>
        </w:rPr>
        <w:t>smanjenje sadržaja opasnih tvari u materijalima i proizvodima,</w:t>
      </w:r>
    </w:p>
    <w:p w14:paraId="3DA03233" w14:textId="77777777" w:rsidR="00AE6341" w:rsidRDefault="00AE6341" w:rsidP="004C775C">
      <w:pPr>
        <w:pStyle w:val="Odlomakpopisa"/>
        <w:numPr>
          <w:ilvl w:val="0"/>
          <w:numId w:val="49"/>
        </w:numPr>
        <w:spacing w:line="256" w:lineRule="auto"/>
        <w:rPr>
          <w:rFonts w:cstheme="minorHAnsi"/>
          <w:shd w:val="clear" w:color="auto" w:fill="FFFFFF"/>
        </w:rPr>
      </w:pPr>
      <w:r>
        <w:rPr>
          <w:rFonts w:cstheme="minorHAnsi"/>
          <w:shd w:val="clear" w:color="auto" w:fill="FFFFFF"/>
        </w:rPr>
        <w:t>cilju održivog razvoja Ujedinjenih naroda da se globalni otpad od hrane po glavi stanovnika na maloprodajnoj i potrošačkoj razini smanji za 50 % i da se smanji gubitak hrane u proizvodnim i opskrbnim lancima do 2030. godine</w:t>
      </w:r>
    </w:p>
    <w:p w14:paraId="45B2A884" w14:textId="77777777" w:rsidR="00AE6341" w:rsidRDefault="00AE6341" w:rsidP="004C775C">
      <w:pPr>
        <w:pStyle w:val="Odlomakpopisa"/>
        <w:numPr>
          <w:ilvl w:val="0"/>
          <w:numId w:val="49"/>
        </w:numPr>
        <w:spacing w:line="256" w:lineRule="auto"/>
        <w:rPr>
          <w:rFonts w:cstheme="minorHAnsi"/>
          <w:shd w:val="clear" w:color="auto" w:fill="FFFFFF"/>
        </w:rPr>
      </w:pPr>
      <w:r>
        <w:rPr>
          <w:rFonts w:cstheme="minorHAnsi"/>
          <w:shd w:val="clear" w:color="auto" w:fill="FFFFFF"/>
        </w:rPr>
        <w:t>cilju Ujedinjenih naroda o održivom razvoju da bi se spriječilo i znatno smanjilo sve vrste onečišćenja mora.</w:t>
      </w:r>
    </w:p>
    <w:p w14:paraId="71F7AF8F" w14:textId="77777777" w:rsidR="00AE6341" w:rsidRDefault="00AE6341" w:rsidP="00AE6341">
      <w:pPr>
        <w:rPr>
          <w:rFonts w:cstheme="minorHAnsi"/>
        </w:rPr>
      </w:pPr>
      <w:r>
        <w:rPr>
          <w:rFonts w:cstheme="minorHAnsi"/>
        </w:rPr>
        <w:t>Postizanje ovih ciljeva bit će omogućeno ostvarenjem specifičnih ciljeva navedenim u nastavku Plana sprječavanja nastanka otpada.</w:t>
      </w:r>
    </w:p>
    <w:p w14:paraId="4616F876" w14:textId="3D0BCEB6" w:rsidR="00AE6341" w:rsidRDefault="005E34EF" w:rsidP="005E34EF">
      <w:pPr>
        <w:pStyle w:val="IRNaslov3"/>
      </w:pPr>
      <w:bookmarkStart w:id="403" w:name="_Toc121138193"/>
      <w:bookmarkStart w:id="404" w:name="_Toc123211717"/>
      <w:r>
        <w:lastRenderedPageBreak/>
        <w:t>15.</w:t>
      </w:r>
      <w:r w:rsidR="005F1B1C">
        <w:t>6</w:t>
      </w:r>
      <w:r w:rsidR="00AE6341">
        <w:t>.</w:t>
      </w:r>
      <w:r>
        <w:t>1.</w:t>
      </w:r>
      <w:r w:rsidR="00AE6341">
        <w:t xml:space="preserve"> Specifični ciljevi</w:t>
      </w:r>
      <w:bookmarkEnd w:id="403"/>
      <w:bookmarkEnd w:id="404"/>
    </w:p>
    <w:p w14:paraId="7A4695EA" w14:textId="77777777" w:rsidR="00AE6341" w:rsidRDefault="00AE6341" w:rsidP="00AE6341">
      <w:pPr>
        <w:rPr>
          <w:rFonts w:cstheme="minorHAnsi"/>
          <w:shd w:val="clear" w:color="auto" w:fill="FFFFFF"/>
        </w:rPr>
      </w:pPr>
      <w:r>
        <w:rPr>
          <w:rFonts w:cstheme="minorHAnsi"/>
          <w:shd w:val="clear" w:color="auto" w:fill="FFFFFF"/>
        </w:rPr>
        <w:t xml:space="preserve">Specifični ciljevi i prioritetne kategorije otpada su prvenstveno odabrani temeljem: </w:t>
      </w:r>
    </w:p>
    <w:p w14:paraId="00F2240E" w14:textId="77777777" w:rsidR="00AE6341" w:rsidRDefault="00AE6341" w:rsidP="004C775C">
      <w:pPr>
        <w:pStyle w:val="Odlomakpopisa"/>
        <w:numPr>
          <w:ilvl w:val="0"/>
          <w:numId w:val="50"/>
        </w:numPr>
        <w:spacing w:line="256" w:lineRule="auto"/>
        <w:rPr>
          <w:rFonts w:cstheme="minorHAnsi"/>
          <w:shd w:val="clear" w:color="auto" w:fill="FFFFFF"/>
        </w:rPr>
      </w:pPr>
      <w:r>
        <w:rPr>
          <w:rFonts w:cstheme="minorHAnsi"/>
          <w:shd w:val="clear" w:color="auto" w:fill="FFFFFF"/>
        </w:rPr>
        <w:t>udjelima pojedinih kategorija otpada u ukupno nastalim količinama otpada u prethodnom planskom razdoblju</w:t>
      </w:r>
    </w:p>
    <w:p w14:paraId="645DCBE1" w14:textId="77777777" w:rsidR="00AE6341" w:rsidRDefault="00AE6341" w:rsidP="004C775C">
      <w:pPr>
        <w:pStyle w:val="Odlomakpopisa"/>
        <w:numPr>
          <w:ilvl w:val="0"/>
          <w:numId w:val="50"/>
        </w:numPr>
        <w:spacing w:line="256" w:lineRule="auto"/>
        <w:rPr>
          <w:rFonts w:cstheme="minorHAnsi"/>
          <w:shd w:val="clear" w:color="auto" w:fill="FFFFFF"/>
        </w:rPr>
      </w:pPr>
      <w:r>
        <w:rPr>
          <w:rFonts w:cstheme="minorHAnsi"/>
          <w:shd w:val="clear" w:color="auto" w:fill="FFFFFF"/>
        </w:rPr>
        <w:t>koristi od sprječavanja nastanka određene kategorije otpada za okoliš, društvo i gospodarstvo,</w:t>
      </w:r>
    </w:p>
    <w:p w14:paraId="7D6369AD" w14:textId="77777777" w:rsidR="00AE6341" w:rsidRDefault="00AE6341" w:rsidP="004C775C">
      <w:pPr>
        <w:pStyle w:val="Odlomakpopisa"/>
        <w:numPr>
          <w:ilvl w:val="0"/>
          <w:numId w:val="50"/>
        </w:numPr>
        <w:spacing w:line="256" w:lineRule="auto"/>
        <w:rPr>
          <w:rFonts w:cstheme="minorHAnsi"/>
          <w:shd w:val="clear" w:color="auto" w:fill="FFFFFF"/>
        </w:rPr>
      </w:pPr>
      <w:r>
        <w:rPr>
          <w:rFonts w:cstheme="minorHAnsi"/>
          <w:shd w:val="clear" w:color="auto" w:fill="FFFFFF"/>
        </w:rPr>
        <w:t>potencijalu za izbjegavanjem da određeni proizvod postane otpad</w:t>
      </w:r>
    </w:p>
    <w:p w14:paraId="69DA0F93" w14:textId="77777777" w:rsidR="00AE6341" w:rsidRDefault="00AE6341" w:rsidP="004C775C">
      <w:pPr>
        <w:pStyle w:val="Odlomakpopisa"/>
        <w:numPr>
          <w:ilvl w:val="0"/>
          <w:numId w:val="50"/>
        </w:numPr>
        <w:spacing w:line="256" w:lineRule="auto"/>
        <w:rPr>
          <w:rFonts w:cstheme="minorHAnsi"/>
          <w:shd w:val="clear" w:color="auto" w:fill="FFFFFF"/>
        </w:rPr>
      </w:pPr>
      <w:r>
        <w:rPr>
          <w:rFonts w:cstheme="minorHAnsi"/>
          <w:shd w:val="clear" w:color="auto" w:fill="FFFFFF"/>
        </w:rPr>
        <w:t xml:space="preserve">postojećih ciljeva, mjera i aktivnosti koje su u tijeku i koje će se kontinuirano nastaviti provoditi i u ovom planskom razdoblju </w:t>
      </w:r>
    </w:p>
    <w:p w14:paraId="6D9472CF" w14:textId="77777777" w:rsidR="00AE6341" w:rsidRDefault="00AE6341" w:rsidP="00AE6341">
      <w:pPr>
        <w:rPr>
          <w:rFonts w:cstheme="minorHAnsi"/>
          <w:shd w:val="clear" w:color="auto" w:fill="FFFFFF"/>
        </w:rPr>
      </w:pPr>
      <w:r>
        <w:rPr>
          <w:rFonts w:cstheme="minorHAnsi"/>
          <w:shd w:val="clear" w:color="auto" w:fill="FFFFFF"/>
        </w:rPr>
        <w:t>Specifični ciljevi Plana sprječavanja nastanka otpada za razdoblje 2023. – 2028. godine su:</w:t>
      </w:r>
    </w:p>
    <w:p w14:paraId="73056B6D" w14:textId="77777777" w:rsidR="00AE6341" w:rsidRDefault="00AE6341" w:rsidP="004C775C">
      <w:pPr>
        <w:pStyle w:val="Odlomakpopisa"/>
        <w:numPr>
          <w:ilvl w:val="0"/>
          <w:numId w:val="50"/>
        </w:numPr>
        <w:spacing w:line="256" w:lineRule="auto"/>
        <w:rPr>
          <w:rFonts w:cstheme="minorHAnsi"/>
          <w:shd w:val="clear" w:color="auto" w:fill="FFFFFF"/>
        </w:rPr>
      </w:pPr>
      <w:r>
        <w:rPr>
          <w:rFonts w:cstheme="minorHAnsi"/>
          <w:shd w:val="clear" w:color="auto" w:fill="FFFFFF"/>
        </w:rPr>
        <w:t>Sprječavanje nastanka komunalnog otpada</w:t>
      </w:r>
    </w:p>
    <w:p w14:paraId="31F73B18" w14:textId="77777777" w:rsidR="00AE6341" w:rsidRDefault="00AE6341" w:rsidP="004C775C">
      <w:pPr>
        <w:pStyle w:val="Odlomakpopisa"/>
        <w:numPr>
          <w:ilvl w:val="0"/>
          <w:numId w:val="50"/>
        </w:numPr>
        <w:spacing w:line="256" w:lineRule="auto"/>
        <w:rPr>
          <w:rFonts w:cstheme="minorHAnsi"/>
          <w:shd w:val="clear" w:color="auto" w:fill="FFFFFF"/>
        </w:rPr>
      </w:pPr>
      <w:r>
        <w:rPr>
          <w:rFonts w:cstheme="minorHAnsi"/>
          <w:shd w:val="clear" w:color="auto" w:fill="FFFFFF"/>
        </w:rPr>
        <w:t>Sprječavanje nastanka biootpada</w:t>
      </w:r>
    </w:p>
    <w:p w14:paraId="74A2E35A" w14:textId="77777777" w:rsidR="00AE6341" w:rsidRDefault="00AE6341" w:rsidP="004C775C">
      <w:pPr>
        <w:pStyle w:val="Odlomakpopisa"/>
        <w:numPr>
          <w:ilvl w:val="0"/>
          <w:numId w:val="50"/>
        </w:numPr>
        <w:spacing w:line="256" w:lineRule="auto"/>
        <w:rPr>
          <w:rFonts w:cstheme="minorHAnsi"/>
          <w:shd w:val="clear" w:color="auto" w:fill="FFFFFF"/>
        </w:rPr>
      </w:pPr>
      <w:r>
        <w:rPr>
          <w:rFonts w:cstheme="minorHAnsi"/>
          <w:shd w:val="clear" w:color="auto" w:fill="FFFFFF"/>
        </w:rPr>
        <w:t>Sprječavanje nastanka električnog i elektroničkog otpada</w:t>
      </w:r>
    </w:p>
    <w:p w14:paraId="27F8F985" w14:textId="77777777" w:rsidR="00AE6341" w:rsidRDefault="00AE6341" w:rsidP="004C775C">
      <w:pPr>
        <w:pStyle w:val="Odlomakpopisa"/>
        <w:numPr>
          <w:ilvl w:val="0"/>
          <w:numId w:val="50"/>
        </w:numPr>
        <w:spacing w:line="256" w:lineRule="auto"/>
        <w:rPr>
          <w:rFonts w:cstheme="minorHAnsi"/>
          <w:shd w:val="clear" w:color="auto" w:fill="FFFFFF"/>
        </w:rPr>
      </w:pPr>
      <w:r>
        <w:rPr>
          <w:rFonts w:cstheme="minorHAnsi"/>
          <w:shd w:val="clear" w:color="auto" w:fill="FFFFFF"/>
        </w:rPr>
        <w:t>Sprječavanje nastanka otpadnog papira i kartona</w:t>
      </w:r>
    </w:p>
    <w:p w14:paraId="158926AE" w14:textId="77777777" w:rsidR="00AE6341" w:rsidRDefault="00AE6341" w:rsidP="004C775C">
      <w:pPr>
        <w:pStyle w:val="Odlomakpopisa"/>
        <w:numPr>
          <w:ilvl w:val="0"/>
          <w:numId w:val="50"/>
        </w:numPr>
        <w:spacing w:line="256" w:lineRule="auto"/>
        <w:rPr>
          <w:rFonts w:cstheme="minorHAnsi"/>
          <w:shd w:val="clear" w:color="auto" w:fill="FFFFFF"/>
        </w:rPr>
      </w:pPr>
      <w:r>
        <w:rPr>
          <w:rFonts w:cstheme="minorHAnsi"/>
          <w:shd w:val="clear" w:color="auto" w:fill="FFFFFF"/>
        </w:rPr>
        <w:t xml:space="preserve">Sprječavanje nastanka plastičnog otpada </w:t>
      </w:r>
    </w:p>
    <w:p w14:paraId="499DA000" w14:textId="77777777" w:rsidR="00AE6341" w:rsidRDefault="00AE6341" w:rsidP="004C775C">
      <w:pPr>
        <w:pStyle w:val="Odlomakpopisa"/>
        <w:numPr>
          <w:ilvl w:val="0"/>
          <w:numId w:val="50"/>
        </w:numPr>
        <w:spacing w:line="256" w:lineRule="auto"/>
        <w:rPr>
          <w:rFonts w:cstheme="minorHAnsi"/>
          <w:shd w:val="clear" w:color="auto" w:fill="FFFFFF"/>
        </w:rPr>
      </w:pPr>
      <w:r>
        <w:rPr>
          <w:rFonts w:cstheme="minorHAnsi"/>
          <w:shd w:val="clear" w:color="auto" w:fill="FFFFFF"/>
        </w:rPr>
        <w:t>Sprječavanje nastanka građevnog otpada</w:t>
      </w:r>
    </w:p>
    <w:p w14:paraId="3F100215" w14:textId="77777777" w:rsidR="00AE6341" w:rsidRDefault="00AE6341" w:rsidP="004C775C">
      <w:pPr>
        <w:pStyle w:val="Odlomakpopisa"/>
        <w:numPr>
          <w:ilvl w:val="0"/>
          <w:numId w:val="50"/>
        </w:numPr>
        <w:spacing w:line="256" w:lineRule="auto"/>
        <w:rPr>
          <w:rFonts w:cstheme="minorHAnsi"/>
          <w:shd w:val="clear" w:color="auto" w:fill="FFFFFF"/>
        </w:rPr>
      </w:pPr>
      <w:r>
        <w:rPr>
          <w:rFonts w:cstheme="minorHAnsi"/>
          <w:shd w:val="clear" w:color="auto" w:fill="FFFFFF"/>
        </w:rPr>
        <w:t>Sprječavanje nastanka otpadnog tekstila i obuće</w:t>
      </w:r>
    </w:p>
    <w:p w14:paraId="642CB08D" w14:textId="77777777" w:rsidR="00AE6341" w:rsidRDefault="00AE6341" w:rsidP="004C775C">
      <w:pPr>
        <w:pStyle w:val="Odlomakpopisa"/>
        <w:numPr>
          <w:ilvl w:val="0"/>
          <w:numId w:val="50"/>
        </w:numPr>
        <w:spacing w:line="256" w:lineRule="auto"/>
        <w:rPr>
          <w:rFonts w:cstheme="minorHAnsi"/>
          <w:shd w:val="clear" w:color="auto" w:fill="FFFFFF"/>
        </w:rPr>
      </w:pPr>
      <w:r>
        <w:rPr>
          <w:rFonts w:cstheme="minorHAnsi"/>
          <w:shd w:val="clear" w:color="auto" w:fill="FFFFFF"/>
        </w:rPr>
        <w:t>Sprječavanje nastanka morskog otpada</w:t>
      </w:r>
    </w:p>
    <w:p w14:paraId="217DF1A8" w14:textId="7C20DF31" w:rsidR="00AE6341" w:rsidRDefault="005E34EF" w:rsidP="005E34EF">
      <w:pPr>
        <w:pStyle w:val="IRNaslov3"/>
        <w:ind w:left="0" w:firstLine="0"/>
        <w:rPr>
          <w:rFonts w:cstheme="minorHAnsi"/>
        </w:rPr>
      </w:pPr>
      <w:bookmarkStart w:id="405" w:name="_Toc121138194"/>
      <w:bookmarkStart w:id="406" w:name="_Toc123211718"/>
      <w:r>
        <w:rPr>
          <w:rFonts w:cstheme="minorHAnsi"/>
        </w:rPr>
        <w:t>15.</w:t>
      </w:r>
      <w:r w:rsidR="005F1B1C">
        <w:rPr>
          <w:rFonts w:cstheme="minorHAnsi"/>
        </w:rPr>
        <w:t>6</w:t>
      </w:r>
      <w:r>
        <w:rPr>
          <w:rFonts w:cstheme="minorHAnsi"/>
        </w:rPr>
        <w:t>.2</w:t>
      </w:r>
      <w:r w:rsidR="00AE6341">
        <w:rPr>
          <w:rFonts w:cstheme="minorHAnsi"/>
        </w:rPr>
        <w:t>. Sprječavanje nastanka komunalnog otpada</w:t>
      </w:r>
      <w:bookmarkEnd w:id="405"/>
      <w:bookmarkEnd w:id="406"/>
    </w:p>
    <w:p w14:paraId="77AC8B1A" w14:textId="77777777" w:rsidR="00AE6341" w:rsidRDefault="00AE6341" w:rsidP="00AE6341">
      <w:pPr>
        <w:rPr>
          <w:rFonts w:cstheme="minorHAnsi"/>
        </w:rPr>
      </w:pPr>
      <w:r>
        <w:rPr>
          <w:rFonts w:cstheme="minorHAnsi"/>
        </w:rPr>
        <w:t>Komunalni otpad sastoji se od različitih vrsta iskoristivih materijala različitog porijekla nastanka, ali isto tako određene komponente komunalnog otpada sadrže opasne tvari štetne za okoliš i ljudsko zdravlje. Sustav gospodarenja komunalnim otpadom izuzetno je kompleksan, obuhvaća veliki broj dionika, zahtjeva značajne investicije i uspostavu odgovarajuće infrastrukture, kao i visoko razvijenu svijest o važnosti uspostave funkcionalnog sustava gospodarenja komunalnim otpadom te važnosti sprječavanja njegova nastanka.</w:t>
      </w:r>
    </w:p>
    <w:p w14:paraId="316152D1" w14:textId="77777777" w:rsidR="00AE6341" w:rsidRDefault="00AE6341" w:rsidP="00AE6341">
      <w:pPr>
        <w:rPr>
          <w:rFonts w:cstheme="minorHAnsi"/>
        </w:rPr>
      </w:pPr>
      <w:r>
        <w:rPr>
          <w:rFonts w:cstheme="minorHAnsi"/>
        </w:rPr>
        <w:t xml:space="preserve">Komunalni otpad je u fokusu zanimanja vezano uz sprječavanje nastanka otpada, pa na nacionalnoj i lokalnoj razini jača suradnja svih dionika u provedbi aktivnosti sprječavanja nastanka otpada i odvajanja pojedinih frakcija otpada u kućanstvima, prvenstveno </w:t>
      </w:r>
      <w:proofErr w:type="spellStart"/>
      <w:r>
        <w:rPr>
          <w:rFonts w:cstheme="minorHAnsi"/>
        </w:rPr>
        <w:t>izobrazno</w:t>
      </w:r>
      <w:proofErr w:type="spellEnd"/>
      <w:r>
        <w:rPr>
          <w:rFonts w:cstheme="minorHAnsi"/>
        </w:rPr>
        <w:t xml:space="preserve"> – informativnim aktivnostima građana i poslovnog sektora, kroz različite komunikacijske kanale.</w:t>
      </w:r>
    </w:p>
    <w:p w14:paraId="7DB2E4D4" w14:textId="77777777" w:rsidR="00AE6341" w:rsidRDefault="00AE6341" w:rsidP="00AE6341">
      <w:pPr>
        <w:rPr>
          <w:rFonts w:cstheme="minorHAnsi"/>
        </w:rPr>
      </w:pPr>
      <w:r>
        <w:rPr>
          <w:rFonts w:cstheme="minorHAnsi"/>
        </w:rPr>
        <w:t xml:space="preserve">Bitna činjenica koja direktno utječe na sprječavanje nastanka komunalnog otpada je donošenje Plana sprječavanja i smanjenja nastajanja otpada od hrane Republike Hrvatske 2023. – 2028. s obzirom da značajan udio (&gt;30%) u miješanom komunalnom otpadu čini upravo biorazgradivi otpad iz kuhinja i kantina. </w:t>
      </w:r>
    </w:p>
    <w:p w14:paraId="53018F1A" w14:textId="77777777" w:rsidR="00AE6341" w:rsidRDefault="00AE6341" w:rsidP="00AE6341">
      <w:pPr>
        <w:rPr>
          <w:rFonts w:cstheme="minorHAnsi"/>
          <w:shd w:val="clear" w:color="auto" w:fill="FFFFFF"/>
        </w:rPr>
      </w:pPr>
      <w:r>
        <w:rPr>
          <w:rFonts w:cstheme="minorHAnsi"/>
        </w:rPr>
        <w:t>Specifični cilj „</w:t>
      </w:r>
      <w:r>
        <w:rPr>
          <w:rFonts w:cstheme="minorHAnsi"/>
          <w:shd w:val="clear" w:color="auto" w:fill="FFFFFF"/>
        </w:rPr>
        <w:t xml:space="preserve">Sprječavanje nastanka komunalnog otpada“ se između ostalog postiže i aktivnostima usmjerenim na ostvarivanju preostalih specifičnih ciljeva kao što su sprječavanje nastanka biootpada, otpadnog papira i kartona, plastičnog otpada te otpadnog tekstila i obuće. </w:t>
      </w:r>
    </w:p>
    <w:p w14:paraId="7DDBBC79" w14:textId="77777777" w:rsidR="00AE6341" w:rsidRDefault="00AE6341" w:rsidP="00AE6341">
      <w:pPr>
        <w:rPr>
          <w:rFonts w:cstheme="minorHAnsi"/>
        </w:rPr>
      </w:pPr>
      <w:r>
        <w:rPr>
          <w:rFonts w:cstheme="minorHAnsi"/>
        </w:rPr>
        <w:t xml:space="preserve">Provedene aktivnosti su jednim dijelom utjecale na evidentirano smanjenje nastanka komunalnog otpada. </w:t>
      </w:r>
    </w:p>
    <w:p w14:paraId="71DA5A9A" w14:textId="77777777" w:rsidR="00AE6341" w:rsidRDefault="00AE6341" w:rsidP="00AE6341">
      <w:pPr>
        <w:rPr>
          <w:rFonts w:cstheme="minorHAnsi"/>
        </w:rPr>
      </w:pPr>
      <w:r>
        <w:rPr>
          <w:rFonts w:cstheme="minorHAnsi"/>
        </w:rPr>
        <w:t xml:space="preserve">Tijekom 2021. godine količina komunalnog otpada koja je upućena na odlaganje iznosila je 1.029.725 tona. Ako se količina odloženog komunalnog otpada promatra u razdoblju od 2015. do 2021. godine bilježi se trend smanjenja odloženog komunalnog otpada što se djelomično može pripisati i </w:t>
      </w:r>
      <w:r>
        <w:rPr>
          <w:rFonts w:cstheme="minorHAnsi"/>
        </w:rPr>
        <w:lastRenderedPageBreak/>
        <w:t>provedenim mjerama sprječavanja nastanka komunalnog otpada. U ovom planskom razdoblju građanima će se omogućiti »pravo na popravak« kroz centre za popravak raznih proizvoda u svrhu produžavanja njihovog vijeka, kao i razvoj centara za ponovnu uporabu, što će predstavljati novu infrastrukturu u sprječavanju nastanka komunalnog otpada.</w:t>
      </w:r>
    </w:p>
    <w:p w14:paraId="60D2AE78" w14:textId="0AF105FB" w:rsidR="00AE6341" w:rsidRDefault="00AE6341" w:rsidP="005E34EF">
      <w:pPr>
        <w:pStyle w:val="IRNaslov3"/>
        <w:ind w:left="0" w:firstLine="0"/>
        <w:rPr>
          <w:rFonts w:eastAsia="Calibri" w:cstheme="minorHAnsi"/>
          <w:b w:val="0"/>
          <w:i/>
          <w:iCs/>
        </w:rPr>
      </w:pPr>
      <w:bookmarkStart w:id="407" w:name="_Toc121138195"/>
      <w:bookmarkStart w:id="408" w:name="_Toc123211719"/>
      <w:r>
        <w:rPr>
          <w:rFonts w:cstheme="minorHAnsi"/>
        </w:rPr>
        <w:t>1</w:t>
      </w:r>
      <w:r w:rsidR="005E34EF">
        <w:rPr>
          <w:rFonts w:cstheme="minorHAnsi"/>
        </w:rPr>
        <w:t>5</w:t>
      </w:r>
      <w:r>
        <w:rPr>
          <w:rFonts w:cstheme="minorHAnsi"/>
        </w:rPr>
        <w:t>.</w:t>
      </w:r>
      <w:r w:rsidR="005F1B1C">
        <w:rPr>
          <w:rFonts w:cstheme="minorHAnsi"/>
        </w:rPr>
        <w:t>6</w:t>
      </w:r>
      <w:r>
        <w:rPr>
          <w:rFonts w:cstheme="minorHAnsi"/>
        </w:rPr>
        <w:t>.</w:t>
      </w:r>
      <w:r w:rsidR="005E34EF">
        <w:rPr>
          <w:rFonts w:cstheme="minorHAnsi"/>
        </w:rPr>
        <w:t>3</w:t>
      </w:r>
      <w:r>
        <w:rPr>
          <w:rFonts w:cstheme="minorHAnsi"/>
        </w:rPr>
        <w:t>. Sprječavanje nastanka biootpada</w:t>
      </w:r>
      <w:bookmarkEnd w:id="407"/>
      <w:bookmarkEnd w:id="408"/>
    </w:p>
    <w:p w14:paraId="0D7C1A6C" w14:textId="77777777" w:rsidR="00AE6341" w:rsidRDefault="00AE6341" w:rsidP="00AE6341">
      <w:pPr>
        <w:rPr>
          <w:rFonts w:cstheme="minorHAnsi"/>
        </w:rPr>
      </w:pPr>
      <w:r>
        <w:rPr>
          <w:rFonts w:cstheme="minorHAnsi"/>
        </w:rPr>
        <w:t xml:space="preserve">Zbog velikog potencijala za negativni utjecaj na klimu i okoliš a u slučaju neodgovarajućeg gospodarenja biootpadom, isti zauzima značajno mjesto u programima europskih institucija pa je tako potrebno osigurati odvojeno sakupljanje biootpada s namjerom kompostiranja i digestije biootpada, obradu biootpada na način da se postiže visok stupanj zaštite okoliša, korištenje za okoliš sigurnih materijala proizvedenih iz biootpada i dr. </w:t>
      </w:r>
    </w:p>
    <w:p w14:paraId="6D0E5921" w14:textId="77777777" w:rsidR="00AE6341" w:rsidRDefault="00AE6341" w:rsidP="00AE6341">
      <w:pPr>
        <w:rPr>
          <w:rFonts w:cstheme="minorHAnsi"/>
        </w:rPr>
      </w:pPr>
      <w:r>
        <w:rPr>
          <w:rFonts w:cstheme="minorHAnsi"/>
        </w:rPr>
        <w:t>Proizvodnja otpada od hrane osim negativnog učinka na okoliš u smislu neodgovarajućeg iskorištenja prirodnih resursa za proizvodnju hrane, utjecaja na tlo, bioraznolikosti, štetnih emisija u okoliš, obuhvaća i socijalno-ekonomske i moralne komponente.</w:t>
      </w:r>
    </w:p>
    <w:p w14:paraId="5A7E3428" w14:textId="77777777" w:rsidR="00AE6341" w:rsidRDefault="00AE6341" w:rsidP="00AE6341">
      <w:pPr>
        <w:rPr>
          <w:rFonts w:cstheme="minorHAnsi"/>
        </w:rPr>
      </w:pPr>
      <w:r>
        <w:rPr>
          <w:rFonts w:cstheme="minorHAnsi"/>
        </w:rPr>
        <w:t>U 2021. godini bilježi se rast količina odvojeno sakupljene frakcije komunalnog otpada, biootpada u odnosu na prethodne godine. Udio odvojeno sakupljenog biootpada u ukupnoj količini odvojeno sakupljenog komunalnog otpada iznosi oko 16 %. 2021. godine je odvojeno sakupljeno oko 122.000 tona biootpada s relativno velikom čistoćom (udio neželjenih materijala čini oko 7%). Međutim, zabrinjava činjenica da prema sastavu komunalnog otpada ukupna količina biootpada iznosi oko 440.000 tona u promatranoj godini iz čega je vidljivo da postoji veliki potencijal za povećanjem odvojenog sakupljanja biootpada ali i potencijal za sprječavanjem nastavka ove vrste otpada.</w:t>
      </w:r>
    </w:p>
    <w:p w14:paraId="36A3D566" w14:textId="77777777" w:rsidR="00AE6341" w:rsidRDefault="00AE6341" w:rsidP="00AE6341">
      <w:pPr>
        <w:rPr>
          <w:rFonts w:cstheme="minorHAnsi"/>
        </w:rPr>
      </w:pPr>
      <w:r>
        <w:rPr>
          <w:rFonts w:cstheme="minorHAnsi"/>
        </w:rPr>
        <w:t>S obzirom na značajan udio otpada od hrane u biootpadu a koji nastaje u kućanstvima potrebno je kroz dugoročni cilj sprječavanja nastanka otpada od hrane osigurati smanjenje količina hrane koja se odbacuje a koja još ima svoju uporabnu vrijednost prije svega kroz podizanje svijesti i znanja o pojmovima „upotrijebiti do“ i „najbolje upotrijebiti do“ kako bi što većem broju šire javnosti bilo razumljivo da se hrana sigurno može koristiti i nakon datuma „najbolje upotrijebiti do“.</w:t>
      </w:r>
    </w:p>
    <w:p w14:paraId="463E6EFD" w14:textId="77777777" w:rsidR="00AE6341" w:rsidRDefault="00AE6341" w:rsidP="00AE6341">
      <w:pPr>
        <w:rPr>
          <w:rFonts w:cstheme="minorHAnsi"/>
        </w:rPr>
      </w:pPr>
      <w:r>
        <w:rPr>
          <w:rFonts w:cstheme="minorHAnsi"/>
        </w:rPr>
        <w:t>Osim djelovanja i aktivnosti usmjerenih prema kućanstvima potrebno je poticati održivo gospodarenje hranom u područjima poljoprivrede, proizvodnje i trgovine između ostalog i kroz koordinaciju ponude i potražnje u vezi s opskrbnim lancima.</w:t>
      </w:r>
    </w:p>
    <w:p w14:paraId="6434BDF1" w14:textId="77777777" w:rsidR="00AE6341" w:rsidRDefault="00AE6341" w:rsidP="00AE6341">
      <w:pPr>
        <w:rPr>
          <w:rFonts w:cstheme="minorHAnsi"/>
        </w:rPr>
      </w:pPr>
      <w:r>
        <w:rPr>
          <w:rFonts w:cstheme="minorHAnsi"/>
        </w:rPr>
        <w:t>Također potrebno je poticati osposobljavanje djelatnika u proizvodnji, preradi i trgovini s hranom i prehrambenim proizvodima.</w:t>
      </w:r>
    </w:p>
    <w:p w14:paraId="5667C52E" w14:textId="77777777" w:rsidR="00AE6341" w:rsidRDefault="00AE6341" w:rsidP="00AE6341">
      <w:pPr>
        <w:rPr>
          <w:rFonts w:cstheme="minorHAnsi"/>
        </w:rPr>
      </w:pPr>
      <w:r>
        <w:rPr>
          <w:rFonts w:cstheme="minorHAnsi"/>
        </w:rPr>
        <w:t>Kako bi se ostvarili zadani ciljevi Izradit će se plan sprječavanja i smanjenja nastajanja otpada od hrane u RH za razdoblje 2023.-2028. kao logični nastavak istoga Plana za razdoblje 2019.-2022., a čija provedba je u nadležnosti Ministarstva poljoprivrede.</w:t>
      </w:r>
    </w:p>
    <w:p w14:paraId="66044E80" w14:textId="77777777" w:rsidR="00AE6341" w:rsidRDefault="00AE6341" w:rsidP="00AE6341">
      <w:pPr>
        <w:rPr>
          <w:rFonts w:cstheme="minorHAnsi"/>
        </w:rPr>
      </w:pPr>
      <w:r>
        <w:rPr>
          <w:rFonts w:cstheme="minorHAnsi"/>
        </w:rPr>
        <w:t>U slučaju praćenja provedbe aktivnosti na području sprječavanja nastanka otpada jedan od najboljih alata je statističko istraživanje kojim se može ocijeniti učinkovitost provedenih aktivnosti kao i potreba za nastavkom provođenja i/ili određivanjem novih aktivnostima. S tim u vezi potrebno je planirati mjere kojima se omogućuje učinkovito prikupljanje i obrada podataka od najznačajnijih proizvođača (po količinama proizvedenog) biootpada – kućanstva i poslovni sektor (uslužne djelatnosti, poljoprivreda, šumarstvo i ribarstvo).</w:t>
      </w:r>
      <w:r>
        <w:rPr>
          <w:rFonts w:cstheme="minorHAnsi"/>
          <w:sz w:val="16"/>
          <w:szCs w:val="16"/>
        </w:rPr>
        <w:t xml:space="preserve"> </w:t>
      </w:r>
    </w:p>
    <w:p w14:paraId="4E4467B4" w14:textId="029CF7C0" w:rsidR="00AE6341" w:rsidRDefault="00AE6341" w:rsidP="005E34EF">
      <w:pPr>
        <w:pStyle w:val="IRNaslov3"/>
        <w:ind w:left="0" w:firstLine="0"/>
        <w:rPr>
          <w:rFonts w:cstheme="minorHAnsi"/>
        </w:rPr>
      </w:pPr>
      <w:bookmarkStart w:id="409" w:name="_Toc121138196"/>
      <w:bookmarkStart w:id="410" w:name="_Toc123211720"/>
      <w:r>
        <w:rPr>
          <w:rFonts w:cstheme="minorHAnsi"/>
        </w:rPr>
        <w:lastRenderedPageBreak/>
        <w:t>1</w:t>
      </w:r>
      <w:r w:rsidR="005E34EF">
        <w:rPr>
          <w:rFonts w:cstheme="minorHAnsi"/>
        </w:rPr>
        <w:t>5</w:t>
      </w:r>
      <w:r>
        <w:rPr>
          <w:rFonts w:cstheme="minorHAnsi"/>
        </w:rPr>
        <w:t>.</w:t>
      </w:r>
      <w:r w:rsidR="005F1B1C">
        <w:rPr>
          <w:rFonts w:cstheme="minorHAnsi"/>
        </w:rPr>
        <w:t>6</w:t>
      </w:r>
      <w:r>
        <w:rPr>
          <w:rFonts w:cstheme="minorHAnsi"/>
        </w:rPr>
        <w:t>.</w:t>
      </w:r>
      <w:r w:rsidR="005E34EF">
        <w:rPr>
          <w:rFonts w:cstheme="minorHAnsi"/>
        </w:rPr>
        <w:t>4</w:t>
      </w:r>
      <w:r>
        <w:rPr>
          <w:rFonts w:cstheme="minorHAnsi"/>
        </w:rPr>
        <w:t>. Sprječavanje nastanka električnog i elektroničkog otpada</w:t>
      </w:r>
      <w:bookmarkEnd w:id="409"/>
      <w:bookmarkEnd w:id="410"/>
    </w:p>
    <w:p w14:paraId="314B511D" w14:textId="77777777" w:rsidR="00AE6341" w:rsidRDefault="00AE6341" w:rsidP="00AE6341">
      <w:pPr>
        <w:rPr>
          <w:rFonts w:cstheme="minorHAnsi"/>
        </w:rPr>
      </w:pPr>
      <w:r>
        <w:rPr>
          <w:rFonts w:cstheme="minorHAnsi"/>
        </w:rPr>
        <w:t>U posljednjih nekoliko desetljeća, tehnološki napredak u upravljanju elektroničkim podacima, komunikacijama ali i u cjelokupnoj proizvodnji svih vrsta dobara potaknuo je ekonomski rast i unaprijedio život ljudi. Ipak, rastuća ovisnost o elektroničkim proizvodima kako u kućanstvima tako i na radnim mjestima postavila je novi ekološki izazov, a to je gospodarenje električnim i elektroničkim otpadom.</w:t>
      </w:r>
    </w:p>
    <w:p w14:paraId="31738E84" w14:textId="77777777" w:rsidR="00AE6341" w:rsidRDefault="00AE6341" w:rsidP="00AE6341">
      <w:pPr>
        <w:rPr>
          <w:rFonts w:cstheme="minorHAnsi"/>
        </w:rPr>
      </w:pPr>
      <w:r>
        <w:rPr>
          <w:rFonts w:cstheme="minorHAnsi"/>
        </w:rPr>
        <w:t>Obzirom na sustavne promjene u računalnoj tehnologiji i pojavljivanje novih elektroničkih kućanskih pomagala i drugih uređaja ovaj tok otpada predstavlja jednu od najbrže rastućih kategorija otpada. Sve je veći broj uređaja i opreme koji nakon svoga, sve kraćeg, vijeka trajanja postaju EE otpad, uzrokujući time dva problema: onečišćenje okoliša i gubitak vrijednih sirovina. Osim toga, električni i elektronički uređaji mogu postati otpad i zbog drugih razloga, osim gubitka funkcionalnosti, kao što su pojava novih tehnologija, estetski i/ili emocionalni razlozi te financijska neisplativost popravka nefunkcionalnog uređaja ili komada opreme.</w:t>
      </w:r>
    </w:p>
    <w:p w14:paraId="392F34A5" w14:textId="77777777" w:rsidR="00AE6341" w:rsidRDefault="00AE6341" w:rsidP="00AE6341">
      <w:pPr>
        <w:rPr>
          <w:rFonts w:cstheme="minorHAnsi"/>
        </w:rPr>
      </w:pPr>
      <w:r>
        <w:rPr>
          <w:rFonts w:cstheme="minorHAnsi"/>
        </w:rPr>
        <w:t xml:space="preserve">Važnost sprječavanja nastanka EE otpada ali i sustavno gospodarenje EE otpadom proizlazi iz činjenice da EE uređaji mogu sadržavati (i najčešće sadrže) opasne materijale, kao što su npr. olovo, krom, kadmij, živa, fosfor, razni bromidi, berilij, barij, silicij, arsen, itd. Živa iz elektroničke opreme predstavlja vodeći izvor žive u komunalnom otpadu. Dodatno, plastici koja se koristi u elektroničkoj opremi često se dodaju i </w:t>
      </w:r>
      <w:proofErr w:type="spellStart"/>
      <w:r>
        <w:rPr>
          <w:rFonts w:cstheme="minorHAnsi"/>
        </w:rPr>
        <w:t>inhibitori</w:t>
      </w:r>
      <w:proofErr w:type="spellEnd"/>
      <w:r>
        <w:rPr>
          <w:rFonts w:cstheme="minorHAnsi"/>
        </w:rPr>
        <w:t xml:space="preserve"> požara na bazi broma, koji uslijed neodgovarajućeg gospodarenja ovom vrstom otpada mogu uzrokovati značajne negativne učinke na okoliš.</w:t>
      </w:r>
    </w:p>
    <w:p w14:paraId="63037DD9" w14:textId="77777777" w:rsidR="00AE6341" w:rsidRDefault="00AE6341" w:rsidP="00AE6341">
      <w:pPr>
        <w:rPr>
          <w:rFonts w:cstheme="minorHAnsi"/>
        </w:rPr>
      </w:pPr>
      <w:r>
        <w:rPr>
          <w:rFonts w:cstheme="minorHAnsi"/>
        </w:rPr>
        <w:t>S druge strane, EE otpad sadrži brojne vrijedne materijale (staklo, plastiku, plemenite metale), koji se mogu ponovno iskoristiti. Ponovna uporaba i recikliranje sirovina iz islužene elektroničke opreme pomaže u očuvanju prirodnih resursa i sprječavanju onečišćenja zraka i vode i sprječavanju nastanka stakleničkih plinova uzrokovanih proizvodnjom novih proizvoda.</w:t>
      </w:r>
    </w:p>
    <w:p w14:paraId="17FFDADB" w14:textId="77777777" w:rsidR="00AE6341" w:rsidRDefault="00AE6341" w:rsidP="00AE6341">
      <w:pPr>
        <w:rPr>
          <w:rFonts w:cstheme="minorHAnsi"/>
        </w:rPr>
      </w:pPr>
      <w:r>
        <w:rPr>
          <w:rFonts w:cstheme="minorHAnsi"/>
        </w:rPr>
        <w:t>Revizija Okvirne direktive o otpadu iz 2018. godine uvela je obvezu moduliranja financijskih doprinosa koje proizvođači plaćaju u postojeće sustave proširene odgovornosti proizvođača za svoje proizvode, uključujući i električnu i elektroničku opremu. Ovi doprinosi trebaju se modulirati na temelju određenih kriterija za spomenute proizvode, uključujući trajnost, popravljivost, ponovnu uporabljivost, mogućnost recikliranja ili prisutnost i količinu opasnih tvari u proizvodima, uzimajući u obzir životni ciklus proizvoda. Nakon implementacije očekuje se da će ovaj alat uvelike potaknuti bolji dizajn električne i elektroničke opreme koja se stavlja na tržište, čime će se između ostalog doprinijeti i sprječavanju i smanjenju nastanka EE otpada.</w:t>
      </w:r>
    </w:p>
    <w:p w14:paraId="4D7BC20C" w14:textId="77777777" w:rsidR="00AE6341" w:rsidRDefault="00AE6341" w:rsidP="00AE6341">
      <w:pPr>
        <w:rPr>
          <w:rFonts w:cstheme="minorHAnsi"/>
        </w:rPr>
      </w:pPr>
      <w:r>
        <w:rPr>
          <w:rFonts w:cstheme="minorHAnsi"/>
        </w:rPr>
        <w:t>Nastavno na navedeno, Europska komisija je pokrenula »Inicijativu za kružnu elektroniku« kojom će u skladu s novim okvirom politike za održive proizvode promicati dulji životni vijek proizvoda i koja će između ostalog sadržavati regulatorne mjere za elektroniku i proizvode informacijsko-komunikacijske tehnologije u okviru Direktive o ekološkom dizajnu, mjere vezane uz pravo potrošača na popravak i ažuriranje zastarjelih softvera, regulatorne mjere za punjače za mobilne telefone i slične uređaje, mjere za poboljšanje sakupljanja i obrade EE otpada, uključujući razmatranje mogućnosti za sustav za povrat ili otkup starih mobilnih telefona, tableta i punjača na razini EU-a te reviziju propisa EU-a o ograničenjima za opasne tvari u električnoj i elektroničkoj opremi</w:t>
      </w:r>
    </w:p>
    <w:p w14:paraId="1FD032EF" w14:textId="77777777" w:rsidR="00AE6341" w:rsidRDefault="00AE6341" w:rsidP="00AE6341">
      <w:pPr>
        <w:rPr>
          <w:rFonts w:cstheme="minorHAnsi"/>
        </w:rPr>
      </w:pPr>
      <w:r>
        <w:rPr>
          <w:rFonts w:cstheme="minorHAnsi"/>
        </w:rPr>
        <w:t>Kao i kod drugih posebnih kategorija otpada, dizajn proizvoda značajno utječe na količine otpada koje nastaju prestankom korištenja EE proizvoda gdje ponovo dolazi do izražaja vizija o nužnosti edukacije širokog kruga potrošača o tome kako zamjena, još uvijek ispravnog (ili popravljivog), EE uređaja utječe na potrebne količine resursa (materijala, energije, radnog vremena i sl.) za izradu i promet bilo EE proizvoda na tržištu.</w:t>
      </w:r>
    </w:p>
    <w:p w14:paraId="113EB5DF" w14:textId="77777777" w:rsidR="00AE6341" w:rsidRDefault="00AE6341" w:rsidP="00AE6341">
      <w:pPr>
        <w:rPr>
          <w:rFonts w:cstheme="minorHAnsi"/>
        </w:rPr>
      </w:pPr>
      <w:r>
        <w:rPr>
          <w:rFonts w:cstheme="minorHAnsi"/>
        </w:rPr>
        <w:lastRenderedPageBreak/>
        <w:t xml:space="preserve">Zbog sveg navedenog od velike je važnosti kroz nacionalni zakonodavni okvir pravovremeno osigurati provedbu propisanih mjera za sprječavanje nastanka EE otpada, provođenje </w:t>
      </w:r>
      <w:proofErr w:type="spellStart"/>
      <w:r>
        <w:rPr>
          <w:rFonts w:cstheme="minorHAnsi"/>
          <w:bCs/>
        </w:rPr>
        <w:t>izobrazno</w:t>
      </w:r>
      <w:proofErr w:type="spellEnd"/>
      <w:r>
        <w:rPr>
          <w:rFonts w:cstheme="minorHAnsi"/>
          <w:bCs/>
        </w:rPr>
        <w:t>-informativnih aktivnosti u edukaciji šireg stanovništva oko upotrebe resursa i tokova otpada,</w:t>
      </w:r>
      <w:r>
        <w:rPr>
          <w:rFonts w:cstheme="minorHAnsi"/>
        </w:rPr>
        <w:t xml:space="preserve"> odnosno mjera za poticanje ponovnu uporabu stare EE opreme kroz uspostavu centara za ponovnu uporabu i popravak te mjera za učinkovitu oporabu i/ili recikliranje EE otpada.</w:t>
      </w:r>
    </w:p>
    <w:p w14:paraId="2DD3E496" w14:textId="1442DF49" w:rsidR="00AE6341" w:rsidRDefault="005E34EF" w:rsidP="005E34EF">
      <w:pPr>
        <w:pStyle w:val="IRNaslov3"/>
        <w:ind w:left="0" w:firstLine="0"/>
        <w:rPr>
          <w:rFonts w:cstheme="minorHAnsi"/>
        </w:rPr>
      </w:pPr>
      <w:bookmarkStart w:id="411" w:name="_Toc121138197"/>
      <w:bookmarkStart w:id="412" w:name="_Toc123211721"/>
      <w:r>
        <w:rPr>
          <w:rFonts w:cstheme="minorHAnsi"/>
        </w:rPr>
        <w:t>15.</w:t>
      </w:r>
      <w:r w:rsidR="005F1B1C">
        <w:rPr>
          <w:rFonts w:cstheme="minorHAnsi"/>
        </w:rPr>
        <w:t>6</w:t>
      </w:r>
      <w:r>
        <w:rPr>
          <w:rFonts w:cstheme="minorHAnsi"/>
        </w:rPr>
        <w:t xml:space="preserve">.5. </w:t>
      </w:r>
      <w:r w:rsidR="00AE6341">
        <w:rPr>
          <w:rFonts w:cstheme="minorHAnsi"/>
        </w:rPr>
        <w:t>Sprječavanje nastanka otpadnog papira i kartona</w:t>
      </w:r>
      <w:bookmarkEnd w:id="411"/>
      <w:bookmarkEnd w:id="412"/>
    </w:p>
    <w:p w14:paraId="34F5074A" w14:textId="77777777" w:rsidR="00AE6341" w:rsidRDefault="00AE6341" w:rsidP="00AE6341">
      <w:pPr>
        <w:rPr>
          <w:rFonts w:cstheme="minorHAnsi"/>
        </w:rPr>
      </w:pPr>
      <w:r>
        <w:rPr>
          <w:rFonts w:cstheme="minorHAnsi"/>
        </w:rPr>
        <w:t>Papir je jedan od najvažnijih i najraširenijih potrošačkih materijala s gotovo neograničenom mogućnošću namjene. Za proizvodnju papira potrebno je utrošiti veliku količinu prirodnih sirovina, vode i energije, a kontinuirana sječa šuma koja je usko vezana u proizvodnju papira pridonosi eroziji tla i smanjenju kvalitete tla kao i smanjenju apsorpcijskog potencijala CO</w:t>
      </w:r>
      <w:r>
        <w:rPr>
          <w:rFonts w:cstheme="minorHAnsi"/>
          <w:vertAlign w:val="subscript"/>
        </w:rPr>
        <w:t>2</w:t>
      </w:r>
      <w:r>
        <w:rPr>
          <w:rFonts w:cstheme="minorHAnsi"/>
        </w:rPr>
        <w:t xml:space="preserve"> kojega šume posjeduju. </w:t>
      </w:r>
    </w:p>
    <w:p w14:paraId="37256F96" w14:textId="77777777" w:rsidR="00AE6341" w:rsidRDefault="00AE6341" w:rsidP="00AE6341">
      <w:pPr>
        <w:rPr>
          <w:rFonts w:cstheme="minorHAnsi"/>
        </w:rPr>
      </w:pPr>
      <w:r>
        <w:rPr>
          <w:rFonts w:cstheme="minorHAnsi"/>
        </w:rPr>
        <w:t>Ukoliko se odlaže, biorazgradivi otpad kao što je papir razgrađuje se u bioplin, koji sadrži metan – staklenički plin povezan sa globalnim zatopljenjem. Odloženi otpadni papir i karton se sporo razgrađuju i produljuju vijek aktivnosti odlagališta i s tim povezani negativni učinci na okoliš kao i financijski troškovi održavanja i monitoringa odlagališta.</w:t>
      </w:r>
    </w:p>
    <w:p w14:paraId="32368ED5" w14:textId="77777777" w:rsidR="00AE6341" w:rsidRDefault="00AE6341" w:rsidP="00AE6341">
      <w:pPr>
        <w:rPr>
          <w:rFonts w:cstheme="minorHAnsi"/>
        </w:rPr>
      </w:pPr>
      <w:r>
        <w:rPr>
          <w:rFonts w:cstheme="minorHAnsi"/>
        </w:rPr>
        <w:t>S obzirom na visok udio ove vrste otpada u komunalnom otpadu (&gt; 23 %) uspješno provođenje mjera i aktivnosti sprječavanja nastanka otpadnog papira i kartona važno je i za postizanje zadanih ciljeva.</w:t>
      </w:r>
    </w:p>
    <w:p w14:paraId="721243D6" w14:textId="77777777" w:rsidR="00AE6341" w:rsidRDefault="00AE6341" w:rsidP="00AE6341">
      <w:pPr>
        <w:rPr>
          <w:rFonts w:cstheme="minorHAnsi"/>
        </w:rPr>
      </w:pPr>
      <w:r>
        <w:rPr>
          <w:rFonts w:cstheme="minorHAnsi"/>
        </w:rPr>
        <w:t>U 2021. godini bilježi se rast količina odvojeno sakupljene frakcije komunalnog otpada, otpadnog papira i kartona u odnosu na prethodne godine. Udio odvojeno sakupljenog otpadnog papira i kartona u ukupnoj količini odvojeno sakupljenog komunalnog otpada iznosi oko 30 % i čini težinski najveću kategoriju odvojeno prikupljenog otpada. 2021. godine je odvojeno sakupljeno oko 228.000 tona otpadnog papira i kartona s relativno velikom čistoćom (udio neželjenih materijala čini oko 5%). Međutim, zabrinjava činjenica da prema sastavu komunalnog otpada ukupna količina otpadnog papira i kartona iznosi oko 450.000 tona iz čega je vidljivo da postoji veliki potencijal za povećanjem odvojenog sakupljanja otpadnog papira i kartona ali i potencijal za sprječavanjem nastavka ove vrste otpada.</w:t>
      </w:r>
    </w:p>
    <w:p w14:paraId="41C16D5E" w14:textId="53F5171B" w:rsidR="00AE6341" w:rsidRDefault="00AE6341" w:rsidP="00AE6341">
      <w:pPr>
        <w:rPr>
          <w:rFonts w:cstheme="minorHAnsi"/>
        </w:rPr>
      </w:pPr>
    </w:p>
    <w:p w14:paraId="348D761B" w14:textId="77777777" w:rsidR="00AE6341" w:rsidRDefault="00AE6341" w:rsidP="00AE6341">
      <w:pPr>
        <w:rPr>
          <w:rFonts w:cstheme="minorHAnsi"/>
        </w:rPr>
      </w:pPr>
      <w:r>
        <w:rPr>
          <w:rFonts w:cstheme="minorHAnsi"/>
        </w:rPr>
        <w:t>Velike količine otpadnog papira i kartona potječu od ambalaže. Stoga je potrebno poticati proizvodnju i korištenje višekratne ambalaže u svim slučajevima kada je to primjenjivo. Također je bitno poticati proizvodnju i korištenje ambalaže koja je optimalnog volumena u odnosu na njezin sadržaj, koja ne sadrži više ambalažnih materijala od onih nužnih (»prekomjerna ambalaža«) za taj proizvod te koja je ekonomična s obzirom na količinu sadržaja kojeg sadrži. Potrošače i gospodarske subjekte potrebno je educirati i poticati na elektroničko poslovanje, na nabavu i korištenje proizvoda od papira i kartona koji su pogodni za višekratnu uporabu odnosno na korištenje alternativnih proizvoda koji su više pogodni za višekratnu uporabu od proizvoda od papira i kartona.</w:t>
      </w:r>
    </w:p>
    <w:p w14:paraId="31F8C42C" w14:textId="16DE06D4" w:rsidR="00AE6341" w:rsidRDefault="005E34EF" w:rsidP="005E34EF">
      <w:pPr>
        <w:pStyle w:val="IRNaslov3"/>
        <w:ind w:left="0" w:firstLine="0"/>
        <w:rPr>
          <w:rFonts w:cstheme="minorHAnsi"/>
        </w:rPr>
      </w:pPr>
      <w:bookmarkStart w:id="413" w:name="_Toc121138198"/>
      <w:bookmarkStart w:id="414" w:name="_Toc123211722"/>
      <w:r>
        <w:rPr>
          <w:rFonts w:cstheme="minorHAnsi"/>
        </w:rPr>
        <w:t>15.</w:t>
      </w:r>
      <w:r w:rsidR="005F1B1C">
        <w:rPr>
          <w:rFonts w:cstheme="minorHAnsi"/>
        </w:rPr>
        <w:t>6</w:t>
      </w:r>
      <w:r>
        <w:rPr>
          <w:rFonts w:cstheme="minorHAnsi"/>
        </w:rPr>
        <w:t xml:space="preserve">.6. </w:t>
      </w:r>
      <w:r w:rsidR="00AE6341">
        <w:rPr>
          <w:rFonts w:cstheme="minorHAnsi"/>
        </w:rPr>
        <w:t>Sprječavanje nastanka plastičnog otpada</w:t>
      </w:r>
      <w:bookmarkEnd w:id="413"/>
      <w:bookmarkEnd w:id="414"/>
    </w:p>
    <w:p w14:paraId="2F8AA813" w14:textId="77777777" w:rsidR="00AE6341" w:rsidRDefault="00AE6341" w:rsidP="00AE6341">
      <w:pPr>
        <w:rPr>
          <w:rFonts w:cstheme="minorHAnsi"/>
        </w:rPr>
      </w:pPr>
      <w:r>
        <w:rPr>
          <w:rFonts w:cstheme="minorHAnsi"/>
        </w:rPr>
        <w:t xml:space="preserve">Plastični otpad predstavlja golemi i dalje, unatoč uloženim znatnim naporima, rastući problem. Poseban problem čini plastika za jednokratnu uporabu. Često se smatra jeftinim proizvodom za jednokratnu uporabu, a većinom nije razgradiva odnosno razgradnja može trajati stotine godina. Za razliku od organskih materijala, plastika se nakuplja u okolišu i tijekom vremena može ući u prehrambeni lanac kao </w:t>
      </w:r>
      <w:proofErr w:type="spellStart"/>
      <w:r>
        <w:rPr>
          <w:rFonts w:cstheme="minorHAnsi"/>
        </w:rPr>
        <w:t>mikroplastika</w:t>
      </w:r>
      <w:proofErr w:type="spellEnd"/>
      <w:r>
        <w:rPr>
          <w:rFonts w:cstheme="minorHAnsi"/>
        </w:rPr>
        <w:t xml:space="preserve"> koja nastaje raspadanjem, odnosno razgradnjom većih komada plastike kao što su vrećice, boce i ribarske mreže.</w:t>
      </w:r>
    </w:p>
    <w:p w14:paraId="755E9D71" w14:textId="77777777" w:rsidR="00AE6341" w:rsidRDefault="00AE6341" w:rsidP="00AE6341">
      <w:pPr>
        <w:rPr>
          <w:rFonts w:cstheme="minorHAnsi"/>
        </w:rPr>
      </w:pPr>
      <w:r>
        <w:rPr>
          <w:rFonts w:cstheme="minorHAnsi"/>
        </w:rPr>
        <w:lastRenderedPageBreak/>
        <w:t>U 2021. godini bilježi se rast količina odvojeno sakupljene frakcije komunalnog otpada, plastičnog otpada u odnosu na prethodne godine. Udio odvojeno sakupljenog plastičnog otpada u ukupnoj količini odvojeno sakupljenog komunalnog otpada iznosi oko 9 %. 2021. godine je odvojeno sakupljeno oko 74.000 tona plastičnog otpada s umjerenom čistoćom (udio neželjenih materijala čini oko 10%). Međutim, zabrinjava činjenica da prema sastavu komunalnog otpada ukupna količina plastičnog otpada iznosi oko 340.000 tona u promatranoj godini iz čega je vidljivo da postoji veliki potencijal za povećanjem odvojenog sakupljanja plastičnog otpada ali i potencijal za sprječavanjem nastavka ove vrste otpada.</w:t>
      </w:r>
    </w:p>
    <w:p w14:paraId="49CAEF43" w14:textId="33DF7F5F" w:rsidR="00AE6341" w:rsidRDefault="00AE6341" w:rsidP="00AE6341">
      <w:pPr>
        <w:rPr>
          <w:rFonts w:cstheme="minorHAnsi"/>
        </w:rPr>
      </w:pPr>
      <w:r>
        <w:rPr>
          <w:rFonts w:cstheme="minorHAnsi"/>
        </w:rPr>
        <w:t xml:space="preserve">Zakon o gospodarenju otpadom zabranjuje stavljanje na tržište određene plastične proizvode za jednokratnu uporabu čime će se u nekom dijelu utjecati na nastanak plastičnog otpada. Osim proizvoda koje su obuhvaćene zabranom stavljanja na tržište postoji i niz drugih plastičnih proizvoda čija upotreba je dozvoljena a isti se vrlo često koriste jednokratno. Zbog navedenog je potrebno nastaviti s </w:t>
      </w:r>
      <w:proofErr w:type="spellStart"/>
      <w:r>
        <w:rPr>
          <w:rFonts w:cstheme="minorHAnsi"/>
        </w:rPr>
        <w:t>izobraznim</w:t>
      </w:r>
      <w:proofErr w:type="spellEnd"/>
      <w:r>
        <w:rPr>
          <w:rFonts w:cstheme="minorHAnsi"/>
        </w:rPr>
        <w:t xml:space="preserve"> i edukativnim aktivnostima poput izrade priručnika za smanjenje potrošnje plastičnih proizvoda za jednokratnu uporabu i provođenje ostalih projekata kojima se potiče potrošnja plastičnih proizvoda za jednokratnu upotrebu. Uspjeh do sada provedenih aktivnosti u području sprječavanja nastanka plastičnog otpada za jednokratnu upotrebu vidljiv je iz smanjenja potrošnje plastičnih vrećica u proteklom razdoblju kako prikazuje </w:t>
      </w:r>
      <w:r>
        <w:rPr>
          <w:rFonts w:cstheme="minorHAnsi"/>
        </w:rPr>
        <w:fldChar w:fldCharType="begin"/>
      </w:r>
      <w:r>
        <w:rPr>
          <w:rFonts w:cstheme="minorHAnsi"/>
        </w:rPr>
        <w:instrText xml:space="preserve"> REF _Ref114652670 \h  \* MERGEFORMAT </w:instrText>
      </w:r>
      <w:r>
        <w:rPr>
          <w:rFonts w:cstheme="minorHAnsi"/>
        </w:rPr>
      </w:r>
      <w:r>
        <w:rPr>
          <w:rFonts w:cstheme="minorHAnsi"/>
        </w:rPr>
        <w:fldChar w:fldCharType="separate"/>
      </w:r>
      <w:r w:rsidR="00F37B62" w:rsidRPr="00F37B62">
        <w:rPr>
          <w:rFonts w:cstheme="minorHAnsi"/>
        </w:rPr>
        <w:t xml:space="preserve">Tablica </w:t>
      </w:r>
      <w:r w:rsidR="00F37B62" w:rsidRPr="00F37B62">
        <w:rPr>
          <w:rFonts w:cstheme="minorHAnsi"/>
          <w:noProof/>
        </w:rPr>
        <w:t>71</w:t>
      </w:r>
      <w:r w:rsidR="00F37B62" w:rsidRPr="006F70C8">
        <w:rPr>
          <w:rFonts w:cstheme="minorHAnsi"/>
          <w:noProof/>
        </w:rPr>
        <w:t>.</w:t>
      </w:r>
      <w:r w:rsidR="00F37B62" w:rsidRPr="006F70C8">
        <w:rPr>
          <w:rFonts w:cstheme="minorHAnsi"/>
        </w:rPr>
        <w:t xml:space="preserve"> </w:t>
      </w:r>
      <w:r w:rsidR="00F37B62" w:rsidRPr="006F70C8">
        <w:rPr>
          <w:rFonts w:cstheme="minorHAnsi"/>
          <w:bCs/>
        </w:rPr>
        <w:t>Potrošnja plastičnih vrećica u RH</w:t>
      </w:r>
      <w:r>
        <w:rPr>
          <w:rFonts w:cstheme="minorHAnsi"/>
        </w:rPr>
        <w:fldChar w:fldCharType="end"/>
      </w:r>
      <w:r>
        <w:rPr>
          <w:rFonts w:cstheme="minorHAnsi"/>
        </w:rPr>
        <w:t xml:space="preserve">. </w:t>
      </w:r>
    </w:p>
    <w:p w14:paraId="0949B6E2" w14:textId="77777777" w:rsidR="00AE6341" w:rsidRDefault="00AE6341" w:rsidP="00AE6341">
      <w:pPr>
        <w:rPr>
          <w:rFonts w:cstheme="minorHAnsi"/>
        </w:rPr>
      </w:pPr>
      <w:r>
        <w:rPr>
          <w:rFonts w:cstheme="minorHAnsi"/>
        </w:rPr>
        <w:t xml:space="preserve">Poseban dio problema i tekstilni materijali izrađeni od sintetičkih vlakana kao što su poliester i najlon a koji i samom uporabom kroz trošenje odjeće uzrokuju otpuštanje </w:t>
      </w:r>
      <w:proofErr w:type="spellStart"/>
      <w:r>
        <w:rPr>
          <w:rFonts w:cstheme="minorHAnsi"/>
        </w:rPr>
        <w:t>mikroplastike</w:t>
      </w:r>
      <w:proofErr w:type="spellEnd"/>
      <w:r>
        <w:rPr>
          <w:rFonts w:cstheme="minorHAnsi"/>
        </w:rPr>
        <w:t xml:space="preserve"> te se u ovom dijelu planiraju aktivnosti u promicanju eko-dizajna</w:t>
      </w:r>
      <w:r>
        <w:rPr>
          <w:rFonts w:cstheme="minorHAnsi"/>
          <w:sz w:val="16"/>
          <w:szCs w:val="16"/>
        </w:rPr>
        <w:t xml:space="preserve">. </w:t>
      </w:r>
      <w:r>
        <w:rPr>
          <w:rFonts w:cstheme="minorHAnsi"/>
        </w:rPr>
        <w:t xml:space="preserve"> </w:t>
      </w:r>
    </w:p>
    <w:p w14:paraId="6BF9B1E6" w14:textId="056A6FEE" w:rsidR="00AE6341" w:rsidRDefault="005E34EF" w:rsidP="005E34EF">
      <w:pPr>
        <w:pStyle w:val="IRNaslov3"/>
        <w:ind w:left="0" w:firstLine="0"/>
        <w:rPr>
          <w:rFonts w:cstheme="minorHAnsi"/>
        </w:rPr>
      </w:pPr>
      <w:bookmarkStart w:id="415" w:name="_Toc121138199"/>
      <w:bookmarkStart w:id="416" w:name="_Toc123211723"/>
      <w:r>
        <w:rPr>
          <w:rFonts w:cstheme="minorHAnsi"/>
        </w:rPr>
        <w:t>15.</w:t>
      </w:r>
      <w:r w:rsidR="005F1B1C">
        <w:rPr>
          <w:rFonts w:cstheme="minorHAnsi"/>
        </w:rPr>
        <w:t>6</w:t>
      </w:r>
      <w:r>
        <w:rPr>
          <w:rFonts w:cstheme="minorHAnsi"/>
        </w:rPr>
        <w:t xml:space="preserve">.7. </w:t>
      </w:r>
      <w:r w:rsidR="00AE6341">
        <w:rPr>
          <w:rFonts w:cstheme="minorHAnsi"/>
        </w:rPr>
        <w:t>Sprječavanje nastanka građevnog otpada</w:t>
      </w:r>
      <w:bookmarkEnd w:id="415"/>
      <w:bookmarkEnd w:id="416"/>
    </w:p>
    <w:p w14:paraId="652AAE6D" w14:textId="77777777" w:rsidR="00AE6341" w:rsidRDefault="00AE6341" w:rsidP="00AE6341">
      <w:pPr>
        <w:rPr>
          <w:rFonts w:cstheme="minorHAnsi"/>
        </w:rPr>
      </w:pPr>
      <w:r>
        <w:rPr>
          <w:rFonts w:cstheme="minorHAnsi"/>
        </w:rPr>
        <w:t>Prema Zakonu o gospodarenju otpadom, građevni otpad je otpad nastao aktivnostima građenja i rušenja a koji se ne upotrebljavaju na gradilištu na kojem nastaju.</w:t>
      </w:r>
    </w:p>
    <w:p w14:paraId="31727EC3" w14:textId="77777777" w:rsidR="00AE6341" w:rsidRDefault="00AE6341" w:rsidP="00AE6341">
      <w:pPr>
        <w:rPr>
          <w:rFonts w:cstheme="minorHAnsi"/>
        </w:rPr>
      </w:pPr>
      <w:r>
        <w:rPr>
          <w:rFonts w:cstheme="minorHAnsi"/>
        </w:rPr>
        <w:t>Mjere sprječavanja nastanka građevnim otpadom prilikom rekonstrukcije, održavanja, odnosno uklanjanja građevine uključuju izdvajanje materijala i tvari, odnosno građevnih proizvoda, koji nisu otpad (npr. višak materijala pri građenju ili rekonstrukciji građevine ili izdvojene tvari ili materijali ili građevni proizvodi kao što je cigla ili crijep iz građevine koja se uklanja ili rekonstruira), ukoliko se isti mogu bez obrade koristiti u istu svrhu u koju su i proizvedeni, pod pretpostavkom da se koriste na istom gradilištu. Ova mjera je dio nacionalnog zakonodavstva koji uređuje gospodarenje otpadom, a da bi bila efikasnija potrebno ju je povezati s zakonodavstvom iz područja graditeljstva, što će se aktivirati u sljedećem programskom razdoblju.</w:t>
      </w:r>
    </w:p>
    <w:p w14:paraId="1075DFA7" w14:textId="77777777" w:rsidR="00AE6341" w:rsidRDefault="00AE6341" w:rsidP="00AE6341">
      <w:pPr>
        <w:rPr>
          <w:rFonts w:cstheme="minorHAnsi"/>
        </w:rPr>
      </w:pPr>
      <w:r>
        <w:rPr>
          <w:rFonts w:cstheme="minorHAnsi"/>
        </w:rPr>
        <w:t>Neodgovarajuće gospodarenje građevnim otpadom ne samo da onečišćuje okoliš, već ova kategorija otpada zauzima veliki volumen na odlagalištima otpada. Prema rezultatima analize stanja i projekcijama o količinama proizvedenog građevnog otpada u RH i količinama koje se predviđaju za plansko razdoblje ovog dokumenta ova vrsta otpada posjeduje visoki potencijal za recikliranje čime se ide u smjeru ispunjenja zakonski postavljenih ciljeva i stoga predstavlja prioritet u gospodarenju otpadom i aktivnostima sprječavanja nastanka otpada.</w:t>
      </w:r>
    </w:p>
    <w:p w14:paraId="1511B0DC" w14:textId="77777777" w:rsidR="00AE6341" w:rsidRDefault="00AE6341" w:rsidP="00AE6341">
      <w:pPr>
        <w:rPr>
          <w:rFonts w:cstheme="minorHAnsi"/>
        </w:rPr>
      </w:pPr>
      <w:r>
        <w:rPr>
          <w:rFonts w:cstheme="minorHAnsi"/>
        </w:rPr>
        <w:t>Cilj sprječavanja nastanka građevnog otpada je promicanje tehnika i tehnologije usmjerene na produljenje životnog vijeka objekata, izbjegavajući korištenje opasnih tvari i olakšavanje odvajanja opasnih od neopasnih tvari kako bi se u konačnici smanjile količine otpada od gradnje odnosno njegovo korištenje na mjestu nastanka, kao i udjela otpada od gradnje i rušenja koji sadrži opasne tvari.</w:t>
      </w:r>
    </w:p>
    <w:p w14:paraId="62BA9B52" w14:textId="77777777" w:rsidR="00AE6341" w:rsidRDefault="00AE6341" w:rsidP="00AE6341">
      <w:pPr>
        <w:rPr>
          <w:rFonts w:cstheme="minorHAnsi"/>
        </w:rPr>
      </w:pPr>
      <w:r>
        <w:rPr>
          <w:rFonts w:cstheme="minorHAnsi"/>
        </w:rPr>
        <w:lastRenderedPageBreak/>
        <w:t xml:space="preserve">Što se tiče prevencije građevinskog otpada i otpada od rušenja potrebno je poduzeti značajne napore kako prikladnim tehnikama planiranja i korištenjem odgovarajućih tehnologija i tehnika smanjiti korištenje materijala i izbjegavanje onih koji imaju značajan utjecaj na okoliš, kako bi se produžio životni vijek objekata kroz odgovarajuće mjere održavanja te kako bi se olakšala ponovna uporaba materijala utvrđivanjem mogućnosti odvajanja i prepoznatljivosti otpada tijekom izgradnje, obnove i rušenja. </w:t>
      </w:r>
    </w:p>
    <w:p w14:paraId="2BE589DB" w14:textId="77777777" w:rsidR="00AE6341" w:rsidRDefault="00AE6341" w:rsidP="00AE6341">
      <w:pPr>
        <w:rPr>
          <w:rFonts w:cstheme="minorHAnsi"/>
        </w:rPr>
      </w:pPr>
      <w:r>
        <w:rPr>
          <w:rFonts w:cstheme="minorHAnsi"/>
        </w:rPr>
        <w:t xml:space="preserve">Poseban izazov u tom pogledu predstavlja izgradnja zgrada koje su resursno i energetski učinkovite tijekom cijelog životnog ciklusa. Nadalje, inicijative koje su se pokazale učinkovitima moraju se širiti kroz razmjenu znanja i primjere iz prakse. Potrebno je također stvoriti tržište i poticaje za korištenje </w:t>
      </w:r>
      <w:proofErr w:type="spellStart"/>
      <w:r>
        <w:rPr>
          <w:rFonts w:cstheme="minorHAnsi"/>
        </w:rPr>
        <w:t>oporabljenog</w:t>
      </w:r>
      <w:proofErr w:type="spellEnd"/>
      <w:r>
        <w:rPr>
          <w:rFonts w:cstheme="minorHAnsi"/>
        </w:rPr>
        <w:t xml:space="preserve"> građevinskog otpada.</w:t>
      </w:r>
    </w:p>
    <w:p w14:paraId="1FE67412" w14:textId="77777777" w:rsidR="00AE6341" w:rsidRDefault="00AE6341" w:rsidP="00AE6341">
      <w:pPr>
        <w:rPr>
          <w:rFonts w:cstheme="minorHAnsi"/>
        </w:rPr>
      </w:pPr>
      <w:r>
        <w:rPr>
          <w:rFonts w:cstheme="minorHAnsi"/>
        </w:rPr>
        <w:t>U razvoju inovativnih tehnologija i tehnika cilj je, s jedne strane, očuvati resurse i postići visoku razinu materijalne učinkovitosti i nisku razinu generiranog otpada te, s druge strane, postizanje visoke energetske učinkovitosti.</w:t>
      </w:r>
    </w:p>
    <w:p w14:paraId="66FFA463" w14:textId="77777777" w:rsidR="00AE6341" w:rsidRDefault="00AE6341" w:rsidP="00AE6341">
      <w:pPr>
        <w:rPr>
          <w:rFonts w:cstheme="minorHAnsi"/>
        </w:rPr>
      </w:pPr>
      <w:r>
        <w:rPr>
          <w:rFonts w:cstheme="minorHAnsi"/>
        </w:rPr>
        <w:t xml:space="preserve">U svim prethodno navedenim ciljevima javni sektor može igrati važnu ulogu a kako bi se isto postiglo potrebno je kroz provoditi kontinuiranu edukaciju o prevenciji korištenja građevinskih materijala koji sadrže štetne tvari i o ponovnoj uporabi građevinskog otpada kroz obrazovne institucije te stručno usavršavanje stručnjaka te usavršavanje javnih naručitelja. </w:t>
      </w:r>
      <w:r>
        <w:rPr>
          <w:rStyle w:val="y2iqfc"/>
        </w:rPr>
        <w:t>Uključivanje načela prevencije i ponovne uporabe otpada u stručno i sveučilišno obrazovanje</w:t>
      </w:r>
      <w:r>
        <w:rPr>
          <w:rFonts w:cstheme="minorHAnsi"/>
        </w:rPr>
        <w:t xml:space="preserve"> </w:t>
      </w:r>
    </w:p>
    <w:p w14:paraId="78525F99" w14:textId="77777777" w:rsidR="00AE6341" w:rsidRDefault="00AE6341" w:rsidP="00AE6341">
      <w:pPr>
        <w:rPr>
          <w:rFonts w:cstheme="minorHAnsi"/>
        </w:rPr>
      </w:pPr>
      <w:r>
        <w:rPr>
          <w:rFonts w:cstheme="minorHAnsi"/>
        </w:rPr>
        <w:t xml:space="preserve">Napušteni ili nekorišteni objekti, odnosno objekti kojima originalna namjena više nije svrhovita su najčešće prvi korak ka njihovom rušenju. Prenamjenom objekata i razvojem novih modela korištenja zgrada može u produžiti njihov životni vijek. Javni sektor i u ovom slučaju može imati važnu ulogu s obzirom na veliki broj objekata u javnom vlasništvu.  </w:t>
      </w:r>
    </w:p>
    <w:p w14:paraId="0B2A7788" w14:textId="77777777" w:rsidR="00AE6341" w:rsidRDefault="00AE6341" w:rsidP="00AE6341">
      <w:pPr>
        <w:rPr>
          <w:rFonts w:cstheme="minorHAnsi"/>
        </w:rPr>
      </w:pPr>
      <w:r>
        <w:rPr>
          <w:rFonts w:cstheme="minorHAnsi"/>
        </w:rPr>
        <w:t xml:space="preserve">Sprječavanje nastajanja otpada i potencijal ponovne uporabe u građevinskom sektoru u biti su određeni u fazi projektiranja. Stoga područje dizajna i projektiranja predstavlja dodatnu središnju točku u aktivnostima sprječavanja nastajanja građevnog otpada. Zbog toga je načela prevencije i ponovne uporabe građevnog otpada potrebno uključiti u stručno i sveučilišno obrazovanje. </w:t>
      </w:r>
    </w:p>
    <w:p w14:paraId="77385520" w14:textId="77777777" w:rsidR="00AE6341" w:rsidRDefault="00AE6341" w:rsidP="00AE6341">
      <w:pPr>
        <w:rPr>
          <w:rFonts w:cstheme="minorHAnsi"/>
        </w:rPr>
      </w:pPr>
      <w:r>
        <w:rPr>
          <w:rFonts w:cstheme="minorHAnsi"/>
        </w:rPr>
        <w:t>Osim neposrednog sprječavanja nastanka građevnog otpada, primjenom predviđenih mjera nastoji se dugoročno poboljšati kvaliteta građevnog otpada i otpada od rušenja čime bi se olakšala njegova ponovna uporaba ili oporaba.</w:t>
      </w:r>
    </w:p>
    <w:p w14:paraId="472699B8" w14:textId="77777777" w:rsidR="00AE6341" w:rsidRDefault="00AE6341" w:rsidP="00AE6341">
      <w:pPr>
        <w:rPr>
          <w:rFonts w:cstheme="minorHAnsi"/>
        </w:rPr>
      </w:pPr>
      <w:r>
        <w:rPr>
          <w:rFonts w:cstheme="minorHAnsi"/>
        </w:rPr>
        <w:t xml:space="preserve">Kako bi se ostvarili značajni pomaci u gospodarenju građevnim otpadom kao i u sprječavanju nastanka građevnog otpada krajem 2021. godine pokrenut je projekt izrade Akcijskog plana za kružno gospodarstvo u sektoru gospodarenja građevnim otpadom u Republici Hrvatskoj. </w:t>
      </w:r>
    </w:p>
    <w:p w14:paraId="2EE413AB" w14:textId="77777777" w:rsidR="00AE6341" w:rsidRDefault="00AE6341" w:rsidP="00AE6341">
      <w:pPr>
        <w:rPr>
          <w:rFonts w:cstheme="minorHAnsi"/>
        </w:rPr>
      </w:pPr>
      <w:r>
        <w:rPr>
          <w:rFonts w:cstheme="minorHAnsi"/>
        </w:rPr>
        <w:t>Kako bi se u što većoj mjeri potaknulo korištenje građevnog materijala prije nego postane otpad i građevnog otpada nastalog od rušenja i drugih građevinskih aktivnosti predviđa se uvođenje poticajne naknade za ponovno korištenje materijala od rušenja i drugih građevinskih aktivnosti.</w:t>
      </w:r>
    </w:p>
    <w:p w14:paraId="7ED34934" w14:textId="2AD1BE8F" w:rsidR="00AE6341" w:rsidRDefault="005E34EF" w:rsidP="005E34EF">
      <w:pPr>
        <w:pStyle w:val="IRNaslov3"/>
        <w:ind w:left="0" w:firstLine="0"/>
        <w:rPr>
          <w:rFonts w:cstheme="minorHAnsi"/>
        </w:rPr>
      </w:pPr>
      <w:bookmarkStart w:id="417" w:name="_Toc121138200"/>
      <w:bookmarkStart w:id="418" w:name="_Toc123211724"/>
      <w:r>
        <w:rPr>
          <w:rFonts w:cstheme="minorHAnsi"/>
        </w:rPr>
        <w:t>15.</w:t>
      </w:r>
      <w:r w:rsidR="005F1B1C">
        <w:rPr>
          <w:rFonts w:cstheme="minorHAnsi"/>
        </w:rPr>
        <w:t>6</w:t>
      </w:r>
      <w:r>
        <w:rPr>
          <w:rFonts w:cstheme="minorHAnsi"/>
        </w:rPr>
        <w:t xml:space="preserve">.8. </w:t>
      </w:r>
      <w:r w:rsidR="00AE6341">
        <w:rPr>
          <w:rFonts w:cstheme="minorHAnsi"/>
        </w:rPr>
        <w:t>Sprječavanje nastanka otpadnog tekstila i obuće</w:t>
      </w:r>
      <w:bookmarkEnd w:id="417"/>
      <w:bookmarkEnd w:id="418"/>
    </w:p>
    <w:p w14:paraId="0AAC580A" w14:textId="77777777" w:rsidR="00AE6341" w:rsidRDefault="00AE6341" w:rsidP="00AE6341">
      <w:pPr>
        <w:rPr>
          <w:rFonts w:cstheme="minorHAnsi"/>
        </w:rPr>
      </w:pPr>
      <w:r>
        <w:rPr>
          <w:rFonts w:cstheme="minorHAnsi"/>
        </w:rPr>
        <w:t xml:space="preserve">Unatoč relativno malom udjelu (&lt;3%) tekstilnog otpada u komunalnom otpadu, okolišni otisak tekstilnih proizvoda i obuće je izrazito velik. Naime, tekstilna industrija i industrija brze mode je jedna od gospodarskih grana s najizraženijim utjecajem na okoliš. U posljednjim desetljećima sve je prisutniji model ''brze mode'' koji utječe na povećavanje količina tekstilnog otpada kao i zagađenje okoliša tijekom procesa proizvodnje. Za proizvodnju tekstila i obuće potrebno je utrošiti značajnu količinu </w:t>
      </w:r>
      <w:r>
        <w:rPr>
          <w:rFonts w:cstheme="minorHAnsi"/>
        </w:rPr>
        <w:lastRenderedPageBreak/>
        <w:t>resursa (vode i energije) te se pri proizvodnji otpuštaju velike količine štetnih kemikalija u okoliš. O navedenim činjenicama ne postoji ni približno dovoljno znanja i osviještenosti šire javnosti.</w:t>
      </w:r>
    </w:p>
    <w:p w14:paraId="10BA2CC3" w14:textId="77777777" w:rsidR="00AE6341" w:rsidRDefault="00AE6341" w:rsidP="00AE6341">
      <w:pPr>
        <w:rPr>
          <w:rFonts w:cstheme="minorHAnsi"/>
        </w:rPr>
      </w:pPr>
      <w:r>
        <w:rPr>
          <w:rFonts w:cstheme="minorHAnsi"/>
        </w:rPr>
        <w:t>Tako Akcijski plan za kružno gospodarstvo navodi da tekstil predstavlja četvrtu najveću kategoriju po pitanju korištenja primarnih sirovina i vode, nakon proizvodnje hrane, stanovanja i transporta.</w:t>
      </w:r>
    </w:p>
    <w:p w14:paraId="5153DFFF" w14:textId="77777777" w:rsidR="00AE6341" w:rsidRDefault="00AE6341" w:rsidP="00AE6341">
      <w:pPr>
        <w:rPr>
          <w:rFonts w:cstheme="minorHAnsi"/>
        </w:rPr>
      </w:pPr>
      <w:r>
        <w:rPr>
          <w:rFonts w:cstheme="minorHAnsi"/>
        </w:rPr>
        <w:t xml:space="preserve">Uvođenjem eko-dizajna u proizvodnji tekstila i obuće te isticanjem </w:t>
      </w:r>
      <w:proofErr w:type="spellStart"/>
      <w:r>
        <w:rPr>
          <w:rFonts w:cstheme="minorHAnsi"/>
        </w:rPr>
        <w:t>ekooznaka</w:t>
      </w:r>
      <w:proofErr w:type="spellEnd"/>
      <w:r>
        <w:rPr>
          <w:rFonts w:cstheme="minorHAnsi"/>
        </w:rPr>
        <w:t xml:space="preserve"> potrebno je utjecati na prevenciju nastanka ove vrste otpada, čime će se doprinijeti većoj svijesti šire javnosti o koristima kupovine ‘zelenih’ proizvoda. </w:t>
      </w:r>
    </w:p>
    <w:p w14:paraId="19C52B75" w14:textId="77777777" w:rsidR="00AE6341" w:rsidRDefault="00AE6341" w:rsidP="00AE6341">
      <w:pPr>
        <w:rPr>
          <w:rFonts w:cstheme="minorHAnsi"/>
        </w:rPr>
      </w:pPr>
      <w:r>
        <w:rPr>
          <w:rFonts w:cstheme="minorHAnsi"/>
        </w:rPr>
        <w:t xml:space="preserve">Uspostava centara za ponovnu uporabu također će utjecati na smanjene nastanka tekstilnog otpada, dok će se kroz informativno-edukativne aktivnosti poticati doniranje i razmjene korištene obuće i odjeće. </w:t>
      </w:r>
    </w:p>
    <w:p w14:paraId="3C20D79C" w14:textId="1F9B2E3D" w:rsidR="00AE6341" w:rsidRDefault="005E34EF" w:rsidP="005E34EF">
      <w:pPr>
        <w:pStyle w:val="IRNaslov3"/>
        <w:ind w:left="567"/>
        <w:rPr>
          <w:rFonts w:cstheme="minorHAnsi"/>
        </w:rPr>
      </w:pPr>
      <w:bookmarkStart w:id="419" w:name="_Toc121138201"/>
      <w:bookmarkStart w:id="420" w:name="_Toc123211725"/>
      <w:r>
        <w:rPr>
          <w:rFonts w:cstheme="minorHAnsi"/>
        </w:rPr>
        <w:t>15.</w:t>
      </w:r>
      <w:r w:rsidR="005F1B1C">
        <w:rPr>
          <w:rFonts w:cstheme="minorHAnsi"/>
        </w:rPr>
        <w:t>6</w:t>
      </w:r>
      <w:r>
        <w:rPr>
          <w:rFonts w:cstheme="minorHAnsi"/>
        </w:rPr>
        <w:t xml:space="preserve">.9. </w:t>
      </w:r>
      <w:r w:rsidR="00AE6341">
        <w:rPr>
          <w:rFonts w:cstheme="minorHAnsi"/>
        </w:rPr>
        <w:t>Sprječavanje nastanka morskog otpada</w:t>
      </w:r>
      <w:bookmarkEnd w:id="419"/>
      <w:bookmarkEnd w:id="420"/>
    </w:p>
    <w:p w14:paraId="52FC46AD" w14:textId="77777777" w:rsidR="00AE6341" w:rsidRDefault="00AE6341" w:rsidP="00AE6341">
      <w:pPr>
        <w:rPr>
          <w:rFonts w:cstheme="minorHAnsi"/>
        </w:rPr>
      </w:pPr>
      <w:r>
        <w:rPr>
          <w:rFonts w:cstheme="minorHAnsi"/>
        </w:rPr>
        <w:t>Morski se otpad sastoji od proizvedenih ili prerađenih krutih materijala koji na neki način završe u morima. Najčešća vrsta otpada u morima je plastika, odnosno plastični ambalažni otpad za jednokratnu uporabu, zatim slijede ribarske mreže, užad, higijenske potrepštine, opušci i sl. koji se nalazi na površini mora, u vodenom stupcu, na morskom dnu ili naplavljen.</w:t>
      </w:r>
    </w:p>
    <w:p w14:paraId="33302DDF" w14:textId="77777777" w:rsidR="00AE6341" w:rsidRDefault="00AE6341" w:rsidP="00AE6341">
      <w:pPr>
        <w:rPr>
          <w:rFonts w:cstheme="minorHAnsi"/>
        </w:rPr>
      </w:pPr>
      <w:r>
        <w:rPr>
          <w:rFonts w:cstheme="minorHAnsi"/>
        </w:rPr>
        <w:t xml:space="preserve">Sunčeva svijetlost, slana voda i valovi rastavljaju plastiku na manje dijelove koja se nakuplja u morima, također kozmetički proizvodi, paste za zube i proizvodi za osobnu njegu u sebi već sadrže </w:t>
      </w:r>
      <w:proofErr w:type="spellStart"/>
      <w:r>
        <w:rPr>
          <w:rFonts w:cstheme="minorHAnsi"/>
        </w:rPr>
        <w:t>mikroplastiku</w:t>
      </w:r>
      <w:proofErr w:type="spellEnd"/>
      <w:r>
        <w:rPr>
          <w:rFonts w:cstheme="minorHAnsi"/>
        </w:rPr>
        <w:t xml:space="preserve">. </w:t>
      </w:r>
    </w:p>
    <w:p w14:paraId="5A5C8160" w14:textId="77777777" w:rsidR="00AE6341" w:rsidRDefault="00AE6341" w:rsidP="00AE6341">
      <w:pPr>
        <w:rPr>
          <w:rFonts w:cstheme="minorHAnsi"/>
        </w:rPr>
      </w:pPr>
      <w:r>
        <w:rPr>
          <w:rFonts w:cstheme="minorHAnsi"/>
        </w:rPr>
        <w:t>Morski otpad kada se nađe u moru ne pripada nikome, te je time otežano upravljanje otpadom.</w:t>
      </w:r>
    </w:p>
    <w:p w14:paraId="29DC3703" w14:textId="77777777" w:rsidR="00AE6341" w:rsidRDefault="00AE6341" w:rsidP="00AE6341">
      <w:pPr>
        <w:rPr>
          <w:rFonts w:cstheme="minorHAnsi"/>
        </w:rPr>
      </w:pPr>
      <w:r>
        <w:rPr>
          <w:rFonts w:cstheme="minorHAnsi"/>
        </w:rPr>
        <w:t>Smanjenjem plastičnih proizvoda za jednokratnu uporabu, laganih plastičnih vrećica, ambalažnog otpada, zatim povećanjem stope recikliranja te poboljšanjem pročišćavanja otpadnih voda omogućilo bi se sprječavanje nastanka morskog otpada.</w:t>
      </w:r>
    </w:p>
    <w:p w14:paraId="00374097" w14:textId="377FC659" w:rsidR="00AE6341" w:rsidRDefault="005E34EF" w:rsidP="005E34EF">
      <w:pPr>
        <w:pStyle w:val="IRNaslov2"/>
      </w:pPr>
      <w:bookmarkStart w:id="421" w:name="_Toc121138202"/>
      <w:bookmarkStart w:id="422" w:name="_Toc123211726"/>
      <w:r>
        <w:t>15.</w:t>
      </w:r>
      <w:r w:rsidR="005F1B1C">
        <w:t>7</w:t>
      </w:r>
      <w:r>
        <w:t xml:space="preserve">. </w:t>
      </w:r>
      <w:r w:rsidR="00AE6341">
        <w:t>M</w:t>
      </w:r>
      <w:r w:rsidR="008B7ED2">
        <w:t>jere sprječavanja nastanka otpada</w:t>
      </w:r>
      <w:bookmarkEnd w:id="421"/>
      <w:bookmarkEnd w:id="422"/>
    </w:p>
    <w:p w14:paraId="62B593CE" w14:textId="77777777" w:rsidR="00AE6341" w:rsidRDefault="00AE6341" w:rsidP="00AE6341">
      <w:pPr>
        <w:rPr>
          <w:rFonts w:cstheme="minorHAnsi"/>
        </w:rPr>
      </w:pPr>
      <w:r>
        <w:rPr>
          <w:rFonts w:cstheme="minorHAnsi"/>
        </w:rPr>
        <w:t xml:space="preserve">U nastavku su prikazane mjere i opis mjera sprječavanja nastanka otpada u svrhu postizanja definiranih specifičnih ciljeva </w:t>
      </w:r>
      <w:bookmarkStart w:id="423" w:name="_Hlk110719806"/>
      <w:r>
        <w:rPr>
          <w:rFonts w:cstheme="minorHAnsi"/>
        </w:rPr>
        <w:t xml:space="preserve">Plana sprječavanja nastanka otpada za razdoblje 2023. – 2028. godine. </w:t>
      </w:r>
      <w:bookmarkEnd w:id="423"/>
    </w:p>
    <w:p w14:paraId="6AF43375" w14:textId="78F2CAC6" w:rsidR="00AE6341" w:rsidRDefault="00AE6341" w:rsidP="00AE6341">
      <w:pPr>
        <w:pStyle w:val="Tablica"/>
      </w:pPr>
      <w:bookmarkStart w:id="424" w:name="_Toc125364464"/>
      <w:r>
        <w:t xml:space="preserve">Tablica </w:t>
      </w:r>
      <w:fldSimple w:instr=" SEQ Tablica \* ARABIC ">
        <w:r w:rsidR="00F37B62">
          <w:rPr>
            <w:noProof/>
          </w:rPr>
          <w:t>75</w:t>
        </w:r>
      </w:fldSimple>
      <w:r>
        <w:t xml:space="preserve">. </w:t>
      </w:r>
      <w:r>
        <w:rPr>
          <w:b w:val="0"/>
          <w:bCs/>
        </w:rPr>
        <w:t>Pregled mjera sprječavanja nastanka otpada i poveznica s specifičnim ciljevima</w:t>
      </w:r>
      <w:bookmarkEnd w:id="424"/>
    </w:p>
    <w:tbl>
      <w:tblPr>
        <w:tblStyle w:val="Reetkatablice"/>
        <w:tblW w:w="9209" w:type="dxa"/>
        <w:tblLook w:val="04A0" w:firstRow="1" w:lastRow="0" w:firstColumn="1" w:lastColumn="0" w:noHBand="0" w:noVBand="1"/>
      </w:tblPr>
      <w:tblGrid>
        <w:gridCol w:w="1063"/>
        <w:gridCol w:w="2618"/>
        <w:gridCol w:w="1417"/>
        <w:gridCol w:w="4111"/>
      </w:tblGrid>
      <w:tr w:rsidR="00AE6341" w14:paraId="45E57ACB" w14:textId="77777777" w:rsidTr="00AE6341">
        <w:trPr>
          <w:tblHeader/>
        </w:trPr>
        <w:tc>
          <w:tcPr>
            <w:tcW w:w="1063"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566EDC4" w14:textId="77777777" w:rsidR="00AE6341" w:rsidRDefault="00AE6341">
            <w:pPr>
              <w:rPr>
                <w:rFonts w:cstheme="minorHAnsi"/>
                <w:b/>
                <w:bCs/>
                <w:sz w:val="16"/>
                <w:szCs w:val="16"/>
              </w:rPr>
            </w:pPr>
            <w:bookmarkStart w:id="425" w:name="_Hlk110784806"/>
            <w:r>
              <w:rPr>
                <w:rFonts w:cstheme="minorHAnsi"/>
                <w:b/>
                <w:bCs/>
                <w:sz w:val="16"/>
                <w:szCs w:val="16"/>
              </w:rPr>
              <w:t>Br.</w:t>
            </w:r>
          </w:p>
        </w:tc>
        <w:tc>
          <w:tcPr>
            <w:tcW w:w="2618"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8BC3F29" w14:textId="77777777" w:rsidR="00AE6341" w:rsidRDefault="00AE6341">
            <w:pPr>
              <w:rPr>
                <w:rFonts w:cstheme="minorHAnsi"/>
                <w:b/>
                <w:bCs/>
                <w:sz w:val="16"/>
                <w:szCs w:val="16"/>
              </w:rPr>
            </w:pPr>
            <w:r>
              <w:rPr>
                <w:rFonts w:cstheme="minorHAnsi"/>
                <w:b/>
                <w:bCs/>
                <w:sz w:val="16"/>
                <w:szCs w:val="16"/>
              </w:rPr>
              <w:t>Naziv mjere</w:t>
            </w:r>
          </w:p>
        </w:tc>
        <w:tc>
          <w:tcPr>
            <w:tcW w:w="141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8CFE241" w14:textId="77777777" w:rsidR="00AE6341" w:rsidRDefault="00AE6341">
            <w:pPr>
              <w:rPr>
                <w:rFonts w:cstheme="minorHAnsi"/>
                <w:b/>
                <w:bCs/>
                <w:sz w:val="16"/>
                <w:szCs w:val="16"/>
              </w:rPr>
            </w:pPr>
            <w:r>
              <w:rPr>
                <w:rFonts w:cstheme="minorHAnsi"/>
                <w:b/>
                <w:bCs/>
                <w:sz w:val="16"/>
                <w:szCs w:val="16"/>
              </w:rPr>
              <w:t>Specifični cilj:</w:t>
            </w:r>
          </w:p>
        </w:tc>
        <w:tc>
          <w:tcPr>
            <w:tcW w:w="4111"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A27DA10" w14:textId="77777777" w:rsidR="00AE6341" w:rsidRDefault="00AE6341">
            <w:pPr>
              <w:rPr>
                <w:rFonts w:cstheme="minorHAnsi"/>
                <w:b/>
                <w:bCs/>
                <w:sz w:val="16"/>
                <w:szCs w:val="16"/>
              </w:rPr>
            </w:pPr>
            <w:r>
              <w:rPr>
                <w:rFonts w:cstheme="minorHAnsi"/>
                <w:b/>
                <w:bCs/>
                <w:sz w:val="16"/>
                <w:szCs w:val="16"/>
              </w:rPr>
              <w:t>Poveznica s mjerom iz Dodatka IV. Direktive 2008/98/EZ</w:t>
            </w:r>
          </w:p>
        </w:tc>
      </w:tr>
      <w:tr w:rsidR="00AE6341" w14:paraId="33396466" w14:textId="77777777" w:rsidTr="00AE6341">
        <w:tc>
          <w:tcPr>
            <w:tcW w:w="106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0FA49591" w14:textId="77777777" w:rsidR="00AE6341" w:rsidRDefault="00AE6341">
            <w:pPr>
              <w:rPr>
                <w:rFonts w:cstheme="minorHAnsi"/>
                <w:b/>
                <w:bCs/>
                <w:sz w:val="16"/>
                <w:szCs w:val="16"/>
              </w:rPr>
            </w:pPr>
            <w:r>
              <w:rPr>
                <w:rFonts w:cstheme="minorHAnsi"/>
                <w:b/>
                <w:bCs/>
                <w:sz w:val="16"/>
                <w:szCs w:val="16"/>
              </w:rPr>
              <w:t xml:space="preserve">Mjera 1. </w:t>
            </w:r>
          </w:p>
        </w:tc>
        <w:tc>
          <w:tcPr>
            <w:tcW w:w="2618" w:type="dxa"/>
            <w:tcBorders>
              <w:top w:val="single" w:sz="4" w:space="0" w:color="auto"/>
              <w:left w:val="single" w:sz="4" w:space="0" w:color="auto"/>
              <w:bottom w:val="single" w:sz="4" w:space="0" w:color="auto"/>
              <w:right w:val="single" w:sz="4" w:space="0" w:color="auto"/>
            </w:tcBorders>
            <w:vAlign w:val="center"/>
            <w:hideMark/>
          </w:tcPr>
          <w:p w14:paraId="380A8AA8" w14:textId="77777777" w:rsidR="00AE6341" w:rsidRDefault="00AE6341">
            <w:pPr>
              <w:rPr>
                <w:rFonts w:cstheme="minorHAnsi"/>
                <w:sz w:val="16"/>
                <w:szCs w:val="16"/>
              </w:rPr>
            </w:pPr>
            <w:r>
              <w:rPr>
                <w:rFonts w:cstheme="minorHAnsi"/>
                <w:sz w:val="16"/>
                <w:szCs w:val="16"/>
              </w:rPr>
              <w:t>Jačanje okvira politika za prijelaz na kružno gospodarstvo u građevinskom sektoru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76249A" w14:textId="77777777" w:rsidR="00AE6341" w:rsidRDefault="00AE6341">
            <w:pPr>
              <w:rPr>
                <w:rFonts w:cstheme="minorHAnsi"/>
                <w:sz w:val="16"/>
                <w:szCs w:val="16"/>
              </w:rPr>
            </w:pPr>
            <w:r>
              <w:rPr>
                <w:rFonts w:cstheme="minorHAnsi"/>
                <w:sz w:val="16"/>
                <w:szCs w:val="16"/>
              </w:rPr>
              <w:t>Sprječavanje nastanka građevnog otpada</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A66EC0E" w14:textId="77777777" w:rsidR="00AE6341" w:rsidRDefault="00AE6341">
            <w:pPr>
              <w:rPr>
                <w:rFonts w:cstheme="minorHAnsi"/>
                <w:sz w:val="16"/>
                <w:szCs w:val="16"/>
              </w:rPr>
            </w:pPr>
            <w:r>
              <w:rPr>
                <w:rFonts w:cstheme="minorHAnsi"/>
                <w:sz w:val="16"/>
                <w:szCs w:val="16"/>
              </w:rPr>
              <w:t>Uvođenje planiranja ili drugih ekonomskih instrumenata kojima se promiče učinkovita uporaba sirovina i resursa (1.)</w:t>
            </w:r>
          </w:p>
          <w:p w14:paraId="397AB332" w14:textId="77777777" w:rsidR="00AE6341" w:rsidRDefault="00AE6341">
            <w:pPr>
              <w:rPr>
                <w:rFonts w:cstheme="minorHAnsi"/>
                <w:sz w:val="16"/>
                <w:szCs w:val="16"/>
              </w:rPr>
            </w:pPr>
            <w:r>
              <w:rPr>
                <w:rFonts w:cstheme="minorHAnsi"/>
                <w:sz w:val="16"/>
                <w:szCs w:val="16"/>
              </w:rPr>
              <w:t>Organizacija kampanja podizanja svijesti i pružanje informacija usmjereno na širu javnost ili određenu kategoriju potrošača (12.)</w:t>
            </w:r>
          </w:p>
        </w:tc>
      </w:tr>
      <w:tr w:rsidR="00AE6341" w14:paraId="1BAE7646" w14:textId="77777777" w:rsidTr="00AE6341">
        <w:tc>
          <w:tcPr>
            <w:tcW w:w="106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3BCD71B9" w14:textId="77777777" w:rsidR="00AE6341" w:rsidRDefault="00AE6341">
            <w:pPr>
              <w:rPr>
                <w:rFonts w:cstheme="minorHAnsi"/>
                <w:b/>
                <w:bCs/>
                <w:sz w:val="16"/>
                <w:szCs w:val="16"/>
              </w:rPr>
            </w:pPr>
            <w:r>
              <w:rPr>
                <w:rFonts w:cstheme="minorHAnsi"/>
                <w:b/>
                <w:bCs/>
                <w:sz w:val="16"/>
                <w:szCs w:val="16"/>
              </w:rPr>
              <w:t>Mjera 2.</w:t>
            </w:r>
          </w:p>
        </w:tc>
        <w:tc>
          <w:tcPr>
            <w:tcW w:w="2618" w:type="dxa"/>
            <w:tcBorders>
              <w:top w:val="single" w:sz="4" w:space="0" w:color="auto"/>
              <w:left w:val="single" w:sz="4" w:space="0" w:color="auto"/>
              <w:bottom w:val="single" w:sz="4" w:space="0" w:color="auto"/>
              <w:right w:val="single" w:sz="4" w:space="0" w:color="auto"/>
            </w:tcBorders>
            <w:vAlign w:val="center"/>
            <w:hideMark/>
          </w:tcPr>
          <w:p w14:paraId="5390A9C9" w14:textId="77777777" w:rsidR="00AE6341" w:rsidRDefault="00AE6341">
            <w:pPr>
              <w:rPr>
                <w:rFonts w:cstheme="minorHAnsi"/>
                <w:sz w:val="16"/>
                <w:szCs w:val="16"/>
              </w:rPr>
            </w:pPr>
            <w:r>
              <w:rPr>
                <w:rFonts w:cstheme="minorHAnsi"/>
                <w:sz w:val="16"/>
                <w:szCs w:val="16"/>
              </w:rPr>
              <w:t>Jačanje okvira politika za sprječavanje nastanka otpada od hrane</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FCE6D37" w14:textId="77777777" w:rsidR="00AE6341" w:rsidRDefault="00AE6341">
            <w:pPr>
              <w:rPr>
                <w:rFonts w:cstheme="minorHAnsi"/>
                <w:sz w:val="16"/>
                <w:szCs w:val="16"/>
              </w:rPr>
            </w:pPr>
            <w:r>
              <w:rPr>
                <w:rFonts w:cstheme="minorHAnsi"/>
                <w:sz w:val="16"/>
                <w:szCs w:val="16"/>
              </w:rPr>
              <w:t>Sprječavanje nastanka biootpada</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D40D815" w14:textId="77777777" w:rsidR="00AE6341" w:rsidRDefault="00AE6341">
            <w:pPr>
              <w:rPr>
                <w:rFonts w:cstheme="minorHAnsi"/>
                <w:sz w:val="16"/>
                <w:szCs w:val="16"/>
              </w:rPr>
            </w:pPr>
            <w:r>
              <w:rPr>
                <w:rFonts w:cstheme="minorHAnsi"/>
                <w:sz w:val="16"/>
                <w:szCs w:val="16"/>
              </w:rPr>
              <w:t>Uvođenje planiranja ili drugih ekonomskih instrumenata kojima se promiče učinkovita uporaba sirovina i resursa (1.)</w:t>
            </w:r>
          </w:p>
        </w:tc>
      </w:tr>
      <w:tr w:rsidR="00AE6341" w14:paraId="42C88098" w14:textId="77777777" w:rsidTr="00AE6341">
        <w:tc>
          <w:tcPr>
            <w:tcW w:w="106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0EFC0A57" w14:textId="77777777" w:rsidR="00AE6341" w:rsidRDefault="00AE6341">
            <w:pPr>
              <w:rPr>
                <w:rFonts w:cstheme="minorHAnsi"/>
                <w:b/>
                <w:bCs/>
                <w:sz w:val="16"/>
                <w:szCs w:val="16"/>
              </w:rPr>
            </w:pPr>
            <w:r>
              <w:rPr>
                <w:rFonts w:cstheme="minorHAnsi"/>
                <w:b/>
                <w:bCs/>
                <w:sz w:val="16"/>
                <w:szCs w:val="16"/>
              </w:rPr>
              <w:t>Mjera 3.</w:t>
            </w:r>
          </w:p>
        </w:tc>
        <w:tc>
          <w:tcPr>
            <w:tcW w:w="2618" w:type="dxa"/>
            <w:tcBorders>
              <w:top w:val="single" w:sz="4" w:space="0" w:color="auto"/>
              <w:left w:val="single" w:sz="4" w:space="0" w:color="auto"/>
              <w:bottom w:val="single" w:sz="4" w:space="0" w:color="auto"/>
              <w:right w:val="single" w:sz="4" w:space="0" w:color="auto"/>
            </w:tcBorders>
            <w:vAlign w:val="center"/>
            <w:hideMark/>
          </w:tcPr>
          <w:p w14:paraId="762553D7" w14:textId="77777777" w:rsidR="00AE6341" w:rsidRDefault="00AE6341">
            <w:pPr>
              <w:rPr>
                <w:rFonts w:cstheme="minorHAnsi"/>
                <w:sz w:val="16"/>
                <w:szCs w:val="16"/>
              </w:rPr>
            </w:pPr>
            <w:r>
              <w:rPr>
                <w:rFonts w:cstheme="minorHAnsi"/>
                <w:sz w:val="16"/>
                <w:szCs w:val="16"/>
              </w:rPr>
              <w:t>Unaprjeđenje sustava praćenja podataka o biootpadu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E4DB4" w14:textId="77777777" w:rsidR="00AE6341" w:rsidRDefault="00AE6341">
            <w:pPr>
              <w:jc w:val="left"/>
              <w:rPr>
                <w:rFonts w:cstheme="minorHAnsi"/>
                <w:sz w:val="16"/>
                <w:szCs w:val="1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6CC7A9C3" w14:textId="77777777" w:rsidR="00AE6341" w:rsidRDefault="00AE6341">
            <w:pPr>
              <w:rPr>
                <w:rFonts w:cstheme="minorHAnsi"/>
                <w:sz w:val="16"/>
                <w:szCs w:val="16"/>
              </w:rPr>
            </w:pPr>
            <w:r>
              <w:rPr>
                <w:rFonts w:cstheme="minorHAnsi"/>
                <w:sz w:val="16"/>
                <w:szCs w:val="16"/>
              </w:rPr>
              <w:t>Razvoj učinkovitih i sadržajnih pokazatelja pritisaka na okoliš povezanih s nastankom otpada u cilju doprinosa sprječavanju nastanka otpada na razini jedince lokalne samouprave i regionalne (područne) samouprave i na razini Republike Hrvatske (3.)</w:t>
            </w:r>
          </w:p>
        </w:tc>
      </w:tr>
      <w:tr w:rsidR="00AE6341" w14:paraId="23E551B2" w14:textId="77777777" w:rsidTr="00AE6341">
        <w:tc>
          <w:tcPr>
            <w:tcW w:w="106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20FA30A5" w14:textId="77777777" w:rsidR="00AE6341" w:rsidRDefault="00AE6341">
            <w:pPr>
              <w:rPr>
                <w:rFonts w:cstheme="minorHAnsi"/>
                <w:b/>
                <w:bCs/>
                <w:sz w:val="16"/>
                <w:szCs w:val="16"/>
              </w:rPr>
            </w:pPr>
            <w:r>
              <w:rPr>
                <w:rFonts w:cstheme="minorHAnsi"/>
                <w:b/>
                <w:bCs/>
                <w:sz w:val="16"/>
                <w:szCs w:val="16"/>
              </w:rPr>
              <w:t>Mjera 4.</w:t>
            </w:r>
          </w:p>
        </w:tc>
        <w:tc>
          <w:tcPr>
            <w:tcW w:w="2618" w:type="dxa"/>
            <w:tcBorders>
              <w:top w:val="single" w:sz="4" w:space="0" w:color="auto"/>
              <w:left w:val="single" w:sz="4" w:space="0" w:color="auto"/>
              <w:bottom w:val="single" w:sz="4" w:space="0" w:color="auto"/>
              <w:right w:val="single" w:sz="4" w:space="0" w:color="auto"/>
            </w:tcBorders>
            <w:vAlign w:val="center"/>
            <w:hideMark/>
          </w:tcPr>
          <w:p w14:paraId="3928F339" w14:textId="77777777" w:rsidR="00AE6341" w:rsidRDefault="00AE6341">
            <w:pPr>
              <w:rPr>
                <w:rFonts w:cstheme="minorHAnsi"/>
                <w:sz w:val="16"/>
                <w:szCs w:val="16"/>
              </w:rPr>
            </w:pPr>
            <w:r>
              <w:rPr>
                <w:rFonts w:cstheme="minorHAnsi"/>
                <w:sz w:val="16"/>
                <w:szCs w:val="16"/>
              </w:rPr>
              <w:t>Promicanje sustava kućnog kompostiranja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79DE8" w14:textId="77777777" w:rsidR="00AE6341" w:rsidRDefault="00AE6341">
            <w:pPr>
              <w:jc w:val="left"/>
              <w:rPr>
                <w:rFonts w:cstheme="minorHAnsi"/>
                <w:sz w:val="16"/>
                <w:szCs w:val="1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0641C313" w14:textId="77777777" w:rsidR="00AE6341" w:rsidRDefault="00AE6341">
            <w:pPr>
              <w:rPr>
                <w:rFonts w:cstheme="minorHAnsi"/>
                <w:sz w:val="16"/>
                <w:szCs w:val="16"/>
              </w:rPr>
            </w:pPr>
            <w:r>
              <w:rPr>
                <w:rFonts w:cstheme="minorHAnsi"/>
                <w:sz w:val="16"/>
                <w:szCs w:val="16"/>
              </w:rPr>
              <w:t>Organizacija kampanja podizanja svijesti i pružanje informacija usmjereno na širu javnost ili određenu kategoriju potrošača (12.)</w:t>
            </w:r>
          </w:p>
        </w:tc>
      </w:tr>
      <w:tr w:rsidR="00AE6341" w14:paraId="76861656" w14:textId="77777777" w:rsidTr="00AE6341">
        <w:tc>
          <w:tcPr>
            <w:tcW w:w="106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2F7BF06F" w14:textId="77777777" w:rsidR="00AE6341" w:rsidRDefault="00AE6341">
            <w:pPr>
              <w:rPr>
                <w:rFonts w:cstheme="minorHAnsi"/>
                <w:b/>
                <w:bCs/>
                <w:sz w:val="16"/>
                <w:szCs w:val="16"/>
              </w:rPr>
            </w:pPr>
            <w:r>
              <w:rPr>
                <w:rFonts w:cstheme="minorHAnsi"/>
                <w:b/>
                <w:bCs/>
                <w:sz w:val="16"/>
                <w:szCs w:val="16"/>
              </w:rPr>
              <w:t xml:space="preserve">Mjera 5. </w:t>
            </w:r>
          </w:p>
        </w:tc>
        <w:tc>
          <w:tcPr>
            <w:tcW w:w="2618" w:type="dxa"/>
            <w:tcBorders>
              <w:top w:val="single" w:sz="4" w:space="0" w:color="auto"/>
              <w:left w:val="single" w:sz="4" w:space="0" w:color="auto"/>
              <w:bottom w:val="single" w:sz="4" w:space="0" w:color="auto"/>
              <w:right w:val="single" w:sz="4" w:space="0" w:color="auto"/>
            </w:tcBorders>
            <w:vAlign w:val="center"/>
            <w:hideMark/>
          </w:tcPr>
          <w:p w14:paraId="40C392D6" w14:textId="77777777" w:rsidR="00AE6341" w:rsidRDefault="00AE6341">
            <w:pPr>
              <w:rPr>
                <w:rFonts w:cstheme="minorHAnsi"/>
                <w:sz w:val="16"/>
                <w:szCs w:val="16"/>
              </w:rPr>
            </w:pPr>
            <w:r>
              <w:rPr>
                <w:rFonts w:cstheme="minorHAnsi"/>
                <w:sz w:val="16"/>
                <w:szCs w:val="16"/>
              </w:rPr>
              <w:t>Poticanje smanjenja potrošnje plastičnih proizvoda za jednokratnu uporabu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E504A5" w14:textId="77777777" w:rsidR="00AE6341" w:rsidRDefault="00AE6341">
            <w:pPr>
              <w:rPr>
                <w:rFonts w:cstheme="minorHAnsi"/>
                <w:sz w:val="16"/>
                <w:szCs w:val="16"/>
              </w:rPr>
            </w:pPr>
            <w:r>
              <w:rPr>
                <w:rFonts w:cstheme="minorHAnsi"/>
                <w:sz w:val="16"/>
                <w:szCs w:val="16"/>
              </w:rPr>
              <w:t xml:space="preserve">Sprječavanje nastanka </w:t>
            </w:r>
            <w:r>
              <w:rPr>
                <w:rFonts w:cstheme="minorHAnsi"/>
                <w:sz w:val="16"/>
                <w:szCs w:val="16"/>
              </w:rPr>
              <w:lastRenderedPageBreak/>
              <w:t>plastičnog otpada i morskog otpada</w:t>
            </w:r>
          </w:p>
        </w:tc>
        <w:tc>
          <w:tcPr>
            <w:tcW w:w="4111" w:type="dxa"/>
            <w:tcBorders>
              <w:top w:val="single" w:sz="4" w:space="0" w:color="auto"/>
              <w:left w:val="single" w:sz="4" w:space="0" w:color="auto"/>
              <w:bottom w:val="single" w:sz="4" w:space="0" w:color="auto"/>
              <w:right w:val="single" w:sz="4" w:space="0" w:color="auto"/>
            </w:tcBorders>
            <w:vAlign w:val="center"/>
          </w:tcPr>
          <w:p w14:paraId="51EFECCE" w14:textId="77777777" w:rsidR="00AE6341" w:rsidRDefault="00AE6341">
            <w:pPr>
              <w:rPr>
                <w:rFonts w:cstheme="minorHAnsi"/>
                <w:sz w:val="16"/>
                <w:szCs w:val="16"/>
              </w:rPr>
            </w:pPr>
            <w:r>
              <w:rPr>
                <w:rFonts w:cstheme="minorHAnsi"/>
                <w:sz w:val="16"/>
                <w:szCs w:val="16"/>
              </w:rPr>
              <w:lastRenderedPageBreak/>
              <w:t xml:space="preserve">Promicanje istraživanja i razvoja na području postizanja </w:t>
            </w:r>
            <w:proofErr w:type="spellStart"/>
            <w:r>
              <w:rPr>
                <w:rFonts w:cstheme="minorHAnsi"/>
                <w:sz w:val="16"/>
                <w:szCs w:val="16"/>
              </w:rPr>
              <w:t>čistijih</w:t>
            </w:r>
            <w:proofErr w:type="spellEnd"/>
            <w:r>
              <w:rPr>
                <w:rFonts w:cstheme="minorHAnsi"/>
                <w:sz w:val="16"/>
                <w:szCs w:val="16"/>
              </w:rPr>
              <w:t xml:space="preserve"> tehnologija i proizvoda s manje otpada, te širenje i uporaba rezultata takvog istraživanja i razvoja (2.)</w:t>
            </w:r>
          </w:p>
          <w:p w14:paraId="7C5C83E2" w14:textId="77777777" w:rsidR="00AE6341" w:rsidRDefault="00AE6341">
            <w:pPr>
              <w:rPr>
                <w:rFonts w:cstheme="minorHAnsi"/>
                <w:sz w:val="16"/>
                <w:szCs w:val="16"/>
              </w:rPr>
            </w:pPr>
          </w:p>
          <w:p w14:paraId="043C6845" w14:textId="77777777" w:rsidR="00AE6341" w:rsidRDefault="00AE6341">
            <w:pPr>
              <w:rPr>
                <w:rFonts w:cstheme="minorHAnsi"/>
                <w:sz w:val="16"/>
                <w:szCs w:val="16"/>
              </w:rPr>
            </w:pPr>
            <w:r>
              <w:rPr>
                <w:rFonts w:cstheme="minorHAnsi"/>
                <w:sz w:val="16"/>
                <w:szCs w:val="16"/>
              </w:rPr>
              <w:t xml:space="preserve">Promicanje </w:t>
            </w:r>
            <w:proofErr w:type="spellStart"/>
            <w:r>
              <w:rPr>
                <w:rFonts w:cstheme="minorHAnsi"/>
                <w:sz w:val="16"/>
                <w:szCs w:val="16"/>
              </w:rPr>
              <w:t>ekodizajna</w:t>
            </w:r>
            <w:proofErr w:type="spellEnd"/>
            <w:r>
              <w:rPr>
                <w:rFonts w:cstheme="minorHAnsi"/>
                <w:sz w:val="16"/>
                <w:szCs w:val="16"/>
              </w:rPr>
              <w:t xml:space="preserve"> (sustavne integracije aspekata zaštite okoliša u dizajn proizvoda s ciljem unapređenja ponašanja proizvoda s obzirom na zaštitu okoliša u cijelom životnom vijeku proizvoda) (4.)</w:t>
            </w:r>
          </w:p>
          <w:p w14:paraId="1C78D997" w14:textId="77777777" w:rsidR="00AE6341" w:rsidRDefault="00AE6341">
            <w:pPr>
              <w:rPr>
                <w:rFonts w:cstheme="minorHAnsi"/>
                <w:sz w:val="16"/>
                <w:szCs w:val="16"/>
              </w:rPr>
            </w:pPr>
          </w:p>
          <w:p w14:paraId="63402402" w14:textId="77777777" w:rsidR="00AE6341" w:rsidRDefault="00AE6341">
            <w:pPr>
              <w:rPr>
                <w:rFonts w:cstheme="minorHAnsi"/>
                <w:sz w:val="16"/>
                <w:szCs w:val="16"/>
              </w:rPr>
            </w:pPr>
            <w:r>
              <w:rPr>
                <w:rFonts w:cstheme="minorHAnsi"/>
                <w:sz w:val="16"/>
                <w:szCs w:val="16"/>
              </w:rPr>
              <w:t>Sklapanje dobrovoljnih sporazuma, organiziranje foruma potrošača/proizvođača ili sektorskih pregovora kako bi se relevantni poslovni ili industrijski sektori potaknuli na izradu vlastitih planova ili ciljeva sprečavanja nastanka otpada ili zamjenu proizvoda ili njihove ambalaže koji proizvode previše otpada. (9.)</w:t>
            </w:r>
          </w:p>
          <w:p w14:paraId="2EB25CBC" w14:textId="77777777" w:rsidR="00AE6341" w:rsidRDefault="00AE6341">
            <w:pPr>
              <w:rPr>
                <w:rFonts w:cstheme="minorHAnsi"/>
                <w:sz w:val="16"/>
                <w:szCs w:val="16"/>
              </w:rPr>
            </w:pPr>
          </w:p>
          <w:p w14:paraId="0B9C6361" w14:textId="77777777" w:rsidR="00AE6341" w:rsidRDefault="00AE6341">
            <w:pPr>
              <w:rPr>
                <w:rFonts w:cstheme="minorHAnsi"/>
                <w:sz w:val="16"/>
                <w:szCs w:val="16"/>
              </w:rPr>
            </w:pPr>
            <w:r>
              <w:rPr>
                <w:rFonts w:cstheme="minorHAnsi"/>
                <w:sz w:val="16"/>
                <w:szCs w:val="16"/>
              </w:rPr>
              <w:t>Ekonomski instrumenti kao što su inicijative za odgovornije ponašanje potrošača prema okolišu u smislu kupnje proizvoda sa što manje ambalaže ili uvođenje obveze plaćanja ambalaže za potrošače za inače besplatni ambalažni artikl ili element (11.)</w:t>
            </w:r>
          </w:p>
          <w:p w14:paraId="099D33DE" w14:textId="77777777" w:rsidR="00AE6341" w:rsidRDefault="00AE6341">
            <w:pPr>
              <w:rPr>
                <w:rFonts w:cstheme="minorHAnsi"/>
                <w:sz w:val="16"/>
                <w:szCs w:val="16"/>
              </w:rPr>
            </w:pPr>
          </w:p>
          <w:p w14:paraId="6EDB84E4" w14:textId="77777777" w:rsidR="00AE6341" w:rsidRDefault="00AE6341">
            <w:pPr>
              <w:rPr>
                <w:rFonts w:cstheme="minorHAnsi"/>
                <w:sz w:val="16"/>
                <w:szCs w:val="16"/>
              </w:rPr>
            </w:pPr>
            <w:r>
              <w:rPr>
                <w:rFonts w:cstheme="minorHAnsi"/>
                <w:sz w:val="16"/>
                <w:szCs w:val="16"/>
              </w:rPr>
              <w:t>Organizacija kampanja podizanja svijesti i pružanje informacija usmjereno na širu javnost ili određenu kategoriju potrošača (12.)</w:t>
            </w:r>
          </w:p>
        </w:tc>
      </w:tr>
      <w:tr w:rsidR="00AE6341" w14:paraId="715765D5" w14:textId="77777777" w:rsidTr="00AE6341">
        <w:tc>
          <w:tcPr>
            <w:tcW w:w="106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1113D6A8" w14:textId="77777777" w:rsidR="00AE6341" w:rsidRDefault="00AE6341">
            <w:pPr>
              <w:rPr>
                <w:rFonts w:cstheme="minorHAnsi"/>
                <w:b/>
                <w:bCs/>
                <w:sz w:val="16"/>
                <w:szCs w:val="16"/>
              </w:rPr>
            </w:pPr>
            <w:r>
              <w:rPr>
                <w:rFonts w:cstheme="minorHAnsi"/>
                <w:b/>
                <w:bCs/>
                <w:sz w:val="16"/>
                <w:szCs w:val="16"/>
              </w:rPr>
              <w:lastRenderedPageBreak/>
              <w:t xml:space="preserve">Mjera 6. </w:t>
            </w:r>
          </w:p>
        </w:tc>
        <w:tc>
          <w:tcPr>
            <w:tcW w:w="2618" w:type="dxa"/>
            <w:tcBorders>
              <w:top w:val="single" w:sz="4" w:space="0" w:color="auto"/>
              <w:left w:val="single" w:sz="4" w:space="0" w:color="auto"/>
              <w:bottom w:val="single" w:sz="4" w:space="0" w:color="auto"/>
              <w:right w:val="single" w:sz="4" w:space="0" w:color="auto"/>
            </w:tcBorders>
            <w:vAlign w:val="center"/>
            <w:hideMark/>
          </w:tcPr>
          <w:p w14:paraId="411EB6C9" w14:textId="77777777" w:rsidR="00AE6341" w:rsidRDefault="00AE6341">
            <w:pPr>
              <w:rPr>
                <w:rFonts w:cstheme="minorHAnsi"/>
                <w:sz w:val="16"/>
                <w:szCs w:val="16"/>
              </w:rPr>
            </w:pPr>
            <w:r>
              <w:rPr>
                <w:rFonts w:cstheme="minorHAnsi"/>
                <w:sz w:val="16"/>
                <w:szCs w:val="16"/>
              </w:rPr>
              <w:t>Poticanje kupovine ‘zelenih’ proizvoda i usluga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5708FF" w14:textId="77777777" w:rsidR="00AE6341" w:rsidRDefault="00AE6341">
            <w:pPr>
              <w:rPr>
                <w:rFonts w:cstheme="minorHAnsi"/>
                <w:sz w:val="16"/>
                <w:szCs w:val="16"/>
              </w:rPr>
            </w:pPr>
            <w:r>
              <w:rPr>
                <w:rFonts w:cstheme="minorHAnsi"/>
                <w:sz w:val="16"/>
                <w:szCs w:val="16"/>
              </w:rPr>
              <w:t>Sprječavanje nastanka komunalnog otpada, EE otpada, otpadnog papira i kartona, građevnog otpada, otpadnog tekstila i obuće, plastičnog otpada</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000FF84" w14:textId="77777777" w:rsidR="00AE6341" w:rsidRDefault="00AE6341">
            <w:pPr>
              <w:rPr>
                <w:rFonts w:cstheme="minorHAnsi"/>
                <w:sz w:val="16"/>
                <w:szCs w:val="16"/>
              </w:rPr>
            </w:pPr>
            <w:r>
              <w:rPr>
                <w:rFonts w:cstheme="minorHAnsi"/>
                <w:sz w:val="16"/>
                <w:szCs w:val="16"/>
              </w:rPr>
              <w:t>Integracija kriterija zaštite okoliša i sprječavanja nastanka otpada u postupcima javnih i korporativnih nabava (15.)</w:t>
            </w:r>
          </w:p>
        </w:tc>
      </w:tr>
      <w:tr w:rsidR="00AE6341" w14:paraId="6A1B61E2" w14:textId="77777777" w:rsidTr="00AE6341">
        <w:tc>
          <w:tcPr>
            <w:tcW w:w="106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40EA9863" w14:textId="77777777" w:rsidR="00AE6341" w:rsidRDefault="00AE6341">
            <w:pPr>
              <w:rPr>
                <w:rFonts w:cstheme="minorHAnsi"/>
                <w:b/>
                <w:bCs/>
                <w:sz w:val="16"/>
                <w:szCs w:val="16"/>
              </w:rPr>
            </w:pPr>
            <w:r>
              <w:rPr>
                <w:rFonts w:cstheme="minorHAnsi"/>
                <w:b/>
                <w:bCs/>
                <w:sz w:val="16"/>
                <w:szCs w:val="16"/>
              </w:rPr>
              <w:t xml:space="preserve">Mjera 7. </w:t>
            </w:r>
          </w:p>
        </w:tc>
        <w:tc>
          <w:tcPr>
            <w:tcW w:w="2618" w:type="dxa"/>
            <w:tcBorders>
              <w:top w:val="single" w:sz="4" w:space="0" w:color="auto"/>
              <w:left w:val="single" w:sz="4" w:space="0" w:color="auto"/>
              <w:bottom w:val="single" w:sz="4" w:space="0" w:color="auto"/>
              <w:right w:val="single" w:sz="4" w:space="0" w:color="auto"/>
            </w:tcBorders>
            <w:vAlign w:val="center"/>
            <w:hideMark/>
          </w:tcPr>
          <w:p w14:paraId="02E4D91F" w14:textId="77777777" w:rsidR="00AE6341" w:rsidRDefault="00AE6341">
            <w:pPr>
              <w:rPr>
                <w:rFonts w:cstheme="minorHAnsi"/>
                <w:sz w:val="16"/>
                <w:szCs w:val="16"/>
              </w:rPr>
            </w:pPr>
            <w:r>
              <w:rPr>
                <w:rFonts w:cstheme="minorHAnsi"/>
                <w:sz w:val="16"/>
                <w:szCs w:val="16"/>
              </w:rPr>
              <w:t>Jačanje svijesti, edukacija o sprječavanju nastanka otpada i razmjena dobre prakse</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06A34DC" w14:textId="77777777" w:rsidR="00AE6341" w:rsidRDefault="00AE6341">
            <w:pPr>
              <w:rPr>
                <w:rFonts w:cstheme="minorHAnsi"/>
                <w:sz w:val="16"/>
                <w:szCs w:val="16"/>
              </w:rPr>
            </w:pPr>
            <w:r>
              <w:rPr>
                <w:rFonts w:cstheme="minorHAnsi"/>
                <w:sz w:val="16"/>
                <w:szCs w:val="16"/>
              </w:rPr>
              <w:t>Sprječavanje nastanka komunalnog otpada, EE otpada, otpadnog papira i kartona, građevnog otpada, otpadnog tekstila i obuće, plastičnog otpada, morskog otpada</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57A910D" w14:textId="77777777" w:rsidR="00AE6341" w:rsidRDefault="00AE6341">
            <w:pPr>
              <w:rPr>
                <w:rFonts w:cstheme="minorHAnsi"/>
                <w:sz w:val="16"/>
                <w:szCs w:val="16"/>
              </w:rPr>
            </w:pPr>
            <w:r>
              <w:rPr>
                <w:rFonts w:cstheme="minorHAnsi"/>
                <w:sz w:val="16"/>
                <w:szCs w:val="16"/>
              </w:rPr>
              <w:t>Organizacija kampanja podizanja svijesti i pružanje informacija usmjereno na širu javnost ili određenu kategoriju potrošača (12.)</w:t>
            </w:r>
          </w:p>
        </w:tc>
      </w:tr>
      <w:tr w:rsidR="00AE6341" w14:paraId="03D03950" w14:textId="77777777" w:rsidTr="00AE6341">
        <w:tc>
          <w:tcPr>
            <w:tcW w:w="106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378703DA" w14:textId="77777777" w:rsidR="00AE6341" w:rsidRDefault="00AE6341">
            <w:pPr>
              <w:rPr>
                <w:rFonts w:cstheme="minorHAnsi"/>
                <w:b/>
                <w:bCs/>
                <w:sz w:val="16"/>
                <w:szCs w:val="16"/>
              </w:rPr>
            </w:pPr>
            <w:r>
              <w:rPr>
                <w:rFonts w:cstheme="minorHAnsi"/>
                <w:b/>
                <w:bCs/>
                <w:sz w:val="16"/>
                <w:szCs w:val="16"/>
              </w:rPr>
              <w:t>Mjera 8.</w:t>
            </w:r>
          </w:p>
        </w:tc>
        <w:tc>
          <w:tcPr>
            <w:tcW w:w="2618" w:type="dxa"/>
            <w:tcBorders>
              <w:top w:val="single" w:sz="4" w:space="0" w:color="auto"/>
              <w:left w:val="single" w:sz="4" w:space="0" w:color="auto"/>
              <w:bottom w:val="single" w:sz="4" w:space="0" w:color="auto"/>
              <w:right w:val="single" w:sz="4" w:space="0" w:color="auto"/>
            </w:tcBorders>
            <w:vAlign w:val="center"/>
            <w:hideMark/>
          </w:tcPr>
          <w:p w14:paraId="51AB997C" w14:textId="77777777" w:rsidR="00AE6341" w:rsidRDefault="00AE6341">
            <w:pPr>
              <w:rPr>
                <w:rFonts w:cstheme="minorHAnsi"/>
                <w:sz w:val="16"/>
                <w:szCs w:val="16"/>
              </w:rPr>
            </w:pPr>
            <w:r>
              <w:rPr>
                <w:rFonts w:cstheme="minorHAnsi"/>
                <w:sz w:val="16"/>
                <w:szCs w:val="16"/>
              </w:rPr>
              <w:t xml:space="preserve">Promicanje </w:t>
            </w:r>
            <w:proofErr w:type="spellStart"/>
            <w:r>
              <w:rPr>
                <w:rFonts w:cstheme="minorHAnsi"/>
                <w:sz w:val="16"/>
                <w:szCs w:val="16"/>
              </w:rPr>
              <w:t>ekodizajna</w:t>
            </w:r>
            <w:proofErr w:type="spellEnd"/>
            <w:r>
              <w:rPr>
                <w:rFonts w:cstheme="minorHAnsi"/>
                <w:sz w:val="16"/>
                <w:szCs w:val="16"/>
              </w:rPr>
              <w:t xml:space="preserve"> (sustavne integracije aspekata zaštite okoliša u dizajn proizvoda s ciljem unapređenja ponašanja proizvoda s obzirom na zaštitu okoliša u cijelom životnom vijeku proizvoda)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2C1B57" w14:textId="77777777" w:rsidR="00AE6341" w:rsidRDefault="00AE6341">
            <w:pPr>
              <w:jc w:val="left"/>
              <w:rPr>
                <w:rFonts w:cstheme="minorHAnsi"/>
                <w:sz w:val="16"/>
                <w:szCs w:val="16"/>
              </w:rPr>
            </w:pPr>
          </w:p>
        </w:tc>
        <w:tc>
          <w:tcPr>
            <w:tcW w:w="4111" w:type="dxa"/>
            <w:tcBorders>
              <w:top w:val="single" w:sz="4" w:space="0" w:color="auto"/>
              <w:left w:val="single" w:sz="4" w:space="0" w:color="auto"/>
              <w:bottom w:val="single" w:sz="4" w:space="0" w:color="auto"/>
              <w:right w:val="single" w:sz="4" w:space="0" w:color="auto"/>
            </w:tcBorders>
            <w:vAlign w:val="center"/>
          </w:tcPr>
          <w:p w14:paraId="1A21A4A9" w14:textId="77777777" w:rsidR="00AE6341" w:rsidRDefault="00AE6341">
            <w:pPr>
              <w:rPr>
                <w:rFonts w:cstheme="minorHAnsi"/>
                <w:sz w:val="16"/>
                <w:szCs w:val="16"/>
              </w:rPr>
            </w:pPr>
            <w:r>
              <w:rPr>
                <w:rFonts w:cstheme="minorHAnsi"/>
                <w:sz w:val="16"/>
                <w:szCs w:val="16"/>
              </w:rPr>
              <w:t>Uvođenje planiranja ili drugih ekonomskih instrumenata kojima se promiče učinkovita uporaba sirovina i resursa (1.)</w:t>
            </w:r>
          </w:p>
          <w:p w14:paraId="17B6A8E2" w14:textId="77777777" w:rsidR="00AE6341" w:rsidRDefault="00AE6341">
            <w:pPr>
              <w:rPr>
                <w:rFonts w:cstheme="minorHAnsi"/>
                <w:sz w:val="16"/>
                <w:szCs w:val="16"/>
              </w:rPr>
            </w:pPr>
          </w:p>
          <w:p w14:paraId="5579B680" w14:textId="77777777" w:rsidR="00AE6341" w:rsidRDefault="00AE6341">
            <w:pPr>
              <w:rPr>
                <w:rFonts w:cstheme="minorHAnsi"/>
                <w:sz w:val="16"/>
                <w:szCs w:val="16"/>
              </w:rPr>
            </w:pPr>
            <w:r>
              <w:rPr>
                <w:rFonts w:cstheme="minorHAnsi"/>
                <w:sz w:val="16"/>
                <w:szCs w:val="16"/>
              </w:rPr>
              <w:t xml:space="preserve">Promicanje istraživanja i razvoja na području postizanja </w:t>
            </w:r>
            <w:proofErr w:type="spellStart"/>
            <w:r>
              <w:rPr>
                <w:rFonts w:cstheme="minorHAnsi"/>
                <w:sz w:val="16"/>
                <w:szCs w:val="16"/>
              </w:rPr>
              <w:t>čistijih</w:t>
            </w:r>
            <w:proofErr w:type="spellEnd"/>
            <w:r>
              <w:rPr>
                <w:rFonts w:cstheme="minorHAnsi"/>
                <w:sz w:val="16"/>
                <w:szCs w:val="16"/>
              </w:rPr>
              <w:t xml:space="preserve"> tehnologija i proizvoda s manje otpada, te širenje i uporaba rezultata takvog istraživanja i razvoja (2.)</w:t>
            </w:r>
          </w:p>
          <w:p w14:paraId="395B2285" w14:textId="77777777" w:rsidR="00AE6341" w:rsidRDefault="00AE6341">
            <w:pPr>
              <w:rPr>
                <w:rFonts w:cstheme="minorHAnsi"/>
                <w:sz w:val="16"/>
                <w:szCs w:val="16"/>
              </w:rPr>
            </w:pPr>
          </w:p>
          <w:p w14:paraId="78480FDF" w14:textId="77777777" w:rsidR="00AE6341" w:rsidRDefault="00AE6341">
            <w:pPr>
              <w:rPr>
                <w:rFonts w:cstheme="minorHAnsi"/>
                <w:sz w:val="16"/>
                <w:szCs w:val="16"/>
              </w:rPr>
            </w:pPr>
            <w:r>
              <w:rPr>
                <w:rFonts w:cstheme="minorHAnsi"/>
                <w:sz w:val="16"/>
                <w:szCs w:val="16"/>
              </w:rPr>
              <w:t xml:space="preserve">Promicanje </w:t>
            </w:r>
            <w:proofErr w:type="spellStart"/>
            <w:r>
              <w:rPr>
                <w:rFonts w:cstheme="minorHAnsi"/>
                <w:sz w:val="16"/>
                <w:szCs w:val="16"/>
              </w:rPr>
              <w:t>ekodizajna</w:t>
            </w:r>
            <w:proofErr w:type="spellEnd"/>
            <w:r>
              <w:rPr>
                <w:rFonts w:cstheme="minorHAnsi"/>
                <w:sz w:val="16"/>
                <w:szCs w:val="16"/>
              </w:rPr>
              <w:t xml:space="preserve"> (sustavne integracije aspekata zaštite okoliša u dizajn proizvoda s ciljem unapređenja ponašanja proizvoda s obzirom na zaštitu okoliša u cijelom životnom vijeku proizvoda) (4).</w:t>
            </w:r>
          </w:p>
          <w:p w14:paraId="7F95C9C1" w14:textId="77777777" w:rsidR="00AE6341" w:rsidRDefault="00AE6341">
            <w:pPr>
              <w:rPr>
                <w:rFonts w:cstheme="minorHAnsi"/>
                <w:sz w:val="16"/>
                <w:szCs w:val="16"/>
              </w:rPr>
            </w:pPr>
          </w:p>
          <w:p w14:paraId="3069F91C" w14:textId="77777777" w:rsidR="00AE6341" w:rsidRDefault="00AE6341">
            <w:pPr>
              <w:rPr>
                <w:rFonts w:cstheme="minorHAnsi"/>
                <w:sz w:val="16"/>
                <w:szCs w:val="16"/>
              </w:rPr>
            </w:pPr>
            <w:r>
              <w:rPr>
                <w:rFonts w:cstheme="minorHAnsi"/>
                <w:sz w:val="16"/>
                <w:szCs w:val="16"/>
              </w:rPr>
              <w:t>Organizacija kampanja podizanja svijesti i pružanje informacija usmjereno na širu javnost ili određenu kategoriju potrošača (12.)</w:t>
            </w:r>
          </w:p>
          <w:p w14:paraId="6C8674B8" w14:textId="77777777" w:rsidR="00AE6341" w:rsidRDefault="00AE6341">
            <w:pPr>
              <w:rPr>
                <w:rFonts w:cstheme="minorHAnsi"/>
                <w:sz w:val="16"/>
                <w:szCs w:val="16"/>
              </w:rPr>
            </w:pPr>
          </w:p>
          <w:p w14:paraId="7D38B6F8" w14:textId="77777777" w:rsidR="00AE6341" w:rsidRDefault="00AE6341">
            <w:pPr>
              <w:rPr>
                <w:rFonts w:cstheme="minorHAnsi"/>
                <w:sz w:val="16"/>
                <w:szCs w:val="16"/>
              </w:rPr>
            </w:pPr>
            <w:r>
              <w:rPr>
                <w:rFonts w:cstheme="minorHAnsi"/>
                <w:sz w:val="16"/>
                <w:szCs w:val="16"/>
              </w:rPr>
              <w:t xml:space="preserve">Promicanje provjerenih </w:t>
            </w:r>
            <w:proofErr w:type="spellStart"/>
            <w:r>
              <w:rPr>
                <w:rFonts w:cstheme="minorHAnsi"/>
                <w:sz w:val="16"/>
                <w:szCs w:val="16"/>
              </w:rPr>
              <w:t>ekooznaka</w:t>
            </w:r>
            <w:proofErr w:type="spellEnd"/>
            <w:r>
              <w:rPr>
                <w:rFonts w:cstheme="minorHAnsi"/>
                <w:sz w:val="16"/>
                <w:szCs w:val="16"/>
              </w:rPr>
              <w:t xml:space="preserve"> (13.)</w:t>
            </w:r>
          </w:p>
        </w:tc>
      </w:tr>
      <w:tr w:rsidR="00AE6341" w14:paraId="40AB4572" w14:textId="77777777" w:rsidTr="00AE6341">
        <w:trPr>
          <w:trHeight w:val="774"/>
        </w:trPr>
        <w:tc>
          <w:tcPr>
            <w:tcW w:w="106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66337738" w14:textId="77777777" w:rsidR="00AE6341" w:rsidRDefault="00AE6341">
            <w:pPr>
              <w:rPr>
                <w:rFonts w:cstheme="minorHAnsi"/>
                <w:b/>
                <w:bCs/>
                <w:sz w:val="16"/>
                <w:szCs w:val="16"/>
              </w:rPr>
            </w:pPr>
            <w:r>
              <w:rPr>
                <w:rFonts w:cstheme="minorHAnsi"/>
                <w:b/>
                <w:bCs/>
                <w:sz w:val="16"/>
                <w:szCs w:val="16"/>
              </w:rPr>
              <w:t xml:space="preserve">Mjera 9. </w:t>
            </w:r>
          </w:p>
        </w:tc>
        <w:tc>
          <w:tcPr>
            <w:tcW w:w="2618" w:type="dxa"/>
            <w:tcBorders>
              <w:top w:val="single" w:sz="4" w:space="0" w:color="auto"/>
              <w:left w:val="single" w:sz="4" w:space="0" w:color="auto"/>
              <w:bottom w:val="single" w:sz="4" w:space="0" w:color="auto"/>
              <w:right w:val="single" w:sz="4" w:space="0" w:color="auto"/>
            </w:tcBorders>
            <w:vAlign w:val="center"/>
            <w:hideMark/>
          </w:tcPr>
          <w:p w14:paraId="5F719248" w14:textId="77777777" w:rsidR="00AE6341" w:rsidRDefault="00AE6341">
            <w:pPr>
              <w:rPr>
                <w:rFonts w:cstheme="minorHAnsi"/>
                <w:sz w:val="16"/>
                <w:szCs w:val="16"/>
              </w:rPr>
            </w:pPr>
            <w:r>
              <w:rPr>
                <w:rFonts w:cstheme="minorHAnsi"/>
                <w:sz w:val="16"/>
                <w:szCs w:val="16"/>
              </w:rPr>
              <w:t>Promicanje provjerenih sustava za gospodarenje okolišem, uključujući sustave EMAS i ISO 14001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5C66D" w14:textId="77777777" w:rsidR="00AE6341" w:rsidRDefault="00AE6341">
            <w:pPr>
              <w:jc w:val="left"/>
              <w:rPr>
                <w:rFonts w:cstheme="minorHAnsi"/>
                <w:sz w:val="16"/>
                <w:szCs w:val="1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2F99F726" w14:textId="77777777" w:rsidR="00AE6341" w:rsidRDefault="00AE6341">
            <w:pPr>
              <w:rPr>
                <w:rFonts w:cstheme="minorHAnsi"/>
                <w:sz w:val="16"/>
                <w:szCs w:val="16"/>
              </w:rPr>
            </w:pPr>
            <w:r>
              <w:rPr>
                <w:rFonts w:cstheme="minorHAnsi"/>
                <w:sz w:val="16"/>
                <w:szCs w:val="16"/>
              </w:rPr>
              <w:t>Promicanje provjerenih sustava za gospodarenje okolišem, uključujući sustave EMAS i ISO 14001 (10.)</w:t>
            </w:r>
          </w:p>
        </w:tc>
      </w:tr>
      <w:tr w:rsidR="00AE6341" w14:paraId="668F5941" w14:textId="77777777" w:rsidTr="00AE6341">
        <w:trPr>
          <w:trHeight w:val="774"/>
        </w:trPr>
        <w:tc>
          <w:tcPr>
            <w:tcW w:w="106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0593FBB0" w14:textId="77777777" w:rsidR="00AE6341" w:rsidRDefault="00AE6341">
            <w:pPr>
              <w:rPr>
                <w:rFonts w:cstheme="minorHAnsi"/>
                <w:b/>
                <w:bCs/>
                <w:sz w:val="16"/>
                <w:szCs w:val="16"/>
              </w:rPr>
            </w:pPr>
            <w:r>
              <w:rPr>
                <w:rFonts w:cstheme="minorHAnsi"/>
                <w:b/>
                <w:bCs/>
                <w:sz w:val="16"/>
                <w:szCs w:val="16"/>
              </w:rPr>
              <w:t xml:space="preserve">Mjera 10. </w:t>
            </w:r>
          </w:p>
        </w:tc>
        <w:tc>
          <w:tcPr>
            <w:tcW w:w="2618" w:type="dxa"/>
            <w:tcBorders>
              <w:top w:val="single" w:sz="4" w:space="0" w:color="auto"/>
              <w:left w:val="single" w:sz="4" w:space="0" w:color="auto"/>
              <w:bottom w:val="single" w:sz="4" w:space="0" w:color="auto"/>
              <w:right w:val="single" w:sz="4" w:space="0" w:color="auto"/>
            </w:tcBorders>
            <w:vAlign w:val="center"/>
            <w:hideMark/>
          </w:tcPr>
          <w:p w14:paraId="192B372D" w14:textId="77777777" w:rsidR="00AE6341" w:rsidRDefault="00AE6341">
            <w:pPr>
              <w:rPr>
                <w:rFonts w:cstheme="minorHAnsi"/>
                <w:sz w:val="16"/>
                <w:szCs w:val="16"/>
              </w:rPr>
            </w:pPr>
            <w:r>
              <w:rPr>
                <w:rFonts w:cstheme="minorHAnsi"/>
                <w:sz w:val="16"/>
                <w:szCs w:val="16"/>
              </w:rPr>
              <w:t>Izrada plana sprječavanja nastanka otpada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F08195" w14:textId="77777777" w:rsidR="00AE6341" w:rsidRDefault="00AE6341">
            <w:pPr>
              <w:jc w:val="left"/>
              <w:rPr>
                <w:rFonts w:cstheme="minorHAnsi"/>
                <w:sz w:val="16"/>
                <w:szCs w:val="1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0AA7E881" w14:textId="77777777" w:rsidR="00AE6341" w:rsidRDefault="00AE6341">
            <w:pPr>
              <w:rPr>
                <w:rFonts w:cstheme="minorHAnsi"/>
                <w:sz w:val="16"/>
                <w:szCs w:val="16"/>
              </w:rPr>
            </w:pPr>
            <w:r>
              <w:rPr>
                <w:rFonts w:cstheme="minorHAnsi"/>
                <w:sz w:val="16"/>
                <w:szCs w:val="16"/>
              </w:rPr>
              <w:t>Uvođenje planiranja ili drugih ekonomskih instrumenata kojima se promiče učinkovita uporaba sirovina i resursa (1.)</w:t>
            </w:r>
          </w:p>
        </w:tc>
      </w:tr>
      <w:tr w:rsidR="00AE6341" w14:paraId="68B45369" w14:textId="77777777" w:rsidTr="00AE6341">
        <w:trPr>
          <w:trHeight w:val="390"/>
        </w:trPr>
        <w:tc>
          <w:tcPr>
            <w:tcW w:w="106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245FFBE4" w14:textId="77777777" w:rsidR="00AE6341" w:rsidRDefault="00AE6341">
            <w:pPr>
              <w:rPr>
                <w:rFonts w:cstheme="minorHAnsi"/>
                <w:b/>
                <w:bCs/>
                <w:sz w:val="16"/>
                <w:szCs w:val="16"/>
              </w:rPr>
            </w:pPr>
            <w:r>
              <w:rPr>
                <w:rFonts w:cstheme="minorHAnsi"/>
                <w:b/>
                <w:bCs/>
                <w:sz w:val="16"/>
                <w:szCs w:val="16"/>
              </w:rPr>
              <w:t>Mjera 11.</w:t>
            </w:r>
          </w:p>
        </w:tc>
        <w:tc>
          <w:tcPr>
            <w:tcW w:w="2618" w:type="dxa"/>
            <w:tcBorders>
              <w:top w:val="single" w:sz="4" w:space="0" w:color="auto"/>
              <w:left w:val="single" w:sz="4" w:space="0" w:color="auto"/>
              <w:bottom w:val="single" w:sz="4" w:space="0" w:color="auto"/>
              <w:right w:val="single" w:sz="4" w:space="0" w:color="auto"/>
            </w:tcBorders>
            <w:vAlign w:val="center"/>
            <w:hideMark/>
          </w:tcPr>
          <w:p w14:paraId="114F152D" w14:textId="77777777" w:rsidR="00AE6341" w:rsidRDefault="00AE6341">
            <w:pPr>
              <w:rPr>
                <w:rFonts w:cstheme="minorHAnsi"/>
                <w:sz w:val="16"/>
                <w:szCs w:val="16"/>
              </w:rPr>
            </w:pPr>
            <w:r>
              <w:rPr>
                <w:rFonts w:cstheme="minorHAnsi"/>
                <w:sz w:val="16"/>
                <w:szCs w:val="16"/>
              </w:rPr>
              <w:t>Poticanje razmjene i ponovne uporabe isluženih proizvoda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EC0D6E" w14:textId="77777777" w:rsidR="00AE6341" w:rsidRDefault="00AE6341">
            <w:pPr>
              <w:rPr>
                <w:rFonts w:cstheme="minorHAnsi"/>
                <w:sz w:val="16"/>
                <w:szCs w:val="16"/>
              </w:rPr>
            </w:pPr>
            <w:r>
              <w:rPr>
                <w:rFonts w:cstheme="minorHAnsi"/>
                <w:sz w:val="16"/>
                <w:szCs w:val="16"/>
              </w:rPr>
              <w:t>Sprječavanje nastanka komunalnog, otpadnog tekstila i obuće , EE otpada</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7CC03A2" w14:textId="77777777" w:rsidR="00AE6341" w:rsidRDefault="00AE6341">
            <w:pPr>
              <w:rPr>
                <w:rFonts w:cstheme="minorHAnsi"/>
                <w:sz w:val="16"/>
                <w:szCs w:val="16"/>
              </w:rPr>
            </w:pPr>
            <w:r>
              <w:rPr>
                <w:rFonts w:cstheme="minorHAnsi"/>
                <w:sz w:val="16"/>
                <w:szCs w:val="16"/>
              </w:rPr>
              <w:t>Promicanje ponovne uporabe i/ili popravka odgovarajućih isluženih proizvoda ili njihovih komponenata, posebice kroz obrazovne, gospodarske, logističke i druge mjere (16.)</w:t>
            </w:r>
          </w:p>
        </w:tc>
      </w:tr>
      <w:tr w:rsidR="00AE6341" w14:paraId="12A9EEF9" w14:textId="77777777" w:rsidTr="00AE6341">
        <w:tc>
          <w:tcPr>
            <w:tcW w:w="36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F0E332" w14:textId="77777777" w:rsidR="00AE6341" w:rsidRDefault="00AE6341">
            <w:pPr>
              <w:rPr>
                <w:rFonts w:cstheme="minorHAnsi"/>
                <w:b/>
                <w:bCs/>
                <w:i/>
                <w:iCs/>
                <w:sz w:val="16"/>
                <w:szCs w:val="16"/>
              </w:rPr>
            </w:pPr>
            <w:r>
              <w:rPr>
                <w:rFonts w:cstheme="minorHAnsi"/>
                <w:b/>
                <w:bCs/>
                <w:i/>
                <w:iCs/>
                <w:sz w:val="16"/>
                <w:szCs w:val="16"/>
              </w:rPr>
              <w:t>Mjere koje mogu utjecati na okvirne uvjete koji se odnose na stvaranje otpada</w:t>
            </w:r>
          </w:p>
        </w:tc>
        <w:tc>
          <w:tcPr>
            <w:tcW w:w="552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48DF42" w14:textId="77777777" w:rsidR="00AE6341" w:rsidRDefault="00AE6341">
            <w:pPr>
              <w:rPr>
                <w:rFonts w:cstheme="minorHAnsi"/>
                <w:b/>
                <w:bCs/>
                <w:sz w:val="16"/>
                <w:szCs w:val="16"/>
              </w:rPr>
            </w:pPr>
            <w:r>
              <w:rPr>
                <w:rFonts w:cstheme="minorHAnsi"/>
                <w:b/>
                <w:bCs/>
                <w:sz w:val="16"/>
                <w:szCs w:val="16"/>
              </w:rPr>
              <w:t xml:space="preserve">Mjera 1., Mjera 2. , Mjera 3., Mjera 5., Mjera 8., Mjera 10., </w:t>
            </w:r>
          </w:p>
        </w:tc>
      </w:tr>
      <w:tr w:rsidR="00AE6341" w14:paraId="684BAE7A" w14:textId="77777777" w:rsidTr="00AE6341">
        <w:tc>
          <w:tcPr>
            <w:tcW w:w="36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419403" w14:textId="77777777" w:rsidR="00AE6341" w:rsidRDefault="00AE6341">
            <w:pPr>
              <w:rPr>
                <w:rFonts w:cstheme="minorHAnsi"/>
                <w:b/>
                <w:bCs/>
                <w:i/>
                <w:iCs/>
                <w:sz w:val="16"/>
                <w:szCs w:val="16"/>
              </w:rPr>
            </w:pPr>
            <w:r>
              <w:rPr>
                <w:rFonts w:cstheme="minorHAnsi"/>
                <w:b/>
                <w:bCs/>
                <w:i/>
                <w:iCs/>
                <w:sz w:val="16"/>
                <w:szCs w:val="16"/>
              </w:rPr>
              <w:t>Mjere koje mogu utjecati na dizajn i fazu proizvodnje i distribucije</w:t>
            </w:r>
          </w:p>
        </w:tc>
        <w:tc>
          <w:tcPr>
            <w:tcW w:w="552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D7EA7E" w14:textId="77777777" w:rsidR="00AE6341" w:rsidRDefault="00AE6341">
            <w:pPr>
              <w:rPr>
                <w:rFonts w:cstheme="minorHAnsi"/>
                <w:b/>
                <w:bCs/>
                <w:sz w:val="16"/>
                <w:szCs w:val="16"/>
              </w:rPr>
            </w:pPr>
            <w:r>
              <w:rPr>
                <w:rFonts w:cstheme="minorHAnsi"/>
                <w:b/>
                <w:bCs/>
                <w:sz w:val="16"/>
                <w:szCs w:val="16"/>
              </w:rPr>
              <w:t>Mjera 1., Mjera 2., Mjera 5., Mjera 8., Mjera 9.</w:t>
            </w:r>
          </w:p>
        </w:tc>
      </w:tr>
      <w:tr w:rsidR="00AE6341" w14:paraId="15FA4EB6" w14:textId="77777777" w:rsidTr="00AE6341">
        <w:tc>
          <w:tcPr>
            <w:tcW w:w="36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A715BD5" w14:textId="77777777" w:rsidR="00AE6341" w:rsidRDefault="00AE6341">
            <w:pPr>
              <w:rPr>
                <w:rFonts w:cstheme="minorHAnsi"/>
                <w:b/>
                <w:bCs/>
                <w:i/>
                <w:iCs/>
                <w:sz w:val="16"/>
                <w:szCs w:val="16"/>
              </w:rPr>
            </w:pPr>
            <w:r>
              <w:rPr>
                <w:rFonts w:cstheme="minorHAnsi"/>
                <w:b/>
                <w:bCs/>
                <w:i/>
                <w:iCs/>
                <w:sz w:val="16"/>
                <w:szCs w:val="16"/>
              </w:rPr>
              <w:lastRenderedPageBreak/>
              <w:t>Mjere koje mogu utjecati na fazu potrošnje i korištenja</w:t>
            </w:r>
          </w:p>
        </w:tc>
        <w:tc>
          <w:tcPr>
            <w:tcW w:w="552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DCC83B" w14:textId="77777777" w:rsidR="00AE6341" w:rsidRDefault="00AE6341">
            <w:pPr>
              <w:keepNext/>
              <w:rPr>
                <w:rFonts w:cstheme="minorHAnsi"/>
                <w:b/>
                <w:bCs/>
                <w:sz w:val="16"/>
                <w:szCs w:val="16"/>
              </w:rPr>
            </w:pPr>
            <w:r>
              <w:rPr>
                <w:rFonts w:cstheme="minorHAnsi"/>
                <w:b/>
                <w:bCs/>
                <w:sz w:val="16"/>
                <w:szCs w:val="16"/>
              </w:rPr>
              <w:t>Mjera 1., Mjera 2., Mjera 4., Mjera 5., Mjera 6., Mjera 7., Mjera 8., Mjera 11.</w:t>
            </w:r>
          </w:p>
        </w:tc>
      </w:tr>
      <w:bookmarkEnd w:id="425"/>
    </w:tbl>
    <w:p w14:paraId="3EAA5656" w14:textId="77777777" w:rsidR="00AE6341" w:rsidRDefault="00AE6341" w:rsidP="00AE6341">
      <w:pPr>
        <w:pStyle w:val="Opisslike"/>
        <w:rPr>
          <w:rFonts w:cstheme="minorHAnsi"/>
        </w:rPr>
      </w:pPr>
    </w:p>
    <w:tbl>
      <w:tblPr>
        <w:tblStyle w:val="Reetkatablice"/>
        <w:tblW w:w="0" w:type="auto"/>
        <w:tblLook w:val="04A0" w:firstRow="1" w:lastRow="0" w:firstColumn="1" w:lastColumn="0" w:noHBand="0" w:noVBand="1"/>
      </w:tblPr>
      <w:tblGrid>
        <w:gridCol w:w="9016"/>
      </w:tblGrid>
      <w:tr w:rsidR="00AE6341" w14:paraId="65797D60" w14:textId="77777777" w:rsidTr="00AE6341">
        <w:tc>
          <w:tcPr>
            <w:tcW w:w="9016" w:type="dxa"/>
            <w:tcBorders>
              <w:top w:val="single" w:sz="4" w:space="0" w:color="auto"/>
              <w:left w:val="single" w:sz="4" w:space="0" w:color="auto"/>
              <w:bottom w:val="single" w:sz="4" w:space="0" w:color="auto"/>
              <w:right w:val="single" w:sz="4" w:space="0" w:color="auto"/>
            </w:tcBorders>
            <w:hideMark/>
          </w:tcPr>
          <w:p w14:paraId="27BF0041" w14:textId="77777777" w:rsidR="00AE6341" w:rsidRDefault="00AE6341">
            <w:pPr>
              <w:rPr>
                <w:rFonts w:cstheme="minorHAnsi"/>
                <w:b/>
                <w:bCs/>
                <w:i/>
                <w:iCs/>
              </w:rPr>
            </w:pPr>
            <w:r>
              <w:rPr>
                <w:rFonts w:cstheme="minorHAnsi"/>
                <w:b/>
                <w:bCs/>
                <w:i/>
                <w:iCs/>
              </w:rPr>
              <w:t>Mjere 6.-10. horizontalne su mjere koje doprinose ostvarenju svih 8 zadanih specifičnih ciljeva sprječavanja nastanka otpadom.</w:t>
            </w:r>
          </w:p>
        </w:tc>
      </w:tr>
    </w:tbl>
    <w:p w14:paraId="00CBBBD2" w14:textId="77777777" w:rsidR="00AE6341" w:rsidRDefault="00AE6341" w:rsidP="00AE6341">
      <w:pPr>
        <w:rPr>
          <w:rFonts w:cstheme="minorHAnsi"/>
          <w:b/>
          <w:bCs/>
          <w:i/>
          <w:iCs/>
        </w:rPr>
      </w:pPr>
    </w:p>
    <w:p w14:paraId="22F12901" w14:textId="77777777" w:rsidR="00AE6341" w:rsidRDefault="00AE6341" w:rsidP="00AE6341">
      <w:pPr>
        <w:shd w:val="clear" w:color="auto" w:fill="002060"/>
        <w:rPr>
          <w:rFonts w:cstheme="minorHAnsi"/>
          <w:b/>
          <w:bCs/>
        </w:rPr>
      </w:pPr>
      <w:r>
        <w:rPr>
          <w:rFonts w:cstheme="minorHAnsi"/>
          <w:b/>
          <w:bCs/>
        </w:rPr>
        <w:t xml:space="preserve">Mjera 1. </w:t>
      </w:r>
      <w:r>
        <w:rPr>
          <w:rFonts w:cstheme="minorHAnsi"/>
          <w:b/>
          <w:bCs/>
        </w:rPr>
        <w:tab/>
        <w:t>Jačanje okvira politika za prijelaz na kružno gospodarstvo u građevinskom sektoru</w:t>
      </w:r>
    </w:p>
    <w:p w14:paraId="18BECA4F" w14:textId="77777777" w:rsidR="00AE6341" w:rsidRDefault="00AE6341" w:rsidP="00AE6341">
      <w:pPr>
        <w:rPr>
          <w:rFonts w:cstheme="minorHAnsi"/>
        </w:rPr>
      </w:pPr>
      <w:r>
        <w:rPr>
          <w:rFonts w:cstheme="minorHAnsi"/>
        </w:rPr>
        <w:t xml:space="preserve">Ovom mjerom utjecati će se na sprječavanje nastanka građevnog otpada i njegovu ponovnu uporabu uzimajući u obzir cjelokupan životni vijek građevine i građevinski lanac vrijednosti. Smanjenje nastanka građevnog otpada moguće je ostvariti produljenjem vijeka trajanja zgrade usvajanjem novih tehnika obnove. U tu svrhu nužno je izraditi uputa za ponovnu upotrebu dijelova (komponenti) građevine uklonjenih prije rušenja, prenamjenu i obnovu zgrada u skladu s konceptom kružnog gospodarstva te jačanje lokalnog tržišta za te uklonjene dijelove (komponente). Upute će uključivati i listu potencijalnih uklonjenih dijelova građevine (komponenti) kao što su vrata, prozori i drugi </w:t>
      </w:r>
      <w:proofErr w:type="spellStart"/>
      <w:r>
        <w:rPr>
          <w:rFonts w:cstheme="minorHAnsi"/>
        </w:rPr>
        <w:t>nestrukturalni</w:t>
      </w:r>
      <w:proofErr w:type="spellEnd"/>
      <w:r>
        <w:rPr>
          <w:rFonts w:cstheme="minorHAnsi"/>
        </w:rPr>
        <w:t xml:space="preserve"> dijelovi. Također će sadržavati standardni popis za provjeru kako bi se olakšala procjena ponovne upotrebe i ojačali centri za ponovnu uporabu. Uvođenje poticajne naknade za ponovno korištenje materijala od rušenja i drugih građevinskih aktivnosti utjecat će na povećanje potražnje ovih materijala te time i sprječavanje nastanka građevnog otpada. Pritom, nužno je definirati uvjete koje materijal od rušenja mora zadovoljiti. </w:t>
      </w:r>
    </w:p>
    <w:p w14:paraId="6A63E77D" w14:textId="77777777" w:rsidR="00AE6341" w:rsidRDefault="00AE6341" w:rsidP="00AE6341">
      <w:pPr>
        <w:rPr>
          <w:rFonts w:cstheme="minorHAnsi"/>
        </w:rPr>
      </w:pPr>
      <w:r>
        <w:rPr>
          <w:rFonts w:cstheme="minorHAnsi"/>
        </w:rPr>
        <w:t>Izradom studije o preduvjetima i posljedicama uvođenja obveze korištenja određenog udjela recikliranog materijala pri gradnji javnih građevina i infrastrukture analizirat će opravdanost potencijalnog uvođenja navedene obveze.</w:t>
      </w:r>
    </w:p>
    <w:p w14:paraId="15B4A41B" w14:textId="77777777" w:rsidR="00AE6341" w:rsidRDefault="00AE6341" w:rsidP="00AE6341">
      <w:pPr>
        <w:rPr>
          <w:rFonts w:cstheme="minorHAnsi"/>
        </w:rPr>
      </w:pPr>
    </w:p>
    <w:p w14:paraId="4E085B00" w14:textId="77777777" w:rsidR="00AE6341" w:rsidRDefault="00AE6341" w:rsidP="00AE6341">
      <w:pPr>
        <w:keepNext/>
        <w:shd w:val="clear" w:color="auto" w:fill="002060"/>
        <w:rPr>
          <w:rFonts w:cstheme="minorHAnsi"/>
          <w:b/>
          <w:bCs/>
        </w:rPr>
      </w:pPr>
      <w:r>
        <w:rPr>
          <w:rFonts w:cstheme="minorHAnsi"/>
          <w:b/>
          <w:bCs/>
        </w:rPr>
        <w:t>Mjera 2.</w:t>
      </w:r>
      <w:r>
        <w:rPr>
          <w:rFonts w:cstheme="minorHAnsi"/>
          <w:b/>
          <w:bCs/>
        </w:rPr>
        <w:tab/>
        <w:t xml:space="preserve"> Jačanje okvira politika za sprječavanje nastanka otpada od hrane</w:t>
      </w:r>
    </w:p>
    <w:p w14:paraId="3197FBDF" w14:textId="77777777" w:rsidR="00AE6341" w:rsidRDefault="00AE6341" w:rsidP="00AE6341">
      <w:pPr>
        <w:rPr>
          <w:rFonts w:cstheme="minorHAnsi"/>
        </w:rPr>
      </w:pPr>
      <w:r>
        <w:rPr>
          <w:rFonts w:cstheme="minorHAnsi"/>
        </w:rPr>
        <w:t xml:space="preserve">Specifični cijevi, mjere i aktivnosti za provedbu sprječavanja nastanka otpada od hrane definirat će se u dokumentu </w:t>
      </w:r>
      <w:r>
        <w:rPr>
          <w:rFonts w:cstheme="minorHAnsi"/>
          <w:i/>
          <w:iCs/>
        </w:rPr>
        <w:t>Plan sprječavanja i smanjenja nastajanja otpada od hrane Republike Hrvatske 2023.-2028.</w:t>
      </w:r>
      <w:r>
        <w:rPr>
          <w:rFonts w:cstheme="minorHAnsi"/>
        </w:rPr>
        <w:t>, a čija izrada i implementacija je u nadležnosti su Ministarstva poljoprivrede.</w:t>
      </w:r>
    </w:p>
    <w:p w14:paraId="2EA670EE" w14:textId="77777777" w:rsidR="00AE6341" w:rsidRDefault="00AE6341" w:rsidP="00AE6341">
      <w:pPr>
        <w:shd w:val="clear" w:color="auto" w:fill="002060"/>
        <w:rPr>
          <w:rFonts w:cstheme="minorHAnsi"/>
        </w:rPr>
      </w:pPr>
      <w:r>
        <w:rPr>
          <w:rFonts w:cstheme="minorHAnsi"/>
          <w:b/>
          <w:bCs/>
        </w:rPr>
        <w:t xml:space="preserve">Mjera 3. </w:t>
      </w:r>
      <w:r>
        <w:rPr>
          <w:rFonts w:cstheme="minorHAnsi"/>
          <w:b/>
          <w:bCs/>
        </w:rPr>
        <w:tab/>
        <w:t>Unaprjeđenje sustava praćenja podataka o biootpadu</w:t>
      </w:r>
    </w:p>
    <w:p w14:paraId="424728E9" w14:textId="77777777" w:rsidR="00AE6341" w:rsidRDefault="00AE6341" w:rsidP="00AE6341">
      <w:pPr>
        <w:rPr>
          <w:rFonts w:cstheme="minorHAnsi"/>
        </w:rPr>
      </w:pPr>
      <w:r>
        <w:rPr>
          <w:rFonts w:cstheme="minorHAnsi"/>
        </w:rPr>
        <w:t>Osiguravanje pouzdanih, relevantnih i dosljednih podataka o količinama biootpada predstavlja važan alat za strateško planiranje i postavljanje ciljeva ne samo u području gospodarenja otpadom već i području sprječavanja nastanka otpada.</w:t>
      </w:r>
    </w:p>
    <w:p w14:paraId="3EF9534D" w14:textId="77777777" w:rsidR="00AE6341" w:rsidRDefault="00AE6341" w:rsidP="00AE6341">
      <w:pPr>
        <w:rPr>
          <w:rFonts w:cstheme="minorHAnsi"/>
        </w:rPr>
      </w:pPr>
      <w:r>
        <w:rPr>
          <w:rFonts w:cstheme="minorHAnsi"/>
        </w:rPr>
        <w:t>Cilj ove mjere je unaprijediti postojeći sustav mjerenja količina biootpada koje nastaju na nacionalnoj razini te uspostaviti sustav praćenja količina biootpada čiji nastanak je spriječen kućnim kompostiranjem u kućanstvima. Praćenje količina biootpada čiji nastanak je spriječen kućnim kompostiranjem u kućanstvima obveza je propisana Pravilnikom o gospodarenju otpadom (NN 106/2022)</w:t>
      </w:r>
    </w:p>
    <w:p w14:paraId="7DFD96F2" w14:textId="77777777" w:rsidR="00AE6341" w:rsidRDefault="00AE6341" w:rsidP="00AE6341">
      <w:pPr>
        <w:rPr>
          <w:rFonts w:cstheme="minorHAnsi"/>
        </w:rPr>
      </w:pPr>
      <w:r>
        <w:rPr>
          <w:rFonts w:cstheme="minorHAnsi"/>
        </w:rPr>
        <w:t>Navedeni sustavi koristit će se za praćenje učinkovitosti provedenih mjera usmjerenih na sprječavanje nastanka biootpada (</w:t>
      </w:r>
      <w:proofErr w:type="spellStart"/>
      <w:r>
        <w:rPr>
          <w:rFonts w:cstheme="minorHAnsi"/>
        </w:rPr>
        <w:t>izobrazno</w:t>
      </w:r>
      <w:proofErr w:type="spellEnd"/>
      <w:r>
        <w:rPr>
          <w:rFonts w:cstheme="minorHAnsi"/>
        </w:rPr>
        <w:t xml:space="preserve">-informativne aktivnosti, podjela kućnih </w:t>
      </w:r>
      <w:proofErr w:type="spellStart"/>
      <w:r>
        <w:rPr>
          <w:rFonts w:cstheme="minorHAnsi"/>
        </w:rPr>
        <w:t>kompostera</w:t>
      </w:r>
      <w:proofErr w:type="spellEnd"/>
      <w:r>
        <w:rPr>
          <w:rFonts w:cstheme="minorHAnsi"/>
        </w:rPr>
        <w:t xml:space="preserve"> i dr.) i za ispunjavanje izvještajnih obveza RH prema EK.</w:t>
      </w:r>
    </w:p>
    <w:p w14:paraId="0494CA4A" w14:textId="77777777" w:rsidR="00AE6341" w:rsidRDefault="00AE6341" w:rsidP="00AE6341">
      <w:pPr>
        <w:rPr>
          <w:rFonts w:cstheme="minorHAnsi"/>
        </w:rPr>
      </w:pPr>
      <w:r>
        <w:rPr>
          <w:rFonts w:cstheme="minorHAnsi"/>
        </w:rPr>
        <w:t xml:space="preserve">U svrhu unaprjeđenja postojećeg sustava za praćenje sprječavanja nastanka  otpada od hrane, potrebno je uspostaviti elektroničku aplikaciju za prikupljanje podataka od poslovnih subjekata. Za </w:t>
      </w:r>
      <w:r>
        <w:rPr>
          <w:rFonts w:cstheme="minorHAnsi"/>
        </w:rPr>
        <w:lastRenderedPageBreak/>
        <w:t>postizanje cjelovitog uvida u količine otpada od hrane koji nastaje na nacionalnoj razini obvezna je i provedba statističkog istraživanja, jednom u 4 godine, o otpadu od hrane koji nastaje u kućanstvima, a u skladu s metodologijom Europske komisije iz Delegirane odluke Komisije (EU) 2019/1597</w:t>
      </w:r>
      <w:r>
        <w:rPr>
          <w:rStyle w:val="Referencafusnote"/>
          <w:rFonts w:cstheme="minorHAnsi"/>
          <w:bCs/>
        </w:rPr>
        <w:footnoteReference w:id="41"/>
      </w:r>
      <w:r>
        <w:rPr>
          <w:rFonts w:cstheme="minorHAnsi"/>
        </w:rPr>
        <w:t xml:space="preserve"> i Provedbene odluke Komisije (EU) 2019/2000</w:t>
      </w:r>
      <w:r>
        <w:rPr>
          <w:rStyle w:val="Referencafusnote"/>
          <w:rFonts w:cstheme="minorHAnsi"/>
          <w:bCs/>
        </w:rPr>
        <w:footnoteReference w:id="42"/>
      </w:r>
      <w:r>
        <w:rPr>
          <w:rFonts w:cstheme="minorHAnsi"/>
        </w:rPr>
        <w:t xml:space="preserve">. </w:t>
      </w:r>
    </w:p>
    <w:p w14:paraId="5B211C79" w14:textId="77777777" w:rsidR="00AE6341" w:rsidRDefault="00AE6341" w:rsidP="00AE6341">
      <w:pPr>
        <w:rPr>
          <w:rFonts w:cstheme="minorHAnsi"/>
        </w:rPr>
      </w:pPr>
      <w:r>
        <w:rPr>
          <w:rFonts w:cstheme="minorHAnsi"/>
        </w:rPr>
        <w:t>Provedbenom odlukom 2019/1004/EU</w:t>
      </w:r>
      <w:r>
        <w:rPr>
          <w:rStyle w:val="Referencafusnote"/>
          <w:rFonts w:cstheme="minorHAnsi"/>
          <w:bCs/>
        </w:rPr>
        <w:footnoteReference w:id="43"/>
      </w:r>
      <w:r>
        <w:rPr>
          <w:rFonts w:cstheme="minorHAnsi"/>
        </w:rPr>
        <w:t xml:space="preserve"> propisane su okvirne smjernice za prikupljanje i izračun količina otpada </w:t>
      </w:r>
      <w:proofErr w:type="spellStart"/>
      <w:r>
        <w:rPr>
          <w:rFonts w:cstheme="minorHAnsi"/>
        </w:rPr>
        <w:t>kompostiranog</w:t>
      </w:r>
      <w:proofErr w:type="spellEnd"/>
      <w:r>
        <w:rPr>
          <w:rFonts w:cstheme="minorHAnsi"/>
        </w:rPr>
        <w:t xml:space="preserve"> u kućanstvima sukladno dvjema metodologijama. Vodeći se navedenim smjernicama potrebna je izrada jedinstvene nacionalne metodologije o procjeni učinkovitosti mjera za sprječavanje nastanka biootpada. Sukladno izrađenoj metodologiji provest će se projekt procjene učinkovitosti mjere sprječavanja nastajanja biootpada putem kućnih </w:t>
      </w:r>
      <w:proofErr w:type="spellStart"/>
      <w:r>
        <w:rPr>
          <w:rFonts w:cstheme="minorHAnsi"/>
        </w:rPr>
        <w:t>kompostera</w:t>
      </w:r>
      <w:proofErr w:type="spellEnd"/>
      <w:r>
        <w:rPr>
          <w:rFonts w:cstheme="minorHAnsi"/>
        </w:rPr>
        <w:t>.</w:t>
      </w:r>
    </w:p>
    <w:p w14:paraId="204E3283" w14:textId="77777777" w:rsidR="00AE6341" w:rsidRDefault="00AE6341" w:rsidP="00AE6341">
      <w:pPr>
        <w:shd w:val="clear" w:color="auto" w:fill="002060"/>
        <w:rPr>
          <w:rFonts w:cstheme="minorHAnsi"/>
        </w:rPr>
      </w:pPr>
      <w:r>
        <w:rPr>
          <w:rFonts w:cstheme="minorHAnsi"/>
          <w:b/>
          <w:bCs/>
        </w:rPr>
        <w:t xml:space="preserve">Mjera 4. </w:t>
      </w:r>
      <w:r>
        <w:rPr>
          <w:rFonts w:cstheme="minorHAnsi"/>
          <w:b/>
          <w:bCs/>
        </w:rPr>
        <w:tab/>
        <w:t>Promicanje sustava kućnog kompostiranja</w:t>
      </w:r>
    </w:p>
    <w:p w14:paraId="72F49C49" w14:textId="77777777" w:rsidR="00AE6341" w:rsidRDefault="00AE6341" w:rsidP="00AE6341">
      <w:pPr>
        <w:rPr>
          <w:rFonts w:cstheme="minorHAnsi"/>
        </w:rPr>
      </w:pPr>
      <w:r>
        <w:rPr>
          <w:rFonts w:cstheme="minorHAnsi"/>
        </w:rPr>
        <w:t xml:space="preserve">Cilj ove mjere je postići da kućanstva </w:t>
      </w:r>
      <w:proofErr w:type="spellStart"/>
      <w:r>
        <w:rPr>
          <w:rFonts w:cstheme="minorHAnsi"/>
        </w:rPr>
        <w:t>kompostiraju</w:t>
      </w:r>
      <w:proofErr w:type="spellEnd"/>
      <w:r>
        <w:rPr>
          <w:rFonts w:cstheme="minorHAnsi"/>
        </w:rPr>
        <w:t xml:space="preserve"> biootpad u vlastitim </w:t>
      </w:r>
      <w:proofErr w:type="spellStart"/>
      <w:r>
        <w:rPr>
          <w:rFonts w:cstheme="minorHAnsi"/>
        </w:rPr>
        <w:t>komposterima</w:t>
      </w:r>
      <w:proofErr w:type="spellEnd"/>
      <w:r>
        <w:rPr>
          <w:rFonts w:cstheme="minorHAnsi"/>
        </w:rPr>
        <w:t>, te dobiju potpuno besplatno organsko gnojivo čime će ostvariti uštedu na kupovini gnojiva za vrt. Obzirom da primjena kućnog kompostiranja ovisi o dostupnim površinama za korištenje proizvedenog komposta, prioritet za provođenje ove mjere su ruralna područja, odnosno predgrađa urbanih sredina s većim brojem samostalnih stambenih jedinica s okućnicom.</w:t>
      </w:r>
    </w:p>
    <w:p w14:paraId="2D1C8E69" w14:textId="77777777" w:rsidR="00AE6341" w:rsidRDefault="00AE6341" w:rsidP="00AE6341">
      <w:pPr>
        <w:rPr>
          <w:rFonts w:cstheme="minorHAnsi"/>
        </w:rPr>
      </w:pPr>
      <w:r>
        <w:rPr>
          <w:rFonts w:cstheme="minorHAnsi"/>
        </w:rPr>
        <w:t xml:space="preserve">Intenziviranjem primjene kućnog kompostiranja doprinosi se sprječavanju odlaganja biootpada na odlagalište, ali i utječe na jačanje svijesti o utjecaju odgovorne potrošnje na nastajanja otpada. Također, kućnim kompostiranjem smanjuje se okolišni otisak uslijed prijevoza i gospodarenja otpadom. </w:t>
      </w:r>
    </w:p>
    <w:p w14:paraId="3B902F95" w14:textId="77777777" w:rsidR="00AE6341" w:rsidRDefault="00AE6341" w:rsidP="00AE6341">
      <w:pPr>
        <w:rPr>
          <w:rFonts w:cstheme="minorHAnsi"/>
        </w:rPr>
      </w:pPr>
      <w:r>
        <w:rPr>
          <w:rFonts w:cstheme="minorHAnsi"/>
        </w:rPr>
        <w:t xml:space="preserve">Kako bi se jedinice lokalne samouprave uključile u aktivno poticanje lokalne zajednice na kompostiranje u vlastitim kućanstvima, potrebno je organizirati edukativne radionice za jedinice lokalne samouprave, čiji se program može temeljiti na edukaciji o načinu organiziranja i provođenja kvalitetnih kampanja na temu sprječavanja nastanka biootpada uključujući i edukaciju na temu važnosti kompostiranja i primjene </w:t>
      </w:r>
      <w:proofErr w:type="spellStart"/>
      <w:r>
        <w:rPr>
          <w:rFonts w:cstheme="minorHAnsi"/>
        </w:rPr>
        <w:t>kompostera</w:t>
      </w:r>
      <w:proofErr w:type="spellEnd"/>
      <w:r>
        <w:rPr>
          <w:rFonts w:cstheme="minorHAnsi"/>
        </w:rPr>
        <w:t>.</w:t>
      </w:r>
    </w:p>
    <w:p w14:paraId="257E2E03" w14:textId="77777777" w:rsidR="00AE6341" w:rsidRDefault="00AE6341" w:rsidP="00AE6341">
      <w:pPr>
        <w:rPr>
          <w:rFonts w:cstheme="minorHAnsi"/>
        </w:rPr>
      </w:pPr>
      <w:r>
        <w:rPr>
          <w:rFonts w:cstheme="minorHAnsi"/>
        </w:rPr>
        <w:t xml:space="preserve">Dodatno, moguće je potaknuti kućno kompostiranje kroz sufinanciranje nabavke kućnih </w:t>
      </w:r>
      <w:proofErr w:type="spellStart"/>
      <w:r>
        <w:rPr>
          <w:rFonts w:cstheme="minorHAnsi"/>
        </w:rPr>
        <w:t>kompostera</w:t>
      </w:r>
      <w:proofErr w:type="spellEnd"/>
      <w:r>
        <w:rPr>
          <w:rFonts w:cstheme="minorHAnsi"/>
        </w:rPr>
        <w:t>.</w:t>
      </w:r>
    </w:p>
    <w:p w14:paraId="74B7FC7B" w14:textId="77777777" w:rsidR="00AE6341" w:rsidRDefault="00AE6341" w:rsidP="00AE6341">
      <w:pPr>
        <w:shd w:val="clear" w:color="auto" w:fill="002060"/>
        <w:spacing w:before="120"/>
        <w:rPr>
          <w:rFonts w:cstheme="minorHAnsi"/>
        </w:rPr>
      </w:pPr>
      <w:r>
        <w:rPr>
          <w:rFonts w:cstheme="minorHAnsi"/>
          <w:b/>
          <w:bCs/>
        </w:rPr>
        <w:t>Mjera 5.</w:t>
      </w:r>
      <w:r>
        <w:rPr>
          <w:rFonts w:cstheme="minorHAnsi"/>
          <w:b/>
          <w:bCs/>
        </w:rPr>
        <w:tab/>
        <w:t>Poticanje smanjenja potrošnje plastičnih proizvoda za jednokratnu uporabu</w:t>
      </w:r>
      <w:r>
        <w:rPr>
          <w:rFonts w:cstheme="minorHAnsi"/>
        </w:rPr>
        <w:t xml:space="preserve"> </w:t>
      </w:r>
    </w:p>
    <w:p w14:paraId="515E0141" w14:textId="77777777" w:rsidR="00AE6341" w:rsidRDefault="00AE6341" w:rsidP="00AE6341">
      <w:pPr>
        <w:rPr>
          <w:rFonts w:cstheme="minorHAnsi"/>
        </w:rPr>
      </w:pPr>
      <w:r>
        <w:rPr>
          <w:rFonts w:cstheme="minorHAnsi"/>
        </w:rPr>
        <w:t>Izuzev izrade priručnika za širu javnost s osnovnim informacijama o plastičnim proizvodima za jednokratnu uporabu, savjetima i preporukama kako smanjit njihovu potrošnju, obzirom da je turizam jedna od najvažnijih gospodarskih grana Republike Hrvatske potrebno je izraditi i specifični sektorski priručnik o sprječavanju nastanka plastičnog otpada od proizvoda za jednokratnu uporabu u turističkom sektoru.</w:t>
      </w:r>
    </w:p>
    <w:p w14:paraId="1E62FD25" w14:textId="77777777" w:rsidR="00AE6341" w:rsidRDefault="00AE6341" w:rsidP="00AE6341">
      <w:pPr>
        <w:rPr>
          <w:rFonts w:cstheme="minorHAnsi"/>
        </w:rPr>
      </w:pPr>
      <w:r>
        <w:rPr>
          <w:rFonts w:cstheme="minorHAnsi"/>
        </w:rPr>
        <w:t xml:space="preserve">Poticati će se priprema i provedba projekata sprječavanja i/ili smanjenja nepovoljnog utjecaja određenih plastičnih proizvoda na okoliš i jačanja prijelaza na kružno gospodarstvo, a dodatno planira se sprječavanje i/ili smanjenje ovog nepovoljnog utjecaja urediti novim Pravilnikom o ambalaži i </w:t>
      </w:r>
      <w:r>
        <w:rPr>
          <w:rFonts w:cstheme="minorHAnsi"/>
        </w:rPr>
        <w:lastRenderedPageBreak/>
        <w:t>otpadnoj ambalaži. Planirani projekti mogu obuhvatiti bilo koju fazu životnog ciklusa proizvoda od primjerice, istraživanja i razvoja na području postizanja čistije tehnologija i proizvoda s manjim udjelom materijala koji nisu pogodni za ponovnu uporabu i/ili recikliranje, proizvodnje i distribucije plastičnih proizvoda za jednokratnu uporabu do faze njihove potrošnje odnosno uporabe. Financijska sredstva za pripremu i provedbu ovih projekata biti će dodjeljivana putem javnih poziva temeljem unaprijed definiranih kriterija.</w:t>
      </w:r>
    </w:p>
    <w:p w14:paraId="569648CF" w14:textId="77777777" w:rsidR="00AE6341" w:rsidRDefault="00AE6341" w:rsidP="00AE6341">
      <w:pPr>
        <w:rPr>
          <w:rFonts w:cstheme="minorHAnsi"/>
        </w:rPr>
      </w:pPr>
      <w:r>
        <w:rPr>
          <w:rFonts w:cstheme="minorHAnsi"/>
        </w:rPr>
        <w:t xml:space="preserve">Ulaganjem u istraživački rad i inovativna rješenja i modele koja doprinose sprječavanju i smanjenju nastajanja ove vrste otpada doprinijet će se i jačanje međusobne suradnje relevantnih dionika, znanstveno-akademske zajednice, poslovnog sektora, tijela javne vlasti, potrošača, nevladinih udruga, i dr. Jačanje ovakvog sinergijskog pristupa jedan je od ključnih preduvjeta za facilitaciju prelaska na kružno gospodarstvo. </w:t>
      </w:r>
    </w:p>
    <w:p w14:paraId="5E741B44" w14:textId="77777777" w:rsidR="00AE6341" w:rsidRDefault="00AE6341" w:rsidP="00AE6341">
      <w:pPr>
        <w:rPr>
          <w:rFonts w:cstheme="minorHAnsi"/>
        </w:rPr>
      </w:pPr>
      <w:r>
        <w:rPr>
          <w:rFonts w:cstheme="minorHAnsi"/>
        </w:rPr>
        <w:t xml:space="preserve">Također, kroz strukturirani dijaloga </w:t>
      </w:r>
      <w:bookmarkStart w:id="426" w:name="_Hlk110953153"/>
      <w:r>
        <w:rPr>
          <w:rFonts w:cstheme="minorHAnsi"/>
          <w:i/>
          <w:iCs/>
        </w:rPr>
        <w:t xml:space="preserve">Odbor za kružno gospodarstvo </w:t>
      </w:r>
      <w:r>
        <w:rPr>
          <w:rFonts w:cstheme="minorHAnsi"/>
        </w:rPr>
        <w:t xml:space="preserve">RH </w:t>
      </w:r>
      <w:bookmarkEnd w:id="426"/>
      <w:r>
        <w:rPr>
          <w:rFonts w:cstheme="minorHAnsi"/>
        </w:rPr>
        <w:t>djelovat će na poticanje sklapanja dobrovoljnih sporazuma i razvoj i implementaciju inicijativa koje pridonose sprječavanju nastanka i/ili smanjenja i ponovne uporabe plastičnog ambalažnog otpada. Ovim „okolišnim sporazumima“ mogu se primjerice utvrditi uvjeti i načini promicanja proizvodnje i stavljanja na tržište ponovno upotrebljivog ambalažnog otpada i obuhvatiti ciljevi u pogledu stopa tržišnih udjela, mogu se predvidjeti informativne kampanje i kampanje podizanja razine svijesti i dr.</w:t>
      </w:r>
    </w:p>
    <w:p w14:paraId="2746F963" w14:textId="77777777" w:rsidR="00AE6341" w:rsidRDefault="00AE6341" w:rsidP="00AE6341">
      <w:pPr>
        <w:shd w:val="clear" w:color="auto" w:fill="002060"/>
        <w:spacing w:before="120"/>
        <w:rPr>
          <w:rFonts w:cstheme="minorHAnsi"/>
        </w:rPr>
      </w:pPr>
      <w:r>
        <w:rPr>
          <w:rFonts w:cstheme="minorHAnsi"/>
          <w:b/>
          <w:bCs/>
        </w:rPr>
        <w:t xml:space="preserve">Mjera 6. </w:t>
      </w:r>
      <w:r>
        <w:rPr>
          <w:rFonts w:cstheme="minorHAnsi"/>
          <w:b/>
          <w:bCs/>
        </w:rPr>
        <w:tab/>
        <w:t>Poticanje kupovine ‘zelenih’ proizvoda i usluga</w:t>
      </w:r>
    </w:p>
    <w:p w14:paraId="68DA2434" w14:textId="77777777" w:rsidR="00AE6341" w:rsidRDefault="00AE6341" w:rsidP="00AE6341">
      <w:pPr>
        <w:rPr>
          <w:rFonts w:cstheme="minorHAnsi"/>
        </w:rPr>
      </w:pPr>
      <w:r>
        <w:rPr>
          <w:rFonts w:cstheme="minorHAnsi"/>
        </w:rPr>
        <w:t>Uključivanjem okolišnih kriterija i uspostavljanjem vlastitih politika javne nabave, te određivanjem novih specifikacija za robu i proizvode koji favoriziraju trajnost, mogućnost višekratne uporabe, manje ambalaže ili sniženu razinu toksičnosti, javni i privatni sektor može usmjeriti svoju potrošačku moć na smanjenje nastanka, a samim time i odlaganja otpada.</w:t>
      </w:r>
    </w:p>
    <w:p w14:paraId="13ABC58C" w14:textId="77777777" w:rsidR="00AE6341" w:rsidRDefault="00AE6341" w:rsidP="00AE6341">
      <w:pPr>
        <w:rPr>
          <w:rFonts w:cstheme="minorHAnsi"/>
        </w:rPr>
      </w:pPr>
      <w:r>
        <w:rPr>
          <w:rFonts w:cstheme="minorHAnsi"/>
        </w:rPr>
        <w:t>Uz zamjenu konvencionalnih roba, usluga i radova onima alternativnima koji imaju manje negativan utjecaj na okoliš, u postupcima javnih i korporativnih nabava dodatno treba definirati kriterije nadmetanja na način da isti pozitivno vrednuju i nagrađuju 'zelene' alternative.</w:t>
      </w:r>
    </w:p>
    <w:p w14:paraId="3FC6397E" w14:textId="77777777" w:rsidR="00AE6341" w:rsidRDefault="00AE6341" w:rsidP="00AE6341">
      <w:pPr>
        <w:rPr>
          <w:rFonts w:cstheme="minorHAnsi"/>
        </w:rPr>
      </w:pPr>
      <w:r>
        <w:rPr>
          <w:rFonts w:cstheme="minorHAnsi"/>
        </w:rPr>
        <w:t>Nastavit će se provođenjem aktivnosti promicanja zelene javne nabave među provoditeljima programa izobrazbe kako bi oni dalje kroz redovite programe uključili izobrazbu svojih korisnika, odnosno certificiranih provoditelja javne nabave. Provodit će se i druge informacijsko-edukacijske radionice i projekti na temu zelene javne nabave. Surađivat će s raznim dionicima kako bi se baza primjera dobre prakse stalno punila te će se nastaviti razvijati i održavati nacionalna mrežna stranica o zelenoj javnoj nabavi kako bi zadovoljila potrebe korisnika (</w:t>
      </w:r>
      <w:hyperlink r:id="rId22" w:history="1">
        <w:r>
          <w:rPr>
            <w:rStyle w:val="Hiperveza"/>
            <w:rFonts w:cstheme="minorHAnsi"/>
          </w:rPr>
          <w:t>https://zelenanabava.hr/</w:t>
        </w:r>
      </w:hyperlink>
      <w:r>
        <w:rPr>
          <w:rFonts w:cstheme="minorHAnsi"/>
        </w:rPr>
        <w:t>). Pratit će se provedba Vladine Odluke o zelenoj javnoj nabavi te će se izrađivati izvješća za nacionalne, europske i međunarodne potrebe. Osnovne aktivnosti za provođenje ove mjere su:</w:t>
      </w:r>
    </w:p>
    <w:p w14:paraId="32986201" w14:textId="77777777" w:rsidR="00AE6341" w:rsidRDefault="00AE6341" w:rsidP="004C775C">
      <w:pPr>
        <w:pStyle w:val="Odlomakpopisa"/>
        <w:numPr>
          <w:ilvl w:val="0"/>
          <w:numId w:val="51"/>
        </w:numPr>
        <w:spacing w:line="256" w:lineRule="auto"/>
        <w:rPr>
          <w:rFonts w:cstheme="minorHAnsi"/>
        </w:rPr>
      </w:pPr>
      <w:r>
        <w:rPr>
          <w:rFonts w:cstheme="minorHAnsi"/>
        </w:rPr>
        <w:t>Informativno-edukacijske radionice o zelenoj javnoj nabavi</w:t>
      </w:r>
    </w:p>
    <w:p w14:paraId="1AF481EE" w14:textId="77777777" w:rsidR="00AE6341" w:rsidRDefault="00AE6341" w:rsidP="004C775C">
      <w:pPr>
        <w:pStyle w:val="Odlomakpopisa"/>
        <w:numPr>
          <w:ilvl w:val="0"/>
          <w:numId w:val="51"/>
        </w:numPr>
        <w:spacing w:line="256" w:lineRule="auto"/>
        <w:rPr>
          <w:rFonts w:cstheme="minorHAnsi"/>
        </w:rPr>
      </w:pPr>
      <w:r>
        <w:rPr>
          <w:rFonts w:cstheme="minorHAnsi"/>
        </w:rPr>
        <w:t>Programi usavršavanja o zelenoj javnoj nabavi sa novim informacijama na razini Europske unije vezano uz zelenu javnu nabavu i primjerima dobre prakse i sukladan zahtjevima iz Pravilnika o izobrazbi u području javne nabave (NN br. 65/17)</w:t>
      </w:r>
    </w:p>
    <w:p w14:paraId="31293877" w14:textId="77777777" w:rsidR="00AE6341" w:rsidRDefault="00AE6341" w:rsidP="004C775C">
      <w:pPr>
        <w:pStyle w:val="Odlomakpopisa"/>
        <w:numPr>
          <w:ilvl w:val="0"/>
          <w:numId w:val="51"/>
        </w:numPr>
        <w:spacing w:line="256" w:lineRule="auto"/>
        <w:rPr>
          <w:rFonts w:cstheme="minorHAnsi"/>
        </w:rPr>
      </w:pPr>
      <w:r>
        <w:rPr>
          <w:rFonts w:cstheme="minorHAnsi"/>
        </w:rPr>
        <w:t>Održavanje baze primjera dobre prakse po nabavnim kategorijama</w:t>
      </w:r>
    </w:p>
    <w:p w14:paraId="1567FF21" w14:textId="77777777" w:rsidR="00AE6341" w:rsidRDefault="00AE6341" w:rsidP="004C775C">
      <w:pPr>
        <w:pStyle w:val="Odlomakpopisa"/>
        <w:numPr>
          <w:ilvl w:val="0"/>
          <w:numId w:val="51"/>
        </w:numPr>
        <w:spacing w:line="256" w:lineRule="auto"/>
        <w:rPr>
          <w:rFonts w:cstheme="minorHAnsi"/>
        </w:rPr>
      </w:pPr>
      <w:r>
        <w:rPr>
          <w:rFonts w:cstheme="minorHAnsi"/>
        </w:rPr>
        <w:t>Vođenje nacionalne mrežne stranice za zelenu javnu nabavu.</w:t>
      </w:r>
    </w:p>
    <w:p w14:paraId="51B35CEB" w14:textId="77777777" w:rsidR="00AE6341" w:rsidRDefault="00AE6341" w:rsidP="00AE6341">
      <w:pPr>
        <w:rPr>
          <w:rFonts w:cstheme="minorHAnsi"/>
        </w:rPr>
      </w:pPr>
      <w:r>
        <w:rPr>
          <w:rFonts w:cstheme="minorHAnsi"/>
        </w:rPr>
        <w:t xml:space="preserve">U skladu s Europskim zelenim planom koji je građevinski sektor identificirao kao prioritetnim sektorom za provedbu zelene javne nabave, predviđa se izrada smjernica za zelenu javnu nabavu u postupcima projektiranja, izgradnji i upravljanju poslovnim zgradama; i projektiranju, izgradnji i održavanju cesta. Iste će koristiti pristup cjeloživotnog ciklusa gdje će se osim korištenja recikliranih materijala pri </w:t>
      </w:r>
      <w:r>
        <w:rPr>
          <w:rFonts w:cstheme="minorHAnsi"/>
        </w:rPr>
        <w:lastRenderedPageBreak/>
        <w:t>gradnji, razmatrati i projektiranje građevina kod koji će nakon uklanjanja/rastavljanja nastati materijali koje će biti moguće u značajnom udjelu ponovno uporabiti i/ili reciklirati.</w:t>
      </w:r>
    </w:p>
    <w:p w14:paraId="69008B98" w14:textId="77777777" w:rsidR="00AE6341" w:rsidRDefault="00AE6341" w:rsidP="00AE6341">
      <w:pPr>
        <w:rPr>
          <w:rFonts w:cstheme="minorHAnsi"/>
        </w:rPr>
      </w:pPr>
    </w:p>
    <w:p w14:paraId="54F83975" w14:textId="77777777" w:rsidR="00AE6341" w:rsidRDefault="00AE6341" w:rsidP="00AE6341">
      <w:pPr>
        <w:shd w:val="clear" w:color="auto" w:fill="002060"/>
        <w:rPr>
          <w:rFonts w:cstheme="minorHAnsi"/>
        </w:rPr>
      </w:pPr>
      <w:r>
        <w:rPr>
          <w:rFonts w:cstheme="minorHAnsi"/>
          <w:b/>
          <w:bCs/>
        </w:rPr>
        <w:t xml:space="preserve">Mjera 7. </w:t>
      </w:r>
      <w:r>
        <w:rPr>
          <w:rFonts w:cstheme="minorHAnsi"/>
          <w:b/>
          <w:bCs/>
        </w:rPr>
        <w:tab/>
        <w:t>Jačanje svijesti, edukacija o sprječavanju nastanka otpada i razmjena dobre prakse</w:t>
      </w:r>
    </w:p>
    <w:p w14:paraId="51C12547" w14:textId="77777777" w:rsidR="00AE6341" w:rsidRDefault="00AE6341" w:rsidP="00AE6341">
      <w:pPr>
        <w:rPr>
          <w:rFonts w:cstheme="minorHAnsi"/>
        </w:rPr>
      </w:pPr>
      <w:r>
        <w:rPr>
          <w:rFonts w:cstheme="minorHAnsi"/>
        </w:rPr>
        <w:t xml:space="preserve">Provedbom nacionalnih kampanja na temu sprječavanja nastanka otpada ova horizontalna mjera doprinijet će sprječavanju nastanka svih specifičnih ciljeva sprječavanja nastanka otpada definiranih </w:t>
      </w:r>
      <w:r>
        <w:rPr>
          <w:rFonts w:cstheme="minorHAnsi"/>
          <w:i/>
          <w:iCs/>
        </w:rPr>
        <w:t xml:space="preserve">Planom sprječavanja nastanka otpada za razdoblje 2023. – 2028. godine. </w:t>
      </w:r>
      <w:r>
        <w:rPr>
          <w:rFonts w:cstheme="minorHAnsi"/>
        </w:rPr>
        <w:t xml:space="preserve">Nacionalne kampanje učinkovit su alat kojim se podiže svijest građana o važnosti sprječavanja nastanka otpadom i promjeni obrazaca potrošnje. </w:t>
      </w:r>
    </w:p>
    <w:p w14:paraId="79C00495" w14:textId="77777777" w:rsidR="00AE6341" w:rsidRDefault="00AE6341" w:rsidP="00AE6341">
      <w:pPr>
        <w:rPr>
          <w:rFonts w:cstheme="minorHAnsi"/>
        </w:rPr>
      </w:pPr>
      <w:r>
        <w:rPr>
          <w:rFonts w:cstheme="minorHAnsi"/>
        </w:rPr>
        <w:t xml:space="preserve">Dodatno, u sklopu projekta „Tehnička pomoć Ministarstvu gospodarstva i održivog razvoja za održivo gospodarenje otpadom – prijelaz na kružno gospodarstvo“ izrađen je </w:t>
      </w:r>
      <w:r>
        <w:rPr>
          <w:rFonts w:cstheme="minorHAnsi"/>
          <w:i/>
          <w:iCs/>
        </w:rPr>
        <w:t xml:space="preserve">Komunikacijski plan za kružnu ekonomiju. </w:t>
      </w:r>
      <w:r>
        <w:rPr>
          <w:rFonts w:cstheme="minorHAnsi"/>
        </w:rPr>
        <w:t>U sklopu ovog plana provedena je opsežna analiza i mapiranje dionika, SWOT analiza</w:t>
      </w:r>
      <w:r>
        <w:rPr>
          <w:rStyle w:val="Referencafusnote"/>
          <w:rFonts w:cstheme="minorHAnsi"/>
        </w:rPr>
        <w:footnoteReference w:id="44"/>
      </w:r>
      <w:r>
        <w:rPr>
          <w:rFonts w:cstheme="minorHAnsi"/>
        </w:rPr>
        <w:t>, predložene su odgovarajuće metode i alati komunikacije, te akcijski plan komunikacije kružne ekonomije. Mjere i aktivnosti tematike sprječavanja nastanka otpada također su sastavni dio ovog nacionalnog komunikacijskog plana.</w:t>
      </w:r>
    </w:p>
    <w:p w14:paraId="567CC8A1" w14:textId="77777777" w:rsidR="00AE6341" w:rsidRDefault="00AE6341" w:rsidP="00AE6341">
      <w:pPr>
        <w:keepNext/>
        <w:shd w:val="clear" w:color="auto" w:fill="002060"/>
        <w:spacing w:before="120"/>
        <w:ind w:left="1412" w:hanging="1412"/>
        <w:rPr>
          <w:rFonts w:cstheme="minorHAnsi"/>
        </w:rPr>
      </w:pPr>
      <w:r>
        <w:rPr>
          <w:rFonts w:cstheme="minorHAnsi"/>
          <w:b/>
          <w:bCs/>
        </w:rPr>
        <w:t xml:space="preserve">Mjera 8. </w:t>
      </w:r>
      <w:r>
        <w:rPr>
          <w:rFonts w:cstheme="minorHAnsi"/>
          <w:b/>
          <w:bCs/>
        </w:rPr>
        <w:tab/>
        <w:t>Promicanje eko-dizajna (sustavne integracije aspekata zaštite okoliša u dizajn proizvoda s ciljem unapređenja ponašanja proizvoda s obzirom na zaštitu okoliša u cijelom životnom vijeku proizvoda)</w:t>
      </w:r>
    </w:p>
    <w:p w14:paraId="0C29B61D" w14:textId="77777777" w:rsidR="00AE6341" w:rsidRDefault="00AE6341" w:rsidP="00AE6341">
      <w:pPr>
        <w:rPr>
          <w:rFonts w:cstheme="minorHAnsi"/>
        </w:rPr>
      </w:pPr>
      <w:r>
        <w:rPr>
          <w:rFonts w:cstheme="minorHAnsi"/>
        </w:rPr>
        <w:t>Ekološki dizajn neizostavan je element koji utječe na smanjenje sprječavanja nastanka otpada i općenito smanjenje onečišćenja okoliša i povećanje kružnosti resursa, kako i jačanju svijesti o važnosti očuvanja okoliša.</w:t>
      </w:r>
    </w:p>
    <w:p w14:paraId="373C200C" w14:textId="77777777" w:rsidR="00AE6341" w:rsidRDefault="00AE6341" w:rsidP="00AE6341">
      <w:pPr>
        <w:rPr>
          <w:rFonts w:cstheme="minorHAnsi"/>
        </w:rPr>
      </w:pPr>
      <w:r>
        <w:rPr>
          <w:rFonts w:cstheme="minorHAnsi"/>
        </w:rPr>
        <w:t>Korisnost moduliranja naknada za proizvode u sustavu proširene odgovornost proizvođača je višestruka od indirektne kojom se posredno informira potrošač koji proizvodi su 'zeleniji' odnosno imaju manji ekološki otisak i manju prisutnost ili potpunu odsutnost opasnih tvari, do poticanja recikliranja i jačanja potražnje za sekundarnim materijalima. Primjenu ovog ekonomskog instrumenta koji potiče razvoj ekološkog dizajna potrebno je koristiti u kombinaciji s promicanjem ekoloških oznaka osiguravajući informiranost potrošača i općenito poticanje potražnje i potrošnje održivih proizvoda.</w:t>
      </w:r>
    </w:p>
    <w:p w14:paraId="18A637F7" w14:textId="77777777" w:rsidR="00AE6341" w:rsidRDefault="00AE6341" w:rsidP="00AE6341">
      <w:pPr>
        <w:rPr>
          <w:rFonts w:cstheme="minorHAnsi"/>
        </w:rPr>
      </w:pPr>
      <w:r>
        <w:rPr>
          <w:rFonts w:cstheme="minorHAnsi"/>
        </w:rPr>
        <w:t>U svrhu donošenja zakonskog okvira kojim će se uvesti modulirana naknada za sustave proširene odgovornosti proizvođača potrebno je provesti analizu kojom će se odrediti ekološki i ekonomski najučinkovitiji modeli moduliranih naknada za proizvode u sustavu proširene odgovornosti proizvođača uzimajući u obzir trajnost, popravljivost, ponovnu uporabljivost, mogućnost recikliranja ili prisutnost i količinu opasnih tvari u proizvodima te životni ciklus proizvoda</w:t>
      </w:r>
      <w:r>
        <w:rPr>
          <w:rStyle w:val="Referencafusnote"/>
          <w:rFonts w:cstheme="minorHAnsi"/>
        </w:rPr>
        <w:footnoteReference w:id="45"/>
      </w:r>
      <w:r>
        <w:rPr>
          <w:rFonts w:cstheme="minorHAnsi"/>
        </w:rPr>
        <w:t xml:space="preserve">. Analiza će obuhvatiti i potrebu proširenja sustava proširene odgovornosti proizvođača na druge proizvode i materijale. </w:t>
      </w:r>
    </w:p>
    <w:p w14:paraId="3BBDBCC6" w14:textId="77777777" w:rsidR="00AE6341" w:rsidRDefault="00AE6341" w:rsidP="00AE6341">
      <w:pPr>
        <w:rPr>
          <w:rFonts w:cstheme="minorHAnsi"/>
        </w:rPr>
      </w:pPr>
      <w:r>
        <w:rPr>
          <w:rFonts w:cstheme="minorHAnsi"/>
        </w:rPr>
        <w:t xml:space="preserve">Dodatno, izradit će se stručna analiza o proizvodima na tržištu RH koji su relevantni s obzirom na udio kritičnih sirovina te predložiti metodologija praćenja i odgovarajuće pokazatelje koji trebaju osigurati cjelovite i pouzdane podatke o udjelima (količinama) i načinima gospodarenju kritičnim sirovinama u raznim tokovima otpada, a u skladu s EU popisom kritičnih sirovina iz 2020 (Pouzdanost opskrbe </w:t>
      </w:r>
      <w:r>
        <w:rPr>
          <w:rFonts w:cstheme="minorHAnsi"/>
        </w:rPr>
        <w:lastRenderedPageBreak/>
        <w:t xml:space="preserve">kritičnim sirovinama: put prema većoj sigurnosti i održivosti,  Bruxelles, 3.9.2020., COM(2020) 474 </w:t>
      </w:r>
      <w:proofErr w:type="spellStart"/>
      <w:r>
        <w:rPr>
          <w:rFonts w:cstheme="minorHAnsi"/>
        </w:rPr>
        <w:t>final</w:t>
      </w:r>
      <w:proofErr w:type="spellEnd"/>
      <w:r>
        <w:rPr>
          <w:rFonts w:cstheme="minorHAnsi"/>
        </w:rPr>
        <w:t>).</w:t>
      </w:r>
    </w:p>
    <w:p w14:paraId="78FFBAB0" w14:textId="77777777" w:rsidR="00AE6341" w:rsidRDefault="00AE6341" w:rsidP="00AE6341">
      <w:pPr>
        <w:rPr>
          <w:rFonts w:cstheme="minorHAnsi"/>
        </w:rPr>
      </w:pPr>
      <w:r>
        <w:rPr>
          <w:rFonts w:cstheme="minorHAnsi"/>
        </w:rPr>
        <w:t xml:space="preserve">Zajednička europska zelena politika koja proizlazi iz Europskog zelenog plana (2019.) snažno podržava razvoja i jačanje pouzdanih eko-oznaka radi postizanja okolišnih i klimatskih ciljeva, kao i radi zaštite potrošača od lažnih i obmanjujućih zelenih oznaka. Stoga će Ministarstvo nastavit promicati vidljivost znaka EU </w:t>
      </w:r>
      <w:proofErr w:type="spellStart"/>
      <w:r>
        <w:rPr>
          <w:rFonts w:cstheme="minorHAnsi"/>
        </w:rPr>
        <w:t>Ecolabel</w:t>
      </w:r>
      <w:proofErr w:type="spellEnd"/>
      <w:r>
        <w:rPr>
          <w:rFonts w:cstheme="minorHAnsi"/>
        </w:rPr>
        <w:t xml:space="preserve"> i razvoj nacionalnog znaka Prijatelj okoliša. U suradnji s Povjerenstvom za eko-oznake nastavit će se aktivnosti promicanja vidljivosti znaka EU </w:t>
      </w:r>
      <w:proofErr w:type="spellStart"/>
      <w:r>
        <w:rPr>
          <w:rFonts w:cstheme="minorHAnsi"/>
        </w:rPr>
        <w:t>Ecolabel</w:t>
      </w:r>
      <w:proofErr w:type="spellEnd"/>
      <w:r>
        <w:rPr>
          <w:rFonts w:cstheme="minorHAnsi"/>
        </w:rPr>
        <w:t xml:space="preserve"> i nacionalnog znaka Prijatelj okoliša u poslovnom sektoru kroz predočavanje prednosti proizvodnje zelenih proizvoda i pružanja zelenih usluga. Analizirat će se daljnje mogućnosti poticanja gospodarstva za dobivanje ovih eko-oznaka. U svrhu provedbe novog zakonodavstva EU-a o osnaživanju potrošača, snažnije će se komunicirati vrijednost ovih eko-oznaka u kontekstu održive potrošnje i održivog stilova življenja u suradnji s relevantnom upravom za zaštitu potrošača i drugim dionicima. </w:t>
      </w:r>
    </w:p>
    <w:p w14:paraId="05A9EC13" w14:textId="77777777" w:rsidR="00AE6341" w:rsidRDefault="00AE6341" w:rsidP="00AE6341">
      <w:pPr>
        <w:rPr>
          <w:rFonts w:cstheme="minorHAnsi"/>
        </w:rPr>
      </w:pPr>
      <w:r>
        <w:rPr>
          <w:rFonts w:cstheme="minorHAnsi"/>
        </w:rPr>
        <w:t xml:space="preserve">Nastavit će se suradnja s Ministarstvom turizma i sporta u promicanju ovih eko-oznaka kako bi ovaj sektor, koji u Hrvatskoj ima veliki ekonomski značaj, dao svoj maksimalni doprinos u smanjenju pritisaka na okoliš i klimu. Nastavit će se s informativno-edukacijskim radionicama u suradnji sa glavnim dionicima u turističkom sektoru. Nastavit će se voditi postupci dodjele ovih eko-oznaka i nacionalni registar sukladno propisima kao i izrađivati izvješća za  nacionalne, europske i međunarodne potrebe. </w:t>
      </w:r>
    </w:p>
    <w:p w14:paraId="62D24B60" w14:textId="77777777" w:rsidR="00AE6341" w:rsidRDefault="00AE6341" w:rsidP="00AE6341">
      <w:pPr>
        <w:rPr>
          <w:rFonts w:cstheme="minorHAnsi"/>
        </w:rPr>
      </w:pPr>
      <w:r>
        <w:rPr>
          <w:rFonts w:cstheme="minorHAnsi"/>
        </w:rPr>
        <w:t>Poticanje certificiranja održivih proizvoda i usluga provodit će se i na slijedeći način:</w:t>
      </w:r>
    </w:p>
    <w:p w14:paraId="38A27DBD" w14:textId="77777777" w:rsidR="00AE6341" w:rsidRDefault="00AE6341" w:rsidP="004C775C">
      <w:pPr>
        <w:pStyle w:val="Odlomakpopisa"/>
        <w:numPr>
          <w:ilvl w:val="0"/>
          <w:numId w:val="52"/>
        </w:numPr>
        <w:spacing w:line="256" w:lineRule="auto"/>
        <w:rPr>
          <w:rFonts w:cstheme="minorHAnsi"/>
        </w:rPr>
      </w:pPr>
      <w:r>
        <w:rPr>
          <w:rFonts w:cstheme="minorHAnsi"/>
        </w:rPr>
        <w:t>Informativno-edukacijske radionice namijenjene poslovnom sektoru</w:t>
      </w:r>
    </w:p>
    <w:p w14:paraId="4CBE89A9" w14:textId="77777777" w:rsidR="00AE6341" w:rsidRDefault="00AE6341" w:rsidP="004C775C">
      <w:pPr>
        <w:pStyle w:val="Odlomakpopisa"/>
        <w:numPr>
          <w:ilvl w:val="0"/>
          <w:numId w:val="52"/>
        </w:numPr>
        <w:spacing w:line="256" w:lineRule="auto"/>
        <w:rPr>
          <w:rFonts w:cstheme="minorHAnsi"/>
        </w:rPr>
      </w:pPr>
      <w:r>
        <w:rPr>
          <w:rFonts w:cstheme="minorHAnsi"/>
        </w:rPr>
        <w:t>Informativno-edukacijske radionice namijenjene turističkom sektoru</w:t>
      </w:r>
    </w:p>
    <w:p w14:paraId="44B3F59B" w14:textId="77777777" w:rsidR="00AE6341" w:rsidRDefault="00AE6341" w:rsidP="004C775C">
      <w:pPr>
        <w:pStyle w:val="Odlomakpopisa"/>
        <w:numPr>
          <w:ilvl w:val="0"/>
          <w:numId w:val="52"/>
        </w:numPr>
        <w:spacing w:line="256" w:lineRule="auto"/>
        <w:rPr>
          <w:rFonts w:cstheme="minorHAnsi"/>
        </w:rPr>
      </w:pPr>
      <w:r>
        <w:rPr>
          <w:rFonts w:cstheme="minorHAnsi"/>
        </w:rPr>
        <w:t xml:space="preserve">Analiza daljnjih mogućnosti poticanja gospodarstva za dobivanje EU </w:t>
      </w:r>
      <w:proofErr w:type="spellStart"/>
      <w:r>
        <w:rPr>
          <w:rFonts w:cstheme="minorHAnsi"/>
        </w:rPr>
        <w:t>Ecolabel</w:t>
      </w:r>
      <w:proofErr w:type="spellEnd"/>
      <w:r>
        <w:rPr>
          <w:rFonts w:cstheme="minorHAnsi"/>
        </w:rPr>
        <w:t xml:space="preserve"> i Prijatelj okoliša </w:t>
      </w:r>
    </w:p>
    <w:p w14:paraId="46E213A6" w14:textId="77777777" w:rsidR="00AE6341" w:rsidRDefault="00AE6341" w:rsidP="004C775C">
      <w:pPr>
        <w:pStyle w:val="Odlomakpopisa"/>
        <w:numPr>
          <w:ilvl w:val="0"/>
          <w:numId w:val="52"/>
        </w:numPr>
        <w:spacing w:line="256" w:lineRule="auto"/>
        <w:rPr>
          <w:rFonts w:cstheme="minorHAnsi"/>
        </w:rPr>
      </w:pPr>
      <w:r>
        <w:rPr>
          <w:rFonts w:cstheme="minorHAnsi"/>
        </w:rPr>
        <w:t xml:space="preserve">Kampanja usmjerena na potrošače za odabir zelenih proizvoda i usluga koji nose znak EU </w:t>
      </w:r>
      <w:proofErr w:type="spellStart"/>
      <w:r>
        <w:rPr>
          <w:rFonts w:cstheme="minorHAnsi"/>
        </w:rPr>
        <w:t>Ecolabel</w:t>
      </w:r>
      <w:proofErr w:type="spellEnd"/>
      <w:r>
        <w:rPr>
          <w:rFonts w:cstheme="minorHAnsi"/>
        </w:rPr>
        <w:t xml:space="preserve"> ili Prijatelj okoliša</w:t>
      </w:r>
    </w:p>
    <w:p w14:paraId="6A18A710" w14:textId="77777777" w:rsidR="00AE6341" w:rsidRDefault="00AE6341" w:rsidP="004C775C">
      <w:pPr>
        <w:pStyle w:val="Odlomakpopisa"/>
        <w:numPr>
          <w:ilvl w:val="0"/>
          <w:numId w:val="52"/>
        </w:numPr>
        <w:spacing w:line="256" w:lineRule="auto"/>
        <w:rPr>
          <w:rFonts w:cstheme="minorHAnsi"/>
        </w:rPr>
      </w:pPr>
      <w:r>
        <w:rPr>
          <w:rFonts w:cstheme="minorHAnsi"/>
        </w:rPr>
        <w:t xml:space="preserve">Vođenje </w:t>
      </w:r>
      <w:proofErr w:type="spellStart"/>
      <w:r>
        <w:rPr>
          <w:rFonts w:cstheme="minorHAnsi"/>
        </w:rPr>
        <w:t>facebook</w:t>
      </w:r>
      <w:proofErr w:type="spellEnd"/>
      <w:r>
        <w:rPr>
          <w:rFonts w:cstheme="minorHAnsi"/>
        </w:rPr>
        <w:t xml:space="preserve"> stranice EU </w:t>
      </w:r>
      <w:proofErr w:type="spellStart"/>
      <w:r>
        <w:rPr>
          <w:rFonts w:cstheme="minorHAnsi"/>
        </w:rPr>
        <w:t>Ecolabel</w:t>
      </w:r>
      <w:proofErr w:type="spellEnd"/>
      <w:r>
        <w:rPr>
          <w:rFonts w:cstheme="minorHAnsi"/>
        </w:rPr>
        <w:t xml:space="preserve"> Hrvatska</w:t>
      </w:r>
    </w:p>
    <w:p w14:paraId="4ECDEFE5" w14:textId="77777777" w:rsidR="00AE6341" w:rsidRDefault="00AE6341" w:rsidP="004C775C">
      <w:pPr>
        <w:pStyle w:val="Odlomakpopisa"/>
        <w:numPr>
          <w:ilvl w:val="0"/>
          <w:numId w:val="52"/>
        </w:numPr>
        <w:spacing w:line="256" w:lineRule="auto"/>
        <w:rPr>
          <w:rFonts w:cstheme="minorHAnsi"/>
        </w:rPr>
      </w:pPr>
      <w:r>
        <w:rPr>
          <w:rFonts w:cstheme="minorHAnsi"/>
        </w:rPr>
        <w:t>Vođenje nacionalnog Povjerenstva za eko-oznake</w:t>
      </w:r>
    </w:p>
    <w:p w14:paraId="4D791149" w14:textId="77777777" w:rsidR="00AE6341" w:rsidRDefault="00AE6341" w:rsidP="004C775C">
      <w:pPr>
        <w:pStyle w:val="Odlomakpopisa"/>
        <w:numPr>
          <w:ilvl w:val="0"/>
          <w:numId w:val="52"/>
        </w:numPr>
        <w:spacing w:line="256" w:lineRule="auto"/>
        <w:rPr>
          <w:rFonts w:cstheme="minorHAnsi"/>
        </w:rPr>
      </w:pPr>
      <w:r>
        <w:rPr>
          <w:rFonts w:cstheme="minorHAnsi"/>
        </w:rPr>
        <w:t>Razvoj nacionalnog znaka Prijatelj okoliša u skladu s nacionalnim potrebama.</w:t>
      </w:r>
    </w:p>
    <w:p w14:paraId="38990958" w14:textId="77777777" w:rsidR="00AE6341" w:rsidRDefault="00AE6341" w:rsidP="00AE6341">
      <w:pPr>
        <w:rPr>
          <w:rFonts w:cstheme="minorHAnsi"/>
        </w:rPr>
      </w:pPr>
      <w:r>
        <w:rPr>
          <w:rFonts w:cstheme="minorHAnsi"/>
        </w:rPr>
        <w:t xml:space="preserve">Također, u sklopu ove mjere planira se provedba projekata istraživanja i razvoja u području eko-dizajna i pomoć proizvođačima da učinkovitije iskoriste prirodne resurse, osobito kritične sirovine. </w:t>
      </w:r>
    </w:p>
    <w:p w14:paraId="6208370E" w14:textId="77777777" w:rsidR="00AE6341" w:rsidRDefault="00AE6341" w:rsidP="00AE6341">
      <w:pPr>
        <w:shd w:val="clear" w:color="auto" w:fill="002060"/>
        <w:ind w:left="1410" w:hanging="1410"/>
        <w:rPr>
          <w:rFonts w:cstheme="minorHAnsi"/>
          <w:b/>
          <w:bCs/>
        </w:rPr>
      </w:pPr>
      <w:r>
        <w:rPr>
          <w:rFonts w:cstheme="minorHAnsi"/>
          <w:b/>
          <w:bCs/>
        </w:rPr>
        <w:t xml:space="preserve">Mjera 9. </w:t>
      </w:r>
      <w:r>
        <w:rPr>
          <w:rFonts w:cstheme="minorHAnsi"/>
          <w:b/>
          <w:bCs/>
        </w:rPr>
        <w:tab/>
        <w:t>Promicanje provjerenih sustava za gospodarenje okolišem, uključujući sustave EMAS i ISO 14001</w:t>
      </w:r>
    </w:p>
    <w:p w14:paraId="7034F5DD" w14:textId="77777777" w:rsidR="00AE6341" w:rsidRDefault="00AE6341" w:rsidP="00AE6341">
      <w:pPr>
        <w:rPr>
          <w:rFonts w:cstheme="minorHAnsi"/>
        </w:rPr>
      </w:pPr>
      <w:r>
        <w:rPr>
          <w:rFonts w:cstheme="minorHAnsi"/>
        </w:rPr>
        <w:t>Sustavi upravljanja okolišem stvaraju organiziran i učinkovit okvir za sprječavanje nastanka otpada. Provodit će se aktivnosti promicanja važnosti i učinkovitosti ovih sustava, ali i organizirati stručna događanja kako bi se pružila potpora tvrtkama prilikom uvođenja sustava gospodarenja okolišem.</w:t>
      </w:r>
    </w:p>
    <w:p w14:paraId="3AC92110" w14:textId="77777777" w:rsidR="00AE6341" w:rsidRDefault="00AE6341" w:rsidP="00AE6341">
      <w:pPr>
        <w:rPr>
          <w:rFonts w:cstheme="minorHAnsi"/>
        </w:rPr>
      </w:pPr>
      <w:r>
        <w:rPr>
          <w:rFonts w:cstheme="minorHAnsi"/>
        </w:rPr>
        <w:t xml:space="preserve">Primjenom sustava EMAS dokazala se učinkovitost u unapređenju djelotvornosti organizacija s obzirom na okoliš i klimu. Ključni pokazatelji sustava EMAS su usmjereni na šest područja: energetska učinkovitost, racionalno iskorištavanje sirovina, vodu, otpad, bioraznolikost i emisije stakleničkih plinova. Postoji potreba za povećanjem broja organizacija u Hrvatskoj koje su uvele ovaj prestižni europski znak jer sa samo tri organizacije, Hrvatska je na začelju EU-a. Ministarstvo nadležno za EMAS stoga će u suradnji s nacionalnim Povjerenstvom za EMAS izraditi Program za EMAS, koji će sadržavati prijedloge dodatnih poticaja i olakšica za organizacije, smjernice za unapređenje EMAS-a i prijedloge za promidžbu. U planu je također izraditi program sufinanciranja uvođenja EMAS-a u javni i poslovni </w:t>
      </w:r>
      <w:r>
        <w:rPr>
          <w:rFonts w:cstheme="minorHAnsi"/>
        </w:rPr>
        <w:lastRenderedPageBreak/>
        <w:t>sektor uz pomoć fondova EU. Također, planira se provedba informativno-edukacijskih radionica o EMAS-u.</w:t>
      </w:r>
    </w:p>
    <w:p w14:paraId="51062D5E" w14:textId="77777777" w:rsidR="00AE6341" w:rsidRDefault="00AE6341" w:rsidP="00AE6341">
      <w:pPr>
        <w:shd w:val="clear" w:color="auto" w:fill="002060"/>
        <w:spacing w:before="120"/>
        <w:rPr>
          <w:rFonts w:cstheme="minorHAnsi"/>
        </w:rPr>
      </w:pPr>
      <w:bookmarkStart w:id="427" w:name="_Hlk116315733"/>
      <w:r>
        <w:rPr>
          <w:rFonts w:cstheme="minorHAnsi"/>
          <w:b/>
          <w:bCs/>
        </w:rPr>
        <w:t xml:space="preserve">Mjera 10. </w:t>
      </w:r>
      <w:r>
        <w:rPr>
          <w:rFonts w:cstheme="minorHAnsi"/>
          <w:b/>
          <w:bCs/>
        </w:rPr>
        <w:tab/>
        <w:t>Izrada plana sprječavanja nastanka otpada</w:t>
      </w:r>
    </w:p>
    <w:bookmarkEnd w:id="427"/>
    <w:p w14:paraId="75073EB8" w14:textId="77777777" w:rsidR="00AE6341" w:rsidRDefault="00AE6341" w:rsidP="00AE6341">
      <w:pPr>
        <w:spacing w:before="120"/>
        <w:rPr>
          <w:rFonts w:cstheme="minorHAnsi"/>
        </w:rPr>
      </w:pPr>
      <w:r>
        <w:rPr>
          <w:rFonts w:cstheme="minorHAnsi"/>
        </w:rPr>
        <w:t>Mjera obuhvaća izradu planova sprječavanja nastanka otpada za županije u skladu s smjernicama za izradu planova sprječavanja nastanka otpada, a koje će izraditi Ministarstvo. Na ovaj način dodatno će se jačati implementacija zakonodavnog okvira u dijelu primjene reda prvenstva u gospodarenju otpadom.</w:t>
      </w:r>
    </w:p>
    <w:p w14:paraId="31FE154D" w14:textId="77777777" w:rsidR="00AE6341" w:rsidRDefault="00AE6341" w:rsidP="00AE6341">
      <w:pPr>
        <w:spacing w:before="120"/>
        <w:rPr>
          <w:rFonts w:cstheme="minorHAnsi"/>
        </w:rPr>
      </w:pPr>
    </w:p>
    <w:p w14:paraId="7B83F992" w14:textId="77777777" w:rsidR="00AE6341" w:rsidRDefault="00AE6341" w:rsidP="00AE6341">
      <w:pPr>
        <w:shd w:val="clear" w:color="auto" w:fill="002060"/>
        <w:spacing w:before="120"/>
        <w:rPr>
          <w:rFonts w:cstheme="minorHAnsi"/>
          <w:b/>
          <w:bCs/>
        </w:rPr>
      </w:pPr>
      <w:r>
        <w:rPr>
          <w:rFonts w:cstheme="minorHAnsi"/>
          <w:b/>
          <w:bCs/>
        </w:rPr>
        <w:t>Mjera 11.</w:t>
      </w:r>
      <w:r>
        <w:rPr>
          <w:rFonts w:cstheme="minorHAnsi"/>
          <w:b/>
          <w:bCs/>
        </w:rPr>
        <w:tab/>
        <w:t xml:space="preserve">Poticanje razmjene i ponovne uporabe isluženih proizvoda </w:t>
      </w:r>
    </w:p>
    <w:p w14:paraId="110A44A3" w14:textId="77777777" w:rsidR="00AE6341" w:rsidRDefault="00AE6341" w:rsidP="00AE6341">
      <w:pPr>
        <w:rPr>
          <w:rFonts w:cstheme="minorHAnsi"/>
        </w:rPr>
      </w:pPr>
      <w:r>
        <w:rPr>
          <w:rFonts w:cstheme="minorHAnsi"/>
        </w:rPr>
        <w:t xml:space="preserve">Nacionalni zakonodavni okvir je prilagođen za uspostavu centara za ponovnu uporabu, što omogućava uspostavu centara za ponovnu uporabu i popravke koji služe za prikupljanje, razvrstavanje i/ili popravak rabljenih proizvoda, te povezivanje s dobrotvornim ustanovama koje bi te proizvode mogle ponovno upotrijebiti. Provedbom ove mjere planira se uspostava novih centara za ponovnu uporabu i popravke, odnosno građevinske zahvate na postojećim građevinama radi prilagodbe njihovoj novoj namjeni te nabavu opreme za centre. Planira se i aktivno promicanje ponovne uporabe i popravka izradom i distribucijom promidžbenih materijala, organizacije radionica i dr. Također, unaprjeđenje i jačanje kapaciteta sustava za ponovnu uporabu planira se uvođenjem ekonomskog instrumenta koji će poticati investiciju u razvoj centara za ponovnu uporabu u sklopu </w:t>
      </w:r>
      <w:proofErr w:type="spellStart"/>
      <w:r>
        <w:rPr>
          <w:rFonts w:cstheme="minorHAnsi"/>
        </w:rPr>
        <w:t>reciklažnih</w:t>
      </w:r>
      <w:proofErr w:type="spellEnd"/>
      <w:r>
        <w:rPr>
          <w:rFonts w:cstheme="minorHAnsi"/>
        </w:rPr>
        <w:t xml:space="preserve"> dvorišta.</w:t>
      </w:r>
    </w:p>
    <w:p w14:paraId="51F7D896" w14:textId="77777777" w:rsidR="00AE6341" w:rsidRDefault="00AE6341" w:rsidP="00AE6341">
      <w:pPr>
        <w:rPr>
          <w:rFonts w:cstheme="minorHAnsi"/>
        </w:rPr>
      </w:pPr>
      <w:r>
        <w:rPr>
          <w:rFonts w:cstheme="minorHAnsi"/>
        </w:rPr>
        <w:t>Provedba ove mjere u direktnoj vezi s provedbom Mjere 8. i primjenom eko-modulacije u određivanju naknada koje proizvođači proizvoda koji su obuhvaćeni sustavima proširene odgovornosti proizvođača plaćaju, a uzimajući u obzir trajnost, popravljivost, ponovnu uporabljivost, mogućnost recikliranja ili prisutnost i količinu opasnih tvari u proizvodima te životni ciklus proizvoda.</w:t>
      </w:r>
    </w:p>
    <w:p w14:paraId="2C3CD540" w14:textId="77777777" w:rsidR="00AE6341" w:rsidRDefault="00AE6341" w:rsidP="00AE6341">
      <w:pPr>
        <w:rPr>
          <w:rFonts w:cstheme="minorHAnsi"/>
        </w:rPr>
      </w:pPr>
      <w:r>
        <w:rPr>
          <w:rFonts w:cstheme="minorHAnsi"/>
        </w:rPr>
        <w:t>Također se planira pojačana suradnja sa svim gospodarskim subjektima u lancu proizvodnje i prodaje proizvoda, a kako bi se unaprijedili postojeći sustavi proširene odgovornosti proizvođača te dodatno ojačala predaja rabljenih proizvoda u postojeće sustave, s ciljem ponovne uporabe, odnosno učinkovite oporabe i/ili recikliranja istih.</w:t>
      </w:r>
    </w:p>
    <w:tbl>
      <w:tblPr>
        <w:tblStyle w:val="Reetkatablice"/>
        <w:tblW w:w="0" w:type="auto"/>
        <w:tblLook w:val="04A0" w:firstRow="1" w:lastRow="0" w:firstColumn="1" w:lastColumn="0" w:noHBand="0" w:noVBand="1"/>
      </w:tblPr>
      <w:tblGrid>
        <w:gridCol w:w="9016"/>
      </w:tblGrid>
      <w:tr w:rsidR="00AE6341" w14:paraId="5391F59A" w14:textId="77777777" w:rsidTr="00AE6341">
        <w:tc>
          <w:tcPr>
            <w:tcW w:w="9016" w:type="dxa"/>
            <w:tcBorders>
              <w:top w:val="single" w:sz="4" w:space="0" w:color="auto"/>
              <w:left w:val="single" w:sz="4" w:space="0" w:color="auto"/>
              <w:bottom w:val="single" w:sz="4" w:space="0" w:color="auto"/>
              <w:right w:val="single" w:sz="4" w:space="0" w:color="auto"/>
            </w:tcBorders>
            <w:hideMark/>
          </w:tcPr>
          <w:p w14:paraId="34CDBB29" w14:textId="77777777" w:rsidR="00AE6341" w:rsidRDefault="00AE6341">
            <w:pPr>
              <w:rPr>
                <w:rFonts w:cstheme="minorHAnsi"/>
                <w:i/>
                <w:iCs/>
              </w:rPr>
            </w:pPr>
            <w:r>
              <w:rPr>
                <w:rFonts w:cstheme="minorHAnsi"/>
                <w:i/>
                <w:iCs/>
              </w:rPr>
              <w:t>Odbor za kružno gospodarstvo dodatno će osiguravati provedbu mjera sprječavanja nastanka otpada definiranih ovim Planom, ali i kroz suradnju svih sektora (javnog, proizvodnog, znanstveno-istraživačkog i civilnog), raditi na daljnjem jačanju sprječavanja nastanka otpada kreirajući nova rješenja i promicanja stalnog dijaloga i suradnje među svim dionicima relevantnim za sprječavanje nastanka otpada i gospodarenje otpadom.</w:t>
            </w:r>
          </w:p>
        </w:tc>
      </w:tr>
    </w:tbl>
    <w:p w14:paraId="44FFB683" w14:textId="77777777" w:rsidR="00BF051A" w:rsidRDefault="00BF051A" w:rsidP="00AE6341">
      <w:pPr>
        <w:spacing w:after="0"/>
        <w:jc w:val="left"/>
        <w:rPr>
          <w:rFonts w:cstheme="minorHAnsi"/>
          <w:color w:val="FF0000"/>
        </w:rPr>
        <w:sectPr w:rsidR="00BF051A" w:rsidSect="00BF051A">
          <w:pgSz w:w="11907" w:h="16840" w:code="9"/>
          <w:pgMar w:top="1440" w:right="1440" w:bottom="1440" w:left="1440" w:header="708" w:footer="708" w:gutter="0"/>
          <w:cols w:space="720"/>
        </w:sectPr>
      </w:pPr>
    </w:p>
    <w:p w14:paraId="76117000" w14:textId="54F4FD0F" w:rsidR="00AE6341" w:rsidRDefault="00AE6341" w:rsidP="00AE6341">
      <w:pPr>
        <w:pStyle w:val="Tablica"/>
      </w:pPr>
      <w:bookmarkStart w:id="428" w:name="_Toc125364465"/>
      <w:r>
        <w:lastRenderedPageBreak/>
        <w:t xml:space="preserve">Tablica </w:t>
      </w:r>
      <w:fldSimple w:instr=" SEQ Tablica \* ARABIC ">
        <w:r w:rsidR="00F37B62">
          <w:rPr>
            <w:noProof/>
          </w:rPr>
          <w:t>76</w:t>
        </w:r>
      </w:fldSimple>
      <w:r>
        <w:t xml:space="preserve">. </w:t>
      </w:r>
      <w:r>
        <w:rPr>
          <w:b w:val="0"/>
          <w:bCs/>
        </w:rPr>
        <w:t>Pregled mjera i aktivnosti za provedbu Programa sprječavanja nastanka otpada za razdoblje 2023.-2028. godine</w:t>
      </w:r>
      <w:bookmarkEnd w:id="428"/>
    </w:p>
    <w:tbl>
      <w:tblPr>
        <w:tblStyle w:val="Reetkatablice"/>
        <w:tblW w:w="20685" w:type="dxa"/>
        <w:tblInd w:w="-20" w:type="dxa"/>
        <w:tblLayout w:type="fixed"/>
        <w:tblLook w:val="04A0" w:firstRow="1" w:lastRow="0" w:firstColumn="1" w:lastColumn="0" w:noHBand="0" w:noVBand="1"/>
      </w:tblPr>
      <w:tblGrid>
        <w:gridCol w:w="690"/>
        <w:gridCol w:w="5808"/>
        <w:gridCol w:w="850"/>
        <w:gridCol w:w="1559"/>
        <w:gridCol w:w="6"/>
        <w:gridCol w:w="1423"/>
        <w:gridCol w:w="4962"/>
        <w:gridCol w:w="986"/>
        <w:gridCol w:w="1004"/>
        <w:gridCol w:w="557"/>
        <w:gridCol w:w="7"/>
        <w:gridCol w:w="565"/>
        <w:gridCol w:w="567"/>
        <w:gridCol w:w="560"/>
        <w:gridCol w:w="7"/>
        <w:gridCol w:w="553"/>
        <w:gridCol w:w="14"/>
        <w:gridCol w:w="567"/>
      </w:tblGrid>
      <w:tr w:rsidR="00AE6341" w14:paraId="7F282A4B" w14:textId="77777777" w:rsidTr="00AE6341">
        <w:trPr>
          <w:tblHeader/>
        </w:trPr>
        <w:tc>
          <w:tcPr>
            <w:tcW w:w="6495" w:type="dxa"/>
            <w:gridSpan w:val="2"/>
            <w:vMerge w:val="restart"/>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1602A591" w14:textId="77777777" w:rsidR="00AE6341" w:rsidRDefault="00AE6341">
            <w:pPr>
              <w:jc w:val="center"/>
              <w:rPr>
                <w:rFonts w:cstheme="minorHAnsi"/>
                <w:b/>
                <w:bCs/>
                <w:sz w:val="16"/>
                <w:szCs w:val="16"/>
              </w:rPr>
            </w:pPr>
            <w:r>
              <w:rPr>
                <w:rFonts w:cstheme="minorHAnsi"/>
                <w:b/>
                <w:bCs/>
                <w:sz w:val="16"/>
                <w:szCs w:val="16"/>
              </w:rPr>
              <w:t>Aktivnost (A)</w:t>
            </w:r>
          </w:p>
        </w:tc>
        <w:tc>
          <w:tcPr>
            <w:tcW w:w="850" w:type="dxa"/>
            <w:vMerge w:val="restart"/>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7E965F00" w14:textId="77777777" w:rsidR="00AE6341" w:rsidRDefault="00AE6341">
            <w:pPr>
              <w:jc w:val="center"/>
              <w:rPr>
                <w:rFonts w:cstheme="minorHAnsi"/>
                <w:b/>
                <w:bCs/>
                <w:sz w:val="16"/>
                <w:szCs w:val="16"/>
              </w:rPr>
            </w:pPr>
            <w:r>
              <w:rPr>
                <w:rFonts w:cstheme="minorHAnsi"/>
                <w:b/>
                <w:bCs/>
                <w:sz w:val="16"/>
                <w:szCs w:val="16"/>
              </w:rPr>
              <w:t>Nositelj</w:t>
            </w:r>
          </w:p>
        </w:tc>
        <w:tc>
          <w:tcPr>
            <w:tcW w:w="1559" w:type="dxa"/>
            <w:vMerge w:val="restart"/>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69C76D19" w14:textId="77777777" w:rsidR="00AE6341" w:rsidRDefault="00AE6341">
            <w:pPr>
              <w:jc w:val="center"/>
              <w:rPr>
                <w:rFonts w:cstheme="minorHAnsi"/>
                <w:b/>
                <w:bCs/>
                <w:sz w:val="16"/>
                <w:szCs w:val="16"/>
              </w:rPr>
            </w:pPr>
            <w:proofErr w:type="spellStart"/>
            <w:r>
              <w:rPr>
                <w:rFonts w:cstheme="minorHAnsi"/>
                <w:b/>
                <w:bCs/>
                <w:sz w:val="16"/>
                <w:szCs w:val="16"/>
              </w:rPr>
              <w:t>Sunositelji</w:t>
            </w:r>
            <w:proofErr w:type="spellEnd"/>
          </w:p>
        </w:tc>
        <w:tc>
          <w:tcPr>
            <w:tcW w:w="1429" w:type="dxa"/>
            <w:gridSpan w:val="2"/>
            <w:vMerge w:val="restart"/>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22B139B7" w14:textId="77777777" w:rsidR="00AE6341" w:rsidRDefault="00AE6341">
            <w:pPr>
              <w:jc w:val="center"/>
              <w:rPr>
                <w:rFonts w:cstheme="minorHAnsi"/>
                <w:b/>
                <w:bCs/>
                <w:sz w:val="16"/>
                <w:szCs w:val="16"/>
              </w:rPr>
            </w:pPr>
            <w:r>
              <w:rPr>
                <w:rFonts w:cstheme="minorHAnsi"/>
                <w:b/>
                <w:bCs/>
                <w:sz w:val="16"/>
                <w:szCs w:val="16"/>
              </w:rPr>
              <w:t>Mogući izvor financiranja</w:t>
            </w:r>
          </w:p>
        </w:tc>
        <w:tc>
          <w:tcPr>
            <w:tcW w:w="6951" w:type="dxa"/>
            <w:gridSpan w:val="3"/>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03FFEEF6" w14:textId="77777777" w:rsidR="00AE6341" w:rsidRDefault="00AE6341">
            <w:pPr>
              <w:jc w:val="center"/>
              <w:rPr>
                <w:rFonts w:cstheme="minorHAnsi"/>
                <w:b/>
                <w:bCs/>
                <w:sz w:val="16"/>
                <w:szCs w:val="16"/>
              </w:rPr>
            </w:pPr>
            <w:r>
              <w:rPr>
                <w:rFonts w:cstheme="minorHAnsi"/>
                <w:b/>
                <w:bCs/>
                <w:sz w:val="16"/>
                <w:szCs w:val="16"/>
              </w:rPr>
              <w:t>Pokazatelj ostvarenja</w:t>
            </w:r>
          </w:p>
        </w:tc>
        <w:tc>
          <w:tcPr>
            <w:tcW w:w="3397" w:type="dxa"/>
            <w:gridSpan w:val="9"/>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0C7EFFCE" w14:textId="77777777" w:rsidR="00AE6341" w:rsidRDefault="00AE6341">
            <w:pPr>
              <w:jc w:val="center"/>
              <w:rPr>
                <w:rFonts w:cstheme="minorHAnsi"/>
                <w:b/>
                <w:bCs/>
                <w:sz w:val="16"/>
                <w:szCs w:val="16"/>
              </w:rPr>
            </w:pPr>
            <w:r>
              <w:rPr>
                <w:rFonts w:cstheme="minorHAnsi"/>
                <w:b/>
                <w:bCs/>
                <w:sz w:val="16"/>
                <w:szCs w:val="16"/>
              </w:rPr>
              <w:t>Vremenska dinamika ostvarenja mjere/aktivnosti (K-kvartal)</w:t>
            </w:r>
          </w:p>
        </w:tc>
      </w:tr>
      <w:tr w:rsidR="00AE6341" w14:paraId="072931BF" w14:textId="77777777" w:rsidTr="00AE6341">
        <w:trPr>
          <w:tblHeader/>
        </w:trPr>
        <w:tc>
          <w:tcPr>
            <w:tcW w:w="600" w:type="dxa"/>
            <w:gridSpan w:val="2"/>
            <w:vMerge/>
            <w:tcBorders>
              <w:top w:val="single" w:sz="12" w:space="0" w:color="ED7D31" w:themeColor="accent2"/>
              <w:left w:val="single" w:sz="12" w:space="0" w:color="ED7D31" w:themeColor="accent2"/>
              <w:bottom w:val="single" w:sz="12" w:space="0" w:color="ED7D31" w:themeColor="accent2"/>
              <w:right w:val="single" w:sz="12" w:space="0" w:color="ED7D31" w:themeColor="accent2"/>
            </w:tcBorders>
            <w:vAlign w:val="center"/>
            <w:hideMark/>
          </w:tcPr>
          <w:p w14:paraId="42EB82BF" w14:textId="77777777" w:rsidR="00AE6341" w:rsidRDefault="00AE6341">
            <w:pPr>
              <w:jc w:val="left"/>
              <w:rPr>
                <w:rFonts w:cstheme="minorHAnsi"/>
                <w:b/>
                <w:bCs/>
                <w:sz w:val="16"/>
                <w:szCs w:val="16"/>
              </w:rPr>
            </w:pPr>
          </w:p>
        </w:tc>
        <w:tc>
          <w:tcPr>
            <w:tcW w:w="300" w:type="dxa"/>
            <w:vMerge/>
            <w:tcBorders>
              <w:top w:val="single" w:sz="12" w:space="0" w:color="ED7D31" w:themeColor="accent2"/>
              <w:left w:val="single" w:sz="12" w:space="0" w:color="ED7D31" w:themeColor="accent2"/>
              <w:bottom w:val="single" w:sz="12" w:space="0" w:color="ED7D31" w:themeColor="accent2"/>
              <w:right w:val="single" w:sz="12" w:space="0" w:color="ED7D31" w:themeColor="accent2"/>
            </w:tcBorders>
            <w:vAlign w:val="center"/>
            <w:hideMark/>
          </w:tcPr>
          <w:p w14:paraId="6003AAD5" w14:textId="77777777" w:rsidR="00AE6341" w:rsidRDefault="00AE6341">
            <w:pPr>
              <w:jc w:val="left"/>
              <w:rPr>
                <w:rFonts w:cstheme="minorHAnsi"/>
                <w:b/>
                <w:bCs/>
                <w:sz w:val="16"/>
                <w:szCs w:val="16"/>
              </w:rPr>
            </w:pPr>
          </w:p>
        </w:tc>
        <w:tc>
          <w:tcPr>
            <w:tcW w:w="10239" w:type="dxa"/>
            <w:vMerge/>
            <w:tcBorders>
              <w:top w:val="single" w:sz="12" w:space="0" w:color="ED7D31" w:themeColor="accent2"/>
              <w:left w:val="single" w:sz="12" w:space="0" w:color="ED7D31" w:themeColor="accent2"/>
              <w:bottom w:val="single" w:sz="12" w:space="0" w:color="ED7D31" w:themeColor="accent2"/>
              <w:right w:val="single" w:sz="12" w:space="0" w:color="ED7D31" w:themeColor="accent2"/>
            </w:tcBorders>
            <w:vAlign w:val="center"/>
            <w:hideMark/>
          </w:tcPr>
          <w:p w14:paraId="07BD983B" w14:textId="77777777" w:rsidR="00AE6341" w:rsidRDefault="00AE6341">
            <w:pPr>
              <w:jc w:val="left"/>
              <w:rPr>
                <w:rFonts w:cstheme="minorHAnsi"/>
                <w:b/>
                <w:bCs/>
                <w:sz w:val="16"/>
                <w:szCs w:val="16"/>
              </w:rPr>
            </w:pPr>
          </w:p>
        </w:tc>
        <w:tc>
          <w:tcPr>
            <w:tcW w:w="2852" w:type="dxa"/>
            <w:gridSpan w:val="2"/>
            <w:vMerge/>
            <w:tcBorders>
              <w:top w:val="single" w:sz="12" w:space="0" w:color="ED7D31" w:themeColor="accent2"/>
              <w:left w:val="single" w:sz="12" w:space="0" w:color="ED7D31" w:themeColor="accent2"/>
              <w:bottom w:val="single" w:sz="12" w:space="0" w:color="ED7D31" w:themeColor="accent2"/>
              <w:right w:val="single" w:sz="12" w:space="0" w:color="ED7D31" w:themeColor="accent2"/>
            </w:tcBorders>
            <w:vAlign w:val="center"/>
            <w:hideMark/>
          </w:tcPr>
          <w:p w14:paraId="0F85C3A9" w14:textId="77777777" w:rsidR="00AE6341" w:rsidRDefault="00AE6341">
            <w:pPr>
              <w:jc w:val="left"/>
              <w:rPr>
                <w:rFonts w:cstheme="minorHAnsi"/>
                <w:b/>
                <w:bCs/>
                <w:sz w:val="16"/>
                <w:szCs w:val="16"/>
              </w:rPr>
            </w:pPr>
          </w:p>
        </w:tc>
        <w:tc>
          <w:tcPr>
            <w:tcW w:w="4961"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19AFF507" w14:textId="77777777" w:rsidR="00AE6341" w:rsidRDefault="00AE6341">
            <w:pPr>
              <w:jc w:val="center"/>
              <w:rPr>
                <w:rFonts w:cstheme="minorHAnsi"/>
                <w:b/>
                <w:bCs/>
                <w:sz w:val="16"/>
                <w:szCs w:val="16"/>
              </w:rPr>
            </w:pPr>
            <w:r>
              <w:rPr>
                <w:rFonts w:cstheme="minorHAnsi"/>
                <w:b/>
                <w:bCs/>
                <w:sz w:val="16"/>
                <w:szCs w:val="16"/>
              </w:rPr>
              <w:t>Naziv</w:t>
            </w:r>
          </w:p>
        </w:tc>
        <w:tc>
          <w:tcPr>
            <w:tcW w:w="986"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0E57BDBA" w14:textId="77777777" w:rsidR="00AE6341" w:rsidRDefault="00AE6341">
            <w:pPr>
              <w:jc w:val="center"/>
              <w:rPr>
                <w:rFonts w:cstheme="minorHAnsi"/>
                <w:b/>
                <w:bCs/>
                <w:sz w:val="16"/>
                <w:szCs w:val="16"/>
              </w:rPr>
            </w:pPr>
            <w:r>
              <w:rPr>
                <w:rFonts w:cstheme="minorHAnsi"/>
                <w:b/>
                <w:bCs/>
                <w:sz w:val="16"/>
                <w:szCs w:val="16"/>
              </w:rPr>
              <w:t>Mjerna jedinica</w:t>
            </w:r>
          </w:p>
        </w:tc>
        <w:tc>
          <w:tcPr>
            <w:tcW w:w="100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5716342D" w14:textId="77777777" w:rsidR="00AE6341" w:rsidRDefault="00AE6341">
            <w:pPr>
              <w:jc w:val="center"/>
              <w:rPr>
                <w:rFonts w:cstheme="minorHAnsi"/>
                <w:b/>
                <w:bCs/>
                <w:sz w:val="16"/>
                <w:szCs w:val="16"/>
              </w:rPr>
            </w:pPr>
            <w:r>
              <w:rPr>
                <w:rFonts w:cstheme="minorHAnsi"/>
                <w:b/>
                <w:bCs/>
                <w:sz w:val="16"/>
                <w:szCs w:val="16"/>
              </w:rPr>
              <w:t>Ciljana vrijednost</w:t>
            </w:r>
          </w:p>
        </w:tc>
        <w:tc>
          <w:tcPr>
            <w:tcW w:w="557"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09DC979D" w14:textId="77777777" w:rsidR="00AE6341" w:rsidRDefault="00AE6341">
            <w:pPr>
              <w:jc w:val="center"/>
              <w:rPr>
                <w:rFonts w:cstheme="minorHAnsi"/>
                <w:b/>
                <w:bCs/>
                <w:sz w:val="14"/>
                <w:szCs w:val="14"/>
              </w:rPr>
            </w:pPr>
            <w:r>
              <w:rPr>
                <w:rFonts w:cstheme="minorHAnsi"/>
                <w:b/>
                <w:bCs/>
                <w:sz w:val="14"/>
                <w:szCs w:val="14"/>
              </w:rPr>
              <w:t>2023.</w:t>
            </w:r>
          </w:p>
        </w:tc>
        <w:tc>
          <w:tcPr>
            <w:tcW w:w="572"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6EB11FC6" w14:textId="77777777" w:rsidR="00AE6341" w:rsidRDefault="00AE6341">
            <w:pPr>
              <w:jc w:val="center"/>
              <w:rPr>
                <w:rFonts w:cstheme="minorHAnsi"/>
                <w:b/>
                <w:bCs/>
                <w:sz w:val="14"/>
                <w:szCs w:val="14"/>
              </w:rPr>
            </w:pPr>
            <w:r>
              <w:rPr>
                <w:rFonts w:cstheme="minorHAnsi"/>
                <w:b/>
                <w:bCs/>
                <w:sz w:val="14"/>
                <w:szCs w:val="14"/>
              </w:rPr>
              <w:t>2024.</w:t>
            </w:r>
          </w:p>
        </w:tc>
        <w:tc>
          <w:tcPr>
            <w:tcW w:w="567"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1C1CE28C" w14:textId="77777777" w:rsidR="00AE6341" w:rsidRDefault="00AE6341">
            <w:pPr>
              <w:jc w:val="center"/>
              <w:rPr>
                <w:rFonts w:cstheme="minorHAnsi"/>
                <w:b/>
                <w:bCs/>
                <w:sz w:val="14"/>
                <w:szCs w:val="14"/>
              </w:rPr>
            </w:pPr>
            <w:r>
              <w:rPr>
                <w:rFonts w:cstheme="minorHAnsi"/>
                <w:b/>
                <w:bCs/>
                <w:sz w:val="14"/>
                <w:szCs w:val="14"/>
              </w:rPr>
              <w:t>2025.</w:t>
            </w:r>
          </w:p>
        </w:tc>
        <w:tc>
          <w:tcPr>
            <w:tcW w:w="567"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1B2BD2D4" w14:textId="77777777" w:rsidR="00AE6341" w:rsidRDefault="00AE6341">
            <w:pPr>
              <w:jc w:val="center"/>
              <w:rPr>
                <w:rFonts w:cstheme="minorHAnsi"/>
                <w:b/>
                <w:bCs/>
                <w:sz w:val="14"/>
                <w:szCs w:val="14"/>
              </w:rPr>
            </w:pPr>
            <w:r>
              <w:rPr>
                <w:rFonts w:cstheme="minorHAnsi"/>
                <w:b/>
                <w:bCs/>
                <w:sz w:val="14"/>
                <w:szCs w:val="14"/>
              </w:rPr>
              <w:t>2026.</w:t>
            </w:r>
          </w:p>
        </w:tc>
        <w:tc>
          <w:tcPr>
            <w:tcW w:w="567"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7B43CACE" w14:textId="77777777" w:rsidR="00AE6341" w:rsidRDefault="00AE6341">
            <w:pPr>
              <w:jc w:val="center"/>
              <w:rPr>
                <w:rFonts w:cstheme="minorHAnsi"/>
                <w:b/>
                <w:bCs/>
                <w:sz w:val="14"/>
                <w:szCs w:val="14"/>
              </w:rPr>
            </w:pPr>
            <w:r>
              <w:rPr>
                <w:rFonts w:cstheme="minorHAnsi"/>
                <w:b/>
                <w:bCs/>
                <w:sz w:val="14"/>
                <w:szCs w:val="14"/>
              </w:rPr>
              <w:t>2027.</w:t>
            </w:r>
          </w:p>
        </w:tc>
        <w:tc>
          <w:tcPr>
            <w:tcW w:w="567"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72C83F16" w14:textId="77777777" w:rsidR="00AE6341" w:rsidRDefault="00AE6341">
            <w:pPr>
              <w:jc w:val="center"/>
              <w:rPr>
                <w:rFonts w:cstheme="minorHAnsi"/>
                <w:b/>
                <w:bCs/>
                <w:sz w:val="14"/>
                <w:szCs w:val="14"/>
              </w:rPr>
            </w:pPr>
            <w:r>
              <w:rPr>
                <w:rFonts w:cstheme="minorHAnsi"/>
                <w:b/>
                <w:bCs/>
                <w:sz w:val="14"/>
                <w:szCs w:val="14"/>
              </w:rPr>
              <w:t>2028.</w:t>
            </w:r>
          </w:p>
        </w:tc>
      </w:tr>
      <w:tr w:rsidR="00AE6341" w14:paraId="32AD7549" w14:textId="77777777" w:rsidTr="00AE6341">
        <w:tc>
          <w:tcPr>
            <w:tcW w:w="20681" w:type="dxa"/>
            <w:gridSpan w:val="18"/>
            <w:tcBorders>
              <w:top w:val="single" w:sz="12" w:space="0" w:color="ED7D31" w:themeColor="accent2"/>
              <w:left w:val="single" w:sz="4" w:space="0" w:color="auto"/>
              <w:bottom w:val="single" w:sz="4" w:space="0" w:color="auto"/>
              <w:right w:val="single" w:sz="4" w:space="0" w:color="auto"/>
            </w:tcBorders>
            <w:shd w:val="clear" w:color="auto" w:fill="2E74B5" w:themeFill="accent5" w:themeFillShade="BF"/>
            <w:vAlign w:val="center"/>
            <w:hideMark/>
          </w:tcPr>
          <w:p w14:paraId="52661E83" w14:textId="77777777" w:rsidR="00AE6341" w:rsidRDefault="00AE6341">
            <w:pPr>
              <w:jc w:val="center"/>
              <w:rPr>
                <w:rFonts w:cstheme="minorHAnsi"/>
                <w:b/>
                <w:bCs/>
                <w:color w:val="FFFFFF" w:themeColor="background1"/>
                <w:sz w:val="16"/>
                <w:szCs w:val="16"/>
              </w:rPr>
            </w:pPr>
            <w:r>
              <w:rPr>
                <w:rFonts w:cstheme="minorHAnsi"/>
                <w:b/>
                <w:bCs/>
                <w:color w:val="FFFFFF" w:themeColor="background1"/>
                <w:sz w:val="16"/>
                <w:szCs w:val="16"/>
              </w:rPr>
              <w:t>Specifični cilj: Sprječavanje nastanka građevnog otpada</w:t>
            </w:r>
          </w:p>
        </w:tc>
      </w:tr>
      <w:tr w:rsidR="00AE6341" w14:paraId="1ED9DF45"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4379485D" w14:textId="77777777" w:rsidR="00AE6341" w:rsidRDefault="00AE6341">
            <w:pPr>
              <w:jc w:val="center"/>
              <w:rPr>
                <w:rFonts w:cstheme="minorHAnsi"/>
                <w:b/>
                <w:bCs/>
                <w:sz w:val="16"/>
                <w:szCs w:val="16"/>
              </w:rPr>
            </w:pPr>
            <w:r>
              <w:rPr>
                <w:rFonts w:cstheme="minorHAnsi"/>
                <w:b/>
                <w:bCs/>
                <w:sz w:val="16"/>
                <w:szCs w:val="16"/>
              </w:rPr>
              <w:t>Mjera 1 Jačanje okvira politika za prijelaz na kružno gospodarstvo u građevinskom sektoru</w:t>
            </w:r>
          </w:p>
        </w:tc>
      </w:tr>
      <w:tr w:rsidR="00AE6341" w14:paraId="4E19AE9C"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57187C" w14:textId="77777777" w:rsidR="00AE6341" w:rsidRDefault="00AE6341">
            <w:pPr>
              <w:rPr>
                <w:rFonts w:cstheme="minorHAnsi"/>
                <w:b/>
                <w:bCs/>
                <w:sz w:val="16"/>
                <w:szCs w:val="16"/>
              </w:rPr>
            </w:pPr>
            <w:bookmarkStart w:id="429" w:name="_Hlk121087262"/>
            <w:r>
              <w:rPr>
                <w:rFonts w:cstheme="minorHAnsi"/>
                <w:b/>
                <w:bCs/>
                <w:sz w:val="16"/>
                <w:szCs w:val="16"/>
              </w:rPr>
              <w:t>A 1.1.</w:t>
            </w:r>
          </w:p>
        </w:tc>
        <w:tc>
          <w:tcPr>
            <w:tcW w:w="5806" w:type="dxa"/>
            <w:tcBorders>
              <w:top w:val="single" w:sz="4" w:space="0" w:color="auto"/>
              <w:left w:val="single" w:sz="4" w:space="0" w:color="auto"/>
              <w:bottom w:val="single" w:sz="4" w:space="0" w:color="auto"/>
              <w:right w:val="single" w:sz="4" w:space="0" w:color="auto"/>
            </w:tcBorders>
            <w:vAlign w:val="center"/>
            <w:hideMark/>
          </w:tcPr>
          <w:p w14:paraId="53530C49" w14:textId="77777777" w:rsidR="00AE6341" w:rsidRDefault="00AE6341">
            <w:pPr>
              <w:rPr>
                <w:rFonts w:cstheme="minorHAnsi"/>
                <w:sz w:val="16"/>
                <w:szCs w:val="16"/>
              </w:rPr>
            </w:pPr>
            <w:r>
              <w:rPr>
                <w:rFonts w:cstheme="minorHAnsi"/>
                <w:sz w:val="16"/>
                <w:szCs w:val="16"/>
              </w:rPr>
              <w:t>Izrada studije o preduvjetima i posljedicama uvođenja obveze korištenja određenog udjela recikliranog materijala pri gradnji javnih građevina i infrastrukture</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0B320C"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8BD4EC" w14:textId="77777777" w:rsidR="00AE6341" w:rsidRDefault="00AE6341">
            <w:pPr>
              <w:rPr>
                <w:rFonts w:cstheme="minorHAnsi"/>
                <w:sz w:val="16"/>
                <w:szCs w:val="16"/>
              </w:rPr>
            </w:pPr>
            <w:r>
              <w:rPr>
                <w:sz w:val="16"/>
                <w:szCs w:val="16"/>
              </w:rPr>
              <w:t>MINGOR</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0B741E0E" w14:textId="77777777" w:rsidR="00AE6341" w:rsidRDefault="00AE6341">
            <w:pPr>
              <w:rPr>
                <w:rFonts w:cstheme="minorHAnsi"/>
                <w:sz w:val="16"/>
                <w:szCs w:val="16"/>
              </w:rPr>
            </w:pPr>
            <w:r>
              <w:rPr>
                <w:sz w:val="16"/>
                <w:szCs w:val="16"/>
              </w:rPr>
              <w:t>PU/HGK</w:t>
            </w:r>
          </w:p>
        </w:tc>
        <w:tc>
          <w:tcPr>
            <w:tcW w:w="4961" w:type="dxa"/>
            <w:tcBorders>
              <w:top w:val="single" w:sz="4" w:space="0" w:color="auto"/>
              <w:left w:val="single" w:sz="4" w:space="0" w:color="auto"/>
              <w:bottom w:val="single" w:sz="4" w:space="0" w:color="auto"/>
              <w:right w:val="single" w:sz="4" w:space="0" w:color="auto"/>
            </w:tcBorders>
            <w:vAlign w:val="center"/>
          </w:tcPr>
          <w:p w14:paraId="00B1BB08" w14:textId="77777777" w:rsidR="00AE6341" w:rsidRDefault="00AE6341">
            <w:pPr>
              <w:rPr>
                <w:rFonts w:cstheme="minorHAnsi"/>
                <w:sz w:val="16"/>
                <w:szCs w:val="16"/>
              </w:rPr>
            </w:pPr>
            <w:r>
              <w:rPr>
                <w:rFonts w:cstheme="minorHAnsi"/>
                <w:sz w:val="16"/>
                <w:szCs w:val="16"/>
              </w:rPr>
              <w:t>Izrađena studije o preduvjetima i posljedicama uvođenja obveze korištenja određenog udjela recikliranog materijala pri gradnji javnih građevina i infrastrukture</w:t>
            </w:r>
          </w:p>
          <w:p w14:paraId="3D60E15F" w14:textId="77777777" w:rsidR="00AE6341" w:rsidRDefault="00AE6341">
            <w:pPr>
              <w:rPr>
                <w:rFonts w:cstheme="minorHAnsi"/>
                <w:sz w:val="16"/>
                <w:szCs w:val="16"/>
              </w:rPr>
            </w:pPr>
          </w:p>
        </w:tc>
        <w:tc>
          <w:tcPr>
            <w:tcW w:w="986" w:type="dxa"/>
            <w:tcBorders>
              <w:top w:val="single" w:sz="4" w:space="0" w:color="auto"/>
              <w:left w:val="single" w:sz="4" w:space="0" w:color="auto"/>
              <w:bottom w:val="single" w:sz="4" w:space="0" w:color="auto"/>
              <w:right w:val="single" w:sz="4" w:space="0" w:color="auto"/>
            </w:tcBorders>
            <w:vAlign w:val="center"/>
            <w:hideMark/>
          </w:tcPr>
          <w:p w14:paraId="48B2CD95"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0E85AACB"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vAlign w:val="center"/>
          </w:tcPr>
          <w:p w14:paraId="38F5E32C"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4C18D604"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FD738C8"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EAA4EFD" w14:textId="77777777" w:rsidR="00AE6341" w:rsidRDefault="00AE6341">
            <w:pPr>
              <w:rPr>
                <w:rFonts w:cstheme="minorHAnsi"/>
                <w:sz w:val="16"/>
                <w:szCs w:val="16"/>
              </w:rPr>
            </w:pPr>
            <w:r>
              <w:rPr>
                <w:rFonts w:cstheme="minorHAnsi"/>
                <w:sz w:val="16"/>
                <w:szCs w:val="16"/>
              </w:rPr>
              <w:t>4K</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6A4FCFA"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289DE16" w14:textId="77777777" w:rsidR="00AE6341" w:rsidRDefault="00AE6341">
            <w:pPr>
              <w:rPr>
                <w:rFonts w:cstheme="minorHAnsi"/>
                <w:sz w:val="16"/>
                <w:szCs w:val="16"/>
              </w:rPr>
            </w:pPr>
          </w:p>
        </w:tc>
      </w:tr>
      <w:tr w:rsidR="00AE6341" w14:paraId="4DB6CAE1"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4C6E7D" w14:textId="77777777" w:rsidR="00AE6341" w:rsidRDefault="00AE6341">
            <w:pPr>
              <w:rPr>
                <w:rFonts w:cstheme="minorHAnsi"/>
                <w:b/>
                <w:bCs/>
                <w:sz w:val="16"/>
                <w:szCs w:val="16"/>
              </w:rPr>
            </w:pPr>
            <w:r>
              <w:rPr>
                <w:rFonts w:cstheme="minorHAnsi"/>
                <w:b/>
                <w:bCs/>
                <w:sz w:val="16"/>
                <w:szCs w:val="16"/>
              </w:rPr>
              <w:t>A 1.2.</w:t>
            </w:r>
          </w:p>
        </w:tc>
        <w:tc>
          <w:tcPr>
            <w:tcW w:w="5806" w:type="dxa"/>
            <w:tcBorders>
              <w:top w:val="single" w:sz="4" w:space="0" w:color="auto"/>
              <w:left w:val="single" w:sz="4" w:space="0" w:color="auto"/>
              <w:bottom w:val="single" w:sz="4" w:space="0" w:color="auto"/>
              <w:right w:val="single" w:sz="4" w:space="0" w:color="auto"/>
            </w:tcBorders>
            <w:vAlign w:val="center"/>
            <w:hideMark/>
          </w:tcPr>
          <w:p w14:paraId="713786C0" w14:textId="77777777" w:rsidR="00AE6341" w:rsidRDefault="00AE6341">
            <w:pPr>
              <w:rPr>
                <w:rFonts w:cstheme="minorHAnsi"/>
                <w:sz w:val="16"/>
                <w:szCs w:val="16"/>
              </w:rPr>
            </w:pPr>
            <w:r>
              <w:rPr>
                <w:rFonts w:cstheme="minorHAnsi"/>
                <w:sz w:val="16"/>
                <w:szCs w:val="16"/>
              </w:rPr>
              <w:t xml:space="preserve">Izrada Upute o mogućnostima ponovnog korištenja </w:t>
            </w:r>
            <w:proofErr w:type="spellStart"/>
            <w:r>
              <w:rPr>
                <w:rFonts w:cstheme="minorHAnsi"/>
                <w:sz w:val="16"/>
                <w:szCs w:val="16"/>
              </w:rPr>
              <w:t>nestrukturnih</w:t>
            </w:r>
            <w:proofErr w:type="spellEnd"/>
            <w:r>
              <w:rPr>
                <w:rFonts w:cstheme="minorHAnsi"/>
                <w:sz w:val="16"/>
                <w:szCs w:val="16"/>
              </w:rPr>
              <w:t xml:space="preserve"> dijelova građevine (vrata, prozori, itd.)</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396FAE" w14:textId="77777777" w:rsidR="00AE6341" w:rsidRDefault="00AE6341">
            <w:pPr>
              <w:rPr>
                <w:rFonts w:cstheme="minorHAnsi"/>
                <w:sz w:val="16"/>
                <w:szCs w:val="16"/>
              </w:rPr>
            </w:pPr>
            <w:r>
              <w:rPr>
                <w:rFonts w:cstheme="minorHAnsi"/>
                <w:sz w:val="16"/>
                <w:szCs w:val="16"/>
              </w:rPr>
              <w:t>MINGOR</w:t>
            </w:r>
          </w:p>
        </w:tc>
        <w:tc>
          <w:tcPr>
            <w:tcW w:w="1565" w:type="dxa"/>
            <w:gridSpan w:val="2"/>
            <w:tcBorders>
              <w:top w:val="single" w:sz="4" w:space="0" w:color="auto"/>
              <w:left w:val="single" w:sz="4" w:space="0" w:color="auto"/>
              <w:bottom w:val="single" w:sz="4" w:space="0" w:color="auto"/>
              <w:right w:val="single" w:sz="4" w:space="0" w:color="auto"/>
            </w:tcBorders>
            <w:vAlign w:val="center"/>
            <w:hideMark/>
          </w:tcPr>
          <w:p w14:paraId="087E50D6" w14:textId="77777777" w:rsidR="00AE6341" w:rsidRDefault="00AE6341">
            <w:pPr>
              <w:jc w:val="left"/>
              <w:rPr>
                <w:rFonts w:cstheme="minorHAnsi"/>
                <w:sz w:val="16"/>
                <w:szCs w:val="16"/>
              </w:rPr>
            </w:pPr>
            <w:r>
              <w:rPr>
                <w:sz w:val="16"/>
                <w:szCs w:val="16"/>
              </w:rPr>
              <w:t>MGPUDI</w:t>
            </w:r>
          </w:p>
        </w:tc>
        <w:tc>
          <w:tcPr>
            <w:tcW w:w="1423" w:type="dxa"/>
            <w:tcBorders>
              <w:top w:val="single" w:sz="4" w:space="0" w:color="auto"/>
              <w:left w:val="single" w:sz="4" w:space="0" w:color="auto"/>
              <w:bottom w:val="single" w:sz="4" w:space="0" w:color="auto"/>
              <w:right w:val="single" w:sz="4" w:space="0" w:color="auto"/>
            </w:tcBorders>
            <w:vAlign w:val="center"/>
            <w:hideMark/>
          </w:tcPr>
          <w:p w14:paraId="70EFE77F" w14:textId="77777777" w:rsidR="00AE6341" w:rsidRDefault="00AE6341">
            <w:pPr>
              <w:jc w:val="left"/>
              <w:rPr>
                <w:rFonts w:cstheme="minorHAnsi"/>
                <w:sz w:val="16"/>
                <w:szCs w:val="16"/>
              </w:rPr>
            </w:pPr>
            <w:r>
              <w:rPr>
                <w:sz w:val="16"/>
                <w:szCs w:val="16"/>
              </w:rPr>
              <w:t>Akademska zajednica</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E90F776" w14:textId="77777777" w:rsidR="00AE6341" w:rsidRDefault="00AE6341">
            <w:pPr>
              <w:jc w:val="left"/>
              <w:rPr>
                <w:rFonts w:cstheme="minorHAnsi"/>
                <w:sz w:val="16"/>
                <w:szCs w:val="16"/>
              </w:rPr>
            </w:pPr>
            <w:r>
              <w:rPr>
                <w:rFonts w:cstheme="minorHAnsi"/>
                <w:sz w:val="16"/>
                <w:szCs w:val="16"/>
              </w:rPr>
              <w:t xml:space="preserve">Izrađene Upute o mogućnostima ponovnog korištenja </w:t>
            </w:r>
            <w:proofErr w:type="spellStart"/>
            <w:r>
              <w:rPr>
                <w:rFonts w:cstheme="minorHAnsi"/>
                <w:sz w:val="16"/>
                <w:szCs w:val="16"/>
              </w:rPr>
              <w:t>nestrukturnih</w:t>
            </w:r>
            <w:proofErr w:type="spellEnd"/>
            <w:r>
              <w:rPr>
                <w:rFonts w:cstheme="minorHAnsi"/>
                <w:sz w:val="16"/>
                <w:szCs w:val="16"/>
              </w:rPr>
              <w:t xml:space="preserve"> dijelova građevine (vrata, prozori, itd.)</w:t>
            </w:r>
          </w:p>
        </w:tc>
        <w:tc>
          <w:tcPr>
            <w:tcW w:w="986" w:type="dxa"/>
            <w:tcBorders>
              <w:top w:val="single" w:sz="4" w:space="0" w:color="auto"/>
              <w:left w:val="single" w:sz="4" w:space="0" w:color="auto"/>
              <w:bottom w:val="single" w:sz="4" w:space="0" w:color="auto"/>
              <w:right w:val="single" w:sz="4" w:space="0" w:color="auto"/>
            </w:tcBorders>
            <w:vAlign w:val="center"/>
            <w:hideMark/>
          </w:tcPr>
          <w:p w14:paraId="5A723B50"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B5A56E8"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vAlign w:val="center"/>
          </w:tcPr>
          <w:p w14:paraId="03C5033D"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819DF80" w14:textId="77777777" w:rsidR="00AE6341" w:rsidRDefault="00AE6341">
            <w:pPr>
              <w:rPr>
                <w:rFonts w:cstheme="minorHAnsi"/>
                <w:sz w:val="16"/>
                <w:szCs w:val="16"/>
              </w:rPr>
            </w:pPr>
            <w:r>
              <w:rPr>
                <w:rFonts w:cstheme="minorHAnsi"/>
                <w:sz w:val="16"/>
                <w:szCs w:val="16"/>
              </w:rPr>
              <w:t>4K</w:t>
            </w:r>
          </w:p>
        </w:tc>
        <w:tc>
          <w:tcPr>
            <w:tcW w:w="567" w:type="dxa"/>
            <w:tcBorders>
              <w:top w:val="single" w:sz="4" w:space="0" w:color="auto"/>
              <w:left w:val="single" w:sz="4" w:space="0" w:color="auto"/>
              <w:bottom w:val="single" w:sz="4" w:space="0" w:color="auto"/>
              <w:right w:val="single" w:sz="4" w:space="0" w:color="auto"/>
            </w:tcBorders>
            <w:vAlign w:val="center"/>
          </w:tcPr>
          <w:p w14:paraId="53A00F02"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E6CB3F1"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B3FF3D3"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9C63D" w14:textId="77777777" w:rsidR="00AE6341" w:rsidRDefault="00AE6341">
            <w:pPr>
              <w:rPr>
                <w:rFonts w:cstheme="minorHAnsi"/>
                <w:sz w:val="16"/>
                <w:szCs w:val="16"/>
              </w:rPr>
            </w:pPr>
          </w:p>
        </w:tc>
        <w:bookmarkEnd w:id="429"/>
      </w:tr>
      <w:tr w:rsidR="00AE6341" w14:paraId="32C30C98"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89206D5" w14:textId="77777777" w:rsidR="00AE6341" w:rsidRDefault="00AE6341">
            <w:pPr>
              <w:rPr>
                <w:rFonts w:cstheme="minorHAnsi"/>
                <w:b/>
                <w:bCs/>
                <w:sz w:val="16"/>
                <w:szCs w:val="16"/>
              </w:rPr>
            </w:pPr>
            <w:r>
              <w:rPr>
                <w:rFonts w:cstheme="minorHAnsi"/>
                <w:b/>
                <w:bCs/>
                <w:sz w:val="16"/>
                <w:szCs w:val="16"/>
              </w:rPr>
              <w:t>A 1.3.</w:t>
            </w:r>
          </w:p>
        </w:tc>
        <w:tc>
          <w:tcPr>
            <w:tcW w:w="5806" w:type="dxa"/>
            <w:tcBorders>
              <w:top w:val="single" w:sz="4" w:space="0" w:color="auto"/>
              <w:left w:val="single" w:sz="4" w:space="0" w:color="auto"/>
              <w:bottom w:val="single" w:sz="4" w:space="0" w:color="auto"/>
              <w:right w:val="single" w:sz="4" w:space="0" w:color="auto"/>
            </w:tcBorders>
            <w:vAlign w:val="center"/>
            <w:hideMark/>
          </w:tcPr>
          <w:p w14:paraId="151D0534" w14:textId="77777777" w:rsidR="00AE6341" w:rsidRDefault="00AE6341">
            <w:pPr>
              <w:rPr>
                <w:rFonts w:cstheme="minorHAnsi"/>
                <w:sz w:val="16"/>
                <w:szCs w:val="16"/>
              </w:rPr>
            </w:pPr>
            <w:r>
              <w:rPr>
                <w:rFonts w:cstheme="minorHAnsi"/>
                <w:sz w:val="16"/>
                <w:szCs w:val="16"/>
              </w:rPr>
              <w:t>Uvođenje poticajne naknade za ponovno korištenje materijala od rušenja i drugih građevinskih aktivnosti</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5D5E0E"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EE0179" w14:textId="77777777" w:rsidR="00AE6341" w:rsidRDefault="00AE6341">
            <w:pPr>
              <w:rPr>
                <w:rFonts w:cstheme="minorHAnsi"/>
                <w:sz w:val="16"/>
                <w:szCs w:val="16"/>
              </w:rPr>
            </w:pPr>
            <w:r>
              <w:rPr>
                <w:rFonts w:cstheme="minorHAnsi"/>
                <w:sz w:val="16"/>
                <w:szCs w:val="16"/>
              </w:rPr>
              <w:t>MGPUDI</w:t>
            </w:r>
          </w:p>
        </w:tc>
        <w:tc>
          <w:tcPr>
            <w:tcW w:w="1429" w:type="dxa"/>
            <w:gridSpan w:val="2"/>
            <w:tcBorders>
              <w:top w:val="single" w:sz="4" w:space="0" w:color="auto"/>
              <w:left w:val="single" w:sz="4" w:space="0" w:color="auto"/>
              <w:bottom w:val="single" w:sz="4" w:space="0" w:color="auto"/>
              <w:right w:val="single" w:sz="4" w:space="0" w:color="auto"/>
            </w:tcBorders>
            <w:vAlign w:val="center"/>
          </w:tcPr>
          <w:p w14:paraId="7ABB563F" w14:textId="77777777" w:rsidR="00AE6341" w:rsidRDefault="00AE6341">
            <w:pPr>
              <w:rPr>
                <w:rFonts w:cstheme="minorHAnsi"/>
                <w:sz w:val="16"/>
                <w:szCs w:val="16"/>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FE8A02D" w14:textId="77777777" w:rsidR="00AE6341" w:rsidRDefault="00AE6341">
            <w:pPr>
              <w:rPr>
                <w:rFonts w:cstheme="minorHAnsi"/>
                <w:sz w:val="16"/>
                <w:szCs w:val="16"/>
              </w:rPr>
            </w:pPr>
            <w:r>
              <w:rPr>
                <w:rFonts w:cstheme="minorHAnsi"/>
                <w:sz w:val="16"/>
                <w:szCs w:val="16"/>
              </w:rPr>
              <w:t>Uvedena poticajna naknada</w:t>
            </w:r>
          </w:p>
        </w:tc>
        <w:tc>
          <w:tcPr>
            <w:tcW w:w="986" w:type="dxa"/>
            <w:tcBorders>
              <w:top w:val="single" w:sz="4" w:space="0" w:color="auto"/>
              <w:left w:val="single" w:sz="4" w:space="0" w:color="auto"/>
              <w:bottom w:val="single" w:sz="4" w:space="0" w:color="auto"/>
              <w:right w:val="single" w:sz="4" w:space="0" w:color="auto"/>
            </w:tcBorders>
            <w:vAlign w:val="center"/>
            <w:hideMark/>
          </w:tcPr>
          <w:p w14:paraId="1A55D0C4"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936B0C3"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vAlign w:val="center"/>
          </w:tcPr>
          <w:p w14:paraId="72282691"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095C80F0"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CCB3F32"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C4429FE"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E0BE464" w14:textId="77777777" w:rsidR="00AE6341" w:rsidRDefault="00AE6341">
            <w:pPr>
              <w:rPr>
                <w:rFonts w:cstheme="minorHAnsi"/>
                <w:sz w:val="16"/>
                <w:szCs w:val="16"/>
              </w:rPr>
            </w:pPr>
            <w:r>
              <w:rPr>
                <w:rFonts w:cstheme="minorHAnsi"/>
                <w:sz w:val="16"/>
                <w:szCs w:val="16"/>
              </w:rPr>
              <w:t>4 K</w:t>
            </w:r>
          </w:p>
        </w:tc>
        <w:tc>
          <w:tcPr>
            <w:tcW w:w="567" w:type="dxa"/>
            <w:tcBorders>
              <w:top w:val="single" w:sz="4" w:space="0" w:color="auto"/>
              <w:left w:val="single" w:sz="4" w:space="0" w:color="auto"/>
              <w:bottom w:val="single" w:sz="4" w:space="0" w:color="auto"/>
              <w:right w:val="single" w:sz="4" w:space="0" w:color="auto"/>
            </w:tcBorders>
            <w:vAlign w:val="center"/>
          </w:tcPr>
          <w:p w14:paraId="6945B87A" w14:textId="77777777" w:rsidR="00AE6341" w:rsidRDefault="00AE6341">
            <w:pPr>
              <w:rPr>
                <w:rFonts w:cstheme="minorHAnsi"/>
                <w:sz w:val="16"/>
                <w:szCs w:val="16"/>
              </w:rPr>
            </w:pPr>
          </w:p>
        </w:tc>
      </w:tr>
      <w:tr w:rsidR="00AE6341" w14:paraId="0CDBFD2C"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7FC6E8C0" w14:textId="77777777" w:rsidR="00AE6341" w:rsidRDefault="00AE6341">
            <w:pPr>
              <w:jc w:val="center"/>
              <w:rPr>
                <w:rFonts w:cstheme="minorHAnsi"/>
                <w:b/>
                <w:bCs/>
                <w:color w:val="FFFFFF" w:themeColor="background1"/>
                <w:sz w:val="16"/>
                <w:szCs w:val="16"/>
              </w:rPr>
            </w:pPr>
            <w:r>
              <w:rPr>
                <w:rFonts w:cstheme="minorHAnsi"/>
                <w:b/>
                <w:bCs/>
                <w:color w:val="FFFFFF" w:themeColor="background1"/>
                <w:sz w:val="16"/>
                <w:szCs w:val="16"/>
              </w:rPr>
              <w:t>Specifični cilj: Sprječavanje nastanka biootpada</w:t>
            </w:r>
          </w:p>
        </w:tc>
      </w:tr>
      <w:tr w:rsidR="00AE6341" w14:paraId="145ADDD1"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6E8C385B" w14:textId="77777777" w:rsidR="00AE6341" w:rsidRDefault="00AE6341">
            <w:pPr>
              <w:jc w:val="center"/>
              <w:rPr>
                <w:rFonts w:cstheme="minorHAnsi"/>
                <w:b/>
                <w:bCs/>
                <w:sz w:val="16"/>
                <w:szCs w:val="16"/>
              </w:rPr>
            </w:pPr>
            <w:r>
              <w:rPr>
                <w:rFonts w:cstheme="minorHAnsi"/>
                <w:b/>
                <w:bCs/>
                <w:sz w:val="16"/>
                <w:szCs w:val="16"/>
              </w:rPr>
              <w:t>Mjera 2. Jačanje okvira politika za sprječavanje nastanka otpada od hrane</w:t>
            </w:r>
          </w:p>
        </w:tc>
      </w:tr>
      <w:tr w:rsidR="00AE6341" w14:paraId="731802DE"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FC5DFC" w14:textId="77777777" w:rsidR="00AE6341" w:rsidRDefault="00AE6341">
            <w:pPr>
              <w:rPr>
                <w:rFonts w:cstheme="minorHAnsi"/>
                <w:b/>
                <w:bCs/>
                <w:sz w:val="16"/>
                <w:szCs w:val="16"/>
              </w:rPr>
            </w:pPr>
            <w:r>
              <w:rPr>
                <w:rFonts w:cstheme="minorHAnsi"/>
                <w:b/>
                <w:bCs/>
                <w:sz w:val="16"/>
                <w:szCs w:val="16"/>
              </w:rPr>
              <w:t>A 2.1.</w:t>
            </w:r>
          </w:p>
        </w:tc>
        <w:tc>
          <w:tcPr>
            <w:tcW w:w="5806" w:type="dxa"/>
            <w:tcBorders>
              <w:top w:val="single" w:sz="4" w:space="0" w:color="auto"/>
              <w:left w:val="single" w:sz="4" w:space="0" w:color="auto"/>
              <w:bottom w:val="single" w:sz="4" w:space="0" w:color="auto"/>
              <w:right w:val="single" w:sz="4" w:space="0" w:color="auto"/>
            </w:tcBorders>
            <w:vAlign w:val="center"/>
            <w:hideMark/>
          </w:tcPr>
          <w:p w14:paraId="78AE7C30" w14:textId="77777777" w:rsidR="00AE6341" w:rsidRDefault="00AE6341">
            <w:pPr>
              <w:rPr>
                <w:rFonts w:cstheme="minorHAnsi"/>
                <w:sz w:val="16"/>
                <w:szCs w:val="16"/>
              </w:rPr>
            </w:pPr>
            <w:r>
              <w:rPr>
                <w:rFonts w:cstheme="minorHAnsi"/>
                <w:sz w:val="16"/>
                <w:szCs w:val="16"/>
              </w:rPr>
              <w:t>Izrada plana sprječavanja i smanjenja nastajanja otpada od hrane u RH za razdoblje 2023.-2028.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DF3027" w14:textId="77777777" w:rsidR="00AE6341" w:rsidRDefault="00AE6341">
            <w:pPr>
              <w:rPr>
                <w:rFonts w:cstheme="minorHAnsi"/>
                <w:sz w:val="16"/>
                <w:szCs w:val="16"/>
              </w:rPr>
            </w:pPr>
            <w:r>
              <w:rPr>
                <w:rFonts w:cstheme="minorHAnsi"/>
                <w:sz w:val="16"/>
                <w:szCs w:val="16"/>
              </w:rPr>
              <w:t>MINPOLJ</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47259C"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157A7232" w14:textId="77777777" w:rsidR="00AE6341" w:rsidRDefault="00AE6341">
            <w:pPr>
              <w:rPr>
                <w:rFonts w:cstheme="minorHAnsi"/>
                <w:sz w:val="16"/>
                <w:szCs w:val="16"/>
              </w:rPr>
            </w:pPr>
            <w:r>
              <w:rPr>
                <w:rFonts w:cstheme="minorHAnsi"/>
                <w:sz w:val="16"/>
                <w:szCs w:val="16"/>
              </w:rPr>
              <w:t>MINPOLJ</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57B9533" w14:textId="77777777" w:rsidR="00AE6341" w:rsidRDefault="00AE6341">
            <w:pPr>
              <w:rPr>
                <w:rFonts w:cstheme="minorHAnsi"/>
                <w:sz w:val="16"/>
                <w:szCs w:val="16"/>
              </w:rPr>
            </w:pPr>
            <w:r>
              <w:rPr>
                <w:rFonts w:cstheme="minorHAnsi"/>
                <w:sz w:val="16"/>
                <w:szCs w:val="16"/>
              </w:rPr>
              <w:t>Izrađen i usvojen plan sprječavanja i smanjenja nastajanja otpada od hrane u RH za razdoblje 2023.-2028.</w:t>
            </w:r>
          </w:p>
        </w:tc>
        <w:tc>
          <w:tcPr>
            <w:tcW w:w="986" w:type="dxa"/>
            <w:tcBorders>
              <w:top w:val="single" w:sz="4" w:space="0" w:color="auto"/>
              <w:left w:val="single" w:sz="4" w:space="0" w:color="auto"/>
              <w:bottom w:val="single" w:sz="4" w:space="0" w:color="auto"/>
              <w:right w:val="single" w:sz="4" w:space="0" w:color="auto"/>
            </w:tcBorders>
            <w:vAlign w:val="center"/>
            <w:hideMark/>
          </w:tcPr>
          <w:p w14:paraId="41177F5F"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3D7E420B"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FB8745E" w14:textId="77777777" w:rsidR="00AE6341" w:rsidRDefault="00AE6341">
            <w:pPr>
              <w:rPr>
                <w:rFonts w:cstheme="minorHAnsi"/>
                <w:sz w:val="16"/>
                <w:szCs w:val="16"/>
              </w:rPr>
            </w:pPr>
            <w:r>
              <w:rPr>
                <w:rFonts w:cstheme="minorHAnsi"/>
                <w:sz w:val="16"/>
                <w:szCs w:val="16"/>
              </w:rPr>
              <w:t>2K</w:t>
            </w: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525501DB"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23501E2"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695EDFA"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0D77679"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4E8D3F5" w14:textId="77777777" w:rsidR="00AE6341" w:rsidRDefault="00AE6341">
            <w:pPr>
              <w:rPr>
                <w:rFonts w:cstheme="minorHAnsi"/>
                <w:sz w:val="16"/>
                <w:szCs w:val="16"/>
              </w:rPr>
            </w:pPr>
          </w:p>
        </w:tc>
      </w:tr>
      <w:tr w:rsidR="00AE6341" w14:paraId="64D350D3"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B32E692" w14:textId="77777777" w:rsidR="00AE6341" w:rsidRDefault="00AE6341">
            <w:pPr>
              <w:rPr>
                <w:rFonts w:cstheme="minorHAnsi"/>
                <w:b/>
                <w:bCs/>
                <w:sz w:val="16"/>
                <w:szCs w:val="16"/>
              </w:rPr>
            </w:pPr>
            <w:r>
              <w:rPr>
                <w:rFonts w:cstheme="minorHAnsi"/>
                <w:b/>
                <w:bCs/>
                <w:sz w:val="16"/>
                <w:szCs w:val="16"/>
              </w:rPr>
              <w:t>A 2.2.</w:t>
            </w:r>
          </w:p>
        </w:tc>
        <w:tc>
          <w:tcPr>
            <w:tcW w:w="5806" w:type="dxa"/>
            <w:tcBorders>
              <w:top w:val="single" w:sz="4" w:space="0" w:color="auto"/>
              <w:left w:val="single" w:sz="4" w:space="0" w:color="auto"/>
              <w:bottom w:val="single" w:sz="4" w:space="0" w:color="auto"/>
              <w:right w:val="single" w:sz="4" w:space="0" w:color="auto"/>
            </w:tcBorders>
            <w:vAlign w:val="center"/>
            <w:hideMark/>
          </w:tcPr>
          <w:p w14:paraId="6AC46CD7" w14:textId="77777777" w:rsidR="00AE6341" w:rsidRDefault="00AE6341">
            <w:pPr>
              <w:rPr>
                <w:rFonts w:cstheme="minorHAnsi"/>
                <w:sz w:val="16"/>
                <w:szCs w:val="16"/>
              </w:rPr>
            </w:pPr>
            <w:r>
              <w:rPr>
                <w:rFonts w:cstheme="minorHAnsi"/>
                <w:sz w:val="16"/>
                <w:szCs w:val="16"/>
              </w:rPr>
              <w:t>Implementacija plana sprječavanja i smanjenja nastajanja otpada od hrane u RH za razdoblje 2023.-2028.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907369" w14:textId="77777777" w:rsidR="00AE6341" w:rsidRDefault="00AE6341">
            <w:pPr>
              <w:rPr>
                <w:rFonts w:cstheme="minorHAnsi"/>
                <w:sz w:val="16"/>
                <w:szCs w:val="16"/>
              </w:rPr>
            </w:pPr>
            <w:r>
              <w:rPr>
                <w:rFonts w:cstheme="minorHAnsi"/>
                <w:sz w:val="16"/>
                <w:szCs w:val="16"/>
              </w:rPr>
              <w:t>MINPOLJ</w:t>
            </w:r>
          </w:p>
        </w:tc>
        <w:tc>
          <w:tcPr>
            <w:tcW w:w="993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A84E00" w14:textId="77777777" w:rsidR="00AE6341" w:rsidRDefault="00AE6341">
            <w:pPr>
              <w:jc w:val="center"/>
              <w:rPr>
                <w:rFonts w:cstheme="minorHAnsi"/>
                <w:sz w:val="16"/>
                <w:szCs w:val="16"/>
              </w:rPr>
            </w:pPr>
            <w:r>
              <w:rPr>
                <w:rFonts w:cstheme="minorHAnsi"/>
                <w:sz w:val="16"/>
                <w:szCs w:val="16"/>
              </w:rPr>
              <w:t>Definirano u planu sprječavanja i smanjenja nastajanja otpada od hrane u RH za razdoblje 2023.-2028.</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FC51B15"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7ACE09A"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E31440B"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30C3A81"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72D3EE8"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DD30E2B" w14:textId="77777777" w:rsidR="00AE6341" w:rsidRDefault="00AE6341">
            <w:pPr>
              <w:rPr>
                <w:rFonts w:cstheme="minorHAnsi"/>
                <w:sz w:val="16"/>
                <w:szCs w:val="16"/>
              </w:rPr>
            </w:pPr>
          </w:p>
        </w:tc>
      </w:tr>
      <w:tr w:rsidR="00AE6341" w14:paraId="72BA5CCB"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19D09A41" w14:textId="77777777" w:rsidR="00AE6341" w:rsidRDefault="00AE6341">
            <w:pPr>
              <w:jc w:val="center"/>
              <w:rPr>
                <w:rFonts w:cstheme="minorHAnsi"/>
                <w:b/>
                <w:bCs/>
                <w:sz w:val="16"/>
                <w:szCs w:val="16"/>
              </w:rPr>
            </w:pPr>
            <w:r>
              <w:rPr>
                <w:rFonts w:cstheme="minorHAnsi"/>
                <w:b/>
                <w:bCs/>
                <w:sz w:val="16"/>
                <w:szCs w:val="16"/>
              </w:rPr>
              <w:t>Mjera 3. Unaprjeđenje sustava praćenja podataka o biootpadu</w:t>
            </w:r>
          </w:p>
        </w:tc>
      </w:tr>
      <w:tr w:rsidR="00AE6341" w14:paraId="0AF6BF5A"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86C5E3" w14:textId="77777777" w:rsidR="00AE6341" w:rsidRDefault="00AE6341">
            <w:pPr>
              <w:rPr>
                <w:rFonts w:cstheme="minorHAnsi"/>
                <w:b/>
                <w:bCs/>
                <w:sz w:val="16"/>
                <w:szCs w:val="16"/>
              </w:rPr>
            </w:pPr>
            <w:r>
              <w:rPr>
                <w:rFonts w:cstheme="minorHAnsi"/>
                <w:b/>
                <w:bCs/>
                <w:sz w:val="16"/>
                <w:szCs w:val="16"/>
              </w:rPr>
              <w:t>A 3.1.</w:t>
            </w:r>
          </w:p>
        </w:tc>
        <w:tc>
          <w:tcPr>
            <w:tcW w:w="5806" w:type="dxa"/>
            <w:tcBorders>
              <w:top w:val="single" w:sz="4" w:space="0" w:color="auto"/>
              <w:left w:val="single" w:sz="4" w:space="0" w:color="auto"/>
              <w:bottom w:val="single" w:sz="4" w:space="0" w:color="auto"/>
              <w:right w:val="single" w:sz="4" w:space="0" w:color="auto"/>
            </w:tcBorders>
            <w:vAlign w:val="center"/>
            <w:hideMark/>
          </w:tcPr>
          <w:p w14:paraId="37629644" w14:textId="77777777" w:rsidR="00AE6341" w:rsidRDefault="00AE6341">
            <w:pPr>
              <w:rPr>
                <w:rFonts w:cstheme="minorHAnsi"/>
                <w:sz w:val="16"/>
                <w:szCs w:val="16"/>
              </w:rPr>
            </w:pPr>
            <w:r>
              <w:rPr>
                <w:rFonts w:cstheme="minorHAnsi"/>
                <w:sz w:val="16"/>
                <w:szCs w:val="16"/>
              </w:rPr>
              <w:t>Uspostava aplikacije za prikupljanje i obradu podataka o otpadu od hrane porijeklom iz poslovnog sektora</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2B91D5"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867E23"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58A1AB74" w14:textId="77777777" w:rsidR="00AE6341" w:rsidRDefault="00AE6341">
            <w:pPr>
              <w:rPr>
                <w:rFonts w:cstheme="minorHAnsi"/>
                <w:sz w:val="16"/>
                <w:szCs w:val="16"/>
              </w:rPr>
            </w:pPr>
            <w:r>
              <w:rPr>
                <w:rFonts w:cstheme="minorHAnsi"/>
                <w:sz w:val="16"/>
                <w:szCs w:val="16"/>
              </w:rPr>
              <w:t>MINGOR/FZOEU/EU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D3B5775" w14:textId="77777777" w:rsidR="00AE6341" w:rsidRDefault="00AE6341">
            <w:pPr>
              <w:rPr>
                <w:rFonts w:cstheme="minorHAnsi"/>
                <w:sz w:val="16"/>
                <w:szCs w:val="16"/>
              </w:rPr>
            </w:pPr>
            <w:r>
              <w:rPr>
                <w:rFonts w:cstheme="minorHAnsi"/>
                <w:sz w:val="16"/>
                <w:szCs w:val="16"/>
              </w:rPr>
              <w:t>Funkcionalna aplikacija za prikupljanje i obradu podataka o otpadu od hrane porijeklom iz poslovnog sektora</w:t>
            </w:r>
          </w:p>
        </w:tc>
        <w:tc>
          <w:tcPr>
            <w:tcW w:w="986" w:type="dxa"/>
            <w:tcBorders>
              <w:top w:val="single" w:sz="4" w:space="0" w:color="auto"/>
              <w:left w:val="single" w:sz="4" w:space="0" w:color="auto"/>
              <w:bottom w:val="single" w:sz="4" w:space="0" w:color="auto"/>
              <w:right w:val="single" w:sz="4" w:space="0" w:color="auto"/>
            </w:tcBorders>
            <w:vAlign w:val="center"/>
            <w:hideMark/>
          </w:tcPr>
          <w:p w14:paraId="789706EE"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54F1DA16"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D48611F" w14:textId="77777777" w:rsidR="00AE6341" w:rsidRDefault="00AE6341">
            <w:pPr>
              <w:rPr>
                <w:rFonts w:cstheme="minorHAnsi"/>
                <w:sz w:val="16"/>
                <w:szCs w:val="16"/>
              </w:rPr>
            </w:pPr>
            <w:r>
              <w:rPr>
                <w:rFonts w:cstheme="minorHAnsi"/>
                <w:sz w:val="16"/>
                <w:szCs w:val="16"/>
              </w:rPr>
              <w:t>4K</w:t>
            </w: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3CC2C804" w14:textId="77777777" w:rsidR="00AE6341" w:rsidRDefault="00AE6341">
            <w:pPr>
              <w:rPr>
                <w:rFonts w:cstheme="minorHAnsi"/>
                <w:color w:val="FF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7800E8F"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6BB33E8"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6C30858"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3241999" w14:textId="77777777" w:rsidR="00AE6341" w:rsidRDefault="00AE6341">
            <w:pPr>
              <w:rPr>
                <w:rFonts w:cstheme="minorHAnsi"/>
                <w:sz w:val="16"/>
                <w:szCs w:val="16"/>
              </w:rPr>
            </w:pPr>
          </w:p>
        </w:tc>
      </w:tr>
      <w:tr w:rsidR="00AE6341" w14:paraId="63CE5E15"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179F16" w14:textId="77777777" w:rsidR="00AE6341" w:rsidRDefault="00AE6341">
            <w:pPr>
              <w:rPr>
                <w:rFonts w:cstheme="minorHAnsi"/>
                <w:b/>
                <w:bCs/>
                <w:sz w:val="16"/>
                <w:szCs w:val="16"/>
              </w:rPr>
            </w:pPr>
            <w:r>
              <w:rPr>
                <w:rFonts w:cstheme="minorHAnsi"/>
                <w:b/>
                <w:bCs/>
                <w:sz w:val="16"/>
                <w:szCs w:val="16"/>
              </w:rPr>
              <w:t>A 3.2.</w:t>
            </w:r>
          </w:p>
        </w:tc>
        <w:tc>
          <w:tcPr>
            <w:tcW w:w="5806" w:type="dxa"/>
            <w:tcBorders>
              <w:top w:val="single" w:sz="4" w:space="0" w:color="auto"/>
              <w:left w:val="single" w:sz="4" w:space="0" w:color="auto"/>
              <w:bottom w:val="single" w:sz="4" w:space="0" w:color="auto"/>
              <w:right w:val="single" w:sz="4" w:space="0" w:color="auto"/>
            </w:tcBorders>
            <w:vAlign w:val="center"/>
            <w:hideMark/>
          </w:tcPr>
          <w:p w14:paraId="203EDC18" w14:textId="77777777" w:rsidR="00AE6341" w:rsidRDefault="00AE6341">
            <w:pPr>
              <w:rPr>
                <w:rFonts w:cstheme="minorHAnsi"/>
                <w:sz w:val="16"/>
                <w:szCs w:val="16"/>
              </w:rPr>
            </w:pPr>
            <w:r>
              <w:rPr>
                <w:rFonts w:cstheme="minorHAnsi"/>
                <w:sz w:val="16"/>
                <w:szCs w:val="16"/>
              </w:rPr>
              <w:t>Projekt statističkog istraživanja o otpadu od hrane porijeklom iz kućanstava</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8E5B0A"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474BB3"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502FED4A" w14:textId="77777777" w:rsidR="00AE6341" w:rsidRDefault="00AE6341">
            <w:pPr>
              <w:rPr>
                <w:rFonts w:cstheme="minorHAnsi"/>
                <w:sz w:val="16"/>
                <w:szCs w:val="16"/>
              </w:rPr>
            </w:pPr>
            <w:r>
              <w:rPr>
                <w:rFonts w:cstheme="minorHAnsi"/>
                <w:sz w:val="16"/>
                <w:szCs w:val="16"/>
              </w:rPr>
              <w:t>MINGOR/FZOEU/EU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9AF12DD" w14:textId="77777777" w:rsidR="00AE6341" w:rsidRDefault="00AE6341">
            <w:pPr>
              <w:rPr>
                <w:rFonts w:cstheme="minorHAnsi"/>
                <w:sz w:val="16"/>
                <w:szCs w:val="16"/>
              </w:rPr>
            </w:pPr>
            <w:r>
              <w:rPr>
                <w:rFonts w:cstheme="minorHAnsi"/>
                <w:sz w:val="16"/>
                <w:szCs w:val="16"/>
              </w:rPr>
              <w:t>Proveden projekt statističkog istraživanja o otpadu od hrane porijeklom iz kućanstava</w:t>
            </w:r>
          </w:p>
        </w:tc>
        <w:tc>
          <w:tcPr>
            <w:tcW w:w="986" w:type="dxa"/>
            <w:tcBorders>
              <w:top w:val="single" w:sz="4" w:space="0" w:color="auto"/>
              <w:left w:val="single" w:sz="4" w:space="0" w:color="auto"/>
              <w:bottom w:val="single" w:sz="4" w:space="0" w:color="auto"/>
              <w:right w:val="single" w:sz="4" w:space="0" w:color="auto"/>
            </w:tcBorders>
            <w:vAlign w:val="center"/>
            <w:hideMark/>
          </w:tcPr>
          <w:p w14:paraId="2C73801A"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6063AC9"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vAlign w:val="center"/>
          </w:tcPr>
          <w:p w14:paraId="180A2CF4"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96B50C0" w14:textId="77777777" w:rsidR="00AE6341" w:rsidRDefault="00AE6341">
            <w:pPr>
              <w:rPr>
                <w:rFonts w:cstheme="minorHAnsi"/>
                <w:sz w:val="16"/>
                <w:szCs w:val="16"/>
              </w:rPr>
            </w:pPr>
            <w:r>
              <w:rPr>
                <w:rFonts w:cstheme="minorHAnsi"/>
                <w:sz w:val="16"/>
                <w:szCs w:val="16"/>
              </w:rPr>
              <w:t>4K</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5B3DD" w14:textId="77777777" w:rsidR="00AE6341" w:rsidRDefault="00AE6341">
            <w:pPr>
              <w:rPr>
                <w:rFonts w:cstheme="minorHAnsi"/>
                <w:color w:val="FF0000"/>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6D1DE28"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C447932"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9EA7D1B" w14:textId="77777777" w:rsidR="00AE6341" w:rsidRDefault="00AE6341">
            <w:pPr>
              <w:rPr>
                <w:rFonts w:cstheme="minorHAnsi"/>
                <w:sz w:val="16"/>
                <w:szCs w:val="16"/>
              </w:rPr>
            </w:pPr>
          </w:p>
        </w:tc>
      </w:tr>
      <w:tr w:rsidR="00AE6341" w14:paraId="2661A359"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FC2D55" w14:textId="77777777" w:rsidR="00AE6341" w:rsidRDefault="00AE6341">
            <w:pPr>
              <w:rPr>
                <w:rFonts w:cstheme="minorHAnsi"/>
                <w:b/>
                <w:bCs/>
                <w:sz w:val="16"/>
                <w:szCs w:val="16"/>
              </w:rPr>
            </w:pPr>
            <w:r>
              <w:rPr>
                <w:rFonts w:cstheme="minorHAnsi"/>
                <w:b/>
                <w:bCs/>
                <w:sz w:val="16"/>
                <w:szCs w:val="16"/>
              </w:rPr>
              <w:t>A 3.3.</w:t>
            </w:r>
          </w:p>
        </w:tc>
        <w:tc>
          <w:tcPr>
            <w:tcW w:w="5806" w:type="dxa"/>
            <w:tcBorders>
              <w:top w:val="single" w:sz="4" w:space="0" w:color="auto"/>
              <w:left w:val="single" w:sz="4" w:space="0" w:color="auto"/>
              <w:bottom w:val="single" w:sz="4" w:space="0" w:color="auto"/>
              <w:right w:val="single" w:sz="4" w:space="0" w:color="auto"/>
            </w:tcBorders>
            <w:vAlign w:val="center"/>
            <w:hideMark/>
          </w:tcPr>
          <w:p w14:paraId="2B6410B0" w14:textId="77777777" w:rsidR="00AE6341" w:rsidRDefault="00AE6341">
            <w:pPr>
              <w:rPr>
                <w:rFonts w:cstheme="minorHAnsi"/>
                <w:sz w:val="16"/>
                <w:szCs w:val="16"/>
              </w:rPr>
            </w:pPr>
            <w:r>
              <w:rPr>
                <w:rFonts w:cstheme="minorHAnsi"/>
                <w:sz w:val="16"/>
                <w:szCs w:val="16"/>
              </w:rPr>
              <w:t>Izrada metodologije o procjeni učinkovitosti mjera za sprječavanje nastanka biootpada</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E0FEB0"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977C1B"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1080ED4E" w14:textId="77777777" w:rsidR="00AE6341" w:rsidRDefault="00AE6341">
            <w:pPr>
              <w:rPr>
                <w:rFonts w:cstheme="minorHAnsi"/>
                <w:sz w:val="16"/>
                <w:szCs w:val="16"/>
              </w:rPr>
            </w:pPr>
            <w:r>
              <w:rPr>
                <w:rFonts w:cstheme="minorHAnsi"/>
                <w:sz w:val="16"/>
                <w:szCs w:val="16"/>
              </w:rPr>
              <w:t>MINGOR/FZOEU/EU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D1C867A" w14:textId="77777777" w:rsidR="00AE6341" w:rsidRDefault="00AE6341">
            <w:pPr>
              <w:rPr>
                <w:rFonts w:cstheme="minorHAnsi"/>
                <w:sz w:val="16"/>
                <w:szCs w:val="16"/>
              </w:rPr>
            </w:pPr>
            <w:r>
              <w:rPr>
                <w:rFonts w:cstheme="minorHAnsi"/>
                <w:sz w:val="16"/>
                <w:szCs w:val="16"/>
              </w:rPr>
              <w:t>Izrađena metodologija o procjeni učinkovitosti mjera za sprječavanje nastanka biootpada</w:t>
            </w:r>
          </w:p>
        </w:tc>
        <w:tc>
          <w:tcPr>
            <w:tcW w:w="986" w:type="dxa"/>
            <w:tcBorders>
              <w:top w:val="single" w:sz="4" w:space="0" w:color="auto"/>
              <w:left w:val="single" w:sz="4" w:space="0" w:color="auto"/>
              <w:bottom w:val="single" w:sz="4" w:space="0" w:color="auto"/>
              <w:right w:val="single" w:sz="4" w:space="0" w:color="auto"/>
            </w:tcBorders>
            <w:vAlign w:val="center"/>
            <w:hideMark/>
          </w:tcPr>
          <w:p w14:paraId="0A5FD88E"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1A037816"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vAlign w:val="center"/>
          </w:tcPr>
          <w:p w14:paraId="122295D3"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3DA6B1C" w14:textId="77777777" w:rsidR="00AE6341" w:rsidRDefault="00AE6341">
            <w:pPr>
              <w:rPr>
                <w:rFonts w:cstheme="minorHAnsi"/>
                <w:sz w:val="16"/>
                <w:szCs w:val="16"/>
              </w:rPr>
            </w:pPr>
            <w:r>
              <w:rPr>
                <w:rFonts w:cstheme="minorHAnsi"/>
                <w:sz w:val="16"/>
                <w:szCs w:val="16"/>
              </w:rPr>
              <w:t>4K</w:t>
            </w:r>
          </w:p>
        </w:tc>
        <w:tc>
          <w:tcPr>
            <w:tcW w:w="567" w:type="dxa"/>
            <w:tcBorders>
              <w:top w:val="single" w:sz="4" w:space="0" w:color="auto"/>
              <w:left w:val="single" w:sz="4" w:space="0" w:color="auto"/>
              <w:bottom w:val="single" w:sz="4" w:space="0" w:color="auto"/>
              <w:right w:val="single" w:sz="4" w:space="0" w:color="auto"/>
            </w:tcBorders>
            <w:vAlign w:val="center"/>
          </w:tcPr>
          <w:p w14:paraId="7D4BF87F"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6890C7B"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2B0BDB3"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16A4EE6" w14:textId="77777777" w:rsidR="00AE6341" w:rsidRDefault="00AE6341">
            <w:pPr>
              <w:rPr>
                <w:rFonts w:cstheme="minorHAnsi"/>
                <w:sz w:val="16"/>
                <w:szCs w:val="16"/>
              </w:rPr>
            </w:pPr>
          </w:p>
        </w:tc>
      </w:tr>
      <w:tr w:rsidR="00AE6341" w14:paraId="5979536C"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C4665A" w14:textId="77777777" w:rsidR="00AE6341" w:rsidRDefault="00AE6341">
            <w:pPr>
              <w:rPr>
                <w:rFonts w:cstheme="minorHAnsi"/>
                <w:b/>
                <w:bCs/>
                <w:sz w:val="16"/>
                <w:szCs w:val="16"/>
              </w:rPr>
            </w:pPr>
            <w:r>
              <w:rPr>
                <w:rFonts w:cstheme="minorHAnsi"/>
                <w:b/>
                <w:bCs/>
                <w:sz w:val="16"/>
                <w:szCs w:val="16"/>
              </w:rPr>
              <w:t>A 3.4.</w:t>
            </w:r>
          </w:p>
        </w:tc>
        <w:tc>
          <w:tcPr>
            <w:tcW w:w="5806" w:type="dxa"/>
            <w:tcBorders>
              <w:top w:val="single" w:sz="4" w:space="0" w:color="auto"/>
              <w:left w:val="single" w:sz="4" w:space="0" w:color="auto"/>
              <w:bottom w:val="single" w:sz="4" w:space="0" w:color="auto"/>
              <w:right w:val="single" w:sz="4" w:space="0" w:color="auto"/>
            </w:tcBorders>
            <w:vAlign w:val="center"/>
            <w:hideMark/>
          </w:tcPr>
          <w:p w14:paraId="2B973615" w14:textId="77777777" w:rsidR="00AE6341" w:rsidRDefault="00AE6341">
            <w:pPr>
              <w:rPr>
                <w:rFonts w:cstheme="minorHAnsi"/>
                <w:sz w:val="16"/>
                <w:szCs w:val="16"/>
              </w:rPr>
            </w:pPr>
            <w:r>
              <w:rPr>
                <w:rFonts w:cstheme="minorHAnsi"/>
                <w:sz w:val="16"/>
                <w:szCs w:val="16"/>
              </w:rPr>
              <w:t xml:space="preserve">Projekt procjene učinkovitosti mjere sprječavanja nastajanja biootpada putem kućnih </w:t>
            </w:r>
            <w:proofErr w:type="spellStart"/>
            <w:r>
              <w:rPr>
                <w:rFonts w:cstheme="minorHAnsi"/>
                <w:sz w:val="16"/>
                <w:szCs w:val="16"/>
              </w:rPr>
              <w:t>kompostera</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63027D9F"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9A2D3A" w14:textId="77777777" w:rsidR="00AE6341" w:rsidRDefault="00AE6341">
            <w:pPr>
              <w:rPr>
                <w:rFonts w:cstheme="minorHAnsi"/>
                <w:sz w:val="16"/>
                <w:szCs w:val="16"/>
              </w:rPr>
            </w:pPr>
            <w:r>
              <w:rPr>
                <w:rFonts w:cstheme="minorHAnsi"/>
                <w:sz w:val="16"/>
                <w:szCs w:val="16"/>
              </w:rPr>
              <w:t>JLS</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42C5FC90" w14:textId="77777777" w:rsidR="00AE6341" w:rsidRDefault="00AE6341">
            <w:pPr>
              <w:rPr>
                <w:rFonts w:cstheme="minorHAnsi"/>
                <w:sz w:val="16"/>
                <w:szCs w:val="16"/>
              </w:rPr>
            </w:pPr>
            <w:r>
              <w:rPr>
                <w:rFonts w:cstheme="minorHAnsi"/>
                <w:sz w:val="16"/>
                <w:szCs w:val="16"/>
              </w:rPr>
              <w:t>MINGOR/FZOEU/EU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076E8C5" w14:textId="77777777" w:rsidR="00AE6341" w:rsidRDefault="00AE6341">
            <w:pPr>
              <w:rPr>
                <w:rFonts w:cstheme="minorHAnsi"/>
                <w:sz w:val="16"/>
                <w:szCs w:val="16"/>
              </w:rPr>
            </w:pPr>
            <w:r>
              <w:rPr>
                <w:rFonts w:cstheme="minorHAnsi"/>
                <w:sz w:val="16"/>
                <w:szCs w:val="16"/>
              </w:rPr>
              <w:t xml:space="preserve">Proveden projekt procjene učinkovitosti mjere sprječavanja nastajanja biootpada putem kućnih </w:t>
            </w:r>
            <w:proofErr w:type="spellStart"/>
            <w:r>
              <w:rPr>
                <w:rFonts w:cstheme="minorHAnsi"/>
                <w:sz w:val="16"/>
                <w:szCs w:val="16"/>
              </w:rPr>
              <w:t>kompostera</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2CCC99D8"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4036C9DD"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vAlign w:val="center"/>
          </w:tcPr>
          <w:p w14:paraId="10EAE753"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1EB90BEF"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C0B8CD1" w14:textId="77777777" w:rsidR="00AE6341" w:rsidRDefault="00AE6341">
            <w:pPr>
              <w:rPr>
                <w:rFonts w:cstheme="minorHAnsi"/>
                <w:sz w:val="16"/>
                <w:szCs w:val="16"/>
              </w:rPr>
            </w:pPr>
            <w:r>
              <w:rPr>
                <w:rFonts w:cstheme="minorHAnsi"/>
                <w:sz w:val="16"/>
                <w:szCs w:val="16"/>
              </w:rPr>
              <w:t>4K</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2260239"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7300572"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84DBDDA" w14:textId="77777777" w:rsidR="00AE6341" w:rsidRDefault="00AE6341">
            <w:pPr>
              <w:rPr>
                <w:rFonts w:cstheme="minorHAnsi"/>
                <w:sz w:val="16"/>
                <w:szCs w:val="16"/>
              </w:rPr>
            </w:pPr>
          </w:p>
        </w:tc>
      </w:tr>
      <w:tr w:rsidR="00AE6341" w14:paraId="05F37E20"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1E82408F" w14:textId="77777777" w:rsidR="00AE6341" w:rsidRDefault="00AE6341">
            <w:pPr>
              <w:jc w:val="center"/>
              <w:rPr>
                <w:rFonts w:cstheme="minorHAnsi"/>
                <w:b/>
                <w:bCs/>
                <w:sz w:val="16"/>
                <w:szCs w:val="16"/>
              </w:rPr>
            </w:pPr>
            <w:r>
              <w:rPr>
                <w:rFonts w:cstheme="minorHAnsi"/>
                <w:b/>
                <w:bCs/>
                <w:sz w:val="16"/>
                <w:szCs w:val="16"/>
              </w:rPr>
              <w:t>Mjera 4. Promicanje kućnog kompostiranja</w:t>
            </w:r>
          </w:p>
        </w:tc>
      </w:tr>
      <w:tr w:rsidR="00AE6341" w14:paraId="6CE21517"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3A52BC" w14:textId="77777777" w:rsidR="00AE6341" w:rsidRDefault="00AE6341">
            <w:pPr>
              <w:rPr>
                <w:rFonts w:cstheme="minorHAnsi"/>
                <w:b/>
                <w:bCs/>
                <w:sz w:val="16"/>
                <w:szCs w:val="16"/>
              </w:rPr>
            </w:pPr>
            <w:r>
              <w:rPr>
                <w:rFonts w:cstheme="minorHAnsi"/>
                <w:b/>
                <w:bCs/>
                <w:sz w:val="16"/>
                <w:szCs w:val="16"/>
              </w:rPr>
              <w:t>A 4.1.</w:t>
            </w:r>
          </w:p>
        </w:tc>
        <w:tc>
          <w:tcPr>
            <w:tcW w:w="5806" w:type="dxa"/>
            <w:tcBorders>
              <w:top w:val="single" w:sz="4" w:space="0" w:color="auto"/>
              <w:left w:val="single" w:sz="4" w:space="0" w:color="auto"/>
              <w:bottom w:val="single" w:sz="4" w:space="0" w:color="auto"/>
              <w:right w:val="single" w:sz="4" w:space="0" w:color="auto"/>
            </w:tcBorders>
            <w:vAlign w:val="center"/>
            <w:hideMark/>
          </w:tcPr>
          <w:p w14:paraId="7D84F094" w14:textId="77777777" w:rsidR="00AE6341" w:rsidRDefault="00AE6341">
            <w:pPr>
              <w:rPr>
                <w:rFonts w:cstheme="minorHAnsi"/>
                <w:sz w:val="16"/>
                <w:szCs w:val="16"/>
              </w:rPr>
            </w:pPr>
            <w:r>
              <w:rPr>
                <w:rFonts w:cstheme="minorHAnsi"/>
                <w:sz w:val="16"/>
                <w:szCs w:val="16"/>
              </w:rPr>
              <w:t xml:space="preserve">Nabava i distribucija kućnih </w:t>
            </w:r>
            <w:proofErr w:type="spellStart"/>
            <w:r>
              <w:rPr>
                <w:rFonts w:cstheme="minorHAnsi"/>
                <w:sz w:val="16"/>
                <w:szCs w:val="16"/>
              </w:rPr>
              <w:t>kompostera</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700E4863" w14:textId="77777777" w:rsidR="00AE6341" w:rsidRDefault="00AE6341">
            <w:pPr>
              <w:rPr>
                <w:rFonts w:cstheme="minorHAnsi"/>
                <w:sz w:val="16"/>
                <w:szCs w:val="16"/>
              </w:rPr>
            </w:pPr>
            <w:r>
              <w:rPr>
                <w:rFonts w:cstheme="minorHAnsi"/>
                <w:sz w:val="16"/>
                <w:szCs w:val="16"/>
              </w:rPr>
              <w:t>JLS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FBEA15" w14:textId="77777777" w:rsidR="00AE6341" w:rsidRDefault="00AE6341">
            <w:pPr>
              <w:rPr>
                <w:rFonts w:cstheme="minorHAnsi"/>
                <w:sz w:val="16"/>
                <w:szCs w:val="16"/>
              </w:rPr>
            </w:pPr>
            <w:r>
              <w:rPr>
                <w:rFonts w:cstheme="minorHAnsi"/>
                <w:sz w:val="16"/>
                <w:szCs w:val="16"/>
              </w:rPr>
              <w:t>FZOEU</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51502C07" w14:textId="77777777" w:rsidR="00AE6341" w:rsidRDefault="00AE6341">
            <w:pPr>
              <w:rPr>
                <w:rFonts w:cstheme="minorHAnsi"/>
                <w:sz w:val="16"/>
                <w:szCs w:val="16"/>
              </w:rPr>
            </w:pPr>
            <w:r>
              <w:rPr>
                <w:rFonts w:cstheme="minorHAnsi"/>
                <w:sz w:val="16"/>
                <w:szCs w:val="16"/>
              </w:rPr>
              <w:t>JLS/FZOEU/EU</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0BB5E0E3" w14:textId="77777777" w:rsidR="00AE6341" w:rsidRDefault="00AE6341">
            <w:pPr>
              <w:rPr>
                <w:rFonts w:cstheme="minorHAnsi"/>
                <w:sz w:val="16"/>
                <w:szCs w:val="16"/>
              </w:rPr>
            </w:pPr>
            <w:r>
              <w:rPr>
                <w:rFonts w:cstheme="minorHAnsi"/>
                <w:sz w:val="16"/>
                <w:szCs w:val="16"/>
              </w:rPr>
              <w:t>JLS-a koje promoviraju i provode kućno kompostiranje</w:t>
            </w:r>
          </w:p>
        </w:tc>
        <w:tc>
          <w:tcPr>
            <w:tcW w:w="986" w:type="dxa"/>
            <w:vMerge w:val="restart"/>
            <w:tcBorders>
              <w:top w:val="single" w:sz="4" w:space="0" w:color="auto"/>
              <w:left w:val="single" w:sz="4" w:space="0" w:color="auto"/>
              <w:bottom w:val="single" w:sz="4" w:space="0" w:color="auto"/>
              <w:right w:val="single" w:sz="4" w:space="0" w:color="auto"/>
            </w:tcBorders>
            <w:vAlign w:val="center"/>
            <w:hideMark/>
          </w:tcPr>
          <w:p w14:paraId="5B811DDC" w14:textId="77777777" w:rsidR="00AE6341" w:rsidRDefault="00AE6341">
            <w:pPr>
              <w:rPr>
                <w:rFonts w:cstheme="minorHAnsi"/>
                <w:sz w:val="16"/>
                <w:szCs w:val="16"/>
              </w:rPr>
            </w:pPr>
            <w:r>
              <w:rPr>
                <w:rFonts w:cstheme="minorHAnsi"/>
                <w:sz w:val="16"/>
                <w:szCs w:val="16"/>
              </w:rPr>
              <w:t>Broj</w:t>
            </w:r>
          </w:p>
        </w:tc>
        <w:tc>
          <w:tcPr>
            <w:tcW w:w="1004" w:type="dxa"/>
            <w:vMerge w:val="restart"/>
            <w:tcBorders>
              <w:top w:val="single" w:sz="4" w:space="0" w:color="auto"/>
              <w:left w:val="single" w:sz="4" w:space="0" w:color="auto"/>
              <w:bottom w:val="single" w:sz="4" w:space="0" w:color="auto"/>
              <w:right w:val="single" w:sz="4" w:space="0" w:color="auto"/>
            </w:tcBorders>
            <w:vAlign w:val="center"/>
            <w:hideMark/>
          </w:tcPr>
          <w:p w14:paraId="03636003" w14:textId="77777777" w:rsidR="00AE6341" w:rsidRDefault="00AE6341">
            <w:pPr>
              <w:jc w:val="center"/>
              <w:rPr>
                <w:rFonts w:cstheme="minorHAnsi"/>
                <w:sz w:val="16"/>
                <w:szCs w:val="16"/>
              </w:rPr>
            </w:pPr>
            <w:r>
              <w:rPr>
                <w:rFonts w:cstheme="minorHAnsi"/>
                <w:sz w:val="16"/>
                <w:szCs w:val="16"/>
              </w:rPr>
              <w:t>300 (50 godišnje)</w:t>
            </w:r>
          </w:p>
        </w:tc>
        <w:tc>
          <w:tcPr>
            <w:tcW w:w="557"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666F376" w14:textId="77777777" w:rsidR="00AE6341" w:rsidRDefault="00AE6341">
            <w:pPr>
              <w:rPr>
                <w:rFonts w:cstheme="minorHAnsi"/>
                <w:sz w:val="16"/>
                <w:szCs w:val="16"/>
              </w:rPr>
            </w:pPr>
          </w:p>
        </w:tc>
        <w:tc>
          <w:tcPr>
            <w:tcW w:w="572"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696BB54" w14:textId="77777777" w:rsidR="00AE6341" w:rsidRDefault="00AE6341">
            <w:pPr>
              <w:rPr>
                <w:rFonts w:cstheme="minorHAnsi"/>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F9D479A" w14:textId="77777777" w:rsidR="00AE6341" w:rsidRDefault="00AE6341">
            <w:pPr>
              <w:rPr>
                <w:rFonts w:cstheme="minorHAnsi"/>
                <w:sz w:val="16"/>
                <w:szCs w:val="16"/>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FD0C0BA" w14:textId="77777777" w:rsidR="00AE6341" w:rsidRDefault="00AE6341">
            <w:pPr>
              <w:rPr>
                <w:rFonts w:cstheme="minorHAnsi"/>
                <w:sz w:val="16"/>
                <w:szCs w:val="16"/>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67E7AFB" w14:textId="77777777" w:rsidR="00AE6341" w:rsidRDefault="00AE6341">
            <w:pPr>
              <w:rPr>
                <w:rFonts w:cstheme="minorHAnsi"/>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D40E019" w14:textId="77777777" w:rsidR="00AE6341" w:rsidRDefault="00AE6341">
            <w:pPr>
              <w:rPr>
                <w:rFonts w:cstheme="minorHAnsi"/>
                <w:sz w:val="16"/>
                <w:szCs w:val="16"/>
              </w:rPr>
            </w:pPr>
          </w:p>
        </w:tc>
      </w:tr>
      <w:tr w:rsidR="00AE6341" w14:paraId="3A95CC05"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5016DB" w14:textId="77777777" w:rsidR="00AE6341" w:rsidRDefault="00AE6341">
            <w:pPr>
              <w:rPr>
                <w:rFonts w:cstheme="minorHAnsi"/>
                <w:b/>
                <w:bCs/>
                <w:sz w:val="16"/>
                <w:szCs w:val="16"/>
              </w:rPr>
            </w:pPr>
            <w:r>
              <w:rPr>
                <w:rFonts w:cstheme="minorHAnsi"/>
                <w:b/>
                <w:bCs/>
                <w:sz w:val="16"/>
                <w:szCs w:val="16"/>
              </w:rPr>
              <w:t>A 4.2.</w:t>
            </w:r>
          </w:p>
        </w:tc>
        <w:tc>
          <w:tcPr>
            <w:tcW w:w="5806" w:type="dxa"/>
            <w:tcBorders>
              <w:top w:val="single" w:sz="4" w:space="0" w:color="auto"/>
              <w:left w:val="single" w:sz="4" w:space="0" w:color="auto"/>
              <w:bottom w:val="single" w:sz="4" w:space="0" w:color="auto"/>
              <w:right w:val="single" w:sz="4" w:space="0" w:color="auto"/>
            </w:tcBorders>
            <w:vAlign w:val="center"/>
            <w:hideMark/>
          </w:tcPr>
          <w:p w14:paraId="7389A101" w14:textId="77777777" w:rsidR="00AE6341" w:rsidRDefault="00AE6341">
            <w:pPr>
              <w:rPr>
                <w:rFonts w:cstheme="minorHAnsi"/>
                <w:sz w:val="16"/>
                <w:szCs w:val="16"/>
              </w:rPr>
            </w:pPr>
            <w:r>
              <w:rPr>
                <w:rFonts w:cstheme="minorHAnsi"/>
                <w:sz w:val="16"/>
                <w:szCs w:val="16"/>
              </w:rPr>
              <w:t>Izrada edukacijsko informativnih materijala</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F28E37" w14:textId="77777777" w:rsidR="00AE6341" w:rsidRDefault="00AE6341">
            <w:pPr>
              <w:rPr>
                <w:rFonts w:cstheme="minorHAnsi"/>
                <w:sz w:val="16"/>
                <w:szCs w:val="16"/>
              </w:rPr>
            </w:pPr>
            <w:r>
              <w:rPr>
                <w:rFonts w:cstheme="minorHAnsi"/>
                <w:sz w:val="16"/>
                <w:szCs w:val="16"/>
              </w:rPr>
              <w:t>JLS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46885B" w14:textId="77777777" w:rsidR="00AE6341" w:rsidRDefault="00AE6341">
            <w:pPr>
              <w:rPr>
                <w:rFonts w:cstheme="minorHAnsi"/>
                <w:sz w:val="16"/>
                <w:szCs w:val="16"/>
              </w:rPr>
            </w:pPr>
            <w:r>
              <w:rPr>
                <w:rFonts w:cstheme="minorHAnsi"/>
                <w:sz w:val="16"/>
                <w:szCs w:val="16"/>
              </w:rPr>
              <w:t>FZOEU</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19E9E3A1" w14:textId="77777777" w:rsidR="00AE6341" w:rsidRDefault="00AE6341">
            <w:pPr>
              <w:rPr>
                <w:rFonts w:cstheme="minorHAnsi"/>
                <w:sz w:val="16"/>
                <w:szCs w:val="16"/>
              </w:rPr>
            </w:pPr>
            <w:r>
              <w:rPr>
                <w:rFonts w:cstheme="minorHAnsi"/>
                <w:sz w:val="16"/>
                <w:szCs w:val="16"/>
              </w:rPr>
              <w:t>JLS/FZOEU/EU</w:t>
            </w:r>
          </w:p>
        </w:tc>
        <w:tc>
          <w:tcPr>
            <w:tcW w:w="6951" w:type="dxa"/>
            <w:vMerge/>
            <w:tcBorders>
              <w:top w:val="single" w:sz="4" w:space="0" w:color="auto"/>
              <w:left w:val="single" w:sz="4" w:space="0" w:color="auto"/>
              <w:bottom w:val="single" w:sz="4" w:space="0" w:color="auto"/>
              <w:right w:val="single" w:sz="4" w:space="0" w:color="auto"/>
            </w:tcBorders>
            <w:vAlign w:val="center"/>
            <w:hideMark/>
          </w:tcPr>
          <w:p w14:paraId="3CCE566E" w14:textId="77777777" w:rsidR="00AE6341" w:rsidRDefault="00AE6341">
            <w:pPr>
              <w:jc w:val="left"/>
              <w:rPr>
                <w:rFonts w:cstheme="minorHAnsi"/>
                <w:sz w:val="16"/>
                <w:szCs w:val="16"/>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52D6839D" w14:textId="77777777" w:rsidR="00AE6341" w:rsidRDefault="00AE6341">
            <w:pPr>
              <w:jc w:val="left"/>
              <w:rPr>
                <w:rFonts w:cstheme="minorHAnsi"/>
                <w:sz w:val="16"/>
                <w:szCs w:val="16"/>
              </w:rPr>
            </w:pPr>
          </w:p>
        </w:tc>
        <w:tc>
          <w:tcPr>
            <w:tcW w:w="1004" w:type="dxa"/>
            <w:vMerge/>
            <w:tcBorders>
              <w:top w:val="single" w:sz="4" w:space="0" w:color="auto"/>
              <w:left w:val="single" w:sz="4" w:space="0" w:color="auto"/>
              <w:bottom w:val="single" w:sz="4" w:space="0" w:color="auto"/>
              <w:right w:val="single" w:sz="4" w:space="0" w:color="auto"/>
            </w:tcBorders>
            <w:vAlign w:val="center"/>
            <w:hideMark/>
          </w:tcPr>
          <w:p w14:paraId="0A840D15" w14:textId="77777777" w:rsidR="00AE6341" w:rsidRDefault="00AE6341">
            <w:pPr>
              <w:jc w:val="left"/>
              <w:rPr>
                <w:rFonts w:cstheme="minorHAnsi"/>
                <w:sz w:val="16"/>
                <w:szCs w:val="16"/>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06F69974" w14:textId="77777777" w:rsidR="00AE6341" w:rsidRDefault="00AE6341">
            <w:pPr>
              <w:jc w:val="left"/>
              <w:rPr>
                <w:rFonts w:cstheme="minorHAnsi"/>
                <w:sz w:val="16"/>
                <w:szCs w:val="16"/>
              </w:rPr>
            </w:pPr>
          </w:p>
        </w:tc>
        <w:tc>
          <w:tcPr>
            <w:tcW w:w="1137" w:type="dxa"/>
            <w:gridSpan w:val="2"/>
            <w:vMerge/>
            <w:tcBorders>
              <w:top w:val="single" w:sz="4" w:space="0" w:color="auto"/>
              <w:left w:val="single" w:sz="4" w:space="0" w:color="auto"/>
              <w:bottom w:val="single" w:sz="4" w:space="0" w:color="auto"/>
              <w:right w:val="single" w:sz="4" w:space="0" w:color="auto"/>
            </w:tcBorders>
            <w:vAlign w:val="center"/>
            <w:hideMark/>
          </w:tcPr>
          <w:p w14:paraId="3D699ACF" w14:textId="77777777" w:rsidR="00AE6341" w:rsidRDefault="00AE6341">
            <w:pPr>
              <w:jc w:val="left"/>
              <w:rPr>
                <w:rFonts w:cstheme="minorHAnsi"/>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764BC5C" w14:textId="77777777" w:rsidR="00AE6341" w:rsidRDefault="00AE6341">
            <w:pPr>
              <w:jc w:val="left"/>
              <w:rPr>
                <w:rFonts w:cstheme="minorHAnsi"/>
                <w:sz w:val="16"/>
                <w:szCs w:val="16"/>
              </w:rPr>
            </w:pPr>
          </w:p>
        </w:tc>
        <w:tc>
          <w:tcPr>
            <w:tcW w:w="1127" w:type="dxa"/>
            <w:gridSpan w:val="2"/>
            <w:vMerge/>
            <w:tcBorders>
              <w:top w:val="single" w:sz="4" w:space="0" w:color="auto"/>
              <w:left w:val="single" w:sz="4" w:space="0" w:color="auto"/>
              <w:bottom w:val="single" w:sz="4" w:space="0" w:color="auto"/>
              <w:right w:val="single" w:sz="4" w:space="0" w:color="auto"/>
            </w:tcBorders>
            <w:vAlign w:val="center"/>
            <w:hideMark/>
          </w:tcPr>
          <w:p w14:paraId="0E9AE200" w14:textId="77777777" w:rsidR="00AE6341" w:rsidRDefault="00AE6341">
            <w:pPr>
              <w:jc w:val="left"/>
              <w:rPr>
                <w:rFonts w:cstheme="minorHAnsi"/>
                <w:sz w:val="16"/>
                <w:szCs w:val="16"/>
              </w:rPr>
            </w:pPr>
          </w:p>
        </w:tc>
        <w:tc>
          <w:tcPr>
            <w:tcW w:w="1148" w:type="dxa"/>
            <w:gridSpan w:val="2"/>
            <w:vMerge/>
            <w:tcBorders>
              <w:top w:val="single" w:sz="4" w:space="0" w:color="auto"/>
              <w:left w:val="single" w:sz="4" w:space="0" w:color="auto"/>
              <w:bottom w:val="single" w:sz="4" w:space="0" w:color="auto"/>
              <w:right w:val="single" w:sz="4" w:space="0" w:color="auto"/>
            </w:tcBorders>
            <w:vAlign w:val="center"/>
            <w:hideMark/>
          </w:tcPr>
          <w:p w14:paraId="66DCE5E6" w14:textId="77777777" w:rsidR="00AE6341" w:rsidRDefault="00AE6341">
            <w:pPr>
              <w:jc w:val="left"/>
              <w:rPr>
                <w:rFonts w:cstheme="minorHAnsi"/>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36CA8D5" w14:textId="77777777" w:rsidR="00AE6341" w:rsidRDefault="00AE6341">
            <w:pPr>
              <w:jc w:val="left"/>
              <w:rPr>
                <w:rFonts w:cstheme="minorHAnsi"/>
                <w:sz w:val="16"/>
                <w:szCs w:val="16"/>
              </w:rPr>
            </w:pPr>
          </w:p>
        </w:tc>
      </w:tr>
      <w:tr w:rsidR="00AE6341" w14:paraId="3DADF572"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C0B116" w14:textId="77777777" w:rsidR="00AE6341" w:rsidRDefault="00AE6341">
            <w:pPr>
              <w:rPr>
                <w:rFonts w:cstheme="minorHAnsi"/>
                <w:b/>
                <w:bCs/>
                <w:sz w:val="16"/>
                <w:szCs w:val="16"/>
              </w:rPr>
            </w:pPr>
            <w:r>
              <w:rPr>
                <w:rFonts w:cstheme="minorHAnsi"/>
                <w:b/>
                <w:bCs/>
                <w:sz w:val="16"/>
                <w:szCs w:val="16"/>
              </w:rPr>
              <w:t>A 4.2.</w:t>
            </w:r>
          </w:p>
        </w:tc>
        <w:tc>
          <w:tcPr>
            <w:tcW w:w="5806" w:type="dxa"/>
            <w:tcBorders>
              <w:top w:val="single" w:sz="4" w:space="0" w:color="auto"/>
              <w:left w:val="single" w:sz="4" w:space="0" w:color="auto"/>
              <w:bottom w:val="single" w:sz="4" w:space="0" w:color="auto"/>
              <w:right w:val="single" w:sz="4" w:space="0" w:color="auto"/>
            </w:tcBorders>
            <w:vAlign w:val="center"/>
            <w:hideMark/>
          </w:tcPr>
          <w:p w14:paraId="3E566798" w14:textId="77777777" w:rsidR="00AE6341" w:rsidRDefault="00AE6341">
            <w:pPr>
              <w:rPr>
                <w:rFonts w:cstheme="minorHAnsi"/>
                <w:sz w:val="16"/>
                <w:szCs w:val="16"/>
              </w:rPr>
            </w:pPr>
            <w:r>
              <w:rPr>
                <w:rFonts w:cstheme="minorHAnsi"/>
                <w:sz w:val="16"/>
                <w:szCs w:val="16"/>
              </w:rPr>
              <w:t>Organizaciju edukacijsko informativnih aktivnosti i događanja</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D0FA74" w14:textId="77777777" w:rsidR="00AE6341" w:rsidRDefault="00AE6341">
            <w:pPr>
              <w:rPr>
                <w:rFonts w:cstheme="minorHAnsi"/>
                <w:sz w:val="16"/>
                <w:szCs w:val="16"/>
              </w:rPr>
            </w:pPr>
            <w:r>
              <w:rPr>
                <w:rFonts w:cstheme="minorHAnsi"/>
                <w:sz w:val="16"/>
                <w:szCs w:val="16"/>
              </w:rPr>
              <w:t>JLS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24EB83" w14:textId="77777777" w:rsidR="00AE6341" w:rsidRDefault="00AE6341">
            <w:pPr>
              <w:rPr>
                <w:rFonts w:cstheme="minorHAnsi"/>
                <w:sz w:val="16"/>
                <w:szCs w:val="16"/>
              </w:rPr>
            </w:pPr>
            <w:r>
              <w:rPr>
                <w:rFonts w:cstheme="minorHAnsi"/>
                <w:sz w:val="16"/>
                <w:szCs w:val="16"/>
              </w:rPr>
              <w:t>FZOEU</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4A6BE358" w14:textId="77777777" w:rsidR="00AE6341" w:rsidRDefault="00AE6341">
            <w:pPr>
              <w:rPr>
                <w:rFonts w:cstheme="minorHAnsi"/>
                <w:sz w:val="16"/>
                <w:szCs w:val="16"/>
              </w:rPr>
            </w:pPr>
            <w:r>
              <w:rPr>
                <w:rFonts w:cstheme="minorHAnsi"/>
                <w:sz w:val="16"/>
                <w:szCs w:val="16"/>
              </w:rPr>
              <w:t>JLS/FZOEU/EU</w:t>
            </w:r>
          </w:p>
        </w:tc>
        <w:tc>
          <w:tcPr>
            <w:tcW w:w="6951" w:type="dxa"/>
            <w:vMerge/>
            <w:tcBorders>
              <w:top w:val="single" w:sz="4" w:space="0" w:color="auto"/>
              <w:left w:val="single" w:sz="4" w:space="0" w:color="auto"/>
              <w:bottom w:val="single" w:sz="4" w:space="0" w:color="auto"/>
              <w:right w:val="single" w:sz="4" w:space="0" w:color="auto"/>
            </w:tcBorders>
            <w:vAlign w:val="center"/>
            <w:hideMark/>
          </w:tcPr>
          <w:p w14:paraId="27FD903F" w14:textId="77777777" w:rsidR="00AE6341" w:rsidRDefault="00AE6341">
            <w:pPr>
              <w:jc w:val="left"/>
              <w:rPr>
                <w:rFonts w:cstheme="minorHAnsi"/>
                <w:sz w:val="16"/>
                <w:szCs w:val="16"/>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45937C3B" w14:textId="77777777" w:rsidR="00AE6341" w:rsidRDefault="00AE6341">
            <w:pPr>
              <w:jc w:val="left"/>
              <w:rPr>
                <w:rFonts w:cstheme="minorHAnsi"/>
                <w:sz w:val="16"/>
                <w:szCs w:val="16"/>
              </w:rPr>
            </w:pPr>
          </w:p>
        </w:tc>
        <w:tc>
          <w:tcPr>
            <w:tcW w:w="1004" w:type="dxa"/>
            <w:vMerge/>
            <w:tcBorders>
              <w:top w:val="single" w:sz="4" w:space="0" w:color="auto"/>
              <w:left w:val="single" w:sz="4" w:space="0" w:color="auto"/>
              <w:bottom w:val="single" w:sz="4" w:space="0" w:color="auto"/>
              <w:right w:val="single" w:sz="4" w:space="0" w:color="auto"/>
            </w:tcBorders>
            <w:vAlign w:val="center"/>
            <w:hideMark/>
          </w:tcPr>
          <w:p w14:paraId="4611B7E1" w14:textId="77777777" w:rsidR="00AE6341" w:rsidRDefault="00AE6341">
            <w:pPr>
              <w:jc w:val="left"/>
              <w:rPr>
                <w:rFonts w:cstheme="minorHAnsi"/>
                <w:sz w:val="16"/>
                <w:szCs w:val="16"/>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30C8016A" w14:textId="77777777" w:rsidR="00AE6341" w:rsidRDefault="00AE6341">
            <w:pPr>
              <w:jc w:val="left"/>
              <w:rPr>
                <w:rFonts w:cstheme="minorHAnsi"/>
                <w:sz w:val="16"/>
                <w:szCs w:val="16"/>
              </w:rPr>
            </w:pPr>
          </w:p>
        </w:tc>
        <w:tc>
          <w:tcPr>
            <w:tcW w:w="1137" w:type="dxa"/>
            <w:gridSpan w:val="2"/>
            <w:vMerge/>
            <w:tcBorders>
              <w:top w:val="single" w:sz="4" w:space="0" w:color="auto"/>
              <w:left w:val="single" w:sz="4" w:space="0" w:color="auto"/>
              <w:bottom w:val="single" w:sz="4" w:space="0" w:color="auto"/>
              <w:right w:val="single" w:sz="4" w:space="0" w:color="auto"/>
            </w:tcBorders>
            <w:vAlign w:val="center"/>
            <w:hideMark/>
          </w:tcPr>
          <w:p w14:paraId="03EB0EB6" w14:textId="77777777" w:rsidR="00AE6341" w:rsidRDefault="00AE6341">
            <w:pPr>
              <w:jc w:val="left"/>
              <w:rPr>
                <w:rFonts w:cstheme="minorHAnsi"/>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BA00F5E" w14:textId="77777777" w:rsidR="00AE6341" w:rsidRDefault="00AE6341">
            <w:pPr>
              <w:jc w:val="left"/>
              <w:rPr>
                <w:rFonts w:cstheme="minorHAnsi"/>
                <w:sz w:val="16"/>
                <w:szCs w:val="16"/>
              </w:rPr>
            </w:pPr>
          </w:p>
        </w:tc>
        <w:tc>
          <w:tcPr>
            <w:tcW w:w="1127" w:type="dxa"/>
            <w:gridSpan w:val="2"/>
            <w:vMerge/>
            <w:tcBorders>
              <w:top w:val="single" w:sz="4" w:space="0" w:color="auto"/>
              <w:left w:val="single" w:sz="4" w:space="0" w:color="auto"/>
              <w:bottom w:val="single" w:sz="4" w:space="0" w:color="auto"/>
              <w:right w:val="single" w:sz="4" w:space="0" w:color="auto"/>
            </w:tcBorders>
            <w:vAlign w:val="center"/>
            <w:hideMark/>
          </w:tcPr>
          <w:p w14:paraId="767A6C47" w14:textId="77777777" w:rsidR="00AE6341" w:rsidRDefault="00AE6341">
            <w:pPr>
              <w:jc w:val="left"/>
              <w:rPr>
                <w:rFonts w:cstheme="minorHAnsi"/>
                <w:sz w:val="16"/>
                <w:szCs w:val="16"/>
              </w:rPr>
            </w:pPr>
          </w:p>
        </w:tc>
        <w:tc>
          <w:tcPr>
            <w:tcW w:w="1148" w:type="dxa"/>
            <w:gridSpan w:val="2"/>
            <w:vMerge/>
            <w:tcBorders>
              <w:top w:val="single" w:sz="4" w:space="0" w:color="auto"/>
              <w:left w:val="single" w:sz="4" w:space="0" w:color="auto"/>
              <w:bottom w:val="single" w:sz="4" w:space="0" w:color="auto"/>
              <w:right w:val="single" w:sz="4" w:space="0" w:color="auto"/>
            </w:tcBorders>
            <w:vAlign w:val="center"/>
            <w:hideMark/>
          </w:tcPr>
          <w:p w14:paraId="5198C59F" w14:textId="77777777" w:rsidR="00AE6341" w:rsidRDefault="00AE6341">
            <w:pPr>
              <w:jc w:val="left"/>
              <w:rPr>
                <w:rFonts w:cstheme="minorHAnsi"/>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CE238E7" w14:textId="77777777" w:rsidR="00AE6341" w:rsidRDefault="00AE6341">
            <w:pPr>
              <w:jc w:val="left"/>
              <w:rPr>
                <w:rFonts w:cstheme="minorHAnsi"/>
                <w:sz w:val="16"/>
                <w:szCs w:val="16"/>
              </w:rPr>
            </w:pPr>
          </w:p>
        </w:tc>
      </w:tr>
      <w:tr w:rsidR="00AE6341" w14:paraId="0DCCB4F1"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55ADF63F" w14:textId="77777777" w:rsidR="00AE6341" w:rsidRDefault="00AE6341">
            <w:pPr>
              <w:jc w:val="center"/>
              <w:rPr>
                <w:rFonts w:cstheme="minorHAnsi"/>
                <w:b/>
                <w:bCs/>
                <w:color w:val="FFFFFF" w:themeColor="background1"/>
                <w:sz w:val="16"/>
                <w:szCs w:val="16"/>
              </w:rPr>
            </w:pPr>
            <w:r>
              <w:rPr>
                <w:rFonts w:cstheme="minorHAnsi"/>
                <w:b/>
                <w:bCs/>
                <w:color w:val="FFFFFF" w:themeColor="background1"/>
                <w:sz w:val="16"/>
                <w:szCs w:val="16"/>
              </w:rPr>
              <w:t>Specifični cilj: Sprječavanje nastanka plastičnog otpada i morskog otpada</w:t>
            </w:r>
          </w:p>
        </w:tc>
      </w:tr>
      <w:tr w:rsidR="00AE6341" w14:paraId="7FB1C516"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0146442B" w14:textId="77777777" w:rsidR="00AE6341" w:rsidRDefault="00AE6341">
            <w:pPr>
              <w:jc w:val="center"/>
              <w:rPr>
                <w:rFonts w:cstheme="minorHAnsi"/>
                <w:b/>
                <w:bCs/>
                <w:sz w:val="16"/>
                <w:szCs w:val="16"/>
              </w:rPr>
            </w:pPr>
            <w:bookmarkStart w:id="430" w:name="_Hlk110632772"/>
            <w:r>
              <w:rPr>
                <w:rFonts w:cstheme="minorHAnsi"/>
                <w:b/>
                <w:bCs/>
                <w:sz w:val="16"/>
                <w:szCs w:val="16"/>
              </w:rPr>
              <w:t>Mjera 5. Poticanje smanjenja potrošnje plastičnih proizvoda za jednokratnu uporabu</w:t>
            </w:r>
          </w:p>
        </w:tc>
        <w:bookmarkEnd w:id="430"/>
      </w:tr>
      <w:tr w:rsidR="00AE6341" w14:paraId="1574D7A4"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E2E849" w14:textId="77777777" w:rsidR="00AE6341" w:rsidRDefault="00AE6341">
            <w:pPr>
              <w:rPr>
                <w:rFonts w:cstheme="minorHAnsi"/>
                <w:b/>
                <w:bCs/>
                <w:sz w:val="16"/>
                <w:szCs w:val="16"/>
              </w:rPr>
            </w:pPr>
            <w:r>
              <w:rPr>
                <w:rFonts w:cstheme="minorHAnsi"/>
                <w:b/>
                <w:bCs/>
                <w:sz w:val="16"/>
                <w:szCs w:val="16"/>
              </w:rPr>
              <w:t>A 5.1.</w:t>
            </w:r>
          </w:p>
        </w:tc>
        <w:tc>
          <w:tcPr>
            <w:tcW w:w="5806" w:type="dxa"/>
            <w:tcBorders>
              <w:top w:val="single" w:sz="4" w:space="0" w:color="auto"/>
              <w:left w:val="single" w:sz="4" w:space="0" w:color="auto"/>
              <w:bottom w:val="single" w:sz="4" w:space="0" w:color="auto"/>
              <w:right w:val="single" w:sz="4" w:space="0" w:color="auto"/>
            </w:tcBorders>
            <w:vAlign w:val="center"/>
            <w:hideMark/>
          </w:tcPr>
          <w:p w14:paraId="58F6114F" w14:textId="77777777" w:rsidR="00AE6341" w:rsidRDefault="00AE6341">
            <w:pPr>
              <w:rPr>
                <w:rFonts w:cstheme="minorHAnsi"/>
                <w:sz w:val="16"/>
                <w:szCs w:val="16"/>
              </w:rPr>
            </w:pPr>
            <w:r>
              <w:rPr>
                <w:rFonts w:cstheme="minorHAnsi"/>
                <w:sz w:val="16"/>
                <w:szCs w:val="16"/>
              </w:rPr>
              <w:t>Izrada priručnika za smanjenje potrošnje plastičnih proizvoda za jednokratnu uporabu</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02E6E7"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6118A3" w14:textId="77777777" w:rsidR="00AE6341" w:rsidRDefault="00AE6341">
            <w:pPr>
              <w:rPr>
                <w:rFonts w:cstheme="minorHAnsi"/>
                <w:sz w:val="16"/>
                <w:szCs w:val="16"/>
              </w:rPr>
            </w:pPr>
            <w:r>
              <w:rPr>
                <w:rFonts w:cstheme="minorHAnsi"/>
                <w:sz w:val="16"/>
                <w:szCs w:val="16"/>
              </w:rPr>
              <w:t>FZOEU</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14FB14A3" w14:textId="77777777" w:rsidR="00AE6341" w:rsidRDefault="00AE6341">
            <w:pPr>
              <w:rPr>
                <w:rFonts w:cstheme="minorHAnsi"/>
                <w:sz w:val="16"/>
                <w:szCs w:val="16"/>
              </w:rPr>
            </w:pPr>
            <w:r>
              <w:rPr>
                <w:rFonts w:cstheme="minorHAnsi"/>
                <w:sz w:val="16"/>
                <w:szCs w:val="16"/>
              </w:rPr>
              <w:t>MINGOR/FZOEU/EU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F536882" w14:textId="77777777" w:rsidR="00AE6341" w:rsidRDefault="00AE6341">
            <w:pPr>
              <w:rPr>
                <w:rFonts w:cstheme="minorHAnsi"/>
                <w:sz w:val="16"/>
                <w:szCs w:val="16"/>
              </w:rPr>
            </w:pPr>
            <w:r>
              <w:rPr>
                <w:rFonts w:cstheme="minorHAnsi"/>
                <w:sz w:val="16"/>
                <w:szCs w:val="16"/>
              </w:rPr>
              <w:t>Izrađen priručnik za smanjenje potrošnje plastičnih proizvoda za jednokratnu uporabu</w:t>
            </w:r>
          </w:p>
        </w:tc>
        <w:tc>
          <w:tcPr>
            <w:tcW w:w="986" w:type="dxa"/>
            <w:tcBorders>
              <w:top w:val="single" w:sz="4" w:space="0" w:color="auto"/>
              <w:left w:val="single" w:sz="4" w:space="0" w:color="auto"/>
              <w:bottom w:val="single" w:sz="4" w:space="0" w:color="auto"/>
              <w:right w:val="single" w:sz="4" w:space="0" w:color="auto"/>
            </w:tcBorders>
            <w:vAlign w:val="center"/>
            <w:hideMark/>
          </w:tcPr>
          <w:p w14:paraId="3DDD4561"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CBB6158" w14:textId="77777777" w:rsidR="00AE6341" w:rsidRDefault="00AE6341">
            <w:pPr>
              <w:jc w:val="center"/>
              <w:rPr>
                <w:rFonts w:cstheme="minorHAnsi"/>
                <w:sz w:val="16"/>
                <w:szCs w:val="16"/>
              </w:rPr>
            </w:pPr>
            <w:r>
              <w:rPr>
                <w:rFonts w:cstheme="minorHAnsi"/>
                <w:sz w:val="16"/>
                <w:szCs w:val="16"/>
              </w:rPr>
              <w:t>2</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B925544"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7DE0BE9"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BCD60"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2ACA6"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62ECD"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E47CA" w14:textId="77777777" w:rsidR="00AE6341" w:rsidRDefault="00AE6341">
            <w:pPr>
              <w:rPr>
                <w:rFonts w:cstheme="minorHAnsi"/>
                <w:sz w:val="16"/>
                <w:szCs w:val="16"/>
              </w:rPr>
            </w:pPr>
          </w:p>
        </w:tc>
      </w:tr>
      <w:tr w:rsidR="00AE6341" w14:paraId="1B87C837"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E817E74" w14:textId="77777777" w:rsidR="00AE6341" w:rsidRDefault="00AE6341">
            <w:pPr>
              <w:rPr>
                <w:rFonts w:cstheme="minorHAnsi"/>
                <w:b/>
                <w:bCs/>
                <w:sz w:val="16"/>
                <w:szCs w:val="16"/>
              </w:rPr>
            </w:pPr>
            <w:r>
              <w:rPr>
                <w:rFonts w:cstheme="minorHAnsi"/>
                <w:b/>
                <w:bCs/>
                <w:sz w:val="16"/>
                <w:szCs w:val="16"/>
              </w:rPr>
              <w:t>A 5.2.</w:t>
            </w:r>
          </w:p>
        </w:tc>
        <w:tc>
          <w:tcPr>
            <w:tcW w:w="5806" w:type="dxa"/>
            <w:tcBorders>
              <w:top w:val="single" w:sz="4" w:space="0" w:color="auto"/>
              <w:left w:val="single" w:sz="4" w:space="0" w:color="auto"/>
              <w:bottom w:val="single" w:sz="4" w:space="0" w:color="auto"/>
              <w:right w:val="single" w:sz="4" w:space="0" w:color="auto"/>
            </w:tcBorders>
            <w:vAlign w:val="center"/>
            <w:hideMark/>
          </w:tcPr>
          <w:p w14:paraId="08DCF3BF" w14:textId="77777777" w:rsidR="00AE6341" w:rsidRDefault="00AE6341">
            <w:pPr>
              <w:rPr>
                <w:rFonts w:cstheme="minorHAnsi"/>
                <w:sz w:val="16"/>
                <w:szCs w:val="16"/>
              </w:rPr>
            </w:pPr>
            <w:r>
              <w:rPr>
                <w:rFonts w:cstheme="minorHAnsi"/>
                <w:sz w:val="16"/>
                <w:szCs w:val="16"/>
              </w:rPr>
              <w:t>Unaprjeđenje sustava smanjenja potrošnje vrlo laganih plastičnih vrećica za nošenje</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7FA46E"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D3D2B8" w14:textId="77777777" w:rsidR="00AE6341" w:rsidRDefault="00AE6341">
            <w:pPr>
              <w:rPr>
                <w:rFonts w:cstheme="minorHAnsi"/>
                <w:sz w:val="16"/>
                <w:szCs w:val="16"/>
              </w:rPr>
            </w:pPr>
            <w:r>
              <w:rPr>
                <w:rFonts w:cstheme="minorHAnsi"/>
                <w:sz w:val="16"/>
                <w:szCs w:val="16"/>
              </w:rPr>
              <w:t>FZOEU</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1F47D6FB" w14:textId="77777777" w:rsidR="00AE6341" w:rsidRDefault="00AE6341">
            <w:pPr>
              <w:rPr>
                <w:rFonts w:cstheme="minorHAnsi"/>
                <w:sz w:val="16"/>
                <w:szCs w:val="16"/>
              </w:rPr>
            </w:pPr>
            <w:r>
              <w:rPr>
                <w:rFonts w:cstheme="minorHAnsi"/>
                <w:sz w:val="16"/>
                <w:szCs w:val="16"/>
              </w:rPr>
              <w:t>MINGOR/FZOEU/EU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20F11A9" w14:textId="77777777" w:rsidR="00AE6341" w:rsidRDefault="00AE6341">
            <w:pPr>
              <w:rPr>
                <w:rFonts w:cstheme="minorHAnsi"/>
                <w:sz w:val="16"/>
                <w:szCs w:val="16"/>
              </w:rPr>
            </w:pPr>
            <w:r>
              <w:rPr>
                <w:rFonts w:cstheme="minorHAnsi"/>
                <w:sz w:val="16"/>
                <w:szCs w:val="16"/>
              </w:rPr>
              <w:t>Smanjena količina vrlo laganih plastičnih vrećica za nošenje stavljenih na tržište u odnosu na prethodnu godinu</w:t>
            </w:r>
          </w:p>
        </w:tc>
        <w:tc>
          <w:tcPr>
            <w:tcW w:w="986" w:type="dxa"/>
            <w:tcBorders>
              <w:top w:val="single" w:sz="4" w:space="0" w:color="auto"/>
              <w:left w:val="single" w:sz="4" w:space="0" w:color="auto"/>
              <w:bottom w:val="single" w:sz="4" w:space="0" w:color="auto"/>
              <w:right w:val="single" w:sz="4" w:space="0" w:color="auto"/>
            </w:tcBorders>
            <w:vAlign w:val="center"/>
            <w:hideMark/>
          </w:tcPr>
          <w:p w14:paraId="372535E5" w14:textId="77777777" w:rsidR="00AE6341" w:rsidRDefault="00AE6341">
            <w:pPr>
              <w:rPr>
                <w:rFonts w:cstheme="minorHAnsi"/>
                <w:sz w:val="16"/>
                <w:szCs w:val="16"/>
              </w:rPr>
            </w:pPr>
            <w:r>
              <w:rPr>
                <w:rFonts w:cstheme="minorHAnsi"/>
                <w:sz w:val="16"/>
                <w:szCs w:val="16"/>
              </w:rPr>
              <w:t>%</w:t>
            </w:r>
          </w:p>
        </w:tc>
        <w:tc>
          <w:tcPr>
            <w:tcW w:w="1004" w:type="dxa"/>
            <w:tcBorders>
              <w:top w:val="single" w:sz="4" w:space="0" w:color="auto"/>
              <w:left w:val="single" w:sz="4" w:space="0" w:color="auto"/>
              <w:bottom w:val="single" w:sz="4" w:space="0" w:color="auto"/>
              <w:right w:val="single" w:sz="4" w:space="0" w:color="auto"/>
            </w:tcBorders>
            <w:vAlign w:val="center"/>
            <w:hideMark/>
          </w:tcPr>
          <w:p w14:paraId="29916032" w14:textId="77777777" w:rsidR="00AE6341" w:rsidRDefault="00AE6341">
            <w:pPr>
              <w:jc w:val="center"/>
              <w:rPr>
                <w:rFonts w:cstheme="minorHAnsi"/>
                <w:sz w:val="16"/>
                <w:szCs w:val="16"/>
              </w:rPr>
            </w:pPr>
            <w:r>
              <w:rPr>
                <w:rFonts w:cstheme="minorHAnsi"/>
                <w:sz w:val="16"/>
                <w:szCs w:val="16"/>
              </w:rPr>
              <w:t>5</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9241503"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846EC6F"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3E917B9"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03FCCEE"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AA58D31"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C267C9F" w14:textId="77777777" w:rsidR="00AE6341" w:rsidRDefault="00AE6341">
            <w:pPr>
              <w:rPr>
                <w:rFonts w:cstheme="minorHAnsi"/>
                <w:sz w:val="16"/>
                <w:szCs w:val="16"/>
              </w:rPr>
            </w:pPr>
          </w:p>
        </w:tc>
      </w:tr>
      <w:tr w:rsidR="00AE6341" w14:paraId="321593FC"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18A18C" w14:textId="77777777" w:rsidR="00AE6341" w:rsidRDefault="00AE6341">
            <w:pPr>
              <w:rPr>
                <w:rFonts w:cstheme="minorHAnsi"/>
                <w:b/>
                <w:bCs/>
                <w:sz w:val="16"/>
                <w:szCs w:val="16"/>
              </w:rPr>
            </w:pPr>
            <w:r>
              <w:rPr>
                <w:rFonts w:cstheme="minorHAnsi"/>
                <w:b/>
                <w:bCs/>
                <w:sz w:val="16"/>
                <w:szCs w:val="16"/>
              </w:rPr>
              <w:t>A 5.3.</w:t>
            </w:r>
          </w:p>
        </w:tc>
        <w:tc>
          <w:tcPr>
            <w:tcW w:w="5806" w:type="dxa"/>
            <w:tcBorders>
              <w:top w:val="single" w:sz="4" w:space="0" w:color="auto"/>
              <w:left w:val="single" w:sz="4" w:space="0" w:color="auto"/>
              <w:bottom w:val="single" w:sz="4" w:space="0" w:color="auto"/>
              <w:right w:val="single" w:sz="4" w:space="0" w:color="auto"/>
            </w:tcBorders>
            <w:vAlign w:val="center"/>
            <w:hideMark/>
          </w:tcPr>
          <w:p w14:paraId="22FA6136" w14:textId="77777777" w:rsidR="00AE6341" w:rsidRDefault="00AE6341">
            <w:pPr>
              <w:rPr>
                <w:rFonts w:cstheme="minorHAnsi"/>
                <w:sz w:val="16"/>
                <w:szCs w:val="16"/>
              </w:rPr>
            </w:pPr>
            <w:r>
              <w:rPr>
                <w:rFonts w:cstheme="minorHAnsi"/>
                <w:sz w:val="16"/>
                <w:szCs w:val="16"/>
              </w:rPr>
              <w:t>Projekti poticanja smanjenja potrošnje plastičnih proizvoda za jednokratnu uporabu</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7016ED"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2C78C9" w14:textId="77777777" w:rsidR="00AE6341" w:rsidRDefault="00AE6341">
            <w:pPr>
              <w:rPr>
                <w:rFonts w:cstheme="minorHAnsi"/>
                <w:sz w:val="16"/>
                <w:szCs w:val="16"/>
              </w:rPr>
            </w:pPr>
            <w:r>
              <w:rPr>
                <w:rFonts w:cstheme="minorHAnsi"/>
                <w:sz w:val="16"/>
                <w:szCs w:val="16"/>
              </w:rPr>
              <w:t>FZOEU/</w:t>
            </w:r>
            <w:r>
              <w:rPr>
                <w:rFonts w:cstheme="minorHAnsi"/>
              </w:rPr>
              <w:t xml:space="preserve"> </w:t>
            </w:r>
            <w:r>
              <w:rPr>
                <w:rFonts w:cstheme="minorHAnsi"/>
                <w:sz w:val="16"/>
                <w:szCs w:val="16"/>
              </w:rPr>
              <w:t>MMPI/akademska zajednica/CV</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7A228611" w14:textId="77777777" w:rsidR="00AE6341" w:rsidRDefault="00AE6341">
            <w:pPr>
              <w:rPr>
                <w:rFonts w:cstheme="minorHAnsi"/>
                <w:sz w:val="16"/>
                <w:szCs w:val="16"/>
              </w:rPr>
            </w:pPr>
            <w:r>
              <w:rPr>
                <w:rFonts w:cstheme="minorHAnsi"/>
                <w:sz w:val="16"/>
                <w:szCs w:val="16"/>
              </w:rPr>
              <w:t>MINGOR/FZOEU/EU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97E2C38" w14:textId="77777777" w:rsidR="00AE6341" w:rsidRDefault="00AE6341">
            <w:pPr>
              <w:rPr>
                <w:rFonts w:cstheme="minorHAnsi"/>
                <w:sz w:val="16"/>
                <w:szCs w:val="16"/>
              </w:rPr>
            </w:pPr>
            <w:r>
              <w:rPr>
                <w:rFonts w:cstheme="minorHAnsi"/>
                <w:sz w:val="16"/>
                <w:szCs w:val="16"/>
              </w:rPr>
              <w:t>Provedeni projekti poticanja smanjenja potrošnje plastičnih proizvoda za jednokratnu uporabu</w:t>
            </w:r>
          </w:p>
        </w:tc>
        <w:tc>
          <w:tcPr>
            <w:tcW w:w="986" w:type="dxa"/>
            <w:tcBorders>
              <w:top w:val="single" w:sz="4" w:space="0" w:color="auto"/>
              <w:left w:val="single" w:sz="4" w:space="0" w:color="auto"/>
              <w:bottom w:val="single" w:sz="4" w:space="0" w:color="auto"/>
              <w:right w:val="single" w:sz="4" w:space="0" w:color="auto"/>
            </w:tcBorders>
            <w:vAlign w:val="center"/>
            <w:hideMark/>
          </w:tcPr>
          <w:p w14:paraId="18732581"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14729271" w14:textId="77777777" w:rsidR="00AE6341" w:rsidRDefault="00AE6341">
            <w:pPr>
              <w:jc w:val="center"/>
              <w:rPr>
                <w:rFonts w:cstheme="minorHAnsi"/>
                <w:sz w:val="16"/>
                <w:szCs w:val="16"/>
              </w:rPr>
            </w:pPr>
            <w:r>
              <w:rPr>
                <w:rFonts w:cstheme="minorHAnsi"/>
                <w:sz w:val="16"/>
                <w:szCs w:val="16"/>
              </w:rPr>
              <w:t>12*</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A68C4F5"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0589E8D"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2C7863B"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B75346B"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A689C14"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A386F61" w14:textId="77777777" w:rsidR="00AE6341" w:rsidRDefault="00AE6341">
            <w:pPr>
              <w:rPr>
                <w:rFonts w:cstheme="minorHAnsi"/>
                <w:sz w:val="16"/>
                <w:szCs w:val="16"/>
              </w:rPr>
            </w:pPr>
          </w:p>
        </w:tc>
      </w:tr>
      <w:tr w:rsidR="00AE6341" w14:paraId="10123FB7"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0DB09C9" w14:textId="77777777" w:rsidR="00AE6341" w:rsidRDefault="00AE6341">
            <w:pPr>
              <w:rPr>
                <w:rFonts w:cstheme="minorHAnsi"/>
                <w:b/>
                <w:bCs/>
                <w:sz w:val="16"/>
                <w:szCs w:val="16"/>
              </w:rPr>
            </w:pPr>
            <w:r>
              <w:rPr>
                <w:rFonts w:cstheme="minorHAnsi"/>
                <w:b/>
                <w:bCs/>
                <w:sz w:val="16"/>
                <w:szCs w:val="16"/>
              </w:rPr>
              <w:t>A 5.4.</w:t>
            </w:r>
          </w:p>
        </w:tc>
        <w:tc>
          <w:tcPr>
            <w:tcW w:w="5806" w:type="dxa"/>
            <w:tcBorders>
              <w:top w:val="single" w:sz="4" w:space="0" w:color="auto"/>
              <w:left w:val="single" w:sz="4" w:space="0" w:color="auto"/>
              <w:bottom w:val="single" w:sz="4" w:space="0" w:color="auto"/>
              <w:right w:val="single" w:sz="4" w:space="0" w:color="auto"/>
            </w:tcBorders>
            <w:vAlign w:val="center"/>
            <w:hideMark/>
          </w:tcPr>
          <w:p w14:paraId="6E131253" w14:textId="77777777" w:rsidR="00AE6341" w:rsidRDefault="00AE6341">
            <w:pPr>
              <w:rPr>
                <w:rFonts w:cstheme="minorHAnsi"/>
                <w:sz w:val="16"/>
                <w:szCs w:val="16"/>
              </w:rPr>
            </w:pPr>
            <w:r>
              <w:rPr>
                <w:rFonts w:cstheme="minorHAnsi"/>
                <w:sz w:val="16"/>
                <w:szCs w:val="16"/>
              </w:rPr>
              <w:t>Jačanje dijaloga i poticanje sklapanja dobrovoljnih sporazuma o sprječavanju, smanjenju i ponovnoj uporabi nastajanja ambalažnog plastičnog otpada</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B2DDBB"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F143C0" w14:textId="77777777" w:rsidR="00AE6341" w:rsidRDefault="00AE6341">
            <w:pPr>
              <w:rPr>
                <w:rFonts w:cstheme="minorHAnsi"/>
                <w:sz w:val="16"/>
                <w:szCs w:val="16"/>
              </w:rPr>
            </w:pPr>
            <w:r>
              <w:rPr>
                <w:rFonts w:cstheme="minorHAnsi"/>
                <w:sz w:val="16"/>
                <w:szCs w:val="16"/>
              </w:rPr>
              <w:t>Članice Odbora za kružno gospodarstvo RH</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56C0D71E" w14:textId="77777777" w:rsidR="00AE6341" w:rsidRDefault="00AE6341">
            <w:pPr>
              <w:rPr>
                <w:rFonts w:cstheme="minorHAnsi"/>
                <w:sz w:val="16"/>
                <w:szCs w:val="16"/>
              </w:rPr>
            </w:pPr>
            <w:r>
              <w:rPr>
                <w:rFonts w:cstheme="minorHAnsi"/>
                <w:sz w:val="16"/>
                <w:szCs w:val="16"/>
              </w:rPr>
              <w:t>MINGOR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F0986D8" w14:textId="77777777" w:rsidR="00AE6341" w:rsidRDefault="00AE6341">
            <w:pPr>
              <w:rPr>
                <w:rFonts w:cstheme="minorHAnsi"/>
                <w:sz w:val="16"/>
                <w:szCs w:val="16"/>
              </w:rPr>
            </w:pPr>
            <w:r>
              <w:rPr>
                <w:rFonts w:cstheme="minorHAnsi"/>
                <w:sz w:val="16"/>
                <w:szCs w:val="16"/>
              </w:rPr>
              <w:t>Broj sklopljenih dobrovoljnih sporazuma i/ili provedenih inicijativa</w:t>
            </w:r>
          </w:p>
        </w:tc>
        <w:tc>
          <w:tcPr>
            <w:tcW w:w="986" w:type="dxa"/>
            <w:tcBorders>
              <w:top w:val="single" w:sz="4" w:space="0" w:color="auto"/>
              <w:left w:val="single" w:sz="4" w:space="0" w:color="auto"/>
              <w:bottom w:val="single" w:sz="4" w:space="0" w:color="auto"/>
              <w:right w:val="single" w:sz="4" w:space="0" w:color="auto"/>
            </w:tcBorders>
            <w:vAlign w:val="center"/>
            <w:hideMark/>
          </w:tcPr>
          <w:p w14:paraId="6B86EA5A"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31D96F63" w14:textId="77777777" w:rsidR="00AE6341" w:rsidRDefault="00AE6341">
            <w:pPr>
              <w:jc w:val="center"/>
              <w:rPr>
                <w:rFonts w:cstheme="minorHAnsi"/>
                <w:sz w:val="16"/>
                <w:szCs w:val="16"/>
              </w:rPr>
            </w:pPr>
            <w:r>
              <w:rPr>
                <w:rFonts w:cstheme="minorHAnsi"/>
                <w:sz w:val="16"/>
                <w:szCs w:val="16"/>
              </w:rPr>
              <w:t>10</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D9309FE"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CF35E19"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F6D8C44"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AB0CD4"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518123C"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7804CE1" w14:textId="77777777" w:rsidR="00AE6341" w:rsidRDefault="00AE6341">
            <w:pPr>
              <w:rPr>
                <w:rFonts w:cstheme="minorHAnsi"/>
                <w:sz w:val="16"/>
                <w:szCs w:val="16"/>
              </w:rPr>
            </w:pPr>
          </w:p>
        </w:tc>
      </w:tr>
      <w:tr w:rsidR="00AE6341" w14:paraId="03BF937E"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2722F938" w14:textId="77777777" w:rsidR="00AE6341" w:rsidRDefault="00AE6341">
            <w:pPr>
              <w:jc w:val="center"/>
              <w:rPr>
                <w:rFonts w:cstheme="minorHAnsi"/>
                <w:b/>
                <w:bCs/>
                <w:color w:val="FFFFFF" w:themeColor="background1"/>
                <w:sz w:val="16"/>
                <w:szCs w:val="16"/>
              </w:rPr>
            </w:pPr>
            <w:r>
              <w:rPr>
                <w:rFonts w:cstheme="minorHAnsi"/>
                <w:b/>
                <w:bCs/>
                <w:color w:val="FFFFFF" w:themeColor="background1"/>
                <w:sz w:val="16"/>
                <w:szCs w:val="16"/>
              </w:rPr>
              <w:t>Specifični cilj: Sprječavanje nastanka komunalnog otpada, EE otpada, otpadnog papira i kartona, građevnog otpada, otpadnog tekstila i obuće, ambalažnog plastičnog otpada</w:t>
            </w:r>
          </w:p>
        </w:tc>
      </w:tr>
      <w:tr w:rsidR="00AE6341" w14:paraId="3359F807"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6789FA73" w14:textId="77777777" w:rsidR="00AE6341" w:rsidRDefault="00AE6341">
            <w:pPr>
              <w:jc w:val="center"/>
              <w:rPr>
                <w:rFonts w:cstheme="minorHAnsi"/>
                <w:b/>
                <w:bCs/>
                <w:sz w:val="16"/>
                <w:szCs w:val="16"/>
              </w:rPr>
            </w:pPr>
            <w:bookmarkStart w:id="431" w:name="_Hlk110632818"/>
            <w:r>
              <w:rPr>
                <w:rFonts w:cstheme="minorHAnsi"/>
                <w:b/>
                <w:bCs/>
                <w:sz w:val="16"/>
                <w:szCs w:val="16"/>
              </w:rPr>
              <w:t>Mjera 6. Poticanje kupovine ‘zelenih’ proizvoda i usluga</w:t>
            </w:r>
          </w:p>
        </w:tc>
        <w:bookmarkEnd w:id="431"/>
      </w:tr>
      <w:tr w:rsidR="00AE6341" w14:paraId="1DA44251"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D8CEDC0" w14:textId="77777777" w:rsidR="00AE6341" w:rsidRDefault="00AE6341">
            <w:pPr>
              <w:rPr>
                <w:rFonts w:cstheme="minorHAnsi"/>
                <w:b/>
                <w:bCs/>
                <w:sz w:val="16"/>
                <w:szCs w:val="16"/>
              </w:rPr>
            </w:pPr>
            <w:r>
              <w:rPr>
                <w:rFonts w:cstheme="minorHAnsi"/>
                <w:b/>
                <w:bCs/>
                <w:sz w:val="16"/>
                <w:szCs w:val="16"/>
              </w:rPr>
              <w:t>A 6.1.</w:t>
            </w:r>
          </w:p>
        </w:tc>
        <w:tc>
          <w:tcPr>
            <w:tcW w:w="5806" w:type="dxa"/>
            <w:tcBorders>
              <w:top w:val="single" w:sz="4" w:space="0" w:color="auto"/>
              <w:left w:val="single" w:sz="4" w:space="0" w:color="auto"/>
              <w:bottom w:val="single" w:sz="4" w:space="0" w:color="auto"/>
              <w:right w:val="single" w:sz="4" w:space="0" w:color="auto"/>
            </w:tcBorders>
            <w:vAlign w:val="center"/>
            <w:hideMark/>
          </w:tcPr>
          <w:p w14:paraId="4289A3FC" w14:textId="77777777" w:rsidR="00AE6341" w:rsidRDefault="00AE6341">
            <w:pPr>
              <w:rPr>
                <w:rFonts w:cstheme="minorHAnsi"/>
                <w:sz w:val="16"/>
                <w:szCs w:val="16"/>
              </w:rPr>
            </w:pPr>
            <w:r>
              <w:rPr>
                <w:rFonts w:cstheme="minorHAnsi"/>
                <w:sz w:val="16"/>
                <w:szCs w:val="16"/>
              </w:rPr>
              <w:t>Promocija Zelene javne nabave putem nacionalne mrežne stranice za Zelenu javnu nabavu</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64CE18"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43367F"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688EA6C9" w14:textId="77777777" w:rsidR="00AE6341" w:rsidRDefault="00AE6341">
            <w:pPr>
              <w:rPr>
                <w:rFonts w:cstheme="minorHAnsi"/>
                <w:sz w:val="16"/>
                <w:szCs w:val="16"/>
              </w:rPr>
            </w:pPr>
            <w:r>
              <w:rPr>
                <w:rFonts w:cstheme="minorHAnsi"/>
                <w:sz w:val="16"/>
                <w:szCs w:val="16"/>
              </w:rPr>
              <w:t>MINGOR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3A16894" w14:textId="77777777" w:rsidR="00AE6341" w:rsidRDefault="00AE6341">
            <w:pPr>
              <w:rPr>
                <w:rFonts w:cstheme="minorHAnsi"/>
                <w:sz w:val="16"/>
                <w:szCs w:val="16"/>
              </w:rPr>
            </w:pPr>
            <w:r>
              <w:rPr>
                <w:rFonts w:cstheme="minorHAnsi"/>
                <w:sz w:val="16"/>
                <w:szCs w:val="16"/>
              </w:rPr>
              <w:t>Funkcionalna mrežna stranica za Zelenu javnu nabavu</w:t>
            </w:r>
          </w:p>
        </w:tc>
        <w:tc>
          <w:tcPr>
            <w:tcW w:w="986" w:type="dxa"/>
            <w:tcBorders>
              <w:top w:val="single" w:sz="4" w:space="0" w:color="auto"/>
              <w:left w:val="single" w:sz="4" w:space="0" w:color="auto"/>
              <w:bottom w:val="single" w:sz="4" w:space="0" w:color="auto"/>
              <w:right w:val="single" w:sz="4" w:space="0" w:color="auto"/>
            </w:tcBorders>
            <w:vAlign w:val="center"/>
            <w:hideMark/>
          </w:tcPr>
          <w:p w14:paraId="2235BD66"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02AFBE69"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B287925"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ABC405B"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2FDD194"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E5DF188"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507D549"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88E140F" w14:textId="77777777" w:rsidR="00AE6341" w:rsidRDefault="00AE6341">
            <w:pPr>
              <w:rPr>
                <w:rFonts w:cstheme="minorHAnsi"/>
                <w:sz w:val="16"/>
                <w:szCs w:val="16"/>
              </w:rPr>
            </w:pPr>
          </w:p>
        </w:tc>
      </w:tr>
      <w:tr w:rsidR="00AE6341" w14:paraId="6F6D0148"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190E01D" w14:textId="77777777" w:rsidR="00AE6341" w:rsidRDefault="00AE6341">
            <w:pPr>
              <w:rPr>
                <w:rFonts w:cstheme="minorHAnsi"/>
                <w:b/>
                <w:bCs/>
                <w:sz w:val="16"/>
                <w:szCs w:val="16"/>
              </w:rPr>
            </w:pPr>
            <w:r>
              <w:rPr>
                <w:rFonts w:cstheme="minorHAnsi"/>
                <w:b/>
                <w:bCs/>
                <w:sz w:val="16"/>
                <w:szCs w:val="16"/>
              </w:rPr>
              <w:t>A 6.2.</w:t>
            </w:r>
          </w:p>
        </w:tc>
        <w:tc>
          <w:tcPr>
            <w:tcW w:w="5806" w:type="dxa"/>
            <w:tcBorders>
              <w:top w:val="single" w:sz="4" w:space="0" w:color="auto"/>
              <w:left w:val="single" w:sz="4" w:space="0" w:color="auto"/>
              <w:bottom w:val="single" w:sz="4" w:space="0" w:color="auto"/>
              <w:right w:val="single" w:sz="4" w:space="0" w:color="auto"/>
            </w:tcBorders>
            <w:vAlign w:val="center"/>
            <w:hideMark/>
          </w:tcPr>
          <w:p w14:paraId="6DF28556" w14:textId="77777777" w:rsidR="00AE6341" w:rsidRDefault="00AE6341">
            <w:pPr>
              <w:rPr>
                <w:rFonts w:cstheme="minorHAnsi"/>
                <w:sz w:val="16"/>
                <w:szCs w:val="16"/>
              </w:rPr>
            </w:pPr>
            <w:r>
              <w:rPr>
                <w:rFonts w:cstheme="minorHAnsi"/>
                <w:sz w:val="16"/>
                <w:szCs w:val="16"/>
              </w:rPr>
              <w:t>Izobrazba o Zelenoj javnoj nabavi</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F2150E"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1E6146"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65869431" w14:textId="77777777" w:rsidR="00AE6341" w:rsidRDefault="00AE6341">
            <w:pPr>
              <w:rPr>
                <w:rFonts w:cstheme="minorHAnsi"/>
                <w:sz w:val="16"/>
                <w:szCs w:val="16"/>
              </w:rPr>
            </w:pPr>
            <w:r>
              <w:rPr>
                <w:rFonts w:cstheme="minorHAnsi"/>
                <w:sz w:val="16"/>
                <w:szCs w:val="16"/>
              </w:rPr>
              <w:t>MINGOR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6F00CDD" w14:textId="77777777" w:rsidR="00AE6341" w:rsidRDefault="00AE6341">
            <w:pPr>
              <w:rPr>
                <w:rFonts w:cstheme="minorHAnsi"/>
                <w:sz w:val="16"/>
                <w:szCs w:val="16"/>
              </w:rPr>
            </w:pPr>
            <w:r>
              <w:rPr>
                <w:rFonts w:cstheme="minorHAnsi"/>
                <w:sz w:val="16"/>
                <w:szCs w:val="16"/>
              </w:rPr>
              <w:t>Provedena izobrazba o Zelenoj javnoj nabavi</w:t>
            </w:r>
          </w:p>
        </w:tc>
        <w:tc>
          <w:tcPr>
            <w:tcW w:w="986" w:type="dxa"/>
            <w:tcBorders>
              <w:top w:val="single" w:sz="4" w:space="0" w:color="auto"/>
              <w:left w:val="single" w:sz="4" w:space="0" w:color="auto"/>
              <w:bottom w:val="single" w:sz="4" w:space="0" w:color="auto"/>
              <w:right w:val="single" w:sz="4" w:space="0" w:color="auto"/>
            </w:tcBorders>
            <w:vAlign w:val="center"/>
            <w:hideMark/>
          </w:tcPr>
          <w:p w14:paraId="722A7E28"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336B8BE" w14:textId="77777777" w:rsidR="00AE6341" w:rsidRDefault="00AE6341">
            <w:pPr>
              <w:jc w:val="center"/>
              <w:rPr>
                <w:rFonts w:cstheme="minorHAnsi"/>
                <w:sz w:val="16"/>
                <w:szCs w:val="16"/>
              </w:rPr>
            </w:pPr>
            <w:r>
              <w:rPr>
                <w:rFonts w:cstheme="minorHAnsi"/>
                <w:sz w:val="16"/>
                <w:szCs w:val="16"/>
              </w:rPr>
              <w:t>6</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55A46BC"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35881D9"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57A3CB8"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D784559"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A092D64"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D1F28CC" w14:textId="77777777" w:rsidR="00AE6341" w:rsidRDefault="00AE6341">
            <w:pPr>
              <w:rPr>
                <w:rFonts w:cstheme="minorHAnsi"/>
                <w:sz w:val="16"/>
                <w:szCs w:val="16"/>
              </w:rPr>
            </w:pPr>
          </w:p>
        </w:tc>
      </w:tr>
      <w:tr w:rsidR="00AE6341" w14:paraId="46327674"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D72BEE" w14:textId="77777777" w:rsidR="00AE6341" w:rsidRDefault="00AE6341">
            <w:pPr>
              <w:rPr>
                <w:rFonts w:cstheme="minorHAnsi"/>
                <w:b/>
                <w:bCs/>
                <w:sz w:val="16"/>
                <w:szCs w:val="16"/>
              </w:rPr>
            </w:pPr>
            <w:r>
              <w:rPr>
                <w:rFonts w:cstheme="minorHAnsi"/>
                <w:b/>
                <w:bCs/>
                <w:sz w:val="16"/>
                <w:szCs w:val="16"/>
              </w:rPr>
              <w:t>A 6.3.</w:t>
            </w:r>
          </w:p>
        </w:tc>
        <w:tc>
          <w:tcPr>
            <w:tcW w:w="5806" w:type="dxa"/>
            <w:tcBorders>
              <w:top w:val="single" w:sz="4" w:space="0" w:color="auto"/>
              <w:left w:val="single" w:sz="4" w:space="0" w:color="auto"/>
              <w:bottom w:val="single" w:sz="4" w:space="0" w:color="auto"/>
              <w:right w:val="single" w:sz="4" w:space="0" w:color="auto"/>
            </w:tcBorders>
            <w:vAlign w:val="center"/>
            <w:hideMark/>
          </w:tcPr>
          <w:p w14:paraId="30BD1E35" w14:textId="77777777" w:rsidR="00AE6341" w:rsidRDefault="00AE6341">
            <w:pPr>
              <w:rPr>
                <w:rFonts w:cstheme="minorHAnsi"/>
                <w:sz w:val="16"/>
                <w:szCs w:val="16"/>
              </w:rPr>
            </w:pPr>
            <w:r>
              <w:rPr>
                <w:rFonts w:cstheme="minorHAnsi"/>
                <w:sz w:val="16"/>
                <w:szCs w:val="16"/>
              </w:rPr>
              <w:t>Izrada uputa za provedbu zelene javne nabave za projektiranje, gradnju i održavanje cesta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3C9B70"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23FCC4" w14:textId="77777777" w:rsidR="00AE6341" w:rsidRDefault="00AE6341">
            <w:pPr>
              <w:rPr>
                <w:rFonts w:cstheme="minorHAnsi"/>
                <w:sz w:val="16"/>
                <w:szCs w:val="16"/>
              </w:rPr>
            </w:pPr>
            <w:r>
              <w:rPr>
                <w:rFonts w:cstheme="minorHAnsi"/>
                <w:sz w:val="16"/>
                <w:szCs w:val="16"/>
              </w:rPr>
              <w:t>MGPUDI</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61A4C650" w14:textId="77777777" w:rsidR="00AE6341" w:rsidRDefault="00AE6341">
            <w:pPr>
              <w:rPr>
                <w:rFonts w:cstheme="minorHAnsi"/>
                <w:sz w:val="16"/>
                <w:szCs w:val="16"/>
              </w:rPr>
            </w:pPr>
            <w:r>
              <w:rPr>
                <w:rFonts w:cstheme="minorHAnsi"/>
                <w:sz w:val="16"/>
                <w:szCs w:val="16"/>
              </w:rPr>
              <w:t>MINGOR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958E679" w14:textId="77777777" w:rsidR="00AE6341" w:rsidRDefault="00AE6341">
            <w:pPr>
              <w:rPr>
                <w:rFonts w:cstheme="minorHAnsi"/>
                <w:sz w:val="16"/>
                <w:szCs w:val="16"/>
              </w:rPr>
            </w:pPr>
            <w:r>
              <w:rPr>
                <w:rFonts w:cstheme="minorHAnsi"/>
                <w:sz w:val="16"/>
                <w:szCs w:val="16"/>
              </w:rPr>
              <w:t>Izrađene upute za provedbu zelene javne nabave za projektiranje, gradnju i održavanje cesta</w:t>
            </w:r>
          </w:p>
        </w:tc>
        <w:tc>
          <w:tcPr>
            <w:tcW w:w="986" w:type="dxa"/>
            <w:tcBorders>
              <w:top w:val="single" w:sz="4" w:space="0" w:color="auto"/>
              <w:left w:val="single" w:sz="4" w:space="0" w:color="auto"/>
              <w:bottom w:val="single" w:sz="4" w:space="0" w:color="auto"/>
              <w:right w:val="single" w:sz="4" w:space="0" w:color="auto"/>
            </w:tcBorders>
            <w:vAlign w:val="center"/>
            <w:hideMark/>
          </w:tcPr>
          <w:p w14:paraId="328E69A7"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1C780044"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vAlign w:val="center"/>
          </w:tcPr>
          <w:p w14:paraId="42AEE6F4"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ADEE599" w14:textId="77777777" w:rsidR="00AE6341" w:rsidRDefault="00AE6341">
            <w:pPr>
              <w:rPr>
                <w:rFonts w:cstheme="minorHAnsi"/>
                <w:sz w:val="16"/>
                <w:szCs w:val="16"/>
              </w:rPr>
            </w:pPr>
            <w:r>
              <w:rPr>
                <w:rFonts w:cstheme="minorHAnsi"/>
                <w:sz w:val="16"/>
                <w:szCs w:val="16"/>
              </w:rPr>
              <w:t>4K</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AF8F2"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D37FF"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A3AE8"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2A721" w14:textId="77777777" w:rsidR="00AE6341" w:rsidRDefault="00AE6341">
            <w:pPr>
              <w:rPr>
                <w:rFonts w:cstheme="minorHAnsi"/>
                <w:sz w:val="16"/>
                <w:szCs w:val="16"/>
              </w:rPr>
            </w:pPr>
          </w:p>
        </w:tc>
      </w:tr>
      <w:tr w:rsidR="00AE6341" w14:paraId="161CD08C"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F71556" w14:textId="77777777" w:rsidR="00AE6341" w:rsidRDefault="00AE6341">
            <w:pPr>
              <w:rPr>
                <w:rFonts w:cstheme="minorHAnsi"/>
                <w:b/>
                <w:bCs/>
                <w:sz w:val="16"/>
                <w:szCs w:val="16"/>
              </w:rPr>
            </w:pPr>
            <w:r>
              <w:rPr>
                <w:rFonts w:cstheme="minorHAnsi"/>
                <w:b/>
                <w:bCs/>
                <w:sz w:val="16"/>
                <w:szCs w:val="16"/>
              </w:rPr>
              <w:t>A 6.4.</w:t>
            </w:r>
          </w:p>
        </w:tc>
        <w:tc>
          <w:tcPr>
            <w:tcW w:w="5806" w:type="dxa"/>
            <w:tcBorders>
              <w:top w:val="single" w:sz="4" w:space="0" w:color="auto"/>
              <w:left w:val="single" w:sz="4" w:space="0" w:color="auto"/>
              <w:bottom w:val="single" w:sz="4" w:space="0" w:color="auto"/>
              <w:right w:val="single" w:sz="4" w:space="0" w:color="auto"/>
            </w:tcBorders>
            <w:vAlign w:val="center"/>
            <w:hideMark/>
          </w:tcPr>
          <w:p w14:paraId="59FA4BDF" w14:textId="77777777" w:rsidR="00AE6341" w:rsidRDefault="00AE6341">
            <w:pPr>
              <w:rPr>
                <w:rFonts w:cstheme="minorHAnsi"/>
                <w:sz w:val="16"/>
                <w:szCs w:val="16"/>
              </w:rPr>
            </w:pPr>
            <w:r>
              <w:rPr>
                <w:rFonts w:cstheme="minorHAnsi"/>
                <w:sz w:val="16"/>
                <w:szCs w:val="16"/>
              </w:rPr>
              <w:t>Uspostava baze primjera dobre prakse</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3D9CB9"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B268EE"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177058E4" w14:textId="77777777" w:rsidR="00AE6341" w:rsidRDefault="00AE6341">
            <w:pPr>
              <w:rPr>
                <w:rFonts w:cstheme="minorHAnsi"/>
                <w:sz w:val="16"/>
                <w:szCs w:val="16"/>
              </w:rPr>
            </w:pPr>
            <w:r>
              <w:rPr>
                <w:rFonts w:cstheme="minorHAnsi"/>
                <w:sz w:val="16"/>
                <w:szCs w:val="16"/>
              </w:rPr>
              <w:t>MINGOR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C0EE1EB" w14:textId="77777777" w:rsidR="00AE6341" w:rsidRDefault="00AE6341">
            <w:pPr>
              <w:rPr>
                <w:rFonts w:cstheme="minorHAnsi"/>
                <w:sz w:val="16"/>
                <w:szCs w:val="16"/>
              </w:rPr>
            </w:pPr>
            <w:r>
              <w:rPr>
                <w:rFonts w:cstheme="minorHAnsi"/>
                <w:sz w:val="16"/>
                <w:szCs w:val="16"/>
              </w:rPr>
              <w:t>Funkcionalna baza primjera dobre prakse</w:t>
            </w:r>
          </w:p>
        </w:tc>
        <w:tc>
          <w:tcPr>
            <w:tcW w:w="986" w:type="dxa"/>
            <w:tcBorders>
              <w:top w:val="single" w:sz="4" w:space="0" w:color="auto"/>
              <w:left w:val="single" w:sz="4" w:space="0" w:color="auto"/>
              <w:bottom w:val="single" w:sz="4" w:space="0" w:color="auto"/>
              <w:right w:val="single" w:sz="4" w:space="0" w:color="auto"/>
            </w:tcBorders>
            <w:vAlign w:val="center"/>
            <w:hideMark/>
          </w:tcPr>
          <w:p w14:paraId="71FDCBF6"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3086832C"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362EA8E" w14:textId="77777777" w:rsidR="00AE6341" w:rsidRDefault="00AE6341">
            <w:pPr>
              <w:rPr>
                <w:rFonts w:cstheme="minorHAnsi"/>
                <w:sz w:val="16"/>
                <w:szCs w:val="16"/>
              </w:rPr>
            </w:pPr>
            <w:r>
              <w:rPr>
                <w:rFonts w:cstheme="minorHAnsi"/>
                <w:sz w:val="16"/>
                <w:szCs w:val="16"/>
              </w:rPr>
              <w:t>4K</w:t>
            </w:r>
          </w:p>
        </w:tc>
        <w:tc>
          <w:tcPr>
            <w:tcW w:w="5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D0C92"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825B6"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BADE1"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A66D5"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7C7E7" w14:textId="77777777" w:rsidR="00AE6341" w:rsidRDefault="00AE6341">
            <w:pPr>
              <w:rPr>
                <w:rFonts w:cstheme="minorHAnsi"/>
                <w:sz w:val="16"/>
                <w:szCs w:val="16"/>
              </w:rPr>
            </w:pPr>
          </w:p>
        </w:tc>
      </w:tr>
      <w:tr w:rsidR="00AE6341" w14:paraId="2A433B40"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79465A" w14:textId="77777777" w:rsidR="00AE6341" w:rsidRDefault="00AE6341">
            <w:pPr>
              <w:rPr>
                <w:rFonts w:cstheme="minorHAnsi"/>
                <w:b/>
                <w:bCs/>
                <w:sz w:val="16"/>
                <w:szCs w:val="16"/>
              </w:rPr>
            </w:pPr>
            <w:r>
              <w:rPr>
                <w:rFonts w:cstheme="minorHAnsi"/>
                <w:b/>
                <w:bCs/>
                <w:sz w:val="16"/>
                <w:szCs w:val="16"/>
              </w:rPr>
              <w:t>A 6.5.</w:t>
            </w:r>
          </w:p>
        </w:tc>
        <w:tc>
          <w:tcPr>
            <w:tcW w:w="5806" w:type="dxa"/>
            <w:tcBorders>
              <w:top w:val="single" w:sz="4" w:space="0" w:color="auto"/>
              <w:left w:val="single" w:sz="4" w:space="0" w:color="auto"/>
              <w:bottom w:val="single" w:sz="4" w:space="0" w:color="auto"/>
              <w:right w:val="single" w:sz="4" w:space="0" w:color="auto"/>
            </w:tcBorders>
            <w:vAlign w:val="center"/>
            <w:hideMark/>
          </w:tcPr>
          <w:p w14:paraId="498CCD13" w14:textId="77777777" w:rsidR="00AE6341" w:rsidRDefault="00AE6341">
            <w:pPr>
              <w:rPr>
                <w:rFonts w:cstheme="minorHAnsi"/>
                <w:sz w:val="16"/>
                <w:szCs w:val="16"/>
              </w:rPr>
            </w:pPr>
            <w:r>
              <w:rPr>
                <w:rFonts w:cstheme="minorHAnsi"/>
                <w:sz w:val="16"/>
                <w:szCs w:val="16"/>
              </w:rPr>
              <w:t>Izrada informativno edukativnih materijala (vodiči, smjernice i dr.)</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A43EB3" w14:textId="77777777" w:rsidR="00AE6341" w:rsidRDefault="00AE6341">
            <w:pPr>
              <w:rPr>
                <w:rFonts w:cstheme="minorHAnsi"/>
                <w:sz w:val="16"/>
                <w:szCs w:val="16"/>
              </w:rPr>
            </w:pPr>
            <w:r>
              <w:rPr>
                <w:rFonts w:cstheme="minorHAnsi"/>
                <w:sz w:val="16"/>
                <w:szCs w:val="16"/>
              </w:rPr>
              <w:t>MIGOR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0628F9"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205ED165" w14:textId="77777777" w:rsidR="00AE6341" w:rsidRDefault="00AE6341">
            <w:pPr>
              <w:rPr>
                <w:rFonts w:cstheme="minorHAnsi"/>
                <w:sz w:val="16"/>
                <w:szCs w:val="16"/>
              </w:rPr>
            </w:pPr>
            <w:r>
              <w:rPr>
                <w:rFonts w:cstheme="minorHAnsi"/>
                <w:sz w:val="16"/>
                <w:szCs w:val="16"/>
              </w:rPr>
              <w:t>MINGOR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093C9C2" w14:textId="77777777" w:rsidR="00AE6341" w:rsidRDefault="00AE6341">
            <w:pPr>
              <w:rPr>
                <w:rFonts w:cstheme="minorHAnsi"/>
                <w:sz w:val="16"/>
                <w:szCs w:val="16"/>
              </w:rPr>
            </w:pPr>
            <w:r>
              <w:rPr>
                <w:rFonts w:cstheme="minorHAnsi"/>
                <w:sz w:val="16"/>
                <w:szCs w:val="16"/>
              </w:rPr>
              <w:t>Izrađeni informativno-edukativni materijali</w:t>
            </w:r>
          </w:p>
        </w:tc>
        <w:tc>
          <w:tcPr>
            <w:tcW w:w="986" w:type="dxa"/>
            <w:tcBorders>
              <w:top w:val="single" w:sz="4" w:space="0" w:color="auto"/>
              <w:left w:val="single" w:sz="4" w:space="0" w:color="auto"/>
              <w:bottom w:val="single" w:sz="4" w:space="0" w:color="auto"/>
              <w:right w:val="single" w:sz="4" w:space="0" w:color="auto"/>
            </w:tcBorders>
            <w:vAlign w:val="center"/>
            <w:hideMark/>
          </w:tcPr>
          <w:p w14:paraId="70B00EE9"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2D38EF2A" w14:textId="77777777" w:rsidR="00AE6341" w:rsidRDefault="00AE6341">
            <w:pPr>
              <w:jc w:val="center"/>
              <w:rPr>
                <w:rFonts w:cstheme="minorHAnsi"/>
                <w:sz w:val="16"/>
                <w:szCs w:val="16"/>
              </w:rPr>
            </w:pPr>
            <w:r>
              <w:rPr>
                <w:rFonts w:cstheme="minorHAnsi"/>
                <w:sz w:val="16"/>
                <w:szCs w:val="16"/>
              </w:rPr>
              <w:t>4</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C3BF519"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336ADEE"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3BB4208"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1E0D3B8"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9271721"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BAF2C4D" w14:textId="77777777" w:rsidR="00AE6341" w:rsidRDefault="00AE6341">
            <w:pPr>
              <w:rPr>
                <w:rFonts w:cstheme="minorHAnsi"/>
                <w:sz w:val="16"/>
                <w:szCs w:val="16"/>
              </w:rPr>
            </w:pPr>
          </w:p>
        </w:tc>
      </w:tr>
      <w:tr w:rsidR="00AE6341" w14:paraId="5172F8C6"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044BF58" w14:textId="77777777" w:rsidR="00AE6341" w:rsidRDefault="00AE6341">
            <w:pPr>
              <w:rPr>
                <w:rFonts w:cstheme="minorHAnsi"/>
                <w:b/>
                <w:bCs/>
                <w:sz w:val="16"/>
                <w:szCs w:val="16"/>
              </w:rPr>
            </w:pPr>
            <w:r>
              <w:rPr>
                <w:rFonts w:cstheme="minorHAnsi"/>
                <w:b/>
                <w:bCs/>
                <w:sz w:val="16"/>
                <w:szCs w:val="16"/>
              </w:rPr>
              <w:t>A 6.6..</w:t>
            </w:r>
          </w:p>
        </w:tc>
        <w:tc>
          <w:tcPr>
            <w:tcW w:w="5806" w:type="dxa"/>
            <w:tcBorders>
              <w:top w:val="single" w:sz="4" w:space="0" w:color="auto"/>
              <w:left w:val="single" w:sz="4" w:space="0" w:color="auto"/>
              <w:bottom w:val="single" w:sz="4" w:space="0" w:color="auto"/>
              <w:right w:val="single" w:sz="4" w:space="0" w:color="auto"/>
            </w:tcBorders>
            <w:vAlign w:val="center"/>
            <w:hideMark/>
          </w:tcPr>
          <w:p w14:paraId="186D7C8C" w14:textId="77777777" w:rsidR="00AE6341" w:rsidRDefault="00AE6341">
            <w:pPr>
              <w:rPr>
                <w:rFonts w:cstheme="minorHAnsi"/>
                <w:sz w:val="16"/>
                <w:szCs w:val="16"/>
              </w:rPr>
            </w:pPr>
            <w:r>
              <w:rPr>
                <w:rFonts w:cstheme="minorHAnsi"/>
                <w:sz w:val="16"/>
                <w:szCs w:val="16"/>
              </w:rPr>
              <w:t>Poticanje integracije kriterija zaštite okoliša i sprječavanja nastanka otpada u pozive na dostavu ponuda i ugovore javnih i korporativnih nabava roba i usluga</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4FB7CA"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4A8B4F"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52CF481D" w14:textId="77777777" w:rsidR="00AE6341" w:rsidRDefault="00AE6341">
            <w:pPr>
              <w:rPr>
                <w:rFonts w:cstheme="minorHAnsi"/>
                <w:sz w:val="16"/>
                <w:szCs w:val="16"/>
              </w:rPr>
            </w:pPr>
            <w:r>
              <w:rPr>
                <w:rFonts w:cstheme="minorHAnsi"/>
                <w:sz w:val="16"/>
                <w:szCs w:val="16"/>
              </w:rPr>
              <w:t>MINGOR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50E6875" w14:textId="77777777" w:rsidR="00AE6341" w:rsidRDefault="00AE6341">
            <w:pPr>
              <w:rPr>
                <w:rFonts w:cstheme="minorHAnsi"/>
                <w:sz w:val="16"/>
                <w:szCs w:val="16"/>
              </w:rPr>
            </w:pPr>
            <w:r>
              <w:rPr>
                <w:rFonts w:cstheme="minorHAnsi"/>
                <w:sz w:val="16"/>
                <w:szCs w:val="16"/>
              </w:rPr>
              <w:t xml:space="preserve">Veći broj 'zelenih' javnih i korporativnih javnih nabava </w:t>
            </w:r>
          </w:p>
        </w:tc>
        <w:tc>
          <w:tcPr>
            <w:tcW w:w="986" w:type="dxa"/>
            <w:tcBorders>
              <w:top w:val="single" w:sz="4" w:space="0" w:color="auto"/>
              <w:left w:val="single" w:sz="4" w:space="0" w:color="auto"/>
              <w:bottom w:val="single" w:sz="4" w:space="0" w:color="auto"/>
              <w:right w:val="single" w:sz="4" w:space="0" w:color="auto"/>
            </w:tcBorders>
            <w:vAlign w:val="center"/>
            <w:hideMark/>
          </w:tcPr>
          <w:p w14:paraId="44CA4E3C" w14:textId="77777777" w:rsidR="00AE6341" w:rsidRDefault="00AE6341">
            <w:pPr>
              <w:rPr>
                <w:rFonts w:cstheme="minorHAnsi"/>
                <w:sz w:val="16"/>
                <w:szCs w:val="16"/>
              </w:rPr>
            </w:pPr>
            <w:r>
              <w:rPr>
                <w:rFonts w:cstheme="minorHAnsi"/>
                <w:sz w:val="16"/>
                <w:szCs w:val="16"/>
              </w:rPr>
              <w:t>%</w:t>
            </w:r>
          </w:p>
        </w:tc>
        <w:tc>
          <w:tcPr>
            <w:tcW w:w="1004" w:type="dxa"/>
            <w:tcBorders>
              <w:top w:val="single" w:sz="4" w:space="0" w:color="auto"/>
              <w:left w:val="single" w:sz="4" w:space="0" w:color="auto"/>
              <w:bottom w:val="single" w:sz="4" w:space="0" w:color="auto"/>
              <w:right w:val="single" w:sz="4" w:space="0" w:color="auto"/>
            </w:tcBorders>
            <w:vAlign w:val="center"/>
            <w:hideMark/>
          </w:tcPr>
          <w:p w14:paraId="202825D8" w14:textId="77777777" w:rsidR="00AE6341" w:rsidRDefault="00AE6341">
            <w:pPr>
              <w:jc w:val="center"/>
              <w:rPr>
                <w:rFonts w:cstheme="minorHAnsi"/>
                <w:sz w:val="16"/>
                <w:szCs w:val="16"/>
              </w:rPr>
            </w:pPr>
            <w:r>
              <w:rPr>
                <w:rFonts w:cstheme="minorHAnsi"/>
                <w:sz w:val="16"/>
                <w:szCs w:val="16"/>
              </w:rPr>
              <w:t>50</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40A556"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E13B43A"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4F5E2B2"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806A766"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250BAA4"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E14DD1A" w14:textId="77777777" w:rsidR="00AE6341" w:rsidRDefault="00AE6341">
            <w:pPr>
              <w:rPr>
                <w:rFonts w:cstheme="minorHAnsi"/>
                <w:sz w:val="16"/>
                <w:szCs w:val="16"/>
              </w:rPr>
            </w:pPr>
          </w:p>
        </w:tc>
      </w:tr>
      <w:tr w:rsidR="00AE6341" w14:paraId="26CB53D3"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42BEA4F6" w14:textId="77777777" w:rsidR="00AE6341" w:rsidRDefault="00AE6341">
            <w:pPr>
              <w:jc w:val="center"/>
              <w:rPr>
                <w:rFonts w:cstheme="minorHAnsi"/>
                <w:b/>
                <w:bCs/>
                <w:color w:val="FFFFFF" w:themeColor="background1"/>
                <w:sz w:val="16"/>
                <w:szCs w:val="16"/>
              </w:rPr>
            </w:pPr>
            <w:bookmarkStart w:id="432" w:name="_Hlk110627249"/>
            <w:r>
              <w:rPr>
                <w:rFonts w:cstheme="minorHAnsi"/>
                <w:b/>
                <w:bCs/>
                <w:color w:val="FFFFFF" w:themeColor="background1"/>
                <w:sz w:val="16"/>
                <w:szCs w:val="16"/>
              </w:rPr>
              <w:t>Specifični cilj: Sprječavanje nastanka komunalnog otpada, EE otpada, otpadnog papira i kartona, građevnog otpada, otpadnog tekstila i obuće, plastičnog otpada, morskog otpada</w:t>
            </w:r>
          </w:p>
        </w:tc>
        <w:bookmarkEnd w:id="432"/>
      </w:tr>
      <w:tr w:rsidR="00AE6341" w14:paraId="11254BEB"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615B930D" w14:textId="77777777" w:rsidR="00AE6341" w:rsidRDefault="00AE6341">
            <w:pPr>
              <w:jc w:val="center"/>
              <w:rPr>
                <w:rFonts w:cstheme="minorHAnsi"/>
                <w:b/>
                <w:bCs/>
                <w:sz w:val="16"/>
                <w:szCs w:val="16"/>
              </w:rPr>
            </w:pPr>
            <w:bookmarkStart w:id="433" w:name="_Hlk110632893"/>
            <w:r>
              <w:rPr>
                <w:rFonts w:cstheme="minorHAnsi"/>
                <w:b/>
                <w:bCs/>
                <w:sz w:val="16"/>
                <w:szCs w:val="16"/>
              </w:rPr>
              <w:t>Mjera 7. Jačanje svijesti, edukacija o sprječavanju nastanka otpada i razmjena dobre prakse</w:t>
            </w:r>
          </w:p>
        </w:tc>
        <w:bookmarkEnd w:id="433"/>
      </w:tr>
      <w:tr w:rsidR="00AE6341" w14:paraId="19001EEF"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DE22F4" w14:textId="77777777" w:rsidR="00AE6341" w:rsidRDefault="00AE6341">
            <w:pPr>
              <w:rPr>
                <w:rFonts w:cstheme="minorHAnsi"/>
                <w:b/>
                <w:bCs/>
                <w:sz w:val="16"/>
                <w:szCs w:val="16"/>
              </w:rPr>
            </w:pPr>
            <w:r>
              <w:rPr>
                <w:rFonts w:cstheme="minorHAnsi"/>
                <w:b/>
                <w:bCs/>
                <w:sz w:val="16"/>
                <w:szCs w:val="16"/>
              </w:rPr>
              <w:t>A 7.1.</w:t>
            </w:r>
          </w:p>
        </w:tc>
        <w:tc>
          <w:tcPr>
            <w:tcW w:w="5806" w:type="dxa"/>
            <w:tcBorders>
              <w:top w:val="single" w:sz="4" w:space="0" w:color="auto"/>
              <w:left w:val="single" w:sz="4" w:space="0" w:color="auto"/>
              <w:bottom w:val="single" w:sz="4" w:space="0" w:color="auto"/>
              <w:right w:val="single" w:sz="4" w:space="0" w:color="auto"/>
            </w:tcBorders>
            <w:vAlign w:val="center"/>
            <w:hideMark/>
          </w:tcPr>
          <w:p w14:paraId="0AEFC768" w14:textId="77777777" w:rsidR="00AE6341" w:rsidRDefault="00AE6341">
            <w:pPr>
              <w:rPr>
                <w:rFonts w:cstheme="minorHAnsi"/>
                <w:sz w:val="16"/>
                <w:szCs w:val="16"/>
              </w:rPr>
            </w:pPr>
            <w:r>
              <w:rPr>
                <w:rFonts w:cstheme="minorHAnsi"/>
                <w:sz w:val="16"/>
                <w:szCs w:val="16"/>
              </w:rPr>
              <w:t>Provedba nacionalne kampanje na temu sprječavanja nastanka otpada i kružne ekonomije. Kampanje tematski ciljane minimalno na: opću važnost i ulogu sprječavanja nastanka otpada, komunalnog otpada, EE otpada, otpadnog papira i kartona, građevnog otpada, otpadnog tekstila i obuće, plastičnog otpada, morskog otpada</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C18F50"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A3C22F" w14:textId="77777777" w:rsidR="00AE6341" w:rsidRDefault="00AE6341">
            <w:pPr>
              <w:rPr>
                <w:rFonts w:cstheme="minorHAnsi"/>
                <w:sz w:val="16"/>
                <w:szCs w:val="16"/>
              </w:rPr>
            </w:pPr>
            <w:r>
              <w:rPr>
                <w:rFonts w:cstheme="minorHAnsi"/>
                <w:sz w:val="16"/>
                <w:szCs w:val="16"/>
              </w:rPr>
              <w:t>FZOEU</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145D61EA" w14:textId="77777777" w:rsidR="00AE6341" w:rsidRDefault="00AE6341">
            <w:pPr>
              <w:rPr>
                <w:rFonts w:cstheme="minorHAnsi"/>
                <w:sz w:val="16"/>
                <w:szCs w:val="16"/>
              </w:rPr>
            </w:pPr>
            <w:r>
              <w:rPr>
                <w:rFonts w:cstheme="minorHAnsi"/>
                <w:sz w:val="16"/>
                <w:szCs w:val="16"/>
              </w:rPr>
              <w:t>MINGOR/FZOEU/EU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D820381" w14:textId="77777777" w:rsidR="00AE6341" w:rsidRDefault="00AE6341">
            <w:pPr>
              <w:rPr>
                <w:rFonts w:cstheme="minorHAnsi"/>
                <w:sz w:val="16"/>
                <w:szCs w:val="16"/>
              </w:rPr>
            </w:pPr>
            <w:r>
              <w:rPr>
                <w:rFonts w:cstheme="minorHAnsi"/>
                <w:sz w:val="16"/>
                <w:szCs w:val="16"/>
              </w:rPr>
              <w:t>Provedena nacionalna kampanja na temu sprječavanja nastanka otpada</w:t>
            </w:r>
          </w:p>
        </w:tc>
        <w:tc>
          <w:tcPr>
            <w:tcW w:w="986" w:type="dxa"/>
            <w:tcBorders>
              <w:top w:val="single" w:sz="4" w:space="0" w:color="auto"/>
              <w:left w:val="single" w:sz="4" w:space="0" w:color="auto"/>
              <w:bottom w:val="single" w:sz="4" w:space="0" w:color="auto"/>
              <w:right w:val="single" w:sz="4" w:space="0" w:color="auto"/>
            </w:tcBorders>
            <w:vAlign w:val="center"/>
            <w:hideMark/>
          </w:tcPr>
          <w:p w14:paraId="5FCD603A"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4F16E47" w14:textId="77777777" w:rsidR="00AE6341" w:rsidRDefault="00AE6341">
            <w:pPr>
              <w:jc w:val="center"/>
              <w:rPr>
                <w:rFonts w:cstheme="minorHAnsi"/>
                <w:sz w:val="16"/>
                <w:szCs w:val="16"/>
              </w:rPr>
            </w:pPr>
            <w:r>
              <w:rPr>
                <w:rFonts w:cstheme="minorHAnsi"/>
                <w:sz w:val="16"/>
                <w:szCs w:val="16"/>
              </w:rPr>
              <w:t>12</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D209880"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6871FE6"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8DF7347"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F563186"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8B6CD81"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7F69007" w14:textId="77777777" w:rsidR="00AE6341" w:rsidRDefault="00AE6341">
            <w:pPr>
              <w:rPr>
                <w:rFonts w:cstheme="minorHAnsi"/>
                <w:sz w:val="16"/>
                <w:szCs w:val="16"/>
              </w:rPr>
            </w:pPr>
          </w:p>
        </w:tc>
      </w:tr>
      <w:tr w:rsidR="00AE6341" w14:paraId="482C220B"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34AF67C1" w14:textId="77777777" w:rsidR="00AE6341" w:rsidRDefault="00AE6341">
            <w:pPr>
              <w:jc w:val="center"/>
              <w:rPr>
                <w:rFonts w:cstheme="minorHAnsi"/>
                <w:b/>
                <w:bCs/>
                <w:sz w:val="16"/>
                <w:szCs w:val="16"/>
              </w:rPr>
            </w:pPr>
            <w:r>
              <w:rPr>
                <w:rFonts w:cstheme="minorHAnsi"/>
                <w:b/>
                <w:bCs/>
                <w:sz w:val="16"/>
                <w:szCs w:val="16"/>
              </w:rPr>
              <w:t>Mjera 8. Promicanje eko-dizajna (sustavne integracije aspekata zaštite okoliša u dizajn proizvoda s ciljem unapređenja ponašanja proizvoda s obzirom na zaštitu okoliša u cijelom životnom vijeku proizvoda)</w:t>
            </w:r>
          </w:p>
        </w:tc>
      </w:tr>
      <w:tr w:rsidR="00AE6341" w14:paraId="736D61F3"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022CC0C" w14:textId="77777777" w:rsidR="00AE6341" w:rsidRDefault="00AE6341">
            <w:pPr>
              <w:rPr>
                <w:rFonts w:cstheme="minorHAnsi"/>
                <w:b/>
                <w:bCs/>
                <w:sz w:val="16"/>
                <w:szCs w:val="16"/>
              </w:rPr>
            </w:pPr>
            <w:r>
              <w:rPr>
                <w:rFonts w:cstheme="minorHAnsi"/>
                <w:b/>
                <w:bCs/>
                <w:sz w:val="16"/>
                <w:szCs w:val="16"/>
              </w:rPr>
              <w:t>A 8.1.</w:t>
            </w:r>
          </w:p>
        </w:tc>
        <w:tc>
          <w:tcPr>
            <w:tcW w:w="5806" w:type="dxa"/>
            <w:tcBorders>
              <w:top w:val="single" w:sz="4" w:space="0" w:color="auto"/>
              <w:left w:val="single" w:sz="4" w:space="0" w:color="auto"/>
              <w:bottom w:val="single" w:sz="4" w:space="0" w:color="auto"/>
              <w:right w:val="single" w:sz="4" w:space="0" w:color="auto"/>
            </w:tcBorders>
            <w:vAlign w:val="center"/>
            <w:hideMark/>
          </w:tcPr>
          <w:p w14:paraId="31FAD036" w14:textId="77777777" w:rsidR="00AE6341" w:rsidRDefault="00AE6341">
            <w:pPr>
              <w:rPr>
                <w:rFonts w:cstheme="minorHAnsi"/>
                <w:sz w:val="16"/>
                <w:szCs w:val="16"/>
              </w:rPr>
            </w:pPr>
            <w:r>
              <w:rPr>
                <w:rFonts w:cstheme="minorHAnsi"/>
                <w:sz w:val="16"/>
                <w:szCs w:val="16"/>
              </w:rPr>
              <w:t>Izrada analize i definiranje kriterija za model eko-modulacije u određivanju naknada koje proizvođači proizvoda koji su obuhvaćeni sustavima proširene odgovornosti proizvođača trebaju plaćati</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127803" w14:textId="77777777" w:rsidR="00AE6341" w:rsidRDefault="00AE6341">
            <w:pPr>
              <w:rPr>
                <w:rFonts w:cstheme="minorHAnsi"/>
                <w:sz w:val="16"/>
                <w:szCs w:val="16"/>
              </w:rPr>
            </w:pPr>
            <w:r>
              <w:rPr>
                <w:rFonts w:cstheme="minorHAnsi"/>
                <w:sz w:val="16"/>
                <w:szCs w:val="16"/>
              </w:rPr>
              <w:t>FZOEU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930779" w14:textId="77777777" w:rsidR="00AE6341" w:rsidRDefault="00AE6341">
            <w:pPr>
              <w:rPr>
                <w:rFonts w:cstheme="minorHAnsi"/>
                <w:sz w:val="16"/>
                <w:szCs w:val="16"/>
              </w:rPr>
            </w:pPr>
            <w:r>
              <w:rPr>
                <w:rFonts w:cstheme="minorHAnsi"/>
                <w:sz w:val="16"/>
                <w:szCs w:val="16"/>
              </w:rPr>
              <w:t>MINGOR</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14927484" w14:textId="77777777" w:rsidR="00AE6341" w:rsidRDefault="00AE6341">
            <w:pPr>
              <w:rPr>
                <w:rFonts w:cstheme="minorHAnsi"/>
                <w:sz w:val="16"/>
                <w:szCs w:val="16"/>
              </w:rPr>
            </w:pPr>
            <w:r>
              <w:rPr>
                <w:rFonts w:cstheme="minorHAnsi"/>
                <w:sz w:val="16"/>
                <w:szCs w:val="16"/>
              </w:rPr>
              <w:t>MINGOR/FZOEU/EU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18CB156" w14:textId="77777777" w:rsidR="00AE6341" w:rsidRDefault="00AE6341">
            <w:pPr>
              <w:rPr>
                <w:rFonts w:cstheme="minorHAnsi"/>
                <w:sz w:val="16"/>
                <w:szCs w:val="16"/>
              </w:rPr>
            </w:pPr>
            <w:r>
              <w:rPr>
                <w:rFonts w:cstheme="minorHAnsi"/>
                <w:sz w:val="16"/>
                <w:szCs w:val="16"/>
              </w:rPr>
              <w:t>Izrađena analiza i definiranje kriterija za model eko-modulacije u određivanju naknada koje proizvođači proizvoda koji su obuhvaćeni sustavima proširene odgovornosti proizvođača trebaju plaćati</w:t>
            </w:r>
          </w:p>
        </w:tc>
        <w:tc>
          <w:tcPr>
            <w:tcW w:w="986" w:type="dxa"/>
            <w:tcBorders>
              <w:top w:val="single" w:sz="4" w:space="0" w:color="auto"/>
              <w:left w:val="single" w:sz="4" w:space="0" w:color="auto"/>
              <w:bottom w:val="single" w:sz="4" w:space="0" w:color="auto"/>
              <w:right w:val="single" w:sz="4" w:space="0" w:color="auto"/>
            </w:tcBorders>
            <w:vAlign w:val="center"/>
            <w:hideMark/>
          </w:tcPr>
          <w:p w14:paraId="1D7C11BA"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3BC0CC1C"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E632935"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D30CAB1" w14:textId="77777777" w:rsidR="00AE6341" w:rsidRDefault="00AE6341">
            <w:pPr>
              <w:rPr>
                <w:rFonts w:cstheme="minorHAnsi"/>
                <w:sz w:val="16"/>
                <w:szCs w:val="16"/>
              </w:rPr>
            </w:pPr>
            <w:r>
              <w:rPr>
                <w:rFonts w:cstheme="minorHAnsi"/>
                <w:sz w:val="16"/>
                <w:szCs w:val="16"/>
              </w:rPr>
              <w:t>1K</w:t>
            </w:r>
          </w:p>
        </w:tc>
        <w:tc>
          <w:tcPr>
            <w:tcW w:w="567" w:type="dxa"/>
            <w:tcBorders>
              <w:top w:val="single" w:sz="4" w:space="0" w:color="auto"/>
              <w:left w:val="single" w:sz="4" w:space="0" w:color="auto"/>
              <w:bottom w:val="single" w:sz="4" w:space="0" w:color="auto"/>
              <w:right w:val="single" w:sz="4" w:space="0" w:color="auto"/>
            </w:tcBorders>
            <w:vAlign w:val="center"/>
          </w:tcPr>
          <w:p w14:paraId="03DCCCA2"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8A31EB8"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4DE57B4"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0D76C95" w14:textId="77777777" w:rsidR="00AE6341" w:rsidRDefault="00AE6341">
            <w:pPr>
              <w:rPr>
                <w:rFonts w:cstheme="minorHAnsi"/>
                <w:sz w:val="16"/>
                <w:szCs w:val="16"/>
              </w:rPr>
            </w:pPr>
          </w:p>
        </w:tc>
      </w:tr>
      <w:tr w:rsidR="00AE6341" w14:paraId="338A2E20"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538E9A" w14:textId="77777777" w:rsidR="00AE6341" w:rsidRDefault="00AE6341">
            <w:pPr>
              <w:rPr>
                <w:rFonts w:cstheme="minorHAnsi"/>
                <w:b/>
                <w:bCs/>
                <w:sz w:val="16"/>
                <w:szCs w:val="16"/>
              </w:rPr>
            </w:pPr>
            <w:r>
              <w:rPr>
                <w:rFonts w:cstheme="minorHAnsi"/>
                <w:b/>
                <w:bCs/>
                <w:sz w:val="16"/>
                <w:szCs w:val="16"/>
              </w:rPr>
              <w:lastRenderedPageBreak/>
              <w:t>A 8.2.</w:t>
            </w:r>
          </w:p>
        </w:tc>
        <w:tc>
          <w:tcPr>
            <w:tcW w:w="5806" w:type="dxa"/>
            <w:tcBorders>
              <w:top w:val="single" w:sz="4" w:space="0" w:color="auto"/>
              <w:left w:val="single" w:sz="4" w:space="0" w:color="auto"/>
              <w:bottom w:val="single" w:sz="4" w:space="0" w:color="auto"/>
              <w:right w:val="single" w:sz="4" w:space="0" w:color="auto"/>
            </w:tcBorders>
            <w:vAlign w:val="center"/>
            <w:hideMark/>
          </w:tcPr>
          <w:p w14:paraId="0E92965F" w14:textId="77777777" w:rsidR="00AE6341" w:rsidRDefault="00AE6341">
            <w:pPr>
              <w:rPr>
                <w:rFonts w:cstheme="minorHAnsi"/>
                <w:sz w:val="16"/>
                <w:szCs w:val="16"/>
              </w:rPr>
            </w:pPr>
            <w:r>
              <w:rPr>
                <w:rFonts w:cstheme="minorHAnsi"/>
                <w:sz w:val="16"/>
                <w:szCs w:val="16"/>
              </w:rPr>
              <w:t>Izrada analize o kritičnim sirovinama u proizvodima stavljenim na tržište RH i izrada metodologije za praćenje njihova iskorištenja</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9F679F"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56FF94" w14:textId="77777777" w:rsidR="00AE6341" w:rsidRDefault="00AE6341">
            <w:pPr>
              <w:rPr>
                <w:rFonts w:cstheme="minorHAnsi"/>
                <w:sz w:val="16"/>
                <w:szCs w:val="16"/>
              </w:rPr>
            </w:pPr>
            <w:r>
              <w:rPr>
                <w:rFonts w:cstheme="minorHAnsi"/>
                <w:sz w:val="16"/>
                <w:szCs w:val="16"/>
              </w:rPr>
              <w:t>FZOEU</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529788D0" w14:textId="77777777" w:rsidR="00AE6341" w:rsidRDefault="00AE6341">
            <w:pPr>
              <w:rPr>
                <w:rFonts w:cstheme="minorHAnsi"/>
                <w:sz w:val="16"/>
                <w:szCs w:val="16"/>
              </w:rPr>
            </w:pPr>
            <w:r>
              <w:rPr>
                <w:rFonts w:cstheme="minorHAnsi"/>
                <w:sz w:val="16"/>
                <w:szCs w:val="16"/>
              </w:rPr>
              <w:t>MINGOR/FZOEU/EU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A68684F" w14:textId="77777777" w:rsidR="00AE6341" w:rsidRDefault="00AE6341">
            <w:pPr>
              <w:rPr>
                <w:rFonts w:cstheme="minorHAnsi"/>
                <w:sz w:val="16"/>
                <w:szCs w:val="16"/>
              </w:rPr>
            </w:pPr>
            <w:r>
              <w:rPr>
                <w:rFonts w:cstheme="minorHAnsi"/>
                <w:sz w:val="16"/>
                <w:szCs w:val="16"/>
              </w:rPr>
              <w:t>Izrađena analiza o kritičnim sirovinama u proizvodima stavljenim na tržište RH i izrada metodologije za praćenje njihova iskorištenja</w:t>
            </w:r>
          </w:p>
        </w:tc>
        <w:tc>
          <w:tcPr>
            <w:tcW w:w="986" w:type="dxa"/>
            <w:tcBorders>
              <w:top w:val="single" w:sz="4" w:space="0" w:color="auto"/>
              <w:left w:val="single" w:sz="4" w:space="0" w:color="auto"/>
              <w:bottom w:val="single" w:sz="4" w:space="0" w:color="auto"/>
              <w:right w:val="single" w:sz="4" w:space="0" w:color="auto"/>
            </w:tcBorders>
            <w:vAlign w:val="center"/>
            <w:hideMark/>
          </w:tcPr>
          <w:p w14:paraId="327662E3"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02BC5D2F"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vAlign w:val="center"/>
          </w:tcPr>
          <w:p w14:paraId="0F4F88D4"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7940DBB2"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83932BA" w14:textId="77777777" w:rsidR="00AE6341" w:rsidRDefault="00AE6341">
            <w:pPr>
              <w:rPr>
                <w:rFonts w:cstheme="minorHAnsi"/>
                <w:sz w:val="16"/>
                <w:szCs w:val="16"/>
              </w:rPr>
            </w:pPr>
            <w:r>
              <w:rPr>
                <w:rFonts w:cstheme="minorHAnsi"/>
                <w:sz w:val="16"/>
                <w:szCs w:val="16"/>
              </w:rPr>
              <w:t>1K</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55BD52C"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F0DDD63"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1F30818" w14:textId="77777777" w:rsidR="00AE6341" w:rsidRDefault="00AE6341">
            <w:pPr>
              <w:rPr>
                <w:rFonts w:cstheme="minorHAnsi"/>
                <w:sz w:val="16"/>
                <w:szCs w:val="16"/>
              </w:rPr>
            </w:pPr>
          </w:p>
        </w:tc>
      </w:tr>
      <w:tr w:rsidR="00AE6341" w14:paraId="17E6D12A"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185E4F" w14:textId="77777777" w:rsidR="00AE6341" w:rsidRDefault="00AE6341">
            <w:pPr>
              <w:rPr>
                <w:rFonts w:cstheme="minorHAnsi"/>
                <w:b/>
                <w:bCs/>
                <w:sz w:val="16"/>
                <w:szCs w:val="16"/>
              </w:rPr>
            </w:pPr>
            <w:r>
              <w:rPr>
                <w:rFonts w:cstheme="minorHAnsi"/>
                <w:b/>
                <w:bCs/>
                <w:sz w:val="16"/>
                <w:szCs w:val="16"/>
              </w:rPr>
              <w:t>A 8.3.</w:t>
            </w:r>
          </w:p>
        </w:tc>
        <w:tc>
          <w:tcPr>
            <w:tcW w:w="5806" w:type="dxa"/>
            <w:tcBorders>
              <w:top w:val="single" w:sz="4" w:space="0" w:color="auto"/>
              <w:left w:val="single" w:sz="4" w:space="0" w:color="auto"/>
              <w:bottom w:val="single" w:sz="4" w:space="0" w:color="auto"/>
              <w:right w:val="single" w:sz="4" w:space="0" w:color="auto"/>
            </w:tcBorders>
            <w:vAlign w:val="center"/>
            <w:hideMark/>
          </w:tcPr>
          <w:p w14:paraId="5CE6F0FD" w14:textId="77777777" w:rsidR="00AE6341" w:rsidRDefault="00AE6341">
            <w:pPr>
              <w:rPr>
                <w:rFonts w:cstheme="minorHAnsi"/>
                <w:sz w:val="16"/>
                <w:szCs w:val="16"/>
              </w:rPr>
            </w:pPr>
            <w:r>
              <w:rPr>
                <w:rFonts w:cstheme="minorHAnsi"/>
                <w:sz w:val="16"/>
                <w:szCs w:val="16"/>
              </w:rPr>
              <w:t>Implementacija modela eko-modulacije u određivanju naknada koje proizvođači proizvoda koji su obuhvaćeni sustavima proširene odgovornosti proizvođača trebaju plaćati</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B7F028" w14:textId="77777777" w:rsidR="00AE6341" w:rsidRDefault="00AE6341">
            <w:pPr>
              <w:rPr>
                <w:rFonts w:cstheme="minorHAnsi"/>
                <w:sz w:val="16"/>
                <w:szCs w:val="16"/>
              </w:rPr>
            </w:pPr>
            <w:r>
              <w:rPr>
                <w:rFonts w:cstheme="minorHAnsi"/>
                <w:sz w:val="16"/>
                <w:szCs w:val="16"/>
              </w:rPr>
              <w:t>FZOEU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84E4A2" w14:textId="77777777" w:rsidR="00AE6341" w:rsidRDefault="00AE6341">
            <w:pPr>
              <w:rPr>
                <w:rFonts w:cstheme="minorHAnsi"/>
                <w:sz w:val="16"/>
                <w:szCs w:val="16"/>
              </w:rPr>
            </w:pPr>
            <w:r>
              <w:rPr>
                <w:rFonts w:cstheme="minorHAnsi"/>
                <w:sz w:val="16"/>
                <w:szCs w:val="16"/>
              </w:rPr>
              <w:t>MINGOR</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5643D3DF" w14:textId="77777777" w:rsidR="00AE6341" w:rsidRDefault="00AE6341">
            <w:pPr>
              <w:rPr>
                <w:rFonts w:cstheme="minorHAnsi"/>
                <w:sz w:val="16"/>
                <w:szCs w:val="16"/>
              </w:rPr>
            </w:pPr>
            <w:r>
              <w:rPr>
                <w:rFonts w:cstheme="minorHAnsi"/>
                <w:sz w:val="16"/>
                <w:szCs w:val="16"/>
              </w:rPr>
              <w:t>-</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323F49F" w14:textId="77777777" w:rsidR="00AE6341" w:rsidRDefault="00AE6341">
            <w:pPr>
              <w:rPr>
                <w:rFonts w:cstheme="minorHAnsi"/>
                <w:sz w:val="16"/>
                <w:szCs w:val="16"/>
              </w:rPr>
            </w:pPr>
            <w:r>
              <w:rPr>
                <w:rFonts w:cstheme="minorHAnsi"/>
                <w:sz w:val="16"/>
                <w:szCs w:val="16"/>
              </w:rPr>
              <w:t>Uspješnost implementacija modela eko-modulacije u određivanju naknada koje proizvođači proizvoda koji su obuhvaćeni sustavima proširene odgovornosti proizvođača trebaju plaćati. Uspješnost će se pratiti kroz realizaciju nacionalnih ciljeva za svaku kategoriju proizvoda.</w:t>
            </w:r>
          </w:p>
        </w:tc>
        <w:tc>
          <w:tcPr>
            <w:tcW w:w="986" w:type="dxa"/>
            <w:tcBorders>
              <w:top w:val="single" w:sz="4" w:space="0" w:color="auto"/>
              <w:left w:val="single" w:sz="4" w:space="0" w:color="auto"/>
              <w:bottom w:val="single" w:sz="4" w:space="0" w:color="auto"/>
              <w:right w:val="single" w:sz="4" w:space="0" w:color="auto"/>
            </w:tcBorders>
            <w:vAlign w:val="center"/>
            <w:hideMark/>
          </w:tcPr>
          <w:p w14:paraId="156C2CBD" w14:textId="77777777" w:rsidR="00AE6341" w:rsidRDefault="00AE6341">
            <w:pPr>
              <w:rPr>
                <w:rFonts w:cstheme="minorHAnsi"/>
                <w:sz w:val="16"/>
                <w:szCs w:val="16"/>
              </w:rPr>
            </w:pPr>
            <w:r>
              <w:rPr>
                <w:rFonts w:cstheme="minorHAnsi"/>
                <w:sz w:val="16"/>
                <w:szCs w:val="16"/>
              </w:rPr>
              <w:t>n/p</w:t>
            </w:r>
          </w:p>
        </w:tc>
        <w:tc>
          <w:tcPr>
            <w:tcW w:w="1004" w:type="dxa"/>
            <w:tcBorders>
              <w:top w:val="single" w:sz="4" w:space="0" w:color="auto"/>
              <w:left w:val="single" w:sz="4" w:space="0" w:color="auto"/>
              <w:bottom w:val="single" w:sz="4" w:space="0" w:color="auto"/>
              <w:right w:val="single" w:sz="4" w:space="0" w:color="auto"/>
            </w:tcBorders>
            <w:vAlign w:val="center"/>
            <w:hideMark/>
          </w:tcPr>
          <w:p w14:paraId="71FD123F" w14:textId="77777777" w:rsidR="00AE6341" w:rsidRDefault="00AE6341">
            <w:pPr>
              <w:jc w:val="center"/>
              <w:rPr>
                <w:rFonts w:cstheme="minorHAnsi"/>
                <w:sz w:val="16"/>
                <w:szCs w:val="16"/>
              </w:rPr>
            </w:pPr>
            <w:r>
              <w:rPr>
                <w:rFonts w:cstheme="minorHAnsi"/>
                <w:sz w:val="16"/>
                <w:szCs w:val="16"/>
              </w:rPr>
              <w:t>n/p</w:t>
            </w:r>
          </w:p>
        </w:tc>
        <w:tc>
          <w:tcPr>
            <w:tcW w:w="557" w:type="dxa"/>
            <w:tcBorders>
              <w:top w:val="single" w:sz="4" w:space="0" w:color="auto"/>
              <w:left w:val="single" w:sz="4" w:space="0" w:color="auto"/>
              <w:bottom w:val="single" w:sz="4" w:space="0" w:color="auto"/>
              <w:right w:val="single" w:sz="4" w:space="0" w:color="auto"/>
            </w:tcBorders>
            <w:vAlign w:val="center"/>
          </w:tcPr>
          <w:p w14:paraId="14B1E596" w14:textId="77777777" w:rsidR="00AE6341" w:rsidRDefault="00AE6341">
            <w:pPr>
              <w:rPr>
                <w:rFonts w:cstheme="minorHAnsi"/>
                <w:color w:val="5B9BD5" w:themeColor="accent5"/>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7C17826" w14:textId="77777777" w:rsidR="00AE6341" w:rsidRDefault="00AE6341">
            <w:pPr>
              <w:rPr>
                <w:rFonts w:cstheme="minorHAnsi"/>
                <w:color w:val="5B9BD5" w:themeColor="accent5"/>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42AF650" w14:textId="77777777" w:rsidR="00AE6341" w:rsidRDefault="00AE6341">
            <w:pPr>
              <w:rPr>
                <w:rFonts w:cstheme="minorHAnsi"/>
                <w:color w:val="5B9BD5" w:themeColor="accent5"/>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F3830DC" w14:textId="77777777" w:rsidR="00AE6341" w:rsidRDefault="00AE6341">
            <w:pPr>
              <w:rPr>
                <w:rFonts w:cstheme="minorHAnsi"/>
                <w:color w:val="5B9BD5" w:themeColor="accent5"/>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9B71A93" w14:textId="77777777" w:rsidR="00AE6341" w:rsidRDefault="00AE6341">
            <w:pPr>
              <w:rPr>
                <w:rFonts w:cstheme="minorHAnsi"/>
                <w:color w:val="5B9BD5" w:themeColor="accent5"/>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0834B27" w14:textId="77777777" w:rsidR="00AE6341" w:rsidRDefault="00AE6341">
            <w:pPr>
              <w:rPr>
                <w:rFonts w:cstheme="minorHAnsi"/>
                <w:color w:val="5B9BD5" w:themeColor="accent5"/>
                <w:sz w:val="16"/>
                <w:szCs w:val="16"/>
              </w:rPr>
            </w:pPr>
          </w:p>
        </w:tc>
      </w:tr>
      <w:tr w:rsidR="00AE6341" w14:paraId="09CA4773"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F3025E" w14:textId="77777777" w:rsidR="00AE6341" w:rsidRDefault="00AE6341">
            <w:pPr>
              <w:rPr>
                <w:rFonts w:cstheme="minorHAnsi"/>
                <w:b/>
                <w:bCs/>
                <w:sz w:val="16"/>
                <w:szCs w:val="16"/>
              </w:rPr>
            </w:pPr>
            <w:r>
              <w:rPr>
                <w:rFonts w:cstheme="minorHAnsi"/>
                <w:b/>
                <w:bCs/>
                <w:sz w:val="16"/>
                <w:szCs w:val="16"/>
              </w:rPr>
              <w:t>A 8.4.</w:t>
            </w:r>
          </w:p>
        </w:tc>
        <w:tc>
          <w:tcPr>
            <w:tcW w:w="5806" w:type="dxa"/>
            <w:tcBorders>
              <w:top w:val="single" w:sz="4" w:space="0" w:color="auto"/>
              <w:left w:val="single" w:sz="4" w:space="0" w:color="auto"/>
              <w:bottom w:val="single" w:sz="4" w:space="0" w:color="auto"/>
              <w:right w:val="single" w:sz="4" w:space="0" w:color="auto"/>
            </w:tcBorders>
            <w:vAlign w:val="center"/>
            <w:hideMark/>
          </w:tcPr>
          <w:p w14:paraId="61AE75E9" w14:textId="77777777" w:rsidR="00AE6341" w:rsidRDefault="00AE6341">
            <w:pPr>
              <w:rPr>
                <w:rFonts w:cstheme="minorHAnsi"/>
                <w:sz w:val="16"/>
                <w:szCs w:val="16"/>
              </w:rPr>
            </w:pPr>
            <w:r>
              <w:rPr>
                <w:rFonts w:cstheme="minorHAnsi"/>
                <w:sz w:val="16"/>
                <w:szCs w:val="16"/>
              </w:rPr>
              <w:t xml:space="preserve">Poticanje certificiranja održivih proizvoda i usluga (promicanje </w:t>
            </w:r>
            <w:proofErr w:type="spellStart"/>
            <w:r>
              <w:rPr>
                <w:rFonts w:cstheme="minorHAnsi"/>
                <w:sz w:val="16"/>
                <w:szCs w:val="16"/>
              </w:rPr>
              <w:t>ekooznaka</w:t>
            </w:r>
            <w:proofErr w:type="spellEnd"/>
            <w:r>
              <w:rPr>
                <w:rFonts w:cstheme="minorHAnsi"/>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EE5A76"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115382" w14:textId="77777777" w:rsidR="00AE6341" w:rsidRDefault="00AE6341">
            <w:pPr>
              <w:rPr>
                <w:rFonts w:cstheme="minorHAnsi"/>
                <w:sz w:val="16"/>
                <w:szCs w:val="16"/>
              </w:rPr>
            </w:pPr>
            <w:r>
              <w:rPr>
                <w:rFonts w:cstheme="minorHAnsi"/>
                <w:sz w:val="16"/>
                <w:szCs w:val="16"/>
              </w:rPr>
              <w:t>Ministarstvo turizma i sporta/FZOEU</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36BD78C5" w14:textId="77777777" w:rsidR="00AE6341" w:rsidRDefault="00AE6341">
            <w:pPr>
              <w:rPr>
                <w:rFonts w:cstheme="minorHAnsi"/>
                <w:sz w:val="16"/>
                <w:szCs w:val="16"/>
              </w:rPr>
            </w:pPr>
            <w:r>
              <w:rPr>
                <w:rFonts w:cstheme="minorHAnsi"/>
                <w:sz w:val="16"/>
                <w:szCs w:val="16"/>
              </w:rPr>
              <w:t>MINGOR/FZOEU/EU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DCEEF8A" w14:textId="77777777" w:rsidR="00AE6341" w:rsidRDefault="00AE6341">
            <w:pPr>
              <w:rPr>
                <w:rFonts w:cstheme="minorHAnsi"/>
                <w:sz w:val="16"/>
                <w:szCs w:val="16"/>
              </w:rPr>
            </w:pPr>
            <w:r>
              <w:rPr>
                <w:rFonts w:cstheme="minorHAnsi"/>
                <w:sz w:val="16"/>
                <w:szCs w:val="16"/>
              </w:rPr>
              <w:t>Nositelj znaka kojemu je MINGOR dodijelilo eko-oznaku</w:t>
            </w:r>
          </w:p>
        </w:tc>
        <w:tc>
          <w:tcPr>
            <w:tcW w:w="986" w:type="dxa"/>
            <w:tcBorders>
              <w:top w:val="single" w:sz="4" w:space="0" w:color="auto"/>
              <w:left w:val="single" w:sz="4" w:space="0" w:color="auto"/>
              <w:bottom w:val="single" w:sz="4" w:space="0" w:color="auto"/>
              <w:right w:val="single" w:sz="4" w:space="0" w:color="auto"/>
            </w:tcBorders>
            <w:vAlign w:val="center"/>
            <w:hideMark/>
          </w:tcPr>
          <w:p w14:paraId="26C85009"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DB32702" w14:textId="77777777" w:rsidR="00AE6341" w:rsidRDefault="00AE6341">
            <w:pPr>
              <w:jc w:val="center"/>
              <w:rPr>
                <w:rFonts w:cstheme="minorHAnsi"/>
                <w:sz w:val="16"/>
                <w:szCs w:val="16"/>
              </w:rPr>
            </w:pPr>
            <w:r>
              <w:rPr>
                <w:rFonts w:cstheme="minorHAnsi"/>
                <w:sz w:val="16"/>
                <w:szCs w:val="16"/>
              </w:rPr>
              <w:t>40</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CEC6B58"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4DECCEF"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268CEFB"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9D94B14"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021F437"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1A2B36D" w14:textId="77777777" w:rsidR="00AE6341" w:rsidRDefault="00AE6341">
            <w:pPr>
              <w:rPr>
                <w:rFonts w:cstheme="minorHAnsi"/>
                <w:sz w:val="16"/>
                <w:szCs w:val="16"/>
              </w:rPr>
            </w:pPr>
          </w:p>
        </w:tc>
      </w:tr>
      <w:tr w:rsidR="00AE6341" w14:paraId="4F8869D2"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023BB27" w14:textId="77777777" w:rsidR="00AE6341" w:rsidRDefault="00AE6341">
            <w:pPr>
              <w:rPr>
                <w:rFonts w:cstheme="minorHAnsi"/>
                <w:b/>
                <w:bCs/>
                <w:sz w:val="16"/>
                <w:szCs w:val="16"/>
              </w:rPr>
            </w:pPr>
            <w:bookmarkStart w:id="434" w:name="_Hlk110720571"/>
            <w:r>
              <w:rPr>
                <w:rFonts w:cstheme="minorHAnsi"/>
                <w:b/>
                <w:bCs/>
                <w:sz w:val="16"/>
                <w:szCs w:val="16"/>
              </w:rPr>
              <w:t>A 8.5.</w:t>
            </w:r>
          </w:p>
        </w:tc>
        <w:tc>
          <w:tcPr>
            <w:tcW w:w="5806" w:type="dxa"/>
            <w:tcBorders>
              <w:top w:val="single" w:sz="4" w:space="0" w:color="auto"/>
              <w:left w:val="single" w:sz="4" w:space="0" w:color="auto"/>
              <w:bottom w:val="single" w:sz="4" w:space="0" w:color="auto"/>
              <w:right w:val="single" w:sz="4" w:space="0" w:color="auto"/>
            </w:tcBorders>
            <w:vAlign w:val="center"/>
            <w:hideMark/>
          </w:tcPr>
          <w:p w14:paraId="65CF9FBB" w14:textId="77777777" w:rsidR="00AE6341" w:rsidRDefault="00AE6341">
            <w:pPr>
              <w:rPr>
                <w:rFonts w:cstheme="minorHAnsi"/>
                <w:sz w:val="16"/>
                <w:szCs w:val="16"/>
              </w:rPr>
            </w:pPr>
            <w:r>
              <w:rPr>
                <w:rFonts w:cstheme="minorHAnsi"/>
                <w:sz w:val="16"/>
                <w:szCs w:val="16"/>
              </w:rPr>
              <w:t>Projekti istraživanja i razvoja u području ekološkog dizajna i pomoć proizvođačima da učinkovitije iskoriste prirodne resurse, osobito kritične sirovine</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2FBD98"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89694D" w14:textId="77777777" w:rsidR="00AE6341" w:rsidRDefault="00AE6341">
            <w:pPr>
              <w:rPr>
                <w:rFonts w:cstheme="minorHAnsi"/>
                <w:sz w:val="16"/>
                <w:szCs w:val="16"/>
              </w:rPr>
            </w:pPr>
            <w:r>
              <w:rPr>
                <w:rFonts w:cstheme="minorHAnsi"/>
                <w:sz w:val="16"/>
                <w:szCs w:val="16"/>
              </w:rPr>
              <w:t>FZOEU/MGPUDI/akademska zajednica/PS</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1D999D32" w14:textId="77777777" w:rsidR="00AE6341" w:rsidRDefault="00AE6341">
            <w:pPr>
              <w:rPr>
                <w:rFonts w:cstheme="minorHAnsi"/>
                <w:sz w:val="16"/>
                <w:szCs w:val="16"/>
              </w:rPr>
            </w:pPr>
            <w:r>
              <w:rPr>
                <w:rFonts w:cstheme="minorHAnsi"/>
                <w:sz w:val="16"/>
                <w:szCs w:val="16"/>
              </w:rPr>
              <w:t>MINGOR/FZOEU/EU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930420F" w14:textId="77777777" w:rsidR="00AE6341" w:rsidRDefault="00AE6341">
            <w:pPr>
              <w:rPr>
                <w:rFonts w:cstheme="minorHAnsi"/>
                <w:sz w:val="16"/>
                <w:szCs w:val="16"/>
              </w:rPr>
            </w:pPr>
            <w:r>
              <w:rPr>
                <w:rFonts w:cstheme="minorHAnsi"/>
                <w:sz w:val="16"/>
                <w:szCs w:val="16"/>
              </w:rPr>
              <w:t>Provedeni projekti istraživanja i razvoja u području ekološkog dizajna i pomoć proizvođačima da učinkovitije iskoriste prirodne resurse, osobito kritične sirovine</w:t>
            </w:r>
          </w:p>
        </w:tc>
        <w:tc>
          <w:tcPr>
            <w:tcW w:w="986" w:type="dxa"/>
            <w:tcBorders>
              <w:top w:val="single" w:sz="4" w:space="0" w:color="auto"/>
              <w:left w:val="single" w:sz="4" w:space="0" w:color="auto"/>
              <w:bottom w:val="single" w:sz="4" w:space="0" w:color="auto"/>
              <w:right w:val="single" w:sz="4" w:space="0" w:color="auto"/>
            </w:tcBorders>
            <w:vAlign w:val="center"/>
            <w:hideMark/>
          </w:tcPr>
          <w:p w14:paraId="3B630A73"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1949ED0" w14:textId="77777777" w:rsidR="00AE6341" w:rsidRDefault="00AE6341">
            <w:pPr>
              <w:jc w:val="center"/>
              <w:rPr>
                <w:rFonts w:cstheme="minorHAnsi"/>
                <w:sz w:val="16"/>
                <w:szCs w:val="16"/>
              </w:rPr>
            </w:pPr>
            <w:r>
              <w:rPr>
                <w:rFonts w:cstheme="minorHAnsi"/>
                <w:sz w:val="16"/>
                <w:szCs w:val="16"/>
              </w:rPr>
              <w:t>12*</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D9D84E1"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EFF741F"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9168E91"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168518E"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A0D783F"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1CAE38D" w14:textId="77777777" w:rsidR="00AE6341" w:rsidRDefault="00AE6341">
            <w:pPr>
              <w:rPr>
                <w:rFonts w:cstheme="minorHAnsi"/>
                <w:sz w:val="16"/>
                <w:szCs w:val="16"/>
              </w:rPr>
            </w:pPr>
          </w:p>
        </w:tc>
        <w:bookmarkEnd w:id="434"/>
      </w:tr>
      <w:tr w:rsidR="00AE6341" w14:paraId="0BDA6B78"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3F506FB6" w14:textId="77777777" w:rsidR="00AE6341" w:rsidRDefault="00AE6341">
            <w:pPr>
              <w:jc w:val="center"/>
              <w:rPr>
                <w:rFonts w:cstheme="minorHAnsi"/>
                <w:b/>
                <w:bCs/>
                <w:sz w:val="16"/>
                <w:szCs w:val="16"/>
              </w:rPr>
            </w:pPr>
            <w:bookmarkStart w:id="435" w:name="_Hlk110632916"/>
            <w:r>
              <w:rPr>
                <w:rFonts w:cstheme="minorHAnsi"/>
                <w:b/>
                <w:bCs/>
                <w:sz w:val="16"/>
                <w:szCs w:val="16"/>
              </w:rPr>
              <w:t>Mjera 9. Promicanje provjerenih sustava za gospodarenje okolišem, uključujući sustave EMAS i ISO 14001</w:t>
            </w:r>
          </w:p>
        </w:tc>
        <w:bookmarkEnd w:id="435"/>
      </w:tr>
      <w:tr w:rsidR="00AE6341" w14:paraId="1A47615B"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597F9B" w14:textId="77777777" w:rsidR="00AE6341" w:rsidRDefault="00AE6341">
            <w:pPr>
              <w:rPr>
                <w:rFonts w:cstheme="minorHAnsi"/>
                <w:b/>
                <w:bCs/>
                <w:sz w:val="16"/>
                <w:szCs w:val="16"/>
              </w:rPr>
            </w:pPr>
            <w:r>
              <w:rPr>
                <w:rFonts w:cstheme="minorHAnsi"/>
                <w:b/>
                <w:bCs/>
                <w:sz w:val="16"/>
                <w:szCs w:val="16"/>
              </w:rPr>
              <w:t>A 9.1.</w:t>
            </w:r>
          </w:p>
        </w:tc>
        <w:tc>
          <w:tcPr>
            <w:tcW w:w="5806" w:type="dxa"/>
            <w:tcBorders>
              <w:top w:val="single" w:sz="4" w:space="0" w:color="auto"/>
              <w:left w:val="single" w:sz="4" w:space="0" w:color="auto"/>
              <w:bottom w:val="single" w:sz="4" w:space="0" w:color="auto"/>
              <w:right w:val="single" w:sz="4" w:space="0" w:color="auto"/>
            </w:tcBorders>
            <w:vAlign w:val="center"/>
            <w:hideMark/>
          </w:tcPr>
          <w:p w14:paraId="6581532B" w14:textId="77777777" w:rsidR="00AE6341" w:rsidRDefault="00AE6341">
            <w:pPr>
              <w:rPr>
                <w:rFonts w:cstheme="minorHAnsi"/>
                <w:sz w:val="16"/>
                <w:szCs w:val="16"/>
              </w:rPr>
            </w:pPr>
            <w:r>
              <w:rPr>
                <w:rFonts w:cstheme="minorHAnsi"/>
                <w:sz w:val="16"/>
                <w:szCs w:val="16"/>
              </w:rPr>
              <w:t>Provedba promidžbenih aktivnosti</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608E1C"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389AD1" w14:textId="77777777" w:rsidR="00AE6341" w:rsidRDefault="00AE6341">
            <w:pPr>
              <w:rPr>
                <w:rFonts w:cstheme="minorHAnsi"/>
                <w:color w:val="FF0000"/>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52982B2D" w14:textId="77777777" w:rsidR="00AE6341" w:rsidRDefault="00AE6341">
            <w:pPr>
              <w:rPr>
                <w:rFonts w:cstheme="minorHAnsi"/>
                <w:sz w:val="16"/>
                <w:szCs w:val="16"/>
              </w:rPr>
            </w:pPr>
            <w:r>
              <w:rPr>
                <w:rFonts w:cstheme="minorHAnsi"/>
                <w:sz w:val="16"/>
                <w:szCs w:val="16"/>
              </w:rPr>
              <w:t>MINGOR/FZOEU/EU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2BD42E0" w14:textId="77777777" w:rsidR="00AE6341" w:rsidRDefault="00AE6341">
            <w:pPr>
              <w:rPr>
                <w:rFonts w:cstheme="minorHAnsi"/>
                <w:sz w:val="16"/>
                <w:szCs w:val="16"/>
              </w:rPr>
            </w:pPr>
            <w:r>
              <w:rPr>
                <w:rFonts w:cstheme="minorHAnsi"/>
                <w:sz w:val="16"/>
                <w:szCs w:val="16"/>
              </w:rPr>
              <w:t>Provedena kampanja/radionica/okrugli stol</w:t>
            </w:r>
          </w:p>
        </w:tc>
        <w:tc>
          <w:tcPr>
            <w:tcW w:w="986" w:type="dxa"/>
            <w:tcBorders>
              <w:top w:val="single" w:sz="4" w:space="0" w:color="auto"/>
              <w:left w:val="single" w:sz="4" w:space="0" w:color="auto"/>
              <w:bottom w:val="single" w:sz="4" w:space="0" w:color="auto"/>
              <w:right w:val="single" w:sz="4" w:space="0" w:color="auto"/>
            </w:tcBorders>
            <w:vAlign w:val="center"/>
            <w:hideMark/>
          </w:tcPr>
          <w:p w14:paraId="21BB69F0"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2DDBD882" w14:textId="77777777" w:rsidR="00AE6341" w:rsidRDefault="00AE6341">
            <w:pPr>
              <w:jc w:val="center"/>
              <w:rPr>
                <w:rFonts w:cstheme="minorHAnsi"/>
                <w:sz w:val="16"/>
                <w:szCs w:val="16"/>
              </w:rPr>
            </w:pPr>
            <w:r>
              <w:rPr>
                <w:rFonts w:cstheme="minorHAnsi"/>
                <w:sz w:val="16"/>
                <w:szCs w:val="16"/>
              </w:rPr>
              <w:t>6</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60DAF2B"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605EA73"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C0011D9"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9B98407"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D0AE458"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5E70212" w14:textId="77777777" w:rsidR="00AE6341" w:rsidRDefault="00AE6341">
            <w:pPr>
              <w:rPr>
                <w:rFonts w:cstheme="minorHAnsi"/>
                <w:sz w:val="16"/>
                <w:szCs w:val="16"/>
              </w:rPr>
            </w:pPr>
          </w:p>
        </w:tc>
      </w:tr>
      <w:tr w:rsidR="00AE6341" w14:paraId="1F1DDCC9"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6E9A5A" w14:textId="77777777" w:rsidR="00AE6341" w:rsidRDefault="00AE6341">
            <w:pPr>
              <w:rPr>
                <w:rFonts w:cstheme="minorHAnsi"/>
                <w:b/>
                <w:bCs/>
                <w:sz w:val="16"/>
                <w:szCs w:val="16"/>
              </w:rPr>
            </w:pPr>
            <w:r>
              <w:rPr>
                <w:rFonts w:cstheme="minorHAnsi"/>
                <w:b/>
                <w:bCs/>
                <w:sz w:val="16"/>
                <w:szCs w:val="16"/>
              </w:rPr>
              <w:t>A 9.2.</w:t>
            </w:r>
          </w:p>
        </w:tc>
        <w:tc>
          <w:tcPr>
            <w:tcW w:w="5806" w:type="dxa"/>
            <w:tcBorders>
              <w:top w:val="single" w:sz="4" w:space="0" w:color="auto"/>
              <w:left w:val="single" w:sz="4" w:space="0" w:color="auto"/>
              <w:bottom w:val="single" w:sz="4" w:space="0" w:color="auto"/>
              <w:right w:val="single" w:sz="4" w:space="0" w:color="auto"/>
            </w:tcBorders>
            <w:vAlign w:val="center"/>
            <w:hideMark/>
          </w:tcPr>
          <w:p w14:paraId="112454AD" w14:textId="77777777" w:rsidR="00AE6341" w:rsidRDefault="00AE6341">
            <w:pPr>
              <w:rPr>
                <w:rFonts w:cstheme="minorHAnsi"/>
                <w:sz w:val="16"/>
                <w:szCs w:val="16"/>
              </w:rPr>
            </w:pPr>
            <w:r>
              <w:rPr>
                <w:rFonts w:cstheme="minorHAnsi"/>
                <w:sz w:val="16"/>
                <w:szCs w:val="16"/>
              </w:rPr>
              <w:t>Vođenje nacionalne mrežne stranice o EMAS-u</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D12C7E"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A4A7BB"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4FC36F20" w14:textId="77777777" w:rsidR="00AE6341" w:rsidRDefault="00AE6341">
            <w:pPr>
              <w:rPr>
                <w:rFonts w:cstheme="minorHAnsi"/>
                <w:sz w:val="16"/>
                <w:szCs w:val="16"/>
              </w:rPr>
            </w:pPr>
            <w:r>
              <w:rPr>
                <w:rFonts w:cstheme="minorHAnsi"/>
                <w:sz w:val="16"/>
                <w:szCs w:val="16"/>
              </w:rPr>
              <w:t>MINGOR/FZOEU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78AEF53" w14:textId="77777777" w:rsidR="00AE6341" w:rsidRDefault="00AE6341">
            <w:pPr>
              <w:rPr>
                <w:rFonts w:cstheme="minorHAnsi"/>
                <w:sz w:val="16"/>
                <w:szCs w:val="16"/>
              </w:rPr>
            </w:pPr>
            <w:r>
              <w:rPr>
                <w:rFonts w:cstheme="minorHAnsi"/>
                <w:sz w:val="16"/>
                <w:szCs w:val="16"/>
              </w:rPr>
              <w:t>Funkcionalna nacionalna mrežna stranica o EMAS-u</w:t>
            </w:r>
          </w:p>
        </w:tc>
        <w:tc>
          <w:tcPr>
            <w:tcW w:w="986" w:type="dxa"/>
            <w:tcBorders>
              <w:top w:val="single" w:sz="4" w:space="0" w:color="auto"/>
              <w:left w:val="single" w:sz="4" w:space="0" w:color="auto"/>
              <w:bottom w:val="single" w:sz="4" w:space="0" w:color="auto"/>
              <w:right w:val="single" w:sz="4" w:space="0" w:color="auto"/>
            </w:tcBorders>
            <w:vAlign w:val="center"/>
            <w:hideMark/>
          </w:tcPr>
          <w:p w14:paraId="480C0EAE"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119C06A6"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9B7D530"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C7A65D6"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EA17C96"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4356906"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00ADF8D"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C2EEBEE" w14:textId="77777777" w:rsidR="00AE6341" w:rsidRDefault="00AE6341">
            <w:pPr>
              <w:rPr>
                <w:rFonts w:cstheme="minorHAnsi"/>
                <w:sz w:val="16"/>
                <w:szCs w:val="16"/>
              </w:rPr>
            </w:pPr>
          </w:p>
        </w:tc>
      </w:tr>
      <w:tr w:rsidR="00AE6341" w14:paraId="0C35A968"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ABBDE5" w14:textId="77777777" w:rsidR="00AE6341" w:rsidRDefault="00AE6341">
            <w:pPr>
              <w:rPr>
                <w:rFonts w:cstheme="minorHAnsi"/>
                <w:b/>
                <w:bCs/>
                <w:sz w:val="16"/>
                <w:szCs w:val="16"/>
              </w:rPr>
            </w:pPr>
            <w:r>
              <w:rPr>
                <w:rFonts w:cstheme="minorHAnsi"/>
                <w:b/>
                <w:bCs/>
                <w:sz w:val="16"/>
                <w:szCs w:val="16"/>
              </w:rPr>
              <w:t>A 9.3.</w:t>
            </w:r>
          </w:p>
        </w:tc>
        <w:tc>
          <w:tcPr>
            <w:tcW w:w="5806" w:type="dxa"/>
            <w:tcBorders>
              <w:top w:val="single" w:sz="4" w:space="0" w:color="auto"/>
              <w:left w:val="single" w:sz="4" w:space="0" w:color="auto"/>
              <w:bottom w:val="single" w:sz="4" w:space="0" w:color="auto"/>
              <w:right w:val="single" w:sz="4" w:space="0" w:color="auto"/>
            </w:tcBorders>
            <w:vAlign w:val="center"/>
            <w:hideMark/>
          </w:tcPr>
          <w:p w14:paraId="72A0E0D7" w14:textId="77777777" w:rsidR="00AE6341" w:rsidRDefault="00AE6341">
            <w:pPr>
              <w:rPr>
                <w:rFonts w:cstheme="minorHAnsi"/>
                <w:sz w:val="16"/>
                <w:szCs w:val="16"/>
              </w:rPr>
            </w:pPr>
            <w:r>
              <w:rPr>
                <w:rFonts w:cstheme="minorHAnsi"/>
                <w:sz w:val="16"/>
                <w:szCs w:val="16"/>
              </w:rPr>
              <w:t>Izrada Programa za EMAS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DE9277"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A5AA89"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0F8C124E" w14:textId="77777777" w:rsidR="00AE6341" w:rsidRDefault="00AE6341">
            <w:pPr>
              <w:rPr>
                <w:rFonts w:cstheme="minorHAnsi"/>
                <w:sz w:val="16"/>
                <w:szCs w:val="16"/>
              </w:rPr>
            </w:pPr>
            <w:r>
              <w:rPr>
                <w:rFonts w:cstheme="minorHAnsi"/>
                <w:sz w:val="16"/>
                <w:szCs w:val="16"/>
              </w:rPr>
              <w:t>MINGOR/FZOEU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BA6E739" w14:textId="77777777" w:rsidR="00AE6341" w:rsidRDefault="00AE6341">
            <w:pPr>
              <w:rPr>
                <w:rFonts w:cstheme="minorHAnsi"/>
                <w:sz w:val="16"/>
                <w:szCs w:val="16"/>
              </w:rPr>
            </w:pPr>
            <w:r>
              <w:rPr>
                <w:rFonts w:cstheme="minorHAnsi"/>
                <w:sz w:val="16"/>
                <w:szCs w:val="16"/>
              </w:rPr>
              <w:t>Izrađen Program za EMAS</w:t>
            </w:r>
          </w:p>
        </w:tc>
        <w:tc>
          <w:tcPr>
            <w:tcW w:w="986" w:type="dxa"/>
            <w:tcBorders>
              <w:top w:val="single" w:sz="4" w:space="0" w:color="auto"/>
              <w:left w:val="single" w:sz="4" w:space="0" w:color="auto"/>
              <w:bottom w:val="single" w:sz="4" w:space="0" w:color="auto"/>
              <w:right w:val="single" w:sz="4" w:space="0" w:color="auto"/>
            </w:tcBorders>
            <w:vAlign w:val="center"/>
            <w:hideMark/>
          </w:tcPr>
          <w:p w14:paraId="1D01219E"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4F736ECF"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A6ECED2" w14:textId="77777777" w:rsidR="00AE6341" w:rsidRDefault="00AE6341">
            <w:pPr>
              <w:rPr>
                <w:rFonts w:cstheme="minorHAnsi"/>
                <w:sz w:val="16"/>
                <w:szCs w:val="16"/>
              </w:rPr>
            </w:pPr>
            <w:r>
              <w:rPr>
                <w:rFonts w:cstheme="minorHAnsi"/>
                <w:sz w:val="16"/>
                <w:szCs w:val="16"/>
              </w:rPr>
              <w:t>4K</w:t>
            </w: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28011D0A"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DC3DECD"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E4733F7"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CA16E3C"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80ED608" w14:textId="77777777" w:rsidR="00AE6341" w:rsidRDefault="00AE6341">
            <w:pPr>
              <w:rPr>
                <w:rFonts w:cstheme="minorHAnsi"/>
                <w:sz w:val="16"/>
                <w:szCs w:val="16"/>
              </w:rPr>
            </w:pPr>
          </w:p>
        </w:tc>
      </w:tr>
      <w:tr w:rsidR="00AE6341" w14:paraId="2666133C"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1B0AC9D" w14:textId="77777777" w:rsidR="00AE6341" w:rsidRDefault="00AE6341">
            <w:pPr>
              <w:rPr>
                <w:rFonts w:cstheme="minorHAnsi"/>
                <w:b/>
                <w:bCs/>
                <w:sz w:val="16"/>
                <w:szCs w:val="16"/>
              </w:rPr>
            </w:pPr>
            <w:r>
              <w:rPr>
                <w:rFonts w:cstheme="minorHAnsi"/>
                <w:b/>
                <w:bCs/>
                <w:sz w:val="16"/>
                <w:szCs w:val="16"/>
              </w:rPr>
              <w:t>A 9.4</w:t>
            </w:r>
          </w:p>
        </w:tc>
        <w:tc>
          <w:tcPr>
            <w:tcW w:w="5806" w:type="dxa"/>
            <w:tcBorders>
              <w:top w:val="single" w:sz="4" w:space="0" w:color="auto"/>
              <w:left w:val="single" w:sz="4" w:space="0" w:color="auto"/>
              <w:bottom w:val="single" w:sz="4" w:space="0" w:color="auto"/>
              <w:right w:val="single" w:sz="4" w:space="0" w:color="auto"/>
            </w:tcBorders>
            <w:vAlign w:val="center"/>
            <w:hideMark/>
          </w:tcPr>
          <w:p w14:paraId="71DAAE7E" w14:textId="77777777" w:rsidR="00AE6341" w:rsidRDefault="00AE6341">
            <w:pPr>
              <w:rPr>
                <w:rFonts w:cstheme="minorHAnsi"/>
                <w:sz w:val="16"/>
                <w:szCs w:val="16"/>
              </w:rPr>
            </w:pPr>
            <w:r>
              <w:rPr>
                <w:rFonts w:cstheme="minorHAnsi"/>
                <w:sz w:val="16"/>
                <w:szCs w:val="16"/>
              </w:rPr>
              <w:t>Izrada programa sufinanciranja uvođenja EMAS-a</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64FF19"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9B656E"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228F16D6" w14:textId="77777777" w:rsidR="00AE6341" w:rsidRDefault="00AE6341">
            <w:pPr>
              <w:rPr>
                <w:rFonts w:cstheme="minorHAnsi"/>
                <w:sz w:val="16"/>
                <w:szCs w:val="16"/>
              </w:rPr>
            </w:pPr>
            <w:r>
              <w:rPr>
                <w:rFonts w:cstheme="minorHAnsi"/>
                <w:sz w:val="16"/>
                <w:szCs w:val="16"/>
              </w:rPr>
              <w:t>MINGOR/FZOEU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66BDC77" w14:textId="77777777" w:rsidR="00AE6341" w:rsidRDefault="00AE6341">
            <w:pPr>
              <w:rPr>
                <w:rFonts w:cstheme="minorHAnsi"/>
                <w:sz w:val="16"/>
                <w:szCs w:val="16"/>
              </w:rPr>
            </w:pPr>
            <w:r>
              <w:rPr>
                <w:rFonts w:cstheme="minorHAnsi"/>
                <w:sz w:val="16"/>
                <w:szCs w:val="16"/>
              </w:rPr>
              <w:t>Izrađen program sufinanciranja uvođenja EMAS-a</w:t>
            </w:r>
          </w:p>
        </w:tc>
        <w:tc>
          <w:tcPr>
            <w:tcW w:w="986" w:type="dxa"/>
            <w:tcBorders>
              <w:top w:val="single" w:sz="4" w:space="0" w:color="auto"/>
              <w:left w:val="single" w:sz="4" w:space="0" w:color="auto"/>
              <w:bottom w:val="single" w:sz="4" w:space="0" w:color="auto"/>
              <w:right w:val="single" w:sz="4" w:space="0" w:color="auto"/>
            </w:tcBorders>
            <w:vAlign w:val="center"/>
            <w:hideMark/>
          </w:tcPr>
          <w:p w14:paraId="52F5C16F"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390A90FF"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5696006" w14:textId="77777777" w:rsidR="00AE6341" w:rsidRDefault="00AE6341">
            <w:pPr>
              <w:rPr>
                <w:rFonts w:cstheme="minorHAnsi"/>
                <w:sz w:val="16"/>
                <w:szCs w:val="16"/>
              </w:rPr>
            </w:pPr>
            <w:r>
              <w:rPr>
                <w:rFonts w:cstheme="minorHAnsi"/>
                <w:sz w:val="16"/>
                <w:szCs w:val="16"/>
              </w:rPr>
              <w:t>4K</w:t>
            </w: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1695BAC5"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92AE353"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D5F8CC4"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5A81C15"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D4A4C82" w14:textId="77777777" w:rsidR="00AE6341" w:rsidRDefault="00AE6341">
            <w:pPr>
              <w:rPr>
                <w:rFonts w:cstheme="minorHAnsi"/>
                <w:sz w:val="16"/>
                <w:szCs w:val="16"/>
              </w:rPr>
            </w:pPr>
          </w:p>
        </w:tc>
      </w:tr>
      <w:tr w:rsidR="00AE6341" w14:paraId="5CF6DE3C"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34FCAFF3" w14:textId="77777777" w:rsidR="00AE6341" w:rsidRDefault="00AE6341">
            <w:pPr>
              <w:jc w:val="center"/>
              <w:rPr>
                <w:rFonts w:cstheme="minorHAnsi"/>
                <w:b/>
                <w:bCs/>
                <w:sz w:val="16"/>
                <w:szCs w:val="16"/>
              </w:rPr>
            </w:pPr>
            <w:bookmarkStart w:id="436" w:name="_Hlk110632938"/>
            <w:r>
              <w:rPr>
                <w:rFonts w:cstheme="minorHAnsi"/>
                <w:b/>
                <w:bCs/>
                <w:sz w:val="16"/>
                <w:szCs w:val="16"/>
              </w:rPr>
              <w:t xml:space="preserve">Mjera 10. Izrada plana sprječavanja nastanka otpada </w:t>
            </w:r>
          </w:p>
        </w:tc>
        <w:bookmarkEnd w:id="436"/>
      </w:tr>
      <w:tr w:rsidR="00AE6341" w14:paraId="34AA75EC"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B87F4A" w14:textId="77777777" w:rsidR="00AE6341" w:rsidRDefault="00AE6341">
            <w:pPr>
              <w:rPr>
                <w:rFonts w:cstheme="minorHAnsi"/>
                <w:b/>
                <w:bCs/>
                <w:sz w:val="16"/>
                <w:szCs w:val="16"/>
              </w:rPr>
            </w:pPr>
            <w:r>
              <w:rPr>
                <w:rFonts w:cstheme="minorHAnsi"/>
                <w:b/>
                <w:bCs/>
                <w:sz w:val="16"/>
                <w:szCs w:val="16"/>
              </w:rPr>
              <w:t>A 10.1.</w:t>
            </w:r>
          </w:p>
        </w:tc>
        <w:tc>
          <w:tcPr>
            <w:tcW w:w="5806" w:type="dxa"/>
            <w:tcBorders>
              <w:top w:val="single" w:sz="4" w:space="0" w:color="auto"/>
              <w:left w:val="single" w:sz="4" w:space="0" w:color="auto"/>
              <w:bottom w:val="single" w:sz="4" w:space="0" w:color="auto"/>
              <w:right w:val="single" w:sz="4" w:space="0" w:color="auto"/>
            </w:tcBorders>
            <w:vAlign w:val="center"/>
            <w:hideMark/>
          </w:tcPr>
          <w:p w14:paraId="11F7E50B" w14:textId="77777777" w:rsidR="00AE6341" w:rsidRDefault="00AE6341">
            <w:pPr>
              <w:rPr>
                <w:rFonts w:cstheme="minorHAnsi"/>
                <w:sz w:val="16"/>
                <w:szCs w:val="16"/>
              </w:rPr>
            </w:pPr>
            <w:r>
              <w:rPr>
                <w:rFonts w:cstheme="minorHAnsi"/>
                <w:sz w:val="16"/>
                <w:szCs w:val="16"/>
              </w:rPr>
              <w:t>Izrada smjernica za izradu planova sprječavanja nastanka otpada</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1AA272"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D6EC3F"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6631F80A" w14:textId="77777777" w:rsidR="00AE6341" w:rsidRDefault="00AE6341">
            <w:pPr>
              <w:rPr>
                <w:rFonts w:cstheme="minorHAnsi"/>
                <w:sz w:val="16"/>
                <w:szCs w:val="16"/>
              </w:rPr>
            </w:pPr>
            <w:r>
              <w:rPr>
                <w:rFonts w:cstheme="minorHAnsi"/>
                <w:sz w:val="16"/>
                <w:szCs w:val="16"/>
              </w:rPr>
              <w:t>MINGOR/FZOEU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6057898" w14:textId="77777777" w:rsidR="00AE6341" w:rsidRDefault="00AE6341">
            <w:pPr>
              <w:rPr>
                <w:rFonts w:cstheme="minorHAnsi"/>
                <w:sz w:val="16"/>
                <w:szCs w:val="16"/>
              </w:rPr>
            </w:pPr>
            <w:r>
              <w:rPr>
                <w:rFonts w:cstheme="minorHAnsi"/>
                <w:sz w:val="16"/>
                <w:szCs w:val="16"/>
              </w:rPr>
              <w:t>Izrađene smjernice za izradu planova sprječavanja nastanka otpada</w:t>
            </w:r>
          </w:p>
        </w:tc>
        <w:tc>
          <w:tcPr>
            <w:tcW w:w="986" w:type="dxa"/>
            <w:tcBorders>
              <w:top w:val="single" w:sz="4" w:space="0" w:color="auto"/>
              <w:left w:val="single" w:sz="4" w:space="0" w:color="auto"/>
              <w:bottom w:val="single" w:sz="4" w:space="0" w:color="auto"/>
              <w:right w:val="single" w:sz="4" w:space="0" w:color="auto"/>
            </w:tcBorders>
            <w:vAlign w:val="center"/>
            <w:hideMark/>
          </w:tcPr>
          <w:p w14:paraId="3AF01458"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2749457E"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0FBBE3A"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14BD8D8A"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6EBB223"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B1DBBBC"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7FF07"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F8052" w14:textId="77777777" w:rsidR="00AE6341" w:rsidRDefault="00AE6341">
            <w:pPr>
              <w:rPr>
                <w:rFonts w:cstheme="minorHAnsi"/>
                <w:sz w:val="16"/>
                <w:szCs w:val="16"/>
              </w:rPr>
            </w:pPr>
          </w:p>
        </w:tc>
      </w:tr>
      <w:tr w:rsidR="00AE6341" w14:paraId="5F8A529C"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7AB80D" w14:textId="77777777" w:rsidR="00AE6341" w:rsidRDefault="00AE6341">
            <w:pPr>
              <w:rPr>
                <w:rFonts w:cstheme="minorHAnsi"/>
                <w:b/>
                <w:bCs/>
                <w:sz w:val="16"/>
                <w:szCs w:val="16"/>
              </w:rPr>
            </w:pPr>
            <w:r>
              <w:rPr>
                <w:rFonts w:cstheme="minorHAnsi"/>
                <w:b/>
                <w:bCs/>
                <w:sz w:val="16"/>
                <w:szCs w:val="16"/>
              </w:rPr>
              <w:t>A 10.2.</w:t>
            </w:r>
          </w:p>
        </w:tc>
        <w:tc>
          <w:tcPr>
            <w:tcW w:w="5806" w:type="dxa"/>
            <w:tcBorders>
              <w:top w:val="single" w:sz="4" w:space="0" w:color="auto"/>
              <w:left w:val="single" w:sz="4" w:space="0" w:color="auto"/>
              <w:bottom w:val="single" w:sz="4" w:space="0" w:color="auto"/>
              <w:right w:val="single" w:sz="4" w:space="0" w:color="auto"/>
            </w:tcBorders>
            <w:vAlign w:val="center"/>
            <w:hideMark/>
          </w:tcPr>
          <w:p w14:paraId="20F391FB" w14:textId="77777777" w:rsidR="00AE6341" w:rsidRDefault="00AE6341">
            <w:pPr>
              <w:rPr>
                <w:rFonts w:cstheme="minorHAnsi"/>
                <w:sz w:val="16"/>
                <w:szCs w:val="16"/>
              </w:rPr>
            </w:pPr>
            <w:r>
              <w:rPr>
                <w:rFonts w:cstheme="minorHAnsi"/>
                <w:sz w:val="16"/>
                <w:szCs w:val="16"/>
              </w:rPr>
              <w:t xml:space="preserve">Izrada plana sprječavanja nastanka otpada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341A0F" w14:textId="77777777" w:rsidR="00AE6341" w:rsidRDefault="00AE6341">
            <w:pPr>
              <w:rPr>
                <w:rFonts w:cstheme="minorHAnsi"/>
                <w:sz w:val="16"/>
                <w:szCs w:val="16"/>
              </w:rPr>
            </w:pPr>
            <w:r>
              <w:rPr>
                <w:rFonts w:cstheme="minorHAnsi"/>
                <w:sz w:val="16"/>
                <w:szCs w:val="16"/>
              </w:rPr>
              <w:t>JP(R)S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D87D0D"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04424021" w14:textId="77777777" w:rsidR="00AE6341" w:rsidRDefault="00AE6341">
            <w:pPr>
              <w:rPr>
                <w:rFonts w:cstheme="minorHAnsi"/>
                <w:sz w:val="16"/>
                <w:szCs w:val="16"/>
              </w:rPr>
            </w:pPr>
            <w:r>
              <w:rPr>
                <w:rFonts w:cstheme="minorHAnsi"/>
                <w:sz w:val="16"/>
                <w:szCs w:val="16"/>
              </w:rPr>
              <w:t>JLS(R)PS/FZOEU/EU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CA2F4BF" w14:textId="77777777" w:rsidR="00AE6341" w:rsidRDefault="00AE6341">
            <w:pPr>
              <w:rPr>
                <w:rFonts w:cstheme="minorHAnsi"/>
                <w:sz w:val="16"/>
                <w:szCs w:val="16"/>
              </w:rPr>
            </w:pPr>
            <w:r>
              <w:rPr>
                <w:rFonts w:cstheme="minorHAnsi"/>
                <w:sz w:val="16"/>
                <w:szCs w:val="16"/>
              </w:rPr>
              <w:t>Izrađeni planovi sprječavanja nastanka otpada JP(R)S</w:t>
            </w:r>
          </w:p>
        </w:tc>
        <w:tc>
          <w:tcPr>
            <w:tcW w:w="986" w:type="dxa"/>
            <w:tcBorders>
              <w:top w:val="single" w:sz="4" w:space="0" w:color="auto"/>
              <w:left w:val="single" w:sz="4" w:space="0" w:color="auto"/>
              <w:bottom w:val="single" w:sz="4" w:space="0" w:color="auto"/>
              <w:right w:val="single" w:sz="4" w:space="0" w:color="auto"/>
            </w:tcBorders>
            <w:vAlign w:val="center"/>
            <w:hideMark/>
          </w:tcPr>
          <w:p w14:paraId="12943D86"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5C08F427" w14:textId="77777777" w:rsidR="00AE6341" w:rsidRDefault="00AE6341">
            <w:pPr>
              <w:jc w:val="center"/>
              <w:rPr>
                <w:rFonts w:cstheme="minorHAnsi"/>
                <w:sz w:val="16"/>
                <w:szCs w:val="16"/>
              </w:rPr>
            </w:pPr>
            <w:r>
              <w:rPr>
                <w:rFonts w:cstheme="minorHAnsi"/>
                <w:sz w:val="16"/>
                <w:szCs w:val="16"/>
              </w:rPr>
              <w:t>21</w:t>
            </w:r>
          </w:p>
        </w:tc>
        <w:tc>
          <w:tcPr>
            <w:tcW w:w="557" w:type="dxa"/>
            <w:tcBorders>
              <w:top w:val="single" w:sz="4" w:space="0" w:color="auto"/>
              <w:left w:val="single" w:sz="4" w:space="0" w:color="auto"/>
              <w:bottom w:val="single" w:sz="4" w:space="0" w:color="auto"/>
              <w:right w:val="single" w:sz="4" w:space="0" w:color="auto"/>
            </w:tcBorders>
            <w:vAlign w:val="center"/>
          </w:tcPr>
          <w:p w14:paraId="5E8B5807"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2BCF8E9"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6A5B97E"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EC9EF1D"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3E70B4C"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1A91B54" w14:textId="77777777" w:rsidR="00AE6341" w:rsidRDefault="00AE6341">
            <w:pPr>
              <w:rPr>
                <w:rFonts w:cstheme="minorHAnsi"/>
                <w:sz w:val="16"/>
                <w:szCs w:val="16"/>
              </w:rPr>
            </w:pPr>
          </w:p>
        </w:tc>
      </w:tr>
      <w:tr w:rsidR="00AE6341" w14:paraId="2ABBC83A"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0070C0"/>
            <w:vAlign w:val="center"/>
            <w:hideMark/>
          </w:tcPr>
          <w:p w14:paraId="5890167E" w14:textId="77777777" w:rsidR="00AE6341" w:rsidRDefault="00AE6341">
            <w:pPr>
              <w:jc w:val="center"/>
              <w:rPr>
                <w:rFonts w:cstheme="minorHAnsi"/>
                <w:b/>
                <w:bCs/>
                <w:color w:val="FFFFFF" w:themeColor="background1"/>
                <w:sz w:val="16"/>
                <w:szCs w:val="16"/>
              </w:rPr>
            </w:pPr>
            <w:r>
              <w:rPr>
                <w:rFonts w:cstheme="minorHAnsi"/>
                <w:b/>
                <w:bCs/>
                <w:color w:val="FFFFFF" w:themeColor="background1"/>
                <w:sz w:val="16"/>
                <w:szCs w:val="16"/>
              </w:rPr>
              <w:t>Specifični cilj: Sprječavanje nastanka komunalnog otpada, EE otpada, otpadnog tekstila i obuće</w:t>
            </w:r>
          </w:p>
        </w:tc>
      </w:tr>
      <w:tr w:rsidR="00AE6341" w14:paraId="0807DAD4"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00FD147E" w14:textId="77777777" w:rsidR="00AE6341" w:rsidRDefault="00AE6341">
            <w:pPr>
              <w:jc w:val="center"/>
              <w:rPr>
                <w:rFonts w:cstheme="minorHAnsi"/>
                <w:b/>
                <w:bCs/>
                <w:sz w:val="16"/>
                <w:szCs w:val="16"/>
                <w:highlight w:val="yellow"/>
              </w:rPr>
            </w:pPr>
            <w:bookmarkStart w:id="437" w:name="_Hlk110632952"/>
            <w:r>
              <w:rPr>
                <w:rFonts w:cstheme="minorHAnsi"/>
                <w:b/>
                <w:bCs/>
                <w:sz w:val="16"/>
                <w:szCs w:val="16"/>
              </w:rPr>
              <w:t>Mjera 11. Poticanje razmjene i ponovne uporabe isluženih proizvoda</w:t>
            </w:r>
          </w:p>
        </w:tc>
        <w:bookmarkEnd w:id="437"/>
      </w:tr>
      <w:tr w:rsidR="00AE6341" w14:paraId="0D07036E"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0629B35" w14:textId="77777777" w:rsidR="00AE6341" w:rsidRDefault="00AE6341">
            <w:pPr>
              <w:rPr>
                <w:rFonts w:cstheme="minorHAnsi"/>
                <w:b/>
                <w:bCs/>
                <w:sz w:val="16"/>
                <w:szCs w:val="16"/>
              </w:rPr>
            </w:pPr>
            <w:r>
              <w:rPr>
                <w:rFonts w:cstheme="minorHAnsi"/>
                <w:b/>
                <w:bCs/>
                <w:sz w:val="16"/>
                <w:szCs w:val="16"/>
              </w:rPr>
              <w:t>A 11.1.</w:t>
            </w:r>
          </w:p>
        </w:tc>
        <w:tc>
          <w:tcPr>
            <w:tcW w:w="5806" w:type="dxa"/>
            <w:tcBorders>
              <w:top w:val="single" w:sz="4" w:space="0" w:color="auto"/>
              <w:left w:val="single" w:sz="4" w:space="0" w:color="auto"/>
              <w:bottom w:val="single" w:sz="4" w:space="0" w:color="auto"/>
              <w:right w:val="single" w:sz="4" w:space="0" w:color="auto"/>
            </w:tcBorders>
            <w:vAlign w:val="center"/>
            <w:hideMark/>
          </w:tcPr>
          <w:p w14:paraId="51E91B54" w14:textId="77777777" w:rsidR="00AE6341" w:rsidRDefault="00AE6341">
            <w:pPr>
              <w:rPr>
                <w:rFonts w:cstheme="minorHAnsi"/>
                <w:sz w:val="16"/>
                <w:szCs w:val="16"/>
              </w:rPr>
            </w:pPr>
            <w:r>
              <w:rPr>
                <w:rFonts w:cstheme="minorHAnsi"/>
                <w:sz w:val="16"/>
                <w:szCs w:val="16"/>
              </w:rPr>
              <w:t>Uspostava centara za ponovnu uporabu</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CA4A41" w14:textId="77777777" w:rsidR="00AE6341" w:rsidRDefault="00AE6341">
            <w:pPr>
              <w:jc w:val="center"/>
              <w:rPr>
                <w:rFonts w:cstheme="minorHAnsi"/>
                <w:sz w:val="16"/>
                <w:szCs w:val="16"/>
              </w:rPr>
            </w:pPr>
            <w:r>
              <w:rPr>
                <w:rFonts w:cstheme="minorHAnsi"/>
                <w:sz w:val="16"/>
                <w:szCs w:val="16"/>
              </w:rPr>
              <w:t>JLS/CS/PU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8F94F3" w14:textId="77777777" w:rsidR="00AE6341" w:rsidRDefault="00AE6341">
            <w:pPr>
              <w:jc w:val="center"/>
              <w:rPr>
                <w:rFonts w:cstheme="minorHAnsi"/>
                <w:sz w:val="16"/>
                <w:szCs w:val="16"/>
              </w:rPr>
            </w:pPr>
            <w:r>
              <w:rPr>
                <w:rFonts w:cstheme="minorHAnsi"/>
                <w:sz w:val="16"/>
                <w:szCs w:val="16"/>
              </w:rPr>
              <w:t>MINGOR</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24521980" w14:textId="77777777" w:rsidR="00AE6341" w:rsidRDefault="00AE6341">
            <w:pPr>
              <w:jc w:val="center"/>
              <w:rPr>
                <w:rFonts w:cstheme="minorHAnsi"/>
                <w:sz w:val="16"/>
                <w:szCs w:val="16"/>
              </w:rPr>
            </w:pPr>
            <w:r>
              <w:rPr>
                <w:rFonts w:cstheme="minorHAnsi"/>
                <w:sz w:val="16"/>
                <w:szCs w:val="16"/>
              </w:rPr>
              <w:t>JLS/CS/EU/PU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CA91A90" w14:textId="77777777" w:rsidR="00AE6341" w:rsidRDefault="00AE6341">
            <w:pPr>
              <w:rPr>
                <w:rFonts w:cstheme="minorHAnsi"/>
                <w:sz w:val="16"/>
                <w:szCs w:val="16"/>
              </w:rPr>
            </w:pPr>
            <w:r>
              <w:rPr>
                <w:rFonts w:cstheme="minorHAnsi"/>
                <w:sz w:val="16"/>
                <w:szCs w:val="16"/>
              </w:rPr>
              <w:t>Uspostavljeni i operativni centri ponovne uporabe</w:t>
            </w:r>
          </w:p>
        </w:tc>
        <w:tc>
          <w:tcPr>
            <w:tcW w:w="986" w:type="dxa"/>
            <w:tcBorders>
              <w:top w:val="single" w:sz="4" w:space="0" w:color="auto"/>
              <w:left w:val="single" w:sz="4" w:space="0" w:color="auto"/>
              <w:bottom w:val="single" w:sz="4" w:space="0" w:color="auto"/>
              <w:right w:val="single" w:sz="4" w:space="0" w:color="auto"/>
            </w:tcBorders>
            <w:vAlign w:val="center"/>
            <w:hideMark/>
          </w:tcPr>
          <w:p w14:paraId="7E6D090F"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3801834E" w14:textId="77777777" w:rsidR="00AE6341" w:rsidRDefault="00AE6341">
            <w:pPr>
              <w:rPr>
                <w:rFonts w:cstheme="minorHAnsi"/>
                <w:sz w:val="16"/>
                <w:szCs w:val="16"/>
              </w:rPr>
            </w:pPr>
            <w:r>
              <w:rPr>
                <w:rFonts w:cstheme="minorHAnsi"/>
                <w:sz w:val="16"/>
                <w:szCs w:val="16"/>
              </w:rPr>
              <w:t>10</w:t>
            </w:r>
          </w:p>
        </w:tc>
        <w:tc>
          <w:tcPr>
            <w:tcW w:w="56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D170EBE" w14:textId="77777777" w:rsidR="00AE6341" w:rsidRDefault="00AE6341">
            <w:pPr>
              <w:rPr>
                <w:rFonts w:cstheme="minorHAnsi"/>
                <w:sz w:val="16"/>
                <w:szCs w:val="16"/>
              </w:rPr>
            </w:pPr>
          </w:p>
        </w:tc>
        <w:tc>
          <w:tcPr>
            <w:tcW w:w="56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89D6CD5"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A651119" w14:textId="77777777" w:rsidR="00AE6341" w:rsidRDefault="00AE6341">
            <w:pPr>
              <w:rPr>
                <w:rFonts w:cstheme="minorHAnsi"/>
                <w:sz w:val="16"/>
                <w:szCs w:val="16"/>
              </w:rPr>
            </w:pPr>
          </w:p>
        </w:tc>
        <w:tc>
          <w:tcPr>
            <w:tcW w:w="56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24DF79A" w14:textId="77777777" w:rsidR="00AE6341" w:rsidRDefault="00AE6341">
            <w:pPr>
              <w:rPr>
                <w:rFonts w:cstheme="minorHAnsi"/>
                <w:sz w:val="16"/>
                <w:szCs w:val="16"/>
              </w:rPr>
            </w:pPr>
          </w:p>
        </w:tc>
        <w:tc>
          <w:tcPr>
            <w:tcW w:w="56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4208AD0" w14:textId="77777777" w:rsidR="00AE6341" w:rsidRDefault="00AE6341">
            <w:pPr>
              <w:rPr>
                <w:rFonts w:cstheme="minorHAnsi"/>
                <w:sz w:val="16"/>
                <w:szCs w:val="16"/>
              </w:rPr>
            </w:pPr>
          </w:p>
        </w:tc>
        <w:tc>
          <w:tcPr>
            <w:tcW w:w="58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F7A2C6B" w14:textId="77777777" w:rsidR="00AE6341" w:rsidRDefault="00AE6341">
            <w:pPr>
              <w:rPr>
                <w:rFonts w:cstheme="minorHAnsi"/>
                <w:sz w:val="16"/>
                <w:szCs w:val="16"/>
              </w:rPr>
            </w:pPr>
          </w:p>
        </w:tc>
      </w:tr>
      <w:tr w:rsidR="00AE6341" w14:paraId="05D4B846"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1B3E7E" w14:textId="77777777" w:rsidR="00AE6341" w:rsidRDefault="00AE6341">
            <w:pPr>
              <w:rPr>
                <w:rFonts w:cstheme="minorHAnsi"/>
                <w:b/>
                <w:bCs/>
                <w:sz w:val="16"/>
                <w:szCs w:val="16"/>
              </w:rPr>
            </w:pPr>
            <w:r>
              <w:rPr>
                <w:rFonts w:cstheme="minorHAnsi"/>
                <w:b/>
                <w:bCs/>
                <w:sz w:val="16"/>
                <w:szCs w:val="16"/>
              </w:rPr>
              <w:t>A 11.2.</w:t>
            </w:r>
          </w:p>
        </w:tc>
        <w:tc>
          <w:tcPr>
            <w:tcW w:w="5806" w:type="dxa"/>
            <w:tcBorders>
              <w:top w:val="single" w:sz="4" w:space="0" w:color="auto"/>
              <w:left w:val="single" w:sz="4" w:space="0" w:color="auto"/>
              <w:bottom w:val="single" w:sz="4" w:space="0" w:color="auto"/>
              <w:right w:val="single" w:sz="4" w:space="0" w:color="auto"/>
            </w:tcBorders>
            <w:vAlign w:val="center"/>
            <w:hideMark/>
          </w:tcPr>
          <w:p w14:paraId="6D395611" w14:textId="77777777" w:rsidR="00AE6341" w:rsidRDefault="00AE6341">
            <w:pPr>
              <w:rPr>
                <w:rFonts w:cstheme="minorHAnsi"/>
                <w:sz w:val="16"/>
                <w:szCs w:val="16"/>
              </w:rPr>
            </w:pPr>
            <w:r>
              <w:rPr>
                <w:rFonts w:cstheme="minorHAnsi"/>
                <w:sz w:val="16"/>
                <w:szCs w:val="16"/>
              </w:rPr>
              <w:t>Izrada i distribucija promidžbenog materijala i organizacija radionica i drugih informativno-edukativnih aktivnosti o ponovnoj uporabi i popravcima</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A7B267" w14:textId="77777777" w:rsidR="00AE6341" w:rsidRDefault="00AE6341">
            <w:pPr>
              <w:jc w:val="center"/>
              <w:rPr>
                <w:rFonts w:cstheme="minorHAnsi"/>
                <w:sz w:val="16"/>
                <w:szCs w:val="16"/>
              </w:rPr>
            </w:pPr>
            <w:r>
              <w:rPr>
                <w:rFonts w:cstheme="minorHAnsi"/>
                <w:sz w:val="16"/>
                <w:szCs w:val="16"/>
              </w:rPr>
              <w:t>JLS/CS/PU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73E65E" w14:textId="77777777" w:rsidR="00AE6341" w:rsidRDefault="00AE6341">
            <w:pPr>
              <w:jc w:val="center"/>
              <w:rPr>
                <w:rFonts w:cstheme="minorHAnsi"/>
                <w:sz w:val="16"/>
                <w:szCs w:val="16"/>
              </w:rPr>
            </w:pPr>
            <w:r>
              <w:rPr>
                <w:rFonts w:cstheme="minorHAnsi"/>
                <w:sz w:val="16"/>
                <w:szCs w:val="16"/>
              </w:rPr>
              <w:t>MINGOR</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285992E5" w14:textId="77777777" w:rsidR="00AE6341" w:rsidRDefault="00AE6341">
            <w:pPr>
              <w:jc w:val="center"/>
              <w:rPr>
                <w:rFonts w:cstheme="minorHAnsi"/>
                <w:sz w:val="16"/>
                <w:szCs w:val="16"/>
              </w:rPr>
            </w:pPr>
            <w:r>
              <w:rPr>
                <w:rFonts w:cstheme="minorHAnsi"/>
                <w:sz w:val="16"/>
                <w:szCs w:val="16"/>
              </w:rPr>
              <w:t>JLS/CS/EU/PU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F6520A7" w14:textId="77777777" w:rsidR="00AE6341" w:rsidRDefault="00AE6341">
            <w:pPr>
              <w:rPr>
                <w:rFonts w:cstheme="minorHAnsi"/>
                <w:sz w:val="16"/>
                <w:szCs w:val="16"/>
              </w:rPr>
            </w:pPr>
            <w:r>
              <w:rPr>
                <w:rFonts w:cstheme="minorHAnsi"/>
                <w:sz w:val="16"/>
                <w:szCs w:val="16"/>
              </w:rPr>
              <w:t>Broj JLS koje provode aktivnosti promicanja ponovne uporabe</w:t>
            </w:r>
          </w:p>
        </w:tc>
        <w:tc>
          <w:tcPr>
            <w:tcW w:w="986" w:type="dxa"/>
            <w:tcBorders>
              <w:top w:val="single" w:sz="4" w:space="0" w:color="auto"/>
              <w:left w:val="single" w:sz="4" w:space="0" w:color="auto"/>
              <w:bottom w:val="single" w:sz="4" w:space="0" w:color="auto"/>
              <w:right w:val="single" w:sz="4" w:space="0" w:color="auto"/>
            </w:tcBorders>
            <w:vAlign w:val="center"/>
            <w:hideMark/>
          </w:tcPr>
          <w:p w14:paraId="35A268C1"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329995E5" w14:textId="77777777" w:rsidR="00AE6341" w:rsidRDefault="00AE6341">
            <w:pPr>
              <w:rPr>
                <w:rFonts w:cstheme="minorHAnsi"/>
                <w:sz w:val="16"/>
                <w:szCs w:val="16"/>
              </w:rPr>
            </w:pPr>
            <w:r>
              <w:rPr>
                <w:rFonts w:cstheme="minorHAnsi"/>
                <w:sz w:val="16"/>
                <w:szCs w:val="16"/>
              </w:rPr>
              <w:t>556</w:t>
            </w:r>
          </w:p>
        </w:tc>
        <w:tc>
          <w:tcPr>
            <w:tcW w:w="56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9184D9B" w14:textId="77777777" w:rsidR="00AE6341" w:rsidRDefault="00AE6341">
            <w:pPr>
              <w:rPr>
                <w:rFonts w:cstheme="minorHAnsi"/>
                <w:sz w:val="16"/>
                <w:szCs w:val="16"/>
              </w:rPr>
            </w:pPr>
          </w:p>
        </w:tc>
        <w:tc>
          <w:tcPr>
            <w:tcW w:w="56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465FDDD"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7C8D6DD" w14:textId="77777777" w:rsidR="00AE6341" w:rsidRDefault="00AE6341">
            <w:pPr>
              <w:rPr>
                <w:rFonts w:cstheme="minorHAnsi"/>
                <w:sz w:val="16"/>
                <w:szCs w:val="16"/>
              </w:rPr>
            </w:pPr>
          </w:p>
        </w:tc>
        <w:tc>
          <w:tcPr>
            <w:tcW w:w="56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EE78C05" w14:textId="77777777" w:rsidR="00AE6341" w:rsidRDefault="00AE6341">
            <w:pPr>
              <w:rPr>
                <w:rFonts w:cstheme="minorHAnsi"/>
                <w:sz w:val="16"/>
                <w:szCs w:val="16"/>
              </w:rPr>
            </w:pPr>
          </w:p>
        </w:tc>
        <w:tc>
          <w:tcPr>
            <w:tcW w:w="56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3F343FA" w14:textId="77777777" w:rsidR="00AE6341" w:rsidRDefault="00AE6341">
            <w:pPr>
              <w:rPr>
                <w:rFonts w:cstheme="minorHAnsi"/>
                <w:sz w:val="16"/>
                <w:szCs w:val="16"/>
              </w:rPr>
            </w:pPr>
          </w:p>
        </w:tc>
        <w:tc>
          <w:tcPr>
            <w:tcW w:w="58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683B573" w14:textId="77777777" w:rsidR="00AE6341" w:rsidRDefault="00AE6341">
            <w:pPr>
              <w:rPr>
                <w:rFonts w:cstheme="minorHAnsi"/>
                <w:sz w:val="16"/>
                <w:szCs w:val="16"/>
              </w:rPr>
            </w:pPr>
          </w:p>
        </w:tc>
      </w:tr>
    </w:tbl>
    <w:p w14:paraId="64B96621" w14:textId="77777777" w:rsidR="00BF051A" w:rsidRDefault="00BF051A">
      <w:pPr>
        <w:jc w:val="left"/>
        <w:sectPr w:rsidR="00BF051A" w:rsidSect="00BF051A">
          <w:pgSz w:w="23808" w:h="16840" w:orient="landscape" w:code="8"/>
          <w:pgMar w:top="1440" w:right="1440" w:bottom="1440" w:left="1440" w:header="709" w:footer="709" w:gutter="0"/>
          <w:cols w:space="708"/>
          <w:docGrid w:linePitch="360"/>
        </w:sectPr>
      </w:pPr>
    </w:p>
    <w:p w14:paraId="5F65C7BC" w14:textId="7C843BC6" w:rsidR="00134062" w:rsidRPr="00134062" w:rsidRDefault="00134062" w:rsidP="0018450E">
      <w:pPr>
        <w:pStyle w:val="IRNaslov1"/>
        <w:numPr>
          <w:ilvl w:val="0"/>
          <w:numId w:val="22"/>
        </w:numPr>
      </w:pPr>
      <w:bookmarkStart w:id="438" w:name="_Toc123211727"/>
      <w:r>
        <w:rPr>
          <w:caps w:val="0"/>
        </w:rPr>
        <w:lastRenderedPageBreak/>
        <w:t>USPOREDNA TABLICA SADRŽAJA PLANA I ODREDBI DODATKA V</w:t>
      </w:r>
      <w:r w:rsidR="00280EDD">
        <w:rPr>
          <w:caps w:val="0"/>
        </w:rPr>
        <w:t>I</w:t>
      </w:r>
      <w:r>
        <w:rPr>
          <w:caps w:val="0"/>
        </w:rPr>
        <w:t>. ZAKONA O GOSPODARENJU OTPADOM</w:t>
      </w:r>
      <w:bookmarkEnd w:id="438"/>
    </w:p>
    <w:p w14:paraId="3C666FC4" w14:textId="77777777" w:rsidR="00134062" w:rsidRDefault="00134062" w:rsidP="00134062"/>
    <w:p w14:paraId="6D33020B" w14:textId="77777777" w:rsidR="00206CA9" w:rsidRDefault="00206CA9" w:rsidP="00134062">
      <w:pPr>
        <w:sectPr w:rsidR="00206CA9" w:rsidSect="00BF051A">
          <w:pgSz w:w="11907" w:h="16840" w:code="9"/>
          <w:pgMar w:top="1440" w:right="1440" w:bottom="1440" w:left="1440" w:header="709" w:footer="709" w:gutter="0"/>
          <w:cols w:space="708"/>
          <w:docGrid w:linePitch="360"/>
        </w:sectPr>
      </w:pPr>
    </w:p>
    <w:p w14:paraId="522F613C" w14:textId="4F116236" w:rsidR="00134062" w:rsidRPr="00BB2706" w:rsidRDefault="00134062" w:rsidP="00BB2706">
      <w:pPr>
        <w:pStyle w:val="Tablica"/>
      </w:pPr>
      <w:bookmarkStart w:id="439" w:name="_Toc125364466"/>
      <w:r w:rsidRPr="00BB2706">
        <w:lastRenderedPageBreak/>
        <w:t xml:space="preserve">Tablica </w:t>
      </w:r>
      <w:fldSimple w:instr=" SEQ Tablica \* ARABIC ">
        <w:r w:rsidR="00F37B62">
          <w:rPr>
            <w:noProof/>
          </w:rPr>
          <w:t>77</w:t>
        </w:r>
      </w:fldSimple>
      <w:r w:rsidRPr="00BB2706">
        <w:t xml:space="preserve">. </w:t>
      </w:r>
      <w:r w:rsidRPr="00BB2706">
        <w:rPr>
          <w:b w:val="0"/>
        </w:rPr>
        <w:t>Usporedna tablica sadržaja Plana i odredbi Dodatka V</w:t>
      </w:r>
      <w:r w:rsidR="00280EDD" w:rsidRPr="00BB2706">
        <w:rPr>
          <w:b w:val="0"/>
        </w:rPr>
        <w:t>I</w:t>
      </w:r>
      <w:r w:rsidRPr="00BB2706">
        <w:rPr>
          <w:b w:val="0"/>
        </w:rPr>
        <w:t>. Zakona o gospodarenju otpadom</w:t>
      </w:r>
      <w:bookmarkEnd w:id="4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6778"/>
        <w:gridCol w:w="6723"/>
      </w:tblGrid>
      <w:tr w:rsidR="00134062" w:rsidRPr="00AA79C4" w14:paraId="68029E29" w14:textId="77777777" w:rsidTr="00134062">
        <w:trPr>
          <w:trHeight w:val="20"/>
          <w:tblHeader/>
        </w:trPr>
        <w:tc>
          <w:tcPr>
            <w:tcW w:w="0" w:type="auto"/>
            <w:shd w:val="clear" w:color="auto" w:fill="002060"/>
            <w:noWrap/>
            <w:vAlign w:val="center"/>
            <w:hideMark/>
          </w:tcPr>
          <w:p w14:paraId="2AE88F2C" w14:textId="77777777" w:rsidR="00134062" w:rsidRPr="00F44FB4" w:rsidRDefault="00134062" w:rsidP="00134062">
            <w:pPr>
              <w:spacing w:after="0" w:line="240" w:lineRule="auto"/>
              <w:jc w:val="center"/>
              <w:rPr>
                <w:rFonts w:ascii="Times New Roman" w:eastAsia="Times New Roman" w:hAnsi="Times New Roman" w:cs="Times New Roman"/>
                <w:b/>
                <w:bCs/>
                <w:color w:val="FFFFFF" w:themeColor="background1"/>
                <w:sz w:val="18"/>
                <w:szCs w:val="18"/>
                <w:lang w:eastAsia="hr-HR"/>
              </w:rPr>
            </w:pPr>
          </w:p>
        </w:tc>
        <w:tc>
          <w:tcPr>
            <w:tcW w:w="6778" w:type="dxa"/>
            <w:shd w:val="clear" w:color="auto" w:fill="002060"/>
            <w:noWrap/>
            <w:vAlign w:val="center"/>
            <w:hideMark/>
          </w:tcPr>
          <w:p w14:paraId="36C9596F" w14:textId="77777777" w:rsidR="00134062" w:rsidRPr="00F44FB4" w:rsidRDefault="00134062" w:rsidP="00134062">
            <w:pPr>
              <w:spacing w:after="0" w:line="240" w:lineRule="auto"/>
              <w:jc w:val="center"/>
              <w:rPr>
                <w:rFonts w:ascii="Calibri" w:eastAsia="Times New Roman" w:hAnsi="Calibri" w:cs="Calibri"/>
                <w:b/>
                <w:bCs/>
                <w:color w:val="FFFFFF" w:themeColor="background1"/>
                <w:sz w:val="18"/>
                <w:szCs w:val="18"/>
                <w:lang w:eastAsia="hr-HR"/>
              </w:rPr>
            </w:pPr>
            <w:r w:rsidRPr="00AA79C4">
              <w:rPr>
                <w:rFonts w:ascii="Calibri" w:eastAsia="Times New Roman" w:hAnsi="Calibri" w:cs="Calibri"/>
                <w:b/>
                <w:bCs/>
                <w:color w:val="FFFFFF" w:themeColor="background1"/>
                <w:sz w:val="18"/>
                <w:szCs w:val="18"/>
                <w:lang w:eastAsia="hr-HR"/>
              </w:rPr>
              <w:t xml:space="preserve">Stavak Dodatka IV. </w:t>
            </w:r>
            <w:r w:rsidRPr="00F44FB4">
              <w:rPr>
                <w:rFonts w:ascii="Calibri" w:eastAsia="Times New Roman" w:hAnsi="Calibri" w:cs="Calibri"/>
                <w:b/>
                <w:bCs/>
                <w:color w:val="FFFFFF" w:themeColor="background1"/>
                <w:sz w:val="18"/>
                <w:szCs w:val="18"/>
                <w:lang w:eastAsia="hr-HR"/>
              </w:rPr>
              <w:t xml:space="preserve">Zakona o </w:t>
            </w:r>
            <w:r w:rsidRPr="00AA79C4">
              <w:rPr>
                <w:rFonts w:ascii="Calibri" w:eastAsia="Times New Roman" w:hAnsi="Calibri" w:cs="Calibri"/>
                <w:b/>
                <w:bCs/>
                <w:color w:val="FFFFFF" w:themeColor="background1"/>
                <w:sz w:val="18"/>
                <w:szCs w:val="18"/>
                <w:lang w:eastAsia="hr-HR"/>
              </w:rPr>
              <w:t>gospodarenju</w:t>
            </w:r>
            <w:r w:rsidRPr="00F44FB4">
              <w:rPr>
                <w:rFonts w:ascii="Calibri" w:eastAsia="Times New Roman" w:hAnsi="Calibri" w:cs="Calibri"/>
                <w:b/>
                <w:bCs/>
                <w:color w:val="FFFFFF" w:themeColor="background1"/>
                <w:sz w:val="18"/>
                <w:szCs w:val="18"/>
                <w:lang w:eastAsia="hr-HR"/>
              </w:rPr>
              <w:t xml:space="preserve"> otpadom</w:t>
            </w:r>
            <w:r w:rsidRPr="00AA79C4">
              <w:rPr>
                <w:rFonts w:ascii="Calibri" w:eastAsia="Times New Roman" w:hAnsi="Calibri" w:cs="Calibri"/>
                <w:b/>
                <w:bCs/>
                <w:color w:val="FFFFFF" w:themeColor="background1"/>
                <w:sz w:val="18"/>
                <w:szCs w:val="18"/>
                <w:lang w:eastAsia="hr-HR"/>
              </w:rPr>
              <w:t xml:space="preserve"> (NN 894/21)</w:t>
            </w:r>
          </w:p>
        </w:tc>
        <w:tc>
          <w:tcPr>
            <w:tcW w:w="6723" w:type="dxa"/>
            <w:shd w:val="clear" w:color="auto" w:fill="002060"/>
            <w:vAlign w:val="center"/>
            <w:hideMark/>
          </w:tcPr>
          <w:p w14:paraId="6578D7FB" w14:textId="77777777" w:rsidR="00134062" w:rsidRPr="00F44FB4" w:rsidRDefault="00134062" w:rsidP="00134062">
            <w:pPr>
              <w:spacing w:after="0" w:line="240" w:lineRule="auto"/>
              <w:jc w:val="center"/>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 xml:space="preserve">Poglavlje iz </w:t>
            </w:r>
            <w:r w:rsidRPr="00AA79C4">
              <w:rPr>
                <w:rFonts w:ascii="Calibri" w:eastAsia="Times New Roman" w:hAnsi="Calibri" w:cs="Calibri"/>
                <w:b/>
                <w:bCs/>
                <w:color w:val="FFFFFF" w:themeColor="background1"/>
                <w:sz w:val="18"/>
                <w:szCs w:val="18"/>
                <w:lang w:eastAsia="hr-HR"/>
              </w:rPr>
              <w:t>Plana gospodarenja otpadom RH za razdoblje 2023.-2028.</w:t>
            </w:r>
          </w:p>
        </w:tc>
      </w:tr>
      <w:tr w:rsidR="00134062" w:rsidRPr="00AA79C4" w14:paraId="18B63960" w14:textId="77777777" w:rsidTr="00134062">
        <w:trPr>
          <w:trHeight w:val="20"/>
        </w:trPr>
        <w:tc>
          <w:tcPr>
            <w:tcW w:w="0" w:type="auto"/>
            <w:shd w:val="clear" w:color="auto" w:fill="002060"/>
            <w:noWrap/>
            <w:vAlign w:val="center"/>
            <w:hideMark/>
          </w:tcPr>
          <w:p w14:paraId="477A6CE7"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1.</w:t>
            </w:r>
          </w:p>
        </w:tc>
        <w:tc>
          <w:tcPr>
            <w:tcW w:w="6778" w:type="dxa"/>
            <w:shd w:val="clear" w:color="auto" w:fill="auto"/>
            <w:vAlign w:val="center"/>
            <w:hideMark/>
          </w:tcPr>
          <w:p w14:paraId="3EB0A3DF"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Analiza i ocjena stanja postojećeg gospodarenja otpadom</w:t>
            </w:r>
          </w:p>
        </w:tc>
        <w:tc>
          <w:tcPr>
            <w:tcW w:w="6723" w:type="dxa"/>
            <w:shd w:val="clear" w:color="auto" w:fill="auto"/>
            <w:vAlign w:val="center"/>
            <w:hideMark/>
          </w:tcPr>
          <w:p w14:paraId="198B8691"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 xml:space="preserve">Poglavlje 2. Stanje gospodarenja otpadom u Republici Hrvatskoj </w:t>
            </w:r>
            <w:r w:rsidRPr="00F44FB4">
              <w:rPr>
                <w:rFonts w:ascii="Calibri" w:eastAsia="Times New Roman" w:hAnsi="Calibri" w:cs="Calibri"/>
                <w:color w:val="000000"/>
                <w:sz w:val="18"/>
                <w:szCs w:val="18"/>
                <w:lang w:eastAsia="hr-HR"/>
              </w:rPr>
              <w:br/>
              <w:t>Poglavlje 3. Ocjena stanja gospodarenja otpadom u Republici Hrvatskoj</w:t>
            </w:r>
          </w:p>
        </w:tc>
      </w:tr>
      <w:tr w:rsidR="00134062" w:rsidRPr="00AA79C4" w14:paraId="4FF2565D" w14:textId="77777777" w:rsidTr="00134062">
        <w:trPr>
          <w:trHeight w:val="20"/>
        </w:trPr>
        <w:tc>
          <w:tcPr>
            <w:tcW w:w="0" w:type="auto"/>
            <w:shd w:val="clear" w:color="auto" w:fill="002060"/>
            <w:noWrap/>
            <w:vAlign w:val="center"/>
            <w:hideMark/>
          </w:tcPr>
          <w:p w14:paraId="21C3E368"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2.</w:t>
            </w:r>
          </w:p>
        </w:tc>
        <w:tc>
          <w:tcPr>
            <w:tcW w:w="6778" w:type="dxa"/>
            <w:shd w:val="clear" w:color="auto" w:fill="auto"/>
            <w:vAlign w:val="center"/>
            <w:hideMark/>
          </w:tcPr>
          <w:p w14:paraId="72F7C3DA"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Mjere unaprjeđenja ponovne uporabe, recikliranja, oporabe i zbrinjavanja otpada na način prihvatljiv za okoliš</w:t>
            </w:r>
          </w:p>
        </w:tc>
        <w:tc>
          <w:tcPr>
            <w:tcW w:w="6723" w:type="dxa"/>
            <w:shd w:val="clear" w:color="auto" w:fill="auto"/>
            <w:vAlign w:val="center"/>
            <w:hideMark/>
          </w:tcPr>
          <w:p w14:paraId="26216F71"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Poglavlje 12. Mjere za provedbu plana</w:t>
            </w:r>
          </w:p>
          <w:p w14:paraId="6BBD1598"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proofErr w:type="spellStart"/>
            <w:r w:rsidRPr="00AA79C4">
              <w:rPr>
                <w:rFonts w:ascii="Calibri" w:eastAsia="Times New Roman" w:hAnsi="Calibri" w:cs="Calibri"/>
                <w:i/>
                <w:iCs/>
                <w:color w:val="000000"/>
                <w:sz w:val="18"/>
                <w:szCs w:val="18"/>
                <w:lang w:eastAsia="hr-HR"/>
              </w:rPr>
              <w:t>P</w:t>
            </w:r>
            <w:r w:rsidRPr="00F44FB4">
              <w:rPr>
                <w:rFonts w:ascii="Calibri" w:eastAsia="Times New Roman" w:hAnsi="Calibri" w:cs="Calibri"/>
                <w:i/>
                <w:iCs/>
                <w:color w:val="000000"/>
                <w:sz w:val="18"/>
                <w:szCs w:val="18"/>
                <w:lang w:eastAsia="hr-HR"/>
              </w:rPr>
              <w:t>otpoglavlje</w:t>
            </w:r>
            <w:proofErr w:type="spellEnd"/>
            <w:r w:rsidRPr="00F44FB4">
              <w:rPr>
                <w:rFonts w:ascii="Calibri" w:eastAsia="Times New Roman" w:hAnsi="Calibri" w:cs="Calibri"/>
                <w:i/>
                <w:iCs/>
                <w:color w:val="000000"/>
                <w:sz w:val="18"/>
                <w:szCs w:val="18"/>
                <w:lang w:eastAsia="hr-HR"/>
              </w:rPr>
              <w:t xml:space="preserve"> 12.1. Mjere unaprjeđenja ponovne uporabe, recikliranja i drugih postupaka oporabe   komunalnog otpada i smanjenja odlaganja na odlagališta otpada</w:t>
            </w:r>
          </w:p>
        </w:tc>
      </w:tr>
      <w:tr w:rsidR="00134062" w:rsidRPr="00AA79C4" w14:paraId="2FDAA347" w14:textId="77777777" w:rsidTr="00134062">
        <w:trPr>
          <w:trHeight w:val="20"/>
        </w:trPr>
        <w:tc>
          <w:tcPr>
            <w:tcW w:w="0" w:type="auto"/>
            <w:shd w:val="clear" w:color="auto" w:fill="002060"/>
            <w:noWrap/>
            <w:vAlign w:val="center"/>
            <w:hideMark/>
          </w:tcPr>
          <w:p w14:paraId="1EE8083A"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3.</w:t>
            </w:r>
          </w:p>
        </w:tc>
        <w:tc>
          <w:tcPr>
            <w:tcW w:w="6778" w:type="dxa"/>
            <w:shd w:val="clear" w:color="auto" w:fill="auto"/>
            <w:vAlign w:val="center"/>
            <w:hideMark/>
          </w:tcPr>
          <w:p w14:paraId="469055C3"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Ocjena načina na koji će Plan doprinijeti implementaciji ciljeva i odredbi Direktive (EU) 2008/98/EZ</w:t>
            </w:r>
          </w:p>
        </w:tc>
        <w:tc>
          <w:tcPr>
            <w:tcW w:w="6723" w:type="dxa"/>
            <w:shd w:val="clear" w:color="auto" w:fill="auto"/>
            <w:vAlign w:val="center"/>
            <w:hideMark/>
          </w:tcPr>
          <w:p w14:paraId="2A36F8A0"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Poglavlje 12. Mjere za provedbu plana</w:t>
            </w:r>
          </w:p>
          <w:p w14:paraId="19ECE35A" w14:textId="77777777" w:rsidR="00134062" w:rsidRPr="00F44FB4" w:rsidRDefault="00134062" w:rsidP="00134062">
            <w:pPr>
              <w:spacing w:after="0" w:line="240" w:lineRule="auto"/>
              <w:rPr>
                <w:rFonts w:ascii="Calibri" w:eastAsia="Times New Roman" w:hAnsi="Calibri" w:cs="Calibri"/>
                <w:i/>
                <w:iCs/>
                <w:color w:val="000000"/>
                <w:sz w:val="18"/>
                <w:szCs w:val="18"/>
                <w:lang w:eastAsia="hr-HR"/>
              </w:rPr>
            </w:pPr>
            <w:r w:rsidRPr="00AA79C4">
              <w:rPr>
                <w:rFonts w:ascii="Calibri" w:eastAsia="Times New Roman" w:hAnsi="Calibri" w:cs="Calibri"/>
                <w:i/>
                <w:iCs/>
                <w:color w:val="000000"/>
                <w:sz w:val="18"/>
                <w:szCs w:val="18"/>
                <w:lang w:eastAsia="hr-HR"/>
              </w:rPr>
              <w:t>Tablica 66. Odnos ciljeva i mjera za postizanje ciljeva EU-a definiranih u PGO 2023 – 2028</w:t>
            </w:r>
          </w:p>
        </w:tc>
      </w:tr>
      <w:tr w:rsidR="00134062" w:rsidRPr="00AA79C4" w14:paraId="6DF09E4D" w14:textId="77777777" w:rsidTr="00134062">
        <w:trPr>
          <w:trHeight w:val="20"/>
        </w:trPr>
        <w:tc>
          <w:tcPr>
            <w:tcW w:w="0" w:type="auto"/>
            <w:shd w:val="clear" w:color="auto" w:fill="002060"/>
            <w:noWrap/>
            <w:vAlign w:val="center"/>
            <w:hideMark/>
          </w:tcPr>
          <w:p w14:paraId="71B69B61"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4.</w:t>
            </w:r>
          </w:p>
        </w:tc>
        <w:tc>
          <w:tcPr>
            <w:tcW w:w="6778" w:type="dxa"/>
            <w:shd w:val="clear" w:color="auto" w:fill="auto"/>
            <w:vAlign w:val="center"/>
            <w:hideMark/>
          </w:tcPr>
          <w:p w14:paraId="0573C81C"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Vrste, količine i porijeklo otpada proizvedenog u Republici Hrvatskoj, otpad koji će se vjerojatno isporučivati iz ili u Republiku Hrvatsku, te procjena budućih tokova otpada</w:t>
            </w:r>
          </w:p>
        </w:tc>
        <w:tc>
          <w:tcPr>
            <w:tcW w:w="6723" w:type="dxa"/>
            <w:shd w:val="clear" w:color="auto" w:fill="auto"/>
            <w:vAlign w:val="center"/>
            <w:hideMark/>
          </w:tcPr>
          <w:p w14:paraId="45D094FE" w14:textId="77777777" w:rsidR="00134062" w:rsidRPr="00F44FB4" w:rsidRDefault="00134062" w:rsidP="00134062">
            <w:pPr>
              <w:spacing w:after="0" w:line="240" w:lineRule="auto"/>
              <w:rPr>
                <w:rFonts w:ascii="Calibri" w:eastAsia="Times New Roman" w:hAnsi="Calibri" w:cs="Calibri"/>
                <w:i/>
                <w:iCs/>
                <w:color w:val="000000"/>
                <w:sz w:val="18"/>
                <w:szCs w:val="18"/>
                <w:lang w:eastAsia="hr-HR"/>
              </w:rPr>
            </w:pPr>
            <w:r w:rsidRPr="00F44FB4">
              <w:rPr>
                <w:rFonts w:ascii="Calibri" w:eastAsia="Times New Roman" w:hAnsi="Calibri" w:cs="Calibri"/>
                <w:color w:val="000000"/>
                <w:sz w:val="18"/>
                <w:szCs w:val="18"/>
                <w:lang w:eastAsia="hr-HR"/>
              </w:rPr>
              <w:t>Poglavlje 2. Stanje gospodarenja otpadom u RH,</w:t>
            </w:r>
            <w:r w:rsidRPr="00F44FB4">
              <w:rPr>
                <w:rFonts w:ascii="Calibri" w:eastAsia="Times New Roman" w:hAnsi="Calibri" w:cs="Calibri"/>
                <w:i/>
                <w:iCs/>
                <w:color w:val="000000"/>
                <w:sz w:val="18"/>
                <w:szCs w:val="18"/>
                <w:lang w:eastAsia="hr-HR"/>
              </w:rPr>
              <w:t xml:space="preserve"> </w:t>
            </w:r>
            <w:proofErr w:type="spellStart"/>
            <w:r w:rsidRPr="00AA79C4">
              <w:rPr>
                <w:rFonts w:ascii="Calibri" w:eastAsia="Times New Roman" w:hAnsi="Calibri" w:cs="Calibri"/>
                <w:i/>
                <w:iCs/>
                <w:color w:val="000000"/>
                <w:sz w:val="18"/>
                <w:szCs w:val="18"/>
                <w:lang w:eastAsia="hr-HR"/>
              </w:rPr>
              <w:t>p</w:t>
            </w:r>
            <w:r w:rsidRPr="00F44FB4">
              <w:rPr>
                <w:rFonts w:ascii="Calibri" w:eastAsia="Times New Roman" w:hAnsi="Calibri" w:cs="Calibri"/>
                <w:i/>
                <w:iCs/>
                <w:color w:val="000000"/>
                <w:sz w:val="18"/>
                <w:szCs w:val="18"/>
                <w:lang w:eastAsia="hr-HR"/>
              </w:rPr>
              <w:t>otpoglavlje</w:t>
            </w:r>
            <w:proofErr w:type="spellEnd"/>
            <w:r w:rsidRPr="00F44FB4">
              <w:rPr>
                <w:rFonts w:ascii="Calibri" w:eastAsia="Times New Roman" w:hAnsi="Calibri" w:cs="Calibri"/>
                <w:i/>
                <w:iCs/>
                <w:color w:val="000000"/>
                <w:sz w:val="18"/>
                <w:szCs w:val="18"/>
                <w:lang w:eastAsia="hr-HR"/>
              </w:rPr>
              <w:t xml:space="preserve"> 2.2. Porijeklo, sastav, kategorija i vrsta otpada i </w:t>
            </w:r>
            <w:proofErr w:type="spellStart"/>
            <w:r w:rsidRPr="00AA79C4">
              <w:rPr>
                <w:rFonts w:ascii="Calibri" w:eastAsia="Times New Roman" w:hAnsi="Calibri" w:cs="Calibri"/>
                <w:i/>
                <w:iCs/>
                <w:color w:val="000000"/>
                <w:sz w:val="18"/>
                <w:szCs w:val="18"/>
                <w:lang w:eastAsia="hr-HR"/>
              </w:rPr>
              <w:t>P</w:t>
            </w:r>
            <w:r w:rsidRPr="00F44FB4">
              <w:rPr>
                <w:rFonts w:ascii="Calibri" w:eastAsia="Times New Roman" w:hAnsi="Calibri" w:cs="Calibri"/>
                <w:i/>
                <w:iCs/>
                <w:color w:val="000000"/>
                <w:sz w:val="18"/>
                <w:szCs w:val="18"/>
                <w:lang w:eastAsia="hr-HR"/>
              </w:rPr>
              <w:t>otpoglavlje</w:t>
            </w:r>
            <w:proofErr w:type="spellEnd"/>
            <w:r w:rsidRPr="00F44FB4">
              <w:rPr>
                <w:rFonts w:ascii="Calibri" w:eastAsia="Times New Roman" w:hAnsi="Calibri" w:cs="Calibri"/>
                <w:i/>
                <w:iCs/>
                <w:color w:val="000000"/>
                <w:sz w:val="18"/>
                <w:szCs w:val="18"/>
                <w:lang w:eastAsia="hr-HR"/>
              </w:rPr>
              <w:t xml:space="preserve"> 2.3. Prekogranični promet otpada</w:t>
            </w:r>
            <w:r w:rsidRPr="00F44FB4">
              <w:rPr>
                <w:rFonts w:ascii="Calibri" w:eastAsia="Times New Roman" w:hAnsi="Calibri" w:cs="Calibri"/>
                <w:color w:val="000000"/>
                <w:sz w:val="18"/>
                <w:szCs w:val="18"/>
                <w:lang w:eastAsia="hr-HR"/>
              </w:rPr>
              <w:br/>
              <w:t>Poglavlje 5. Procjena razvoja tijeka otpada, potrebe i način uspostave novih sustava i mreže građevina i uređaja za gospodarenje otpadom</w:t>
            </w:r>
          </w:p>
        </w:tc>
      </w:tr>
      <w:tr w:rsidR="00134062" w:rsidRPr="00AA79C4" w14:paraId="70C95C89" w14:textId="77777777" w:rsidTr="00134062">
        <w:trPr>
          <w:trHeight w:val="20"/>
        </w:trPr>
        <w:tc>
          <w:tcPr>
            <w:tcW w:w="0" w:type="auto"/>
            <w:shd w:val="clear" w:color="auto" w:fill="002060"/>
            <w:noWrap/>
            <w:vAlign w:val="center"/>
            <w:hideMark/>
          </w:tcPr>
          <w:p w14:paraId="42F5DB7F"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5.</w:t>
            </w:r>
          </w:p>
        </w:tc>
        <w:tc>
          <w:tcPr>
            <w:tcW w:w="6778" w:type="dxa"/>
            <w:shd w:val="clear" w:color="auto" w:fill="auto"/>
            <w:vAlign w:val="center"/>
            <w:hideMark/>
          </w:tcPr>
          <w:p w14:paraId="6CF263C9"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 xml:space="preserve">Postojeći važniji pogoni za oporabu i zbrinjavanje otpada uključujući i sustave gospodarenja posebnim kategorijama otpada te otpad koji sadrži značajne količine kritičnih sirovina </w:t>
            </w:r>
            <w:r w:rsidRPr="00F44FB4">
              <w:rPr>
                <w:rFonts w:ascii="Calibri" w:eastAsia="Times New Roman" w:hAnsi="Calibri" w:cs="Calibri"/>
                <w:sz w:val="18"/>
                <w:szCs w:val="18"/>
                <w:lang w:eastAsia="hr-HR"/>
              </w:rPr>
              <w:t>i tokove otpada propisane propisima Europske unije</w:t>
            </w:r>
          </w:p>
        </w:tc>
        <w:tc>
          <w:tcPr>
            <w:tcW w:w="6723" w:type="dxa"/>
            <w:shd w:val="clear" w:color="auto" w:fill="auto"/>
            <w:vAlign w:val="center"/>
            <w:hideMark/>
          </w:tcPr>
          <w:p w14:paraId="29EB0F41" w14:textId="77777777" w:rsidR="00134062" w:rsidRPr="00AA79C4" w:rsidRDefault="00134062" w:rsidP="00134062">
            <w:pPr>
              <w:spacing w:after="0" w:line="240" w:lineRule="auto"/>
              <w:rPr>
                <w:rFonts w:ascii="Calibri" w:eastAsia="Times New Roman" w:hAnsi="Calibri" w:cs="Calibri"/>
                <w:i/>
                <w:iCs/>
                <w:color w:val="000000"/>
                <w:sz w:val="18"/>
                <w:szCs w:val="18"/>
                <w:lang w:eastAsia="hr-HR"/>
              </w:rPr>
            </w:pPr>
            <w:r w:rsidRPr="00F44FB4">
              <w:rPr>
                <w:rFonts w:ascii="Calibri" w:eastAsia="Times New Roman" w:hAnsi="Calibri" w:cs="Calibri"/>
                <w:color w:val="000000"/>
                <w:sz w:val="18"/>
                <w:szCs w:val="18"/>
                <w:lang w:eastAsia="hr-HR"/>
              </w:rPr>
              <w:t xml:space="preserve">Poglavlje 2. Stanje gospodarenja otpadom u RH, </w:t>
            </w:r>
            <w:proofErr w:type="spellStart"/>
            <w:r w:rsidRPr="00F44FB4">
              <w:rPr>
                <w:rFonts w:ascii="Calibri" w:eastAsia="Times New Roman" w:hAnsi="Calibri" w:cs="Calibri"/>
                <w:i/>
                <w:iCs/>
                <w:color w:val="000000"/>
                <w:sz w:val="18"/>
                <w:szCs w:val="18"/>
                <w:lang w:eastAsia="hr-HR"/>
              </w:rPr>
              <w:t>potpoglavlje</w:t>
            </w:r>
            <w:proofErr w:type="spellEnd"/>
            <w:r w:rsidRPr="00F44FB4">
              <w:rPr>
                <w:rFonts w:ascii="Calibri" w:eastAsia="Times New Roman" w:hAnsi="Calibri" w:cs="Calibri"/>
                <w:i/>
                <w:iCs/>
                <w:color w:val="000000"/>
                <w:sz w:val="18"/>
                <w:szCs w:val="18"/>
                <w:lang w:eastAsia="hr-HR"/>
              </w:rPr>
              <w:t xml:space="preserve"> 2.4. Postojeće građevine, uređaji i sustavi za gospodarenje otpadom</w:t>
            </w:r>
          </w:p>
          <w:p w14:paraId="39B5068F" w14:textId="77777777" w:rsidR="00134062" w:rsidRPr="00F44FB4" w:rsidRDefault="00134062" w:rsidP="00134062">
            <w:pPr>
              <w:spacing w:after="0" w:line="240" w:lineRule="auto"/>
              <w:rPr>
                <w:rFonts w:ascii="Calibri" w:eastAsia="Times New Roman" w:hAnsi="Calibri" w:cs="Calibri"/>
                <w:i/>
                <w:iCs/>
                <w:color w:val="000000"/>
                <w:sz w:val="18"/>
                <w:szCs w:val="18"/>
                <w:lang w:eastAsia="hr-HR"/>
              </w:rPr>
            </w:pPr>
            <w:r w:rsidRPr="00AA79C4">
              <w:rPr>
                <w:rFonts w:ascii="Calibri" w:eastAsia="Times New Roman" w:hAnsi="Calibri" w:cs="Calibri"/>
                <w:i/>
                <w:iCs/>
                <w:color w:val="000000"/>
                <w:sz w:val="18"/>
                <w:szCs w:val="18"/>
                <w:lang w:eastAsia="hr-HR"/>
              </w:rPr>
              <w:t>Specifično vezano za kritične sirovine u sklopu Programa sprječavanja nastanka otpada Poglavlje 4. Mjere sprječavanja nastanka otpada, Mjera 8.</w:t>
            </w:r>
          </w:p>
        </w:tc>
      </w:tr>
      <w:tr w:rsidR="00134062" w:rsidRPr="00AA79C4" w14:paraId="369EFFA3" w14:textId="77777777" w:rsidTr="00134062">
        <w:trPr>
          <w:trHeight w:val="20"/>
        </w:trPr>
        <w:tc>
          <w:tcPr>
            <w:tcW w:w="0" w:type="auto"/>
            <w:shd w:val="clear" w:color="auto" w:fill="002060"/>
            <w:noWrap/>
            <w:vAlign w:val="center"/>
            <w:hideMark/>
          </w:tcPr>
          <w:p w14:paraId="77EFE3A2"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6.</w:t>
            </w:r>
          </w:p>
        </w:tc>
        <w:tc>
          <w:tcPr>
            <w:tcW w:w="6778" w:type="dxa"/>
            <w:shd w:val="clear" w:color="auto" w:fill="auto"/>
            <w:vAlign w:val="center"/>
            <w:hideMark/>
          </w:tcPr>
          <w:p w14:paraId="48FCC566"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Procjena nužnosti zatvaranja postojeće i uspostave nove infrastrukture za zbrinjavanje te oporabu miješanog komunalnog otpada iz kućanstva, uključujući i procjenu nužnih investicija i drugih financijskih sredstava uključujući i sredstva koja jedinica lokalne samouprave mora utrošiti kako bi se zatvorila postojeća i uspostavila nova infrastrukture za gospodarenje otpadom</w:t>
            </w:r>
          </w:p>
        </w:tc>
        <w:tc>
          <w:tcPr>
            <w:tcW w:w="6723" w:type="dxa"/>
            <w:shd w:val="clear" w:color="auto" w:fill="auto"/>
            <w:vAlign w:val="center"/>
            <w:hideMark/>
          </w:tcPr>
          <w:p w14:paraId="242DA429"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Poglavlje 6. Procjena nužnosti zatvaranja postojeće i uspostave nove infrastrukture za zbrinjavanje te oporabu miješanog komunalnog otpada iz kućanstva</w:t>
            </w:r>
            <w:r w:rsidRPr="00F44FB4">
              <w:rPr>
                <w:rFonts w:ascii="Calibri" w:eastAsia="Times New Roman" w:hAnsi="Calibri" w:cs="Calibri"/>
                <w:color w:val="000000"/>
                <w:sz w:val="18"/>
                <w:szCs w:val="18"/>
                <w:lang w:eastAsia="hr-HR"/>
              </w:rPr>
              <w:br/>
              <w:t>Poglavlje 9. Procjena nužnih investicija i drugih financijskih sredstava za razvoj i unaprjeđenje sustava gospodarenja otpadom</w:t>
            </w:r>
          </w:p>
          <w:p w14:paraId="05FF8507"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Poglavlje 13. Financijska sredstva za provedbu mjera Plana</w:t>
            </w:r>
          </w:p>
        </w:tc>
      </w:tr>
      <w:tr w:rsidR="00134062" w:rsidRPr="00AA79C4" w14:paraId="07FD7DC6" w14:textId="77777777" w:rsidTr="00134062">
        <w:trPr>
          <w:trHeight w:val="20"/>
        </w:trPr>
        <w:tc>
          <w:tcPr>
            <w:tcW w:w="0" w:type="auto"/>
            <w:shd w:val="clear" w:color="auto" w:fill="002060"/>
            <w:noWrap/>
            <w:vAlign w:val="center"/>
            <w:hideMark/>
          </w:tcPr>
          <w:p w14:paraId="0CC1DC7F"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7.</w:t>
            </w:r>
          </w:p>
        </w:tc>
        <w:tc>
          <w:tcPr>
            <w:tcW w:w="6778" w:type="dxa"/>
            <w:shd w:val="clear" w:color="auto" w:fill="auto"/>
            <w:vAlign w:val="center"/>
            <w:hideMark/>
          </w:tcPr>
          <w:p w14:paraId="0434A42B"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Mjere kojima će se nastojati da se od 2030. godine sav otpad koji je pogodan za recikliranje ili drugi postupak oporabe, posebno komunalni otpad, ne prihvaća na odlagališta uz iznimku otpada za koji odlaganje daje najbolji učinak na okoliš u skladu s redom prvenstva gospodarenja otpadom</w:t>
            </w:r>
          </w:p>
        </w:tc>
        <w:tc>
          <w:tcPr>
            <w:tcW w:w="6723" w:type="dxa"/>
            <w:shd w:val="clear" w:color="auto" w:fill="auto"/>
            <w:vAlign w:val="center"/>
            <w:hideMark/>
          </w:tcPr>
          <w:p w14:paraId="728AC9A7"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 xml:space="preserve">Poglavlje 12. Mjere za provedbu plana, </w:t>
            </w:r>
          </w:p>
          <w:p w14:paraId="5167092C" w14:textId="77777777" w:rsidR="00134062" w:rsidRPr="00AA79C4" w:rsidRDefault="00134062" w:rsidP="00134062">
            <w:pPr>
              <w:spacing w:after="0" w:line="240" w:lineRule="auto"/>
              <w:rPr>
                <w:rFonts w:ascii="Calibri" w:eastAsia="Times New Roman" w:hAnsi="Calibri" w:cs="Calibri"/>
                <w:i/>
                <w:iCs/>
                <w:color w:val="000000"/>
                <w:sz w:val="18"/>
                <w:szCs w:val="18"/>
                <w:lang w:eastAsia="hr-HR"/>
              </w:rPr>
            </w:pPr>
            <w:r w:rsidRPr="00AA79C4">
              <w:rPr>
                <w:rFonts w:ascii="Calibri" w:eastAsia="Times New Roman" w:hAnsi="Calibri" w:cs="Calibri"/>
                <w:color w:val="000000"/>
                <w:sz w:val="18"/>
                <w:szCs w:val="18"/>
                <w:lang w:eastAsia="hr-HR"/>
              </w:rPr>
              <w:t xml:space="preserve">Specifično: </w:t>
            </w:r>
            <w:proofErr w:type="spellStart"/>
            <w:r w:rsidRPr="00F44FB4">
              <w:rPr>
                <w:rFonts w:ascii="Calibri" w:eastAsia="Times New Roman" w:hAnsi="Calibri" w:cs="Calibri"/>
                <w:i/>
                <w:iCs/>
                <w:color w:val="000000"/>
                <w:sz w:val="18"/>
                <w:szCs w:val="18"/>
                <w:lang w:eastAsia="hr-HR"/>
              </w:rPr>
              <w:t>potpoglavlje</w:t>
            </w:r>
            <w:proofErr w:type="spellEnd"/>
            <w:r w:rsidRPr="00F44FB4">
              <w:rPr>
                <w:rFonts w:ascii="Calibri" w:eastAsia="Times New Roman" w:hAnsi="Calibri" w:cs="Calibri"/>
                <w:i/>
                <w:iCs/>
                <w:color w:val="000000"/>
                <w:sz w:val="18"/>
                <w:szCs w:val="18"/>
                <w:lang w:eastAsia="hr-HR"/>
              </w:rPr>
              <w:t xml:space="preserve"> 12.1. Mjere unaprjeđenja ponovne uporabe, recikliranja i drugih postupaka oporabe komunalnog otpada i smanjenja odlaganja na odlagališta otpada i </w:t>
            </w:r>
            <w:proofErr w:type="spellStart"/>
            <w:r w:rsidRPr="00F44FB4">
              <w:rPr>
                <w:rFonts w:ascii="Calibri" w:eastAsia="Times New Roman" w:hAnsi="Calibri" w:cs="Calibri"/>
                <w:i/>
                <w:iCs/>
                <w:color w:val="000000"/>
                <w:sz w:val="18"/>
                <w:szCs w:val="18"/>
                <w:lang w:eastAsia="hr-HR"/>
              </w:rPr>
              <w:t>potpoglavlje</w:t>
            </w:r>
            <w:proofErr w:type="spellEnd"/>
            <w:r w:rsidRPr="00F44FB4">
              <w:rPr>
                <w:rFonts w:ascii="Calibri" w:eastAsia="Times New Roman" w:hAnsi="Calibri" w:cs="Calibri"/>
                <w:i/>
                <w:iCs/>
                <w:color w:val="000000"/>
                <w:sz w:val="18"/>
                <w:szCs w:val="18"/>
                <w:lang w:eastAsia="hr-HR"/>
              </w:rPr>
              <w:t xml:space="preserve"> 12.2. Mjere za unaprjeđenje sustava za gospodarenje posebnim kategorijama otpada</w:t>
            </w:r>
          </w:p>
          <w:p w14:paraId="78D7C069"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Mjere definirane Programom sprječavanja nastanka otpada</w:t>
            </w:r>
          </w:p>
        </w:tc>
      </w:tr>
      <w:tr w:rsidR="00134062" w:rsidRPr="00AA79C4" w14:paraId="37773EDA" w14:textId="77777777" w:rsidTr="00134062">
        <w:trPr>
          <w:trHeight w:val="20"/>
        </w:trPr>
        <w:tc>
          <w:tcPr>
            <w:tcW w:w="0" w:type="auto"/>
            <w:shd w:val="clear" w:color="auto" w:fill="002060"/>
            <w:noWrap/>
            <w:vAlign w:val="center"/>
            <w:hideMark/>
          </w:tcPr>
          <w:p w14:paraId="22CED1B3"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8.</w:t>
            </w:r>
          </w:p>
        </w:tc>
        <w:tc>
          <w:tcPr>
            <w:tcW w:w="6778" w:type="dxa"/>
            <w:shd w:val="clear" w:color="auto" w:fill="auto"/>
            <w:vAlign w:val="center"/>
            <w:hideMark/>
          </w:tcPr>
          <w:p w14:paraId="734F7F6A"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Procjena postojećih sustava sakupljanja otpada, uključujući vrste materijala i područja pokrivena odvojenim sakupljanjem otpada, te mjere za unaprjeđenje tih sustava uključujući i sve dopuštene iznimke od obveze odvojenog sakupljanja otpada, kao i potrebe za uspostavu novih sustava odvojenog sakupljanja otpada</w:t>
            </w:r>
          </w:p>
        </w:tc>
        <w:tc>
          <w:tcPr>
            <w:tcW w:w="6723" w:type="dxa"/>
            <w:shd w:val="clear" w:color="auto" w:fill="auto"/>
            <w:vAlign w:val="center"/>
            <w:hideMark/>
          </w:tcPr>
          <w:p w14:paraId="4BD7F8F9"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 xml:space="preserve">Poglavlje 2. Stanje gospodarenja otpadom u RH, </w:t>
            </w:r>
            <w:proofErr w:type="spellStart"/>
            <w:r w:rsidRPr="00F44FB4">
              <w:rPr>
                <w:rFonts w:ascii="Calibri" w:eastAsia="Times New Roman" w:hAnsi="Calibri" w:cs="Calibri"/>
                <w:i/>
                <w:iCs/>
                <w:color w:val="000000"/>
                <w:sz w:val="18"/>
                <w:szCs w:val="18"/>
                <w:lang w:eastAsia="hr-HR"/>
              </w:rPr>
              <w:t>potpoglavlje</w:t>
            </w:r>
            <w:proofErr w:type="spellEnd"/>
            <w:r w:rsidRPr="00F44FB4">
              <w:rPr>
                <w:rFonts w:ascii="Calibri" w:eastAsia="Times New Roman" w:hAnsi="Calibri" w:cs="Calibri"/>
                <w:i/>
                <w:iCs/>
                <w:color w:val="000000"/>
                <w:sz w:val="18"/>
                <w:szCs w:val="18"/>
                <w:lang w:eastAsia="hr-HR"/>
              </w:rPr>
              <w:t xml:space="preserve"> 2.4. Postojeće građevine, uređaji i sustavi za gospodarenje otpadom</w:t>
            </w:r>
            <w:r w:rsidRPr="00F44FB4">
              <w:rPr>
                <w:rFonts w:ascii="Calibri" w:eastAsia="Times New Roman" w:hAnsi="Calibri" w:cs="Calibri"/>
                <w:i/>
                <w:iCs/>
                <w:color w:val="000000"/>
                <w:sz w:val="18"/>
                <w:szCs w:val="18"/>
                <w:lang w:eastAsia="hr-HR"/>
              </w:rPr>
              <w:br/>
            </w:r>
            <w:r w:rsidRPr="00F44FB4">
              <w:rPr>
                <w:rFonts w:ascii="Calibri" w:eastAsia="Times New Roman" w:hAnsi="Calibri" w:cs="Calibri"/>
                <w:color w:val="000000"/>
                <w:sz w:val="18"/>
                <w:szCs w:val="18"/>
                <w:lang w:eastAsia="hr-HR"/>
              </w:rPr>
              <w:t>Poglavlje 6. Procjena nužnosti zatvaranja postojeće i uspostave nove infrastrukture za zbrinjavanje te oporabu miješanog komunalnog otpada iz kućanstva</w:t>
            </w:r>
            <w:r w:rsidRPr="00F44FB4">
              <w:rPr>
                <w:rFonts w:ascii="Calibri" w:eastAsia="Times New Roman" w:hAnsi="Calibri" w:cs="Calibri"/>
                <w:i/>
                <w:iCs/>
                <w:color w:val="000000"/>
                <w:sz w:val="18"/>
                <w:szCs w:val="18"/>
                <w:lang w:eastAsia="hr-HR"/>
              </w:rPr>
              <w:br/>
            </w:r>
            <w:r w:rsidRPr="00F44FB4">
              <w:rPr>
                <w:rFonts w:ascii="Calibri" w:eastAsia="Times New Roman" w:hAnsi="Calibri" w:cs="Calibri"/>
                <w:color w:val="000000"/>
                <w:sz w:val="18"/>
                <w:szCs w:val="18"/>
                <w:lang w:eastAsia="hr-HR"/>
              </w:rPr>
              <w:t xml:space="preserve">Poglavlje 12. Mjere za provedbu plana, </w:t>
            </w:r>
            <w:proofErr w:type="spellStart"/>
            <w:r w:rsidRPr="00F44FB4">
              <w:rPr>
                <w:rFonts w:ascii="Calibri" w:eastAsia="Times New Roman" w:hAnsi="Calibri" w:cs="Calibri"/>
                <w:i/>
                <w:iCs/>
                <w:color w:val="000000"/>
                <w:sz w:val="18"/>
                <w:szCs w:val="18"/>
                <w:lang w:eastAsia="hr-HR"/>
              </w:rPr>
              <w:t>potpoglavlje</w:t>
            </w:r>
            <w:proofErr w:type="spellEnd"/>
            <w:r w:rsidRPr="00F44FB4">
              <w:rPr>
                <w:rFonts w:ascii="Calibri" w:eastAsia="Times New Roman" w:hAnsi="Calibri" w:cs="Calibri"/>
                <w:i/>
                <w:iCs/>
                <w:color w:val="000000"/>
                <w:sz w:val="18"/>
                <w:szCs w:val="18"/>
                <w:lang w:eastAsia="hr-HR"/>
              </w:rPr>
              <w:t xml:space="preserve"> 12.1. Mjere unaprjeđenja ponovne uporabe, recikliranja i drugih postupaka oporabe komunalnog otpada i smanjenja odlaganja na odlagališta otpada i </w:t>
            </w:r>
            <w:proofErr w:type="spellStart"/>
            <w:r w:rsidRPr="00F44FB4">
              <w:rPr>
                <w:rFonts w:ascii="Calibri" w:eastAsia="Times New Roman" w:hAnsi="Calibri" w:cs="Calibri"/>
                <w:i/>
                <w:iCs/>
                <w:color w:val="000000"/>
                <w:sz w:val="18"/>
                <w:szCs w:val="18"/>
                <w:lang w:eastAsia="hr-HR"/>
              </w:rPr>
              <w:t>potpoglavlje</w:t>
            </w:r>
            <w:proofErr w:type="spellEnd"/>
            <w:r w:rsidRPr="00F44FB4">
              <w:rPr>
                <w:rFonts w:ascii="Calibri" w:eastAsia="Times New Roman" w:hAnsi="Calibri" w:cs="Calibri"/>
                <w:i/>
                <w:iCs/>
                <w:color w:val="000000"/>
                <w:sz w:val="18"/>
                <w:szCs w:val="18"/>
                <w:lang w:eastAsia="hr-HR"/>
              </w:rPr>
              <w:t xml:space="preserve"> 12.2. Mjere za unaprjeđenje sustava za gospodarenje posebnim kategorijama otpada</w:t>
            </w:r>
          </w:p>
        </w:tc>
      </w:tr>
      <w:tr w:rsidR="00134062" w:rsidRPr="00AA79C4" w14:paraId="42FA2FA4" w14:textId="77777777" w:rsidTr="00134062">
        <w:trPr>
          <w:trHeight w:val="20"/>
        </w:trPr>
        <w:tc>
          <w:tcPr>
            <w:tcW w:w="0" w:type="auto"/>
            <w:shd w:val="clear" w:color="auto" w:fill="002060"/>
            <w:noWrap/>
            <w:vAlign w:val="center"/>
            <w:hideMark/>
          </w:tcPr>
          <w:p w14:paraId="74B2F53A"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9.</w:t>
            </w:r>
          </w:p>
        </w:tc>
        <w:tc>
          <w:tcPr>
            <w:tcW w:w="6778" w:type="dxa"/>
            <w:shd w:val="clear" w:color="auto" w:fill="auto"/>
            <w:vAlign w:val="center"/>
            <w:hideMark/>
          </w:tcPr>
          <w:p w14:paraId="1076AF94"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Odgovarajuće informacije o kriterijima temeljem kojih se odabire lokacija te potrebnim kapacitetima novih važnijih pogona za oporabu ili zbrinjavanje otpada, ako je to nužno</w:t>
            </w:r>
          </w:p>
        </w:tc>
        <w:tc>
          <w:tcPr>
            <w:tcW w:w="6723" w:type="dxa"/>
            <w:shd w:val="clear" w:color="auto" w:fill="auto"/>
            <w:vAlign w:val="center"/>
            <w:hideMark/>
          </w:tcPr>
          <w:p w14:paraId="343A7DD5"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Poglavlje 8. Kriteriji za određivanje načelnih lokacija  potrebnih kapaciteta novih građevina i postrojenja</w:t>
            </w:r>
          </w:p>
        </w:tc>
      </w:tr>
      <w:tr w:rsidR="00134062" w:rsidRPr="00AA79C4" w14:paraId="1A90D613" w14:textId="77777777" w:rsidTr="00134062">
        <w:trPr>
          <w:trHeight w:val="20"/>
        </w:trPr>
        <w:tc>
          <w:tcPr>
            <w:tcW w:w="0" w:type="auto"/>
            <w:shd w:val="clear" w:color="auto" w:fill="002060"/>
            <w:noWrap/>
            <w:vAlign w:val="center"/>
            <w:hideMark/>
          </w:tcPr>
          <w:p w14:paraId="13028990"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lastRenderedPageBreak/>
              <w:t>10.</w:t>
            </w:r>
          </w:p>
        </w:tc>
        <w:tc>
          <w:tcPr>
            <w:tcW w:w="6778" w:type="dxa"/>
            <w:shd w:val="clear" w:color="auto" w:fill="auto"/>
            <w:vAlign w:val="center"/>
            <w:hideMark/>
          </w:tcPr>
          <w:p w14:paraId="63640AC3"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Opće politike gospodarenja otpadom uključujući planirane tehnologije i metode koje će se koristiti te politike kojima se rješava određeno pitanje u gospodarenju otpadom</w:t>
            </w:r>
          </w:p>
        </w:tc>
        <w:tc>
          <w:tcPr>
            <w:tcW w:w="6723" w:type="dxa"/>
            <w:shd w:val="clear" w:color="auto" w:fill="auto"/>
            <w:vAlign w:val="center"/>
            <w:hideMark/>
          </w:tcPr>
          <w:p w14:paraId="0FFDD68D"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Opće politike gospodarenja otpadom integrirane su u cijeli Plan gospodarenja otpadom RH za razdoblje 2023.-2028., a proizlaze iz mjera i aktivnosti definiranih za postizanje ciljeva gospodarenja otpadom koji su usklađeni s EU ciljevima u gospodarenju otpadom.</w:t>
            </w:r>
          </w:p>
          <w:p w14:paraId="181C8E6E"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Poglavlje 4. Ciljevi gospodarenja otpadom</w:t>
            </w:r>
          </w:p>
        </w:tc>
      </w:tr>
      <w:tr w:rsidR="00134062" w:rsidRPr="00AA79C4" w14:paraId="3570530E" w14:textId="77777777" w:rsidTr="00134062">
        <w:trPr>
          <w:trHeight w:val="20"/>
        </w:trPr>
        <w:tc>
          <w:tcPr>
            <w:tcW w:w="0" w:type="auto"/>
            <w:shd w:val="clear" w:color="auto" w:fill="002060"/>
            <w:noWrap/>
            <w:vAlign w:val="center"/>
            <w:hideMark/>
          </w:tcPr>
          <w:p w14:paraId="41714EA6"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11.</w:t>
            </w:r>
          </w:p>
        </w:tc>
        <w:tc>
          <w:tcPr>
            <w:tcW w:w="6778" w:type="dxa"/>
            <w:shd w:val="clear" w:color="auto" w:fill="auto"/>
            <w:vAlign w:val="center"/>
            <w:hideMark/>
          </w:tcPr>
          <w:p w14:paraId="32E3158A"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Mjere sprječavanja protuzakonitog odbacivanja otpada, te uklanjanja protuzakonito odbačenog otpada</w:t>
            </w:r>
          </w:p>
        </w:tc>
        <w:tc>
          <w:tcPr>
            <w:tcW w:w="6723" w:type="dxa"/>
            <w:shd w:val="clear" w:color="auto" w:fill="auto"/>
            <w:vAlign w:val="center"/>
            <w:hideMark/>
          </w:tcPr>
          <w:p w14:paraId="4CBE23CD"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 xml:space="preserve">Poglavlje 12. Mjere za provedbu plana, </w:t>
            </w:r>
            <w:proofErr w:type="spellStart"/>
            <w:r w:rsidRPr="00F44FB4">
              <w:rPr>
                <w:rFonts w:ascii="Calibri" w:eastAsia="Times New Roman" w:hAnsi="Calibri" w:cs="Calibri"/>
                <w:i/>
                <w:iCs/>
                <w:color w:val="000000"/>
                <w:sz w:val="18"/>
                <w:szCs w:val="18"/>
                <w:lang w:eastAsia="hr-HR"/>
              </w:rPr>
              <w:t>potpoglavlje</w:t>
            </w:r>
            <w:proofErr w:type="spellEnd"/>
            <w:r w:rsidRPr="00F44FB4">
              <w:rPr>
                <w:rFonts w:ascii="Calibri" w:eastAsia="Times New Roman" w:hAnsi="Calibri" w:cs="Calibri"/>
                <w:i/>
                <w:iCs/>
                <w:color w:val="000000"/>
                <w:sz w:val="18"/>
                <w:szCs w:val="18"/>
                <w:lang w:eastAsia="hr-HR"/>
              </w:rPr>
              <w:t xml:space="preserve"> 12.4. Mjere za sanaciju lokacija onečišćenih otpadom</w:t>
            </w:r>
          </w:p>
        </w:tc>
      </w:tr>
      <w:tr w:rsidR="00134062" w:rsidRPr="00AA79C4" w14:paraId="347A4DB9" w14:textId="77777777" w:rsidTr="00134062">
        <w:trPr>
          <w:trHeight w:val="20"/>
        </w:trPr>
        <w:tc>
          <w:tcPr>
            <w:tcW w:w="0" w:type="auto"/>
            <w:shd w:val="clear" w:color="auto" w:fill="002060"/>
            <w:noWrap/>
            <w:vAlign w:val="center"/>
            <w:hideMark/>
          </w:tcPr>
          <w:p w14:paraId="312F02EC"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12.</w:t>
            </w:r>
          </w:p>
        </w:tc>
        <w:tc>
          <w:tcPr>
            <w:tcW w:w="6778" w:type="dxa"/>
            <w:shd w:val="clear" w:color="auto" w:fill="auto"/>
            <w:vAlign w:val="center"/>
            <w:hideMark/>
          </w:tcPr>
          <w:p w14:paraId="738FF278"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 xml:space="preserve">Odgovarajući kvalitativni ili kvantitativni pokazatelji i ciljne vrijednosti pokazatelja u svezi s količinama proizvedenog otpada i njegovom obradom, te u svezi s količinama komunalnog otpada koji je odložen ili energetski </w:t>
            </w:r>
            <w:proofErr w:type="spellStart"/>
            <w:r w:rsidRPr="00F44FB4">
              <w:rPr>
                <w:rFonts w:ascii="Calibri" w:eastAsia="Times New Roman" w:hAnsi="Calibri" w:cs="Calibri"/>
                <w:color w:val="000000"/>
                <w:sz w:val="18"/>
                <w:szCs w:val="18"/>
                <w:lang w:eastAsia="hr-HR"/>
              </w:rPr>
              <w:t>oporabljen</w:t>
            </w:r>
            <w:proofErr w:type="spellEnd"/>
          </w:p>
        </w:tc>
        <w:tc>
          <w:tcPr>
            <w:tcW w:w="6723" w:type="dxa"/>
            <w:shd w:val="clear" w:color="auto" w:fill="auto"/>
            <w:vAlign w:val="center"/>
            <w:hideMark/>
          </w:tcPr>
          <w:p w14:paraId="7455E485"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Poglavlje 12. Mjere za provedbu plana</w:t>
            </w:r>
            <w:r w:rsidRPr="00AA79C4">
              <w:rPr>
                <w:rFonts w:ascii="Calibri" w:eastAsia="Times New Roman" w:hAnsi="Calibri" w:cs="Calibri"/>
                <w:color w:val="000000"/>
                <w:sz w:val="18"/>
                <w:szCs w:val="18"/>
                <w:lang w:eastAsia="hr-HR"/>
              </w:rPr>
              <w:t>. Za svaku definiranu mjeru i aktivnost definirani su pokazatelji.</w:t>
            </w:r>
          </w:p>
          <w:p w14:paraId="1E2CB722"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 xml:space="preserve">Specifično vezano za stavak 12. Dodatka IV Zakona o gospodarenju otpadom: </w:t>
            </w:r>
            <w:r w:rsidRPr="00F44FB4">
              <w:rPr>
                <w:rFonts w:ascii="Calibri" w:eastAsia="Times New Roman" w:hAnsi="Calibri" w:cs="Calibri"/>
                <w:color w:val="000000"/>
                <w:sz w:val="18"/>
                <w:szCs w:val="18"/>
                <w:lang w:eastAsia="hr-HR"/>
              </w:rPr>
              <w:t xml:space="preserve"> </w:t>
            </w:r>
            <w:proofErr w:type="spellStart"/>
            <w:r w:rsidRPr="00F44FB4">
              <w:rPr>
                <w:rFonts w:ascii="Calibri" w:eastAsia="Times New Roman" w:hAnsi="Calibri" w:cs="Calibri"/>
                <w:i/>
                <w:iCs/>
                <w:color w:val="000000"/>
                <w:sz w:val="18"/>
                <w:szCs w:val="18"/>
                <w:lang w:eastAsia="hr-HR"/>
              </w:rPr>
              <w:t>potpoglavlje</w:t>
            </w:r>
            <w:proofErr w:type="spellEnd"/>
            <w:r w:rsidRPr="00F44FB4">
              <w:rPr>
                <w:rFonts w:ascii="Calibri" w:eastAsia="Times New Roman" w:hAnsi="Calibri" w:cs="Calibri"/>
                <w:i/>
                <w:iCs/>
                <w:color w:val="000000"/>
                <w:sz w:val="18"/>
                <w:szCs w:val="18"/>
                <w:lang w:eastAsia="hr-HR"/>
              </w:rPr>
              <w:t xml:space="preserve"> 12.1. Mjere unaprjeđenja ponovne uporabe, recikliranja i drugih postupaka oporabe komunalnog otpada i smanjenja odlaganja na odlagališta otpada i </w:t>
            </w:r>
            <w:proofErr w:type="spellStart"/>
            <w:r w:rsidRPr="00F44FB4">
              <w:rPr>
                <w:rFonts w:ascii="Calibri" w:eastAsia="Times New Roman" w:hAnsi="Calibri" w:cs="Calibri"/>
                <w:i/>
                <w:iCs/>
                <w:color w:val="000000"/>
                <w:sz w:val="18"/>
                <w:szCs w:val="18"/>
                <w:lang w:eastAsia="hr-HR"/>
              </w:rPr>
              <w:t>potpoglavlje</w:t>
            </w:r>
            <w:proofErr w:type="spellEnd"/>
            <w:r w:rsidRPr="00F44FB4">
              <w:rPr>
                <w:rFonts w:ascii="Calibri" w:eastAsia="Times New Roman" w:hAnsi="Calibri" w:cs="Calibri"/>
                <w:i/>
                <w:iCs/>
                <w:color w:val="000000"/>
                <w:sz w:val="18"/>
                <w:szCs w:val="18"/>
                <w:lang w:eastAsia="hr-HR"/>
              </w:rPr>
              <w:t xml:space="preserve"> 12.2. Mjere za unaprjeđenje sustava za gospodarenje posebnim kategorijama otpada</w:t>
            </w:r>
          </w:p>
        </w:tc>
      </w:tr>
      <w:tr w:rsidR="00134062" w:rsidRPr="00AA79C4" w14:paraId="30F4D3BA" w14:textId="77777777" w:rsidTr="00134062">
        <w:trPr>
          <w:trHeight w:val="20"/>
        </w:trPr>
        <w:tc>
          <w:tcPr>
            <w:tcW w:w="0" w:type="auto"/>
            <w:shd w:val="clear" w:color="auto" w:fill="002060"/>
            <w:noWrap/>
            <w:vAlign w:val="center"/>
            <w:hideMark/>
          </w:tcPr>
          <w:p w14:paraId="530478CA"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13.</w:t>
            </w:r>
          </w:p>
        </w:tc>
        <w:tc>
          <w:tcPr>
            <w:tcW w:w="6778" w:type="dxa"/>
            <w:shd w:val="clear" w:color="auto" w:fill="auto"/>
            <w:vAlign w:val="center"/>
            <w:hideMark/>
          </w:tcPr>
          <w:p w14:paraId="6D9ABB44"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Procjena korisnosti i prikladnosti uporabe ekonomskih i drugih instrumenata u gospodarenja otpadom uz nesmetano funkcioniranje unutarnjeg tržišta</w:t>
            </w:r>
          </w:p>
        </w:tc>
        <w:tc>
          <w:tcPr>
            <w:tcW w:w="6723" w:type="dxa"/>
            <w:shd w:val="clear" w:color="auto" w:fill="auto"/>
            <w:vAlign w:val="center"/>
            <w:hideMark/>
          </w:tcPr>
          <w:p w14:paraId="640F1065"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Poglavlje 11. Procjena korisnosti i prikladnosti uporabe ekonomskih i drugih instrumenata u gospodarenja otpadom uz nesmetano funkcioniranje unutarnjeg tržišta</w:t>
            </w:r>
          </w:p>
        </w:tc>
      </w:tr>
      <w:tr w:rsidR="00134062" w:rsidRPr="00AA79C4" w14:paraId="27CAC528" w14:textId="77777777" w:rsidTr="00134062">
        <w:trPr>
          <w:trHeight w:val="20"/>
        </w:trPr>
        <w:tc>
          <w:tcPr>
            <w:tcW w:w="0" w:type="auto"/>
            <w:shd w:val="clear" w:color="auto" w:fill="002060"/>
            <w:noWrap/>
            <w:vAlign w:val="center"/>
            <w:hideMark/>
          </w:tcPr>
          <w:p w14:paraId="3B6B42AA"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14.</w:t>
            </w:r>
          </w:p>
        </w:tc>
        <w:tc>
          <w:tcPr>
            <w:tcW w:w="6778" w:type="dxa"/>
            <w:shd w:val="clear" w:color="auto" w:fill="auto"/>
            <w:vAlign w:val="center"/>
            <w:hideMark/>
          </w:tcPr>
          <w:p w14:paraId="1CE94129"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Popis saniranih lokacija onečišćenih otpadom (crne točke) i saniranih i zatvorenih odlagališta uključujući i mjere sanacije</w:t>
            </w:r>
          </w:p>
        </w:tc>
        <w:tc>
          <w:tcPr>
            <w:tcW w:w="6723" w:type="dxa"/>
            <w:shd w:val="clear" w:color="auto" w:fill="auto"/>
            <w:vAlign w:val="center"/>
            <w:hideMark/>
          </w:tcPr>
          <w:p w14:paraId="3B758DB9"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 xml:space="preserve">Poglavlje 2. Stanje gospodarenja otpadom u RH, </w:t>
            </w:r>
            <w:proofErr w:type="spellStart"/>
            <w:r w:rsidRPr="00F44FB4">
              <w:rPr>
                <w:rFonts w:ascii="Calibri" w:eastAsia="Times New Roman" w:hAnsi="Calibri" w:cs="Calibri"/>
                <w:i/>
                <w:iCs/>
                <w:color w:val="000000"/>
                <w:sz w:val="18"/>
                <w:szCs w:val="18"/>
                <w:lang w:eastAsia="hr-HR"/>
              </w:rPr>
              <w:t>potpoglavlje</w:t>
            </w:r>
            <w:proofErr w:type="spellEnd"/>
            <w:r w:rsidRPr="00F44FB4">
              <w:rPr>
                <w:rFonts w:ascii="Calibri" w:eastAsia="Times New Roman" w:hAnsi="Calibri" w:cs="Calibri"/>
                <w:i/>
                <w:iCs/>
                <w:color w:val="000000"/>
                <w:sz w:val="18"/>
                <w:szCs w:val="18"/>
                <w:lang w:eastAsia="hr-HR"/>
              </w:rPr>
              <w:t xml:space="preserve"> 2.4. Postojeće građevine, uređaji i sustavi za gospodarenje otpadom(točka 2.4.1.6. Odlagališta otpada i 2.4.4. Statusi projekata sanacija "crnih točaka")</w:t>
            </w:r>
            <w:r w:rsidRPr="00F44FB4">
              <w:rPr>
                <w:rFonts w:ascii="Calibri" w:eastAsia="Times New Roman" w:hAnsi="Calibri" w:cs="Calibri"/>
                <w:color w:val="000000"/>
                <w:sz w:val="18"/>
                <w:szCs w:val="18"/>
                <w:lang w:eastAsia="hr-HR"/>
              </w:rPr>
              <w:br/>
              <w:t>Poglavlje 12. Mjere za provedbu plana,</w:t>
            </w:r>
            <w:r w:rsidRPr="00F44FB4">
              <w:rPr>
                <w:rFonts w:ascii="Calibri" w:eastAsia="Times New Roman" w:hAnsi="Calibri" w:cs="Calibri"/>
                <w:i/>
                <w:iCs/>
                <w:color w:val="000000"/>
                <w:sz w:val="18"/>
                <w:szCs w:val="18"/>
                <w:lang w:eastAsia="hr-HR"/>
              </w:rPr>
              <w:t xml:space="preserve"> </w:t>
            </w:r>
            <w:proofErr w:type="spellStart"/>
            <w:r w:rsidRPr="00F44FB4">
              <w:rPr>
                <w:rFonts w:ascii="Calibri" w:eastAsia="Times New Roman" w:hAnsi="Calibri" w:cs="Calibri"/>
                <w:i/>
                <w:iCs/>
                <w:color w:val="000000"/>
                <w:sz w:val="18"/>
                <w:szCs w:val="18"/>
                <w:lang w:eastAsia="hr-HR"/>
              </w:rPr>
              <w:t>potpglavlje</w:t>
            </w:r>
            <w:proofErr w:type="spellEnd"/>
            <w:r w:rsidRPr="00F44FB4">
              <w:rPr>
                <w:rFonts w:ascii="Calibri" w:eastAsia="Times New Roman" w:hAnsi="Calibri" w:cs="Calibri"/>
                <w:i/>
                <w:iCs/>
                <w:color w:val="000000"/>
                <w:sz w:val="18"/>
                <w:szCs w:val="18"/>
                <w:lang w:eastAsia="hr-HR"/>
              </w:rPr>
              <w:t xml:space="preserve"> 12.4. Mjere za sanaciju lokacija onečišćenih otpadom</w:t>
            </w:r>
          </w:p>
        </w:tc>
      </w:tr>
      <w:tr w:rsidR="00134062" w:rsidRPr="00AA79C4" w14:paraId="2B31A75C" w14:textId="77777777" w:rsidTr="00134062">
        <w:trPr>
          <w:trHeight w:val="20"/>
        </w:trPr>
        <w:tc>
          <w:tcPr>
            <w:tcW w:w="0" w:type="auto"/>
            <w:shd w:val="clear" w:color="auto" w:fill="002060"/>
            <w:noWrap/>
            <w:vAlign w:val="center"/>
            <w:hideMark/>
          </w:tcPr>
          <w:p w14:paraId="28FA45EE"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15.</w:t>
            </w:r>
          </w:p>
        </w:tc>
        <w:tc>
          <w:tcPr>
            <w:tcW w:w="6778" w:type="dxa"/>
            <w:shd w:val="clear" w:color="auto" w:fill="auto"/>
            <w:vAlign w:val="center"/>
            <w:hideMark/>
          </w:tcPr>
          <w:p w14:paraId="2459905B"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Mjere za postizanje ciljeva gospodarenja otpadom, posebice iz članka 53. stavka 2. ovoga Zakona, te u slučaju odgode roka iz članka 53. stavka 2. ovoga zakona mjere kojima se postiže da do 2035. količina komunalnog otpada koji se odlaže smanji na najviše 25% ukupne količine (po masi) proizvedenog komunalnog otpada</w:t>
            </w:r>
          </w:p>
        </w:tc>
        <w:tc>
          <w:tcPr>
            <w:tcW w:w="6723" w:type="dxa"/>
            <w:shd w:val="clear" w:color="auto" w:fill="auto"/>
            <w:vAlign w:val="center"/>
            <w:hideMark/>
          </w:tcPr>
          <w:p w14:paraId="1B03C52F"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Poglavlje 12. Mjere za provedbu plana</w:t>
            </w:r>
          </w:p>
          <w:p w14:paraId="7AB0528B" w14:textId="77777777" w:rsidR="00134062" w:rsidRPr="00AA79C4" w:rsidRDefault="00134062" w:rsidP="00134062">
            <w:pPr>
              <w:spacing w:after="0" w:line="240" w:lineRule="auto"/>
              <w:rPr>
                <w:rFonts w:ascii="Calibri" w:eastAsia="Times New Roman" w:hAnsi="Calibri" w:cs="Calibri"/>
                <w:i/>
                <w:iCs/>
                <w:color w:val="000000"/>
                <w:sz w:val="18"/>
                <w:szCs w:val="18"/>
                <w:lang w:eastAsia="hr-HR"/>
              </w:rPr>
            </w:pPr>
            <w:r w:rsidRPr="00AA79C4">
              <w:rPr>
                <w:rFonts w:ascii="Calibri" w:eastAsia="Times New Roman" w:hAnsi="Calibri" w:cs="Calibri"/>
                <w:color w:val="000000"/>
                <w:sz w:val="18"/>
                <w:szCs w:val="18"/>
                <w:lang w:eastAsia="hr-HR"/>
              </w:rPr>
              <w:t xml:space="preserve">Specifično: </w:t>
            </w:r>
            <w:proofErr w:type="spellStart"/>
            <w:r w:rsidRPr="00AA79C4">
              <w:rPr>
                <w:rFonts w:ascii="Calibri" w:eastAsia="Times New Roman" w:hAnsi="Calibri" w:cs="Calibri"/>
                <w:i/>
                <w:iCs/>
                <w:color w:val="000000"/>
                <w:sz w:val="18"/>
                <w:szCs w:val="18"/>
                <w:lang w:eastAsia="hr-HR"/>
              </w:rPr>
              <w:t>Podpoglavlje</w:t>
            </w:r>
            <w:proofErr w:type="spellEnd"/>
            <w:r w:rsidRPr="00AA79C4">
              <w:rPr>
                <w:rFonts w:ascii="Calibri" w:eastAsia="Times New Roman" w:hAnsi="Calibri" w:cs="Calibri"/>
                <w:i/>
                <w:iCs/>
                <w:color w:val="000000"/>
                <w:sz w:val="18"/>
                <w:szCs w:val="18"/>
                <w:lang w:eastAsia="hr-HR"/>
              </w:rPr>
              <w:t xml:space="preserve"> 12.1. 12.1.Mjere unaprjeđenja ponovne uporabe, recikliranja i drugih postupaka oporabe komunalnog otpada i smanjenja odlaganja na odlagališta</w:t>
            </w:r>
          </w:p>
          <w:p w14:paraId="595BA0B8"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Program sprječavanja nastanka otpada, specifično Mjere PSNO A11.1 i A11.2.</w:t>
            </w:r>
          </w:p>
        </w:tc>
      </w:tr>
      <w:tr w:rsidR="00134062" w:rsidRPr="00AA79C4" w14:paraId="59BE2C52" w14:textId="77777777" w:rsidTr="00134062">
        <w:trPr>
          <w:trHeight w:val="20"/>
        </w:trPr>
        <w:tc>
          <w:tcPr>
            <w:tcW w:w="0" w:type="auto"/>
            <w:shd w:val="clear" w:color="auto" w:fill="002060"/>
            <w:noWrap/>
            <w:vAlign w:val="center"/>
            <w:hideMark/>
          </w:tcPr>
          <w:p w14:paraId="2AEE3935"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16.</w:t>
            </w:r>
          </w:p>
        </w:tc>
        <w:tc>
          <w:tcPr>
            <w:tcW w:w="6778" w:type="dxa"/>
            <w:shd w:val="clear" w:color="auto" w:fill="auto"/>
            <w:vAlign w:val="center"/>
            <w:hideMark/>
          </w:tcPr>
          <w:p w14:paraId="1015765B"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 xml:space="preserve">Proporcionalne i </w:t>
            </w:r>
            <w:proofErr w:type="spellStart"/>
            <w:r w:rsidRPr="00F44FB4">
              <w:rPr>
                <w:rFonts w:ascii="Calibri" w:eastAsia="Times New Roman" w:hAnsi="Calibri" w:cs="Calibri"/>
                <w:color w:val="000000"/>
                <w:sz w:val="18"/>
                <w:szCs w:val="18"/>
                <w:lang w:eastAsia="hr-HR"/>
              </w:rPr>
              <w:t>nediskriminirajuće</w:t>
            </w:r>
            <w:proofErr w:type="spellEnd"/>
            <w:r w:rsidRPr="00F44FB4">
              <w:rPr>
                <w:rFonts w:ascii="Calibri" w:eastAsia="Times New Roman" w:hAnsi="Calibri" w:cs="Calibri"/>
                <w:color w:val="000000"/>
                <w:sz w:val="18"/>
                <w:szCs w:val="18"/>
                <w:lang w:eastAsia="hr-HR"/>
              </w:rPr>
              <w:t xml:space="preserve"> mjere za postizanje smanjenja potrošnje plastičnih proizvoda za jednokratnu uporabu, posebice proizvoda navedenih Popisom A Dodatka VI. ovoga Zakona koje mogu uključivati nacionalne ciljeve za smanjenje potrošnje, mjere kojima se osigurava da se na mjestu prodaje krajnjem potrošaču stave na raspolaganje alternative plastičnim proizvodima za jednokratnu uporabu iz Popisa A Dodatka VI. ovoga Zakona koje se mogu ponovno upotrijebiti, ekonomske instrumente poput instrumenata kojima se osigurava da se ti plastični proizvodi za jednokratnu uporabu ne daju besplatno krajnjem potrošaču na mjestu prodaje i sektorske sporazume</w:t>
            </w:r>
            <w:r w:rsidRPr="00F44FB4">
              <w:rPr>
                <w:rFonts w:ascii="Calibri" w:eastAsia="Times New Roman" w:hAnsi="Calibri" w:cs="Calibri"/>
                <w:sz w:val="18"/>
                <w:szCs w:val="18"/>
                <w:lang w:eastAsia="hr-HR"/>
              </w:rPr>
              <w:t>, tržišna ograničenja kojima se odstupa od zabrane sprječavanja stavljanja na tržište ambalaže koja ispunjava zahtjeve posebnog propisa kojim se uređuje ambalaža i otpadna ambalaža radi sprječavanja odbacivanja takvih proizvoda u okoliš kao otpada, kako bi se osiguralo da ih se zamijeni alternativama koje se mogu ponovno upotrebljavati ili ne sadržavaju plastiku, a mjere se mogu razlikovati ovisno o utjecaju koji ti plastični proizvodi za jednokratnu uporabu imaju na okoliš tijekom svojeg životnog ciklusa, među ostalim kada ih se odbaci u okoliš kao otpad</w:t>
            </w:r>
          </w:p>
        </w:tc>
        <w:tc>
          <w:tcPr>
            <w:tcW w:w="6723" w:type="dxa"/>
            <w:shd w:val="clear" w:color="auto" w:fill="auto"/>
            <w:vAlign w:val="center"/>
            <w:hideMark/>
          </w:tcPr>
          <w:p w14:paraId="226A3B35" w14:textId="77777777" w:rsidR="00134062" w:rsidRPr="00AA79C4" w:rsidRDefault="00134062" w:rsidP="00134062">
            <w:pPr>
              <w:spacing w:after="0" w:line="240" w:lineRule="auto"/>
              <w:rPr>
                <w:rFonts w:ascii="Calibri" w:eastAsia="Times New Roman" w:hAnsi="Calibri" w:cs="Calibri"/>
                <w:i/>
                <w:iCs/>
                <w:color w:val="000000"/>
                <w:sz w:val="18"/>
                <w:szCs w:val="18"/>
                <w:lang w:eastAsia="hr-HR"/>
              </w:rPr>
            </w:pPr>
            <w:r w:rsidRPr="00F44FB4">
              <w:rPr>
                <w:rFonts w:ascii="Calibri" w:eastAsia="Times New Roman" w:hAnsi="Calibri" w:cs="Calibri"/>
                <w:color w:val="000000"/>
                <w:sz w:val="18"/>
                <w:szCs w:val="18"/>
                <w:lang w:eastAsia="hr-HR"/>
              </w:rPr>
              <w:t xml:space="preserve">Poglavlje 12. Mjere za provedbu plana, </w:t>
            </w:r>
            <w:proofErr w:type="spellStart"/>
            <w:r w:rsidRPr="00F44FB4">
              <w:rPr>
                <w:rFonts w:ascii="Calibri" w:eastAsia="Times New Roman" w:hAnsi="Calibri" w:cs="Calibri"/>
                <w:i/>
                <w:iCs/>
                <w:color w:val="000000"/>
                <w:sz w:val="18"/>
                <w:szCs w:val="18"/>
                <w:lang w:eastAsia="hr-HR"/>
              </w:rPr>
              <w:t>potpoglavlje</w:t>
            </w:r>
            <w:proofErr w:type="spellEnd"/>
            <w:r w:rsidRPr="00F44FB4">
              <w:rPr>
                <w:rFonts w:ascii="Calibri" w:eastAsia="Times New Roman" w:hAnsi="Calibri" w:cs="Calibri"/>
                <w:i/>
                <w:iCs/>
                <w:color w:val="000000"/>
                <w:sz w:val="18"/>
                <w:szCs w:val="18"/>
                <w:lang w:eastAsia="hr-HR"/>
              </w:rPr>
              <w:t xml:space="preserve"> 12.2. Mjere za unaprjeđenje sustava za gospodarenje posebnim kategorijama otpada</w:t>
            </w:r>
          </w:p>
          <w:p w14:paraId="606E11EE"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Poglavlje 11. Procjena korisnosti i prikladnosti uporabe ekonomskih i drugih instrumenata u gospodarenja otpadom uz nesmetano funkcioniranje unutarnjeg tržišta</w:t>
            </w:r>
          </w:p>
          <w:p w14:paraId="79B2C1B5"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Program sprječavanja nastanka otpada, specifično mjere koje pridonose specifičnom cilju PSNO: Sprječavanje nastanka plastičnog otpada i morskog otpada</w:t>
            </w:r>
          </w:p>
        </w:tc>
      </w:tr>
      <w:tr w:rsidR="00134062" w:rsidRPr="00AA79C4" w14:paraId="08B721F7" w14:textId="77777777" w:rsidTr="00134062">
        <w:trPr>
          <w:trHeight w:val="20"/>
        </w:trPr>
        <w:tc>
          <w:tcPr>
            <w:tcW w:w="0" w:type="auto"/>
            <w:shd w:val="clear" w:color="auto" w:fill="002060"/>
            <w:noWrap/>
            <w:vAlign w:val="center"/>
            <w:hideMark/>
          </w:tcPr>
          <w:p w14:paraId="6FB73175"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17.</w:t>
            </w:r>
          </w:p>
        </w:tc>
        <w:tc>
          <w:tcPr>
            <w:tcW w:w="6778" w:type="dxa"/>
            <w:shd w:val="clear" w:color="auto" w:fill="auto"/>
            <w:vAlign w:val="center"/>
            <w:hideMark/>
          </w:tcPr>
          <w:p w14:paraId="61F15661"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Poglavlje o postupanju s ambalažom i ambalažnim otpadom, uključujući:</w:t>
            </w:r>
            <w:r w:rsidRPr="00F44FB4">
              <w:rPr>
                <w:rFonts w:ascii="Calibri" w:eastAsia="Times New Roman" w:hAnsi="Calibri" w:cs="Calibri"/>
                <w:color w:val="000000"/>
                <w:sz w:val="18"/>
                <w:szCs w:val="18"/>
                <w:lang w:eastAsia="hr-HR"/>
              </w:rPr>
              <w:br/>
              <w:t xml:space="preserve">– mjere o postizanju ciljeva u svezi ambalaže i ambalažnog otpada, posebice u svezi </w:t>
            </w:r>
            <w:r w:rsidRPr="00F44FB4">
              <w:rPr>
                <w:rFonts w:ascii="Calibri" w:eastAsia="Times New Roman" w:hAnsi="Calibri" w:cs="Calibri"/>
                <w:color w:val="000000"/>
                <w:sz w:val="18"/>
                <w:szCs w:val="18"/>
                <w:lang w:eastAsia="hr-HR"/>
              </w:rPr>
              <w:lastRenderedPageBreak/>
              <w:t>postizanja ciljeva propisanih člankom 58. ovoga Zakona, pri čemu se planom mogu odrediti ciljevi koji su viši od ciljeva propisanih člankom 58. ovoga Zakona ako će se postizanjem takvih ciljeva ostvariti visoka razina zaštite okoliša te se time ne narušava unutarnje tržište Europske unije</w:t>
            </w:r>
            <w:r w:rsidRPr="00F44FB4">
              <w:rPr>
                <w:rFonts w:ascii="Calibri" w:eastAsia="Times New Roman" w:hAnsi="Calibri" w:cs="Calibri"/>
                <w:color w:val="000000"/>
                <w:sz w:val="18"/>
                <w:szCs w:val="18"/>
                <w:lang w:eastAsia="hr-HR"/>
              </w:rPr>
              <w:br/>
              <w:t>– mjere o ponovnoj uporabi ambalaže</w:t>
            </w:r>
            <w:r w:rsidRPr="00F44FB4">
              <w:rPr>
                <w:rFonts w:ascii="Calibri" w:eastAsia="Times New Roman" w:hAnsi="Calibri" w:cs="Calibri"/>
                <w:color w:val="000000"/>
                <w:sz w:val="18"/>
                <w:szCs w:val="18"/>
                <w:lang w:eastAsia="hr-HR"/>
              </w:rPr>
              <w:br/>
              <w:t xml:space="preserve">– ciljevi i mjere smanjenja korištenja plastičnih vrećica, neovisno o debljini </w:t>
            </w:r>
            <w:proofErr w:type="spellStart"/>
            <w:r w:rsidRPr="00F44FB4">
              <w:rPr>
                <w:rFonts w:ascii="Calibri" w:eastAsia="Times New Roman" w:hAnsi="Calibri" w:cs="Calibri"/>
                <w:color w:val="000000"/>
                <w:sz w:val="18"/>
                <w:szCs w:val="18"/>
                <w:lang w:eastAsia="hr-HR"/>
              </w:rPr>
              <w:t>stijeneke</w:t>
            </w:r>
            <w:proofErr w:type="spellEnd"/>
            <w:r w:rsidRPr="00F44FB4">
              <w:rPr>
                <w:rFonts w:ascii="Calibri" w:eastAsia="Times New Roman" w:hAnsi="Calibri" w:cs="Calibri"/>
                <w:color w:val="000000"/>
                <w:sz w:val="18"/>
                <w:szCs w:val="18"/>
                <w:lang w:eastAsia="hr-HR"/>
              </w:rPr>
              <w:t xml:space="preserve"> tih vrećica</w:t>
            </w:r>
            <w:r w:rsidRPr="00F44FB4">
              <w:rPr>
                <w:rFonts w:ascii="Calibri" w:eastAsia="Times New Roman" w:hAnsi="Calibri" w:cs="Calibri"/>
                <w:color w:val="000000"/>
                <w:sz w:val="18"/>
                <w:szCs w:val="18"/>
                <w:lang w:eastAsia="hr-HR"/>
              </w:rPr>
              <w:br/>
              <w:t>– kvalitativni i kvantitativni ciljevi u svezi ambalaže i gospodarenja otpadnom ambalažom, uključujući i, po godinama, najmanje postotke povratne ambalaže koja se godišnje stavlja na tržište</w:t>
            </w:r>
          </w:p>
        </w:tc>
        <w:tc>
          <w:tcPr>
            <w:tcW w:w="6723" w:type="dxa"/>
            <w:shd w:val="clear" w:color="auto" w:fill="auto"/>
            <w:vAlign w:val="center"/>
            <w:hideMark/>
          </w:tcPr>
          <w:p w14:paraId="028BB144" w14:textId="77777777" w:rsidR="00134062" w:rsidRPr="00AA79C4" w:rsidRDefault="00134062" w:rsidP="00134062">
            <w:pPr>
              <w:spacing w:after="0" w:line="240" w:lineRule="auto"/>
              <w:rPr>
                <w:rFonts w:ascii="Calibri" w:eastAsia="Times New Roman" w:hAnsi="Calibri" w:cs="Calibri"/>
                <w:i/>
                <w:iCs/>
                <w:color w:val="000000"/>
                <w:sz w:val="18"/>
                <w:szCs w:val="18"/>
                <w:lang w:eastAsia="hr-HR"/>
              </w:rPr>
            </w:pPr>
            <w:r w:rsidRPr="00F44FB4">
              <w:rPr>
                <w:rFonts w:ascii="Calibri" w:eastAsia="Times New Roman" w:hAnsi="Calibri" w:cs="Calibri"/>
                <w:color w:val="000000"/>
                <w:sz w:val="18"/>
                <w:szCs w:val="18"/>
                <w:lang w:eastAsia="hr-HR"/>
              </w:rPr>
              <w:lastRenderedPageBreak/>
              <w:t xml:space="preserve">Poglavlje 12. Mjere za provedbu plana, </w:t>
            </w:r>
            <w:proofErr w:type="spellStart"/>
            <w:r w:rsidRPr="00F44FB4">
              <w:rPr>
                <w:rFonts w:ascii="Calibri" w:eastAsia="Times New Roman" w:hAnsi="Calibri" w:cs="Calibri"/>
                <w:i/>
                <w:iCs/>
                <w:color w:val="000000"/>
                <w:sz w:val="18"/>
                <w:szCs w:val="18"/>
                <w:lang w:eastAsia="hr-HR"/>
              </w:rPr>
              <w:t>potpoglavlje</w:t>
            </w:r>
            <w:proofErr w:type="spellEnd"/>
            <w:r w:rsidRPr="00F44FB4">
              <w:rPr>
                <w:rFonts w:ascii="Calibri" w:eastAsia="Times New Roman" w:hAnsi="Calibri" w:cs="Calibri"/>
                <w:i/>
                <w:iCs/>
                <w:color w:val="000000"/>
                <w:sz w:val="18"/>
                <w:szCs w:val="18"/>
                <w:lang w:eastAsia="hr-HR"/>
              </w:rPr>
              <w:t xml:space="preserve"> 12.2. Mjere za unaprjeđenje sustava za gospodarenje posebnim kategorijama otpada</w:t>
            </w:r>
          </w:p>
          <w:p w14:paraId="441C3201"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lastRenderedPageBreak/>
              <w:t>Program sprječavanja nastanka otpada</w:t>
            </w:r>
          </w:p>
        </w:tc>
      </w:tr>
      <w:tr w:rsidR="00134062" w:rsidRPr="00AA79C4" w14:paraId="34338AA2" w14:textId="77777777" w:rsidTr="00134062">
        <w:trPr>
          <w:trHeight w:val="20"/>
        </w:trPr>
        <w:tc>
          <w:tcPr>
            <w:tcW w:w="0" w:type="auto"/>
            <w:shd w:val="clear" w:color="auto" w:fill="002060"/>
            <w:noWrap/>
            <w:vAlign w:val="center"/>
            <w:hideMark/>
          </w:tcPr>
          <w:p w14:paraId="749EC3CA"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lastRenderedPageBreak/>
              <w:t>18.</w:t>
            </w:r>
          </w:p>
        </w:tc>
        <w:tc>
          <w:tcPr>
            <w:tcW w:w="6778" w:type="dxa"/>
            <w:shd w:val="clear" w:color="auto" w:fill="auto"/>
            <w:vAlign w:val="center"/>
            <w:hideMark/>
          </w:tcPr>
          <w:p w14:paraId="09CA0C08"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Program sprječavanja nastanka otpada, koji sadrži ciljeve, opis postojećih mjera sprječavanja nastanka otpada, njihov doprinos sprječavanju nastanka otpada, te mjere sprječavanja nastanka otpada kojima se:</w:t>
            </w:r>
            <w:r w:rsidRPr="00F44FB4">
              <w:rPr>
                <w:rFonts w:ascii="Calibri" w:eastAsia="Times New Roman" w:hAnsi="Calibri" w:cs="Calibri"/>
                <w:color w:val="000000"/>
                <w:sz w:val="18"/>
                <w:szCs w:val="18"/>
                <w:lang w:eastAsia="hr-HR"/>
              </w:rPr>
              <w:br/>
              <w:t>a) unaprjeđuju i podupiru modeli održive proizvodnje i potrošnje</w:t>
            </w:r>
            <w:r w:rsidRPr="00F44FB4">
              <w:rPr>
                <w:rFonts w:ascii="Calibri" w:eastAsia="Times New Roman" w:hAnsi="Calibri" w:cs="Calibri"/>
                <w:color w:val="000000"/>
                <w:sz w:val="18"/>
                <w:szCs w:val="18"/>
                <w:lang w:eastAsia="hr-HR"/>
              </w:rPr>
              <w:br/>
              <w:t>b) potiče dizajn, proizvodnju i uporabu proizvoda koji učinkovito koriste resurse, koji su trajni (između ostaloga u pogledu životnog vijeka proizvoda i odsustva planiranog zastarijevanja), koje se može popraviti, ponovno koristiti i nadograditi</w:t>
            </w:r>
            <w:r w:rsidRPr="00F44FB4">
              <w:rPr>
                <w:rFonts w:ascii="Calibri" w:eastAsia="Times New Roman" w:hAnsi="Calibri" w:cs="Calibri"/>
                <w:color w:val="000000"/>
                <w:sz w:val="18"/>
                <w:szCs w:val="18"/>
                <w:lang w:eastAsia="hr-HR"/>
              </w:rPr>
              <w:br/>
              <w:t>c) ciljaju proizvodi koji sadrže ključne sirovine kako bi se spriječilo da te sirovine postanu otpad</w:t>
            </w:r>
            <w:r w:rsidRPr="00F44FB4">
              <w:rPr>
                <w:rFonts w:ascii="Calibri" w:eastAsia="Times New Roman" w:hAnsi="Calibri" w:cs="Calibri"/>
                <w:color w:val="000000"/>
                <w:sz w:val="18"/>
                <w:szCs w:val="18"/>
                <w:lang w:eastAsia="hr-HR"/>
              </w:rPr>
              <w:br/>
              <w:t>d) potiče ponovna uporaba proizvoda i uspostava sustava koji promiče popravljanje i ponovnu uporabu, posebice za električnu i elektroničku opremu, tekstil, namještaj, ambalažu i građevne materijale i proizvode</w:t>
            </w:r>
            <w:r w:rsidRPr="00F44FB4">
              <w:rPr>
                <w:rFonts w:ascii="Calibri" w:eastAsia="Times New Roman" w:hAnsi="Calibri" w:cs="Calibri"/>
                <w:color w:val="000000"/>
                <w:sz w:val="18"/>
                <w:szCs w:val="18"/>
                <w:lang w:eastAsia="hr-HR"/>
              </w:rPr>
              <w:br/>
              <w:t>e) na odgovarajući način potiče, ne dovodeći u pitanje prava intelektualnog vlasništva, dostupnost rezervnih dijelova, uputa za uporabu, tehničkih informacija ili drugih instrumenata, opreme ili računalnih programa kojima se može popraviti i time ponovno uporabiti proizvod bez narušavanja kvalitete i sigurnosti</w:t>
            </w:r>
            <w:r w:rsidRPr="00F44FB4">
              <w:rPr>
                <w:rFonts w:ascii="Calibri" w:eastAsia="Times New Roman" w:hAnsi="Calibri" w:cs="Calibri"/>
                <w:color w:val="000000"/>
                <w:sz w:val="18"/>
                <w:szCs w:val="18"/>
                <w:lang w:eastAsia="hr-HR"/>
              </w:rPr>
              <w:br/>
              <w:t>f) smanjuje stvaranje otpada u procesima povezanim s industrijskom proizvodnjom, ekstrakcijom mineralnih sirovina, proizvodnjom, građenjem i rušenjem, pri čemu se uzimaju u obzir najbolje raspoložive tehnike</w:t>
            </w:r>
            <w:r w:rsidRPr="00F44FB4">
              <w:rPr>
                <w:rFonts w:ascii="Calibri" w:eastAsia="Times New Roman" w:hAnsi="Calibri" w:cs="Calibri"/>
                <w:color w:val="000000"/>
                <w:sz w:val="18"/>
                <w:szCs w:val="18"/>
                <w:lang w:eastAsia="hr-HR"/>
              </w:rPr>
              <w:br/>
              <w:t>g) potiče smanjenje sadržaja opasnih tvari u materijalima i proizvodima, ne dovodeći u pitanje usklađene pravne zahtjeve za te materijale i proizvode kako propisani na razini Europske unije.</w:t>
            </w:r>
            <w:r w:rsidRPr="00F44FB4">
              <w:rPr>
                <w:rFonts w:ascii="Calibri" w:eastAsia="Times New Roman" w:hAnsi="Calibri" w:cs="Calibri"/>
                <w:color w:val="000000"/>
                <w:sz w:val="18"/>
                <w:szCs w:val="18"/>
                <w:lang w:eastAsia="hr-HR"/>
              </w:rPr>
              <w:br/>
              <w:t>h) smanjuje nastanak otpada, posebice otpada koji nije podesan za pripremu za ponovnu uporabu ili recikliranje</w:t>
            </w:r>
            <w:r w:rsidRPr="00F44FB4">
              <w:rPr>
                <w:rFonts w:ascii="Calibri" w:eastAsia="Times New Roman" w:hAnsi="Calibri" w:cs="Calibri"/>
                <w:color w:val="000000"/>
                <w:sz w:val="18"/>
                <w:szCs w:val="18"/>
                <w:lang w:eastAsia="hr-HR"/>
              </w:rPr>
              <w:br/>
              <w:t>i) utvrđuju proizvodi koji su glavni uzročnik otpada odbačenog u okoliš, posebice u prirodu i morski okoliš, te poduzimaju odgovarajuće mjere sprječavanja i smanjivanja odbacivanja otpada od tih proizvoda u okoliš, a ako mjere uključuju ograničenja tržišta, mjere moraju biti proporcionalne i ne diskriminirajuće</w:t>
            </w:r>
            <w:r w:rsidRPr="00F44FB4">
              <w:rPr>
                <w:rFonts w:ascii="Calibri" w:eastAsia="Times New Roman" w:hAnsi="Calibri" w:cs="Calibri"/>
                <w:color w:val="000000"/>
                <w:sz w:val="18"/>
                <w:szCs w:val="18"/>
                <w:lang w:eastAsia="hr-HR"/>
              </w:rPr>
              <w:br/>
              <w:t xml:space="preserve">j) nastoji zaustaviti odbacivanje otpada u morski okoliš u svrhu doprinosa cilju održivog </w:t>
            </w:r>
            <w:r w:rsidRPr="00F44FB4">
              <w:rPr>
                <w:rFonts w:ascii="Calibri" w:eastAsia="Times New Roman" w:hAnsi="Calibri" w:cs="Calibri"/>
                <w:color w:val="000000"/>
                <w:sz w:val="18"/>
                <w:szCs w:val="18"/>
                <w:lang w:eastAsia="hr-HR"/>
              </w:rPr>
              <w:lastRenderedPageBreak/>
              <w:t>razvoja Ujedinjenih naroda radi sprječavanja i značajnog smanjenja svih vrsta onečišćenja mora</w:t>
            </w:r>
            <w:r w:rsidRPr="00F44FB4">
              <w:rPr>
                <w:rFonts w:ascii="Calibri" w:eastAsia="Times New Roman" w:hAnsi="Calibri" w:cs="Calibri"/>
                <w:color w:val="000000"/>
                <w:sz w:val="18"/>
                <w:szCs w:val="18"/>
                <w:lang w:eastAsia="hr-HR"/>
              </w:rPr>
              <w:br/>
              <w:t>k) razvijaju i podupiru informativne kampanje podizanja svijesti o sprječavanju nastanka otpada i odbacivanja otpada u okoliš</w:t>
            </w:r>
            <w:r w:rsidRPr="00F44FB4">
              <w:rPr>
                <w:rFonts w:ascii="Calibri" w:eastAsia="Times New Roman" w:hAnsi="Calibri" w:cs="Calibri"/>
                <w:color w:val="000000"/>
                <w:sz w:val="18"/>
                <w:szCs w:val="18"/>
                <w:lang w:eastAsia="hr-HR"/>
              </w:rPr>
              <w:br/>
              <w:t>l) razvijaju kvalitativni i kvantitativni pokazatelji i ciljne vrijednosti pokazatelja, posebice u svezi proizvedenih količina otpada i</w:t>
            </w:r>
            <w:r w:rsidRPr="00F44FB4">
              <w:rPr>
                <w:rFonts w:ascii="Calibri" w:eastAsia="Times New Roman" w:hAnsi="Calibri" w:cs="Calibri"/>
                <w:color w:val="000000"/>
                <w:sz w:val="18"/>
                <w:szCs w:val="18"/>
                <w:lang w:eastAsia="hr-HR"/>
              </w:rPr>
              <w:br/>
              <w:t>m) postiže smanjenje potrošnje plastičnih proizvoda za jednokratnu uporabu.</w:t>
            </w:r>
          </w:p>
        </w:tc>
        <w:tc>
          <w:tcPr>
            <w:tcW w:w="6723" w:type="dxa"/>
            <w:shd w:val="clear" w:color="auto" w:fill="auto"/>
            <w:vAlign w:val="center"/>
            <w:hideMark/>
          </w:tcPr>
          <w:p w14:paraId="273C34E6"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lastRenderedPageBreak/>
              <w:t>Poglavlje 15. Program sprječavanja nastavna otpada</w:t>
            </w:r>
          </w:p>
          <w:p w14:paraId="4BC6128D" w14:textId="77777777" w:rsidR="00134062" w:rsidRPr="00AA79C4" w:rsidRDefault="00134062" w:rsidP="00134062">
            <w:pPr>
              <w:spacing w:after="0" w:line="240" w:lineRule="auto"/>
              <w:rPr>
                <w:rFonts w:ascii="Calibri" w:eastAsia="Times New Roman" w:hAnsi="Calibri" w:cs="Calibri"/>
                <w:i/>
                <w:iCs/>
                <w:color w:val="000000"/>
                <w:sz w:val="18"/>
                <w:szCs w:val="18"/>
                <w:lang w:eastAsia="hr-HR"/>
              </w:rPr>
            </w:pPr>
            <w:r w:rsidRPr="00AA79C4">
              <w:rPr>
                <w:rFonts w:ascii="Calibri" w:eastAsia="Times New Roman" w:hAnsi="Calibri" w:cs="Calibri"/>
                <w:color w:val="000000"/>
                <w:sz w:val="18"/>
                <w:szCs w:val="18"/>
                <w:lang w:eastAsia="hr-HR"/>
              </w:rPr>
              <w:t xml:space="preserve">Poglavlje 2. Analiza stanja na području sprječavanja nastanka otpada, </w:t>
            </w:r>
            <w:proofErr w:type="spellStart"/>
            <w:r w:rsidRPr="00AA79C4">
              <w:rPr>
                <w:rFonts w:ascii="Calibri" w:eastAsia="Times New Roman" w:hAnsi="Calibri" w:cs="Calibri"/>
                <w:i/>
                <w:iCs/>
                <w:color w:val="000000"/>
                <w:sz w:val="18"/>
                <w:szCs w:val="18"/>
                <w:lang w:eastAsia="hr-HR"/>
              </w:rPr>
              <w:t>podpoglavlje</w:t>
            </w:r>
            <w:proofErr w:type="spellEnd"/>
            <w:r w:rsidRPr="00AA79C4">
              <w:rPr>
                <w:rFonts w:ascii="Calibri" w:eastAsia="Times New Roman" w:hAnsi="Calibri" w:cs="Calibri"/>
                <w:i/>
                <w:iCs/>
                <w:color w:val="000000"/>
                <w:sz w:val="18"/>
                <w:szCs w:val="18"/>
                <w:lang w:eastAsia="hr-HR"/>
              </w:rPr>
              <w:t xml:space="preserve"> 2.1. Postojeće mjere i njihov doprinos sprječavanju nastanka otpada</w:t>
            </w:r>
          </w:p>
          <w:p w14:paraId="08C29181"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Poglavlje 3. Ciljevi i prioriteti</w:t>
            </w:r>
          </w:p>
          <w:p w14:paraId="2B54B305"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 xml:space="preserve">Poglavlje 4. Mjere sprječavanja otpada (za svaku mjeru i aktivnost definirani su pokazatelji, nositelje i </w:t>
            </w:r>
            <w:proofErr w:type="spellStart"/>
            <w:r w:rsidRPr="00AA79C4">
              <w:rPr>
                <w:rFonts w:ascii="Calibri" w:eastAsia="Times New Roman" w:hAnsi="Calibri" w:cs="Calibri"/>
                <w:color w:val="000000"/>
                <w:sz w:val="18"/>
                <w:szCs w:val="18"/>
                <w:lang w:eastAsia="hr-HR"/>
              </w:rPr>
              <w:t>sunositelji</w:t>
            </w:r>
            <w:proofErr w:type="spellEnd"/>
            <w:r w:rsidRPr="00AA79C4">
              <w:rPr>
                <w:rFonts w:ascii="Calibri" w:eastAsia="Times New Roman" w:hAnsi="Calibri" w:cs="Calibri"/>
                <w:color w:val="000000"/>
                <w:sz w:val="18"/>
                <w:szCs w:val="18"/>
                <w:lang w:eastAsia="hr-HR"/>
              </w:rPr>
              <w:t xml:space="preserve"> provedbe, izvori financiranja i rokovi provedbe dok su planirani iznosi potrebni za financiranje prikazani u Poglavlju 13. Financijska sredstva za provedbu mjera Plana).</w:t>
            </w:r>
          </w:p>
          <w:p w14:paraId="6B648049"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p>
          <w:p w14:paraId="099A5693"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Mjere sprječavanja nastanka otpada prema Zakonu:</w:t>
            </w:r>
          </w:p>
          <w:p w14:paraId="00F8082B" w14:textId="77777777" w:rsidR="00134062" w:rsidRPr="00AA79C4" w:rsidRDefault="00134062" w:rsidP="00134062">
            <w:pPr>
              <w:pStyle w:val="Odlomakpopisa"/>
              <w:numPr>
                <w:ilvl w:val="0"/>
                <w:numId w:val="60"/>
              </w:numPr>
              <w:spacing w:after="0" w:line="240" w:lineRule="auto"/>
              <w:jc w:val="left"/>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Mjere a,  b), h) – sve mjere Programa sprječavanja nastanka otpada;</w:t>
            </w:r>
          </w:p>
          <w:p w14:paraId="465E0707" w14:textId="77777777" w:rsidR="00134062" w:rsidRPr="00AA79C4" w:rsidRDefault="00134062" w:rsidP="00134062">
            <w:pPr>
              <w:pStyle w:val="Odlomakpopisa"/>
              <w:numPr>
                <w:ilvl w:val="0"/>
                <w:numId w:val="60"/>
              </w:numPr>
              <w:spacing w:after="0" w:line="240" w:lineRule="auto"/>
              <w:jc w:val="left"/>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Mjera c) - e)– jedan od specifičnih ciljeva Programa je sprječavanja nastanka električkog i elektroničkog otpada za čije postizanje su definirane mjere: Mjera 6., Mjera 7., Mjera 8., Mjera 9., Mjera 10., Mjera 11.. Mjera 11. definira aktivnosti vezane za centre za ponovnu uporabu</w:t>
            </w:r>
          </w:p>
          <w:p w14:paraId="2040743C" w14:textId="77777777" w:rsidR="00134062" w:rsidRPr="00AA79C4" w:rsidRDefault="00134062" w:rsidP="00134062">
            <w:pPr>
              <w:pStyle w:val="Odlomakpopisa"/>
              <w:numPr>
                <w:ilvl w:val="0"/>
                <w:numId w:val="60"/>
              </w:numPr>
              <w:spacing w:after="0" w:line="240" w:lineRule="auto"/>
              <w:jc w:val="left"/>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Mjera f) – jedan od specifičnih ciljeva Programa je sprječavanje nastanka građevnog otpada za čije postizanje su definirane mjere: Mjera 1., Mjera 6., Mjera 7., Mjera 8., Mjera 9., Mjera 10..</w:t>
            </w:r>
          </w:p>
          <w:p w14:paraId="63B7D4D2" w14:textId="77777777" w:rsidR="00134062" w:rsidRPr="00AA79C4" w:rsidRDefault="00134062" w:rsidP="00134062">
            <w:pPr>
              <w:pStyle w:val="Odlomakpopisa"/>
              <w:numPr>
                <w:ilvl w:val="0"/>
                <w:numId w:val="60"/>
              </w:numPr>
              <w:spacing w:after="0" w:line="240" w:lineRule="auto"/>
              <w:jc w:val="left"/>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Mjera g) – Mjera 8.</w:t>
            </w:r>
          </w:p>
          <w:p w14:paraId="1E6C70E1" w14:textId="77777777" w:rsidR="00134062" w:rsidRPr="00AA79C4" w:rsidRDefault="00134062" w:rsidP="00134062">
            <w:pPr>
              <w:pStyle w:val="Odlomakpopisa"/>
              <w:numPr>
                <w:ilvl w:val="0"/>
                <w:numId w:val="60"/>
              </w:numPr>
              <w:spacing w:after="0" w:line="240" w:lineRule="auto"/>
              <w:jc w:val="left"/>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Mjera i) i Mjera j) - jedan od specifičnih ciljeva Programa je sprječavanje nastanka morskog otpada i plastičnog otpada, kao jednog od tokova usko vezanog za nastajanje morskog otpada, za čije postizanje su definirane mjere: Mjera 5, Mjera 6., Mjera 7., Mjera 8., Mjera 9., Mjera 10.</w:t>
            </w:r>
          </w:p>
          <w:p w14:paraId="4133337E" w14:textId="77777777" w:rsidR="00134062" w:rsidRPr="00AA79C4" w:rsidRDefault="00134062" w:rsidP="00134062">
            <w:pPr>
              <w:pStyle w:val="Odlomakpopisa"/>
              <w:numPr>
                <w:ilvl w:val="0"/>
                <w:numId w:val="60"/>
              </w:numPr>
              <w:spacing w:after="0" w:line="240" w:lineRule="auto"/>
              <w:jc w:val="left"/>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Mjera k) – informativne i edukativne kampanje i druge povezane aktivnosti integrirane su kao dio svih aktivnosti, a specifično: Mjera 1., Mjera 4., Mjera 5., Mjera 6., Mjera 7., Mjera 8., Mjera 9., Mjera 10., Mjera 11. Dodatno, informativne kampanje podizanja svijesti o sprječavanju nastanka otpada provodit će se i kao dio aktivnosti definiranim u Poglavlju 12. Mjere za provedbu plana</w:t>
            </w:r>
          </w:p>
          <w:p w14:paraId="644B34C0" w14:textId="77777777" w:rsidR="00134062" w:rsidRPr="00AA79C4" w:rsidRDefault="00134062" w:rsidP="00134062">
            <w:pPr>
              <w:pStyle w:val="Odlomakpopisa"/>
              <w:numPr>
                <w:ilvl w:val="0"/>
                <w:numId w:val="60"/>
              </w:numPr>
              <w:spacing w:after="0" w:line="240" w:lineRule="auto"/>
              <w:jc w:val="left"/>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lastRenderedPageBreak/>
              <w:t xml:space="preserve">Mjera l) – Mjera 3. jedan od specifičnih ciljeva Programa je sprječavanje nastanka morskog otpada i plastičnog otpada, a za koje su definirane aktivnosti sprječavanja nastanka otpada. Dodatno, definirana je zasebna </w:t>
            </w:r>
            <w:r w:rsidRPr="00AA79C4">
              <w:rPr>
                <w:rFonts w:ascii="Calibri" w:eastAsia="Times New Roman" w:hAnsi="Calibri" w:cs="Calibri"/>
                <w:i/>
                <w:iCs/>
                <w:color w:val="000000"/>
                <w:sz w:val="18"/>
                <w:szCs w:val="18"/>
                <w:lang w:eastAsia="hr-HR"/>
              </w:rPr>
              <w:t>Mjera 5. Poticanje smanjenja potrošnje plastičnih proizvoda za jednokratnu uporabu.</w:t>
            </w:r>
          </w:p>
        </w:tc>
      </w:tr>
      <w:tr w:rsidR="00134062" w:rsidRPr="00AA79C4" w14:paraId="7E10C558" w14:textId="77777777" w:rsidTr="00134062">
        <w:trPr>
          <w:trHeight w:val="20"/>
        </w:trPr>
        <w:tc>
          <w:tcPr>
            <w:tcW w:w="0" w:type="auto"/>
            <w:shd w:val="clear" w:color="auto" w:fill="002060"/>
            <w:noWrap/>
            <w:vAlign w:val="center"/>
            <w:hideMark/>
          </w:tcPr>
          <w:p w14:paraId="385A3D5F"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lastRenderedPageBreak/>
              <w:t>19.</w:t>
            </w:r>
          </w:p>
        </w:tc>
        <w:tc>
          <w:tcPr>
            <w:tcW w:w="6778" w:type="dxa"/>
            <w:shd w:val="clear" w:color="auto" w:fill="auto"/>
            <w:vAlign w:val="center"/>
          </w:tcPr>
          <w:p w14:paraId="78F13B27"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Prema potrebi, Programu sprječavanja nastanka otpada može priložiti:</w:t>
            </w:r>
          </w:p>
          <w:p w14:paraId="5977389C"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 opis doprinosa sljedećih instrumenata i mjera sprječavanja nastanka otpada</w:t>
            </w:r>
          </w:p>
          <w:p w14:paraId="4DC392CF"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a) Primjena mjera planiranja ili drugih ekonomskih instrumenata kojima se promiče učinkovita uporaba resursa</w:t>
            </w:r>
          </w:p>
          <w:p w14:paraId="62E3FCBE"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b) Promicanje istraživanja i razvoja na području postizanja čišćih tehnologija i proizvoda s manje otpada, te širenje i uporaba rezultata takvog istraživanja i razvoja</w:t>
            </w:r>
          </w:p>
          <w:p w14:paraId="5F63F44A"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c) Razvoj učinkovitih i sadržajnih pokazatelja opterećenja na okoliš povezanih s proizvodnjom otpada s u cilju doprinosa sprječavanju nastanka otpada na svim razinama, od uspoređivanja proizvoda na razini Europske unije, preko djelovanja lokalnih vlasti, do nacionalnih mjera</w:t>
            </w:r>
          </w:p>
          <w:p w14:paraId="189FB0F9"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 xml:space="preserve">d) Promicanje </w:t>
            </w:r>
            <w:proofErr w:type="spellStart"/>
            <w:r w:rsidRPr="00AA79C4">
              <w:rPr>
                <w:rFonts w:ascii="Calibri" w:eastAsia="Times New Roman" w:hAnsi="Calibri" w:cs="Calibri"/>
                <w:color w:val="000000"/>
                <w:sz w:val="18"/>
                <w:szCs w:val="18"/>
                <w:lang w:eastAsia="hr-HR"/>
              </w:rPr>
              <w:t>ekodizajna</w:t>
            </w:r>
            <w:proofErr w:type="spellEnd"/>
            <w:r w:rsidRPr="00AA79C4">
              <w:rPr>
                <w:rFonts w:ascii="Calibri" w:eastAsia="Times New Roman" w:hAnsi="Calibri" w:cs="Calibri"/>
                <w:color w:val="000000"/>
                <w:sz w:val="18"/>
                <w:szCs w:val="18"/>
                <w:lang w:eastAsia="hr-HR"/>
              </w:rPr>
              <w:t xml:space="preserve"> (sustavne integracije aspekata zaštite okoliša u dizajn proizvoda s ciljem unapređenja ponašanja proizvoda s obzirom na zaštitu okoliša u cijelom životnom vijeku proizvoda)</w:t>
            </w:r>
          </w:p>
          <w:p w14:paraId="4154FE20"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e) Pružanje informacija o tehnikama sprječavanja nastanka otpada s ciljem jednostavnije primjene najboljih dostupnih tehnika u industriji</w:t>
            </w:r>
          </w:p>
          <w:p w14:paraId="74A5D7E8"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f) Organiziranje izobrazbe nadležnih tijela u pogledu uključivanja zahtjeva za sprječavanje nastanka otpada u dozvole za gospodarenje otpadom i okolišne dozvole</w:t>
            </w:r>
          </w:p>
          <w:p w14:paraId="1958C7A9"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g) Uključivanje mjera za sprječavanje proizvodnje otpada u postrojenjima što može obuhvaćati i procjene ili planove sprječavanja nastanka otpada</w:t>
            </w:r>
          </w:p>
          <w:p w14:paraId="7DF052EA"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h) Organiziranje kampanja za podizanje svijesti ili pružanje pomoći poduzećima u pogledu financijske potpore, savjeta pri donošenju odluka i drugo</w:t>
            </w:r>
          </w:p>
          <w:p w14:paraId="07A9E7E0"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i) Sklapanje dobrovoljnih sporazuma, organiziranje foruma potrošača/proizvođača ili sektorskih pregovora kako bi se relevantni poslovni ili industrijski sektori potaknuli na izradu vlastitih planova ili ciljeva sprječavanja nastanka otpada ili zamjenu proizvoda ili njihove ambalaže koji proizvode previše otpada</w:t>
            </w:r>
          </w:p>
          <w:p w14:paraId="1C31426F"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j) Promicanje provjerenih sustava za gospodarenje okolišem, uključujući sustave EMAS i ISO 14001</w:t>
            </w:r>
          </w:p>
          <w:p w14:paraId="28CE6FCC"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k) Ekonomski instrumenti kao što su inicijative za odgovornije ponašanje potrošača prema okolišu u smislu kupnje proizvoda sa što manje ambalaže ili uvođenje obveze plaćanja ambalaže za potrošače za inače besplatni ambalažni artikl ili element</w:t>
            </w:r>
          </w:p>
          <w:p w14:paraId="12A3A5ED"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l) Organizacija kampanja podizanja svijesti i pružanje informacija usmjereno na širu javnost ili određenu kategoriju potrošača</w:t>
            </w:r>
          </w:p>
          <w:p w14:paraId="2B212D25"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proofErr w:type="spellStart"/>
            <w:r w:rsidRPr="00AA79C4">
              <w:rPr>
                <w:rFonts w:ascii="Calibri" w:eastAsia="Times New Roman" w:hAnsi="Calibri" w:cs="Calibri"/>
                <w:color w:val="000000"/>
                <w:sz w:val="18"/>
                <w:szCs w:val="18"/>
                <w:lang w:eastAsia="hr-HR"/>
              </w:rPr>
              <w:lastRenderedPageBreak/>
              <w:t>lj</w:t>
            </w:r>
            <w:proofErr w:type="spellEnd"/>
            <w:r w:rsidRPr="00AA79C4">
              <w:rPr>
                <w:rFonts w:ascii="Calibri" w:eastAsia="Times New Roman" w:hAnsi="Calibri" w:cs="Calibri"/>
                <w:color w:val="000000"/>
                <w:sz w:val="18"/>
                <w:szCs w:val="18"/>
                <w:lang w:eastAsia="hr-HR"/>
              </w:rPr>
              <w:t xml:space="preserve">) Promicanje provjerenih </w:t>
            </w:r>
            <w:proofErr w:type="spellStart"/>
            <w:r w:rsidRPr="00AA79C4">
              <w:rPr>
                <w:rFonts w:ascii="Calibri" w:eastAsia="Times New Roman" w:hAnsi="Calibri" w:cs="Calibri"/>
                <w:color w:val="000000"/>
                <w:sz w:val="18"/>
                <w:szCs w:val="18"/>
                <w:lang w:eastAsia="hr-HR"/>
              </w:rPr>
              <w:t>ekonaljepnica</w:t>
            </w:r>
            <w:proofErr w:type="spellEnd"/>
            <w:r w:rsidRPr="00AA79C4">
              <w:rPr>
                <w:rFonts w:ascii="Calibri" w:eastAsia="Times New Roman" w:hAnsi="Calibri" w:cs="Calibri"/>
                <w:color w:val="000000"/>
                <w:sz w:val="18"/>
                <w:szCs w:val="18"/>
                <w:lang w:eastAsia="hr-HR"/>
              </w:rPr>
              <w:t>.</w:t>
            </w:r>
          </w:p>
          <w:p w14:paraId="32CDB930"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m) Postizanje dogovora s industrijom, putem studija o proizvodima poput onih koji se organiziraju u okviru integriranih politika za proizvode, ili s trgovcima na malo o dostupnosti informacija o sprječavanju nastanka otpada i dostupnosti proizvoda koji u manjoj mjeri utječu na okoliš</w:t>
            </w:r>
          </w:p>
          <w:p w14:paraId="19462AA0"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n) U kontekstu javnih i korporativnih nabava, integracija kriterija zaštite okoliša i sprječavanja nastanka otpada u pozive na dostavu ponuda i ugovore</w:t>
            </w:r>
          </w:p>
          <w:p w14:paraId="33DDFAD7"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nj) Promicanje ponovne uporabe i/ili popravka odgovarajućih odbačenih proizvoda ili njihovih sastavnih dijelova, posebno putem obrazovnih, gospodarskih, logističkih i drugih mjera kao što su pružanje potpore ovlaštenim centrima i mrežama za popravak i ponovnu uporabu, posebno u gusto naseljenim područjima</w:t>
            </w:r>
          </w:p>
          <w:p w14:paraId="65ECE537"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 vrednovanje uporabljivosti sljedećih mjera poticanja primjene reda prvenstva gospodarenja otpadom:</w:t>
            </w:r>
          </w:p>
          <w:p w14:paraId="4C226A63"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a) naknade i ograničenja za odlaganje i spaljivanje otpada koji potiču sprječavanje nastanka otpada i recikliranje, zadržavajući pritom odlaganje kao najmanje poželjnu opciju gospodarenja otpadom</w:t>
            </w:r>
          </w:p>
          <w:p w14:paraId="5F583805"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b) programi »plati koliko baciš”, u okviru kojih proizvođači otpada plaćaju na osnovi stvarne količine nastalog otpada i kojima se pružaju poticaji za odvajanje na izvoru otpada koji se može reciklirati i za smanjenje miješanog otpada</w:t>
            </w:r>
          </w:p>
          <w:p w14:paraId="566A12C6"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d) programi proširene odgovornosti proizvođača za različite vrste otpada i mjere za povećanje njihove učinkovitosti, isplativosti i upravljanja</w:t>
            </w:r>
          </w:p>
          <w:p w14:paraId="3E5F128B"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e) programi povrata pologa i druge mjere za poticanje učinkovitog skupljanja rabljenih proizvoda i materijala</w:t>
            </w:r>
          </w:p>
          <w:p w14:paraId="60572574"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f) razborito planiranje ulaganja u infrastrukturu za gospodarenje otpadom, među ostalim putem fondova Unije</w:t>
            </w:r>
          </w:p>
          <w:p w14:paraId="0A44AD82"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g) održiva javna nabava za poticanje boljeg gospodarenja otpadom i uporabe recikliranih proizvoda i materijala</w:t>
            </w:r>
          </w:p>
          <w:p w14:paraId="07C109F4"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h) postupno ukidanje subvencija koje nisu u skladu s redom prvenstva gospodarenja otpadom</w:t>
            </w:r>
          </w:p>
          <w:p w14:paraId="13A79230"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i) uporaba fiskalnih mjera ili drugih sredstava za promicanje uporabe proizvoda i materijala koji su pripremljeni za ponovnu uporabu ili reciklirani</w:t>
            </w:r>
          </w:p>
          <w:p w14:paraId="1E9FE5ED"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j) potpora istraživanju i inovacijama u području ponovne proizvodnje i naprednih tehnologija recikliranja</w:t>
            </w:r>
          </w:p>
          <w:p w14:paraId="77446832"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k) uporaba najboljih raspoloživih tehnika za obradu otpada</w:t>
            </w:r>
          </w:p>
          <w:p w14:paraId="165E41B9"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l) ekonomski poticaji za regionalna i lokalna tijela, osobito za promicanje sprječavanja nastanka otpada i jačanje sustava odvojenog skupljanja otpada, uz izbjegavanje davanja potpore odlaganju na odlagališta ili spaljivanju</w:t>
            </w:r>
          </w:p>
          <w:p w14:paraId="390C1DEA"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proofErr w:type="spellStart"/>
            <w:r w:rsidRPr="00AA79C4">
              <w:rPr>
                <w:rFonts w:ascii="Calibri" w:eastAsia="Times New Roman" w:hAnsi="Calibri" w:cs="Calibri"/>
                <w:color w:val="000000"/>
                <w:sz w:val="18"/>
                <w:szCs w:val="18"/>
                <w:lang w:eastAsia="hr-HR"/>
              </w:rPr>
              <w:lastRenderedPageBreak/>
              <w:t>lj</w:t>
            </w:r>
            <w:proofErr w:type="spellEnd"/>
            <w:r w:rsidRPr="00AA79C4">
              <w:rPr>
                <w:rFonts w:ascii="Calibri" w:eastAsia="Times New Roman" w:hAnsi="Calibri" w:cs="Calibri"/>
                <w:color w:val="000000"/>
                <w:sz w:val="18"/>
                <w:szCs w:val="18"/>
                <w:lang w:eastAsia="hr-HR"/>
              </w:rPr>
              <w:t>) kampanje za podizanje osviještenosti javnosti, osobito u pogledu odvojenog skupljanja, sprječavanja nastanka otpada i smanjenja količine smeća te uvrštavanja tih problema u obrazovanje i osposobljavanje</w:t>
            </w:r>
          </w:p>
          <w:p w14:paraId="20E46D55"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m) sustavi za koordinaciju, među ostalim digitalnim sredstvima, među svim nadležnim javnim tijelima uključenima u gospodarenje otpadom i</w:t>
            </w:r>
          </w:p>
          <w:p w14:paraId="764308C1"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n) promicanje stalnog dijaloga i suradnje među svim dionicima u gospodarenju otpadom te poticanje dobrovoljnih sporazuma i izvješćivanja poduzeća o otpadu.</w:t>
            </w:r>
          </w:p>
        </w:tc>
        <w:tc>
          <w:tcPr>
            <w:tcW w:w="6723" w:type="dxa"/>
            <w:shd w:val="clear" w:color="auto" w:fill="auto"/>
            <w:vAlign w:val="center"/>
            <w:hideMark/>
          </w:tcPr>
          <w:p w14:paraId="04B3BAC5"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lastRenderedPageBreak/>
              <w:t xml:space="preserve">Za opis doprinosa instrumenata i mjera sprječavanja nastanka otpada navedenih pod a) do n) stavka 19. Dodatka IV pogledati tablicu </w:t>
            </w:r>
            <w:r w:rsidRPr="00AA79C4">
              <w:rPr>
                <w:rFonts w:ascii="Calibri" w:eastAsia="Times New Roman" w:hAnsi="Calibri" w:cs="Calibri"/>
                <w:i/>
                <w:iCs/>
                <w:color w:val="000000"/>
                <w:sz w:val="18"/>
                <w:szCs w:val="18"/>
                <w:lang w:eastAsia="hr-HR"/>
              </w:rPr>
              <w:t>Pregled mjera sprječavanja nastanka otpada i poveznica s specifičnim ciljevima</w:t>
            </w:r>
            <w:r w:rsidRPr="00AA79C4">
              <w:rPr>
                <w:rFonts w:ascii="Calibri" w:eastAsia="Times New Roman" w:hAnsi="Calibri" w:cs="Calibri"/>
                <w:color w:val="000000"/>
                <w:sz w:val="18"/>
                <w:szCs w:val="18"/>
                <w:lang w:eastAsia="hr-HR"/>
              </w:rPr>
              <w:t xml:space="preserve"> u Poglavlju 4. Mjere sprječavanja nastanka otpada</w:t>
            </w:r>
          </w:p>
        </w:tc>
      </w:tr>
      <w:tr w:rsidR="00134062" w:rsidRPr="00AA79C4" w14:paraId="709E69F6" w14:textId="77777777" w:rsidTr="00134062">
        <w:trPr>
          <w:trHeight w:val="20"/>
        </w:trPr>
        <w:tc>
          <w:tcPr>
            <w:tcW w:w="0" w:type="auto"/>
            <w:shd w:val="clear" w:color="auto" w:fill="002060"/>
            <w:noWrap/>
            <w:vAlign w:val="center"/>
          </w:tcPr>
          <w:p w14:paraId="646FC07F" w14:textId="77777777" w:rsidR="00134062" w:rsidRPr="00AA79C4" w:rsidRDefault="00134062" w:rsidP="00134062">
            <w:pPr>
              <w:spacing w:after="0" w:line="240" w:lineRule="auto"/>
              <w:rPr>
                <w:rFonts w:ascii="Calibri" w:eastAsia="Times New Roman" w:hAnsi="Calibri" w:cs="Calibri"/>
                <w:b/>
                <w:bCs/>
                <w:color w:val="FFFFFF" w:themeColor="background1"/>
                <w:sz w:val="18"/>
                <w:szCs w:val="18"/>
                <w:lang w:eastAsia="hr-HR"/>
              </w:rPr>
            </w:pPr>
            <w:r w:rsidRPr="00AA79C4">
              <w:rPr>
                <w:rFonts w:ascii="Calibri" w:eastAsia="Times New Roman" w:hAnsi="Calibri" w:cs="Calibri"/>
                <w:b/>
                <w:bCs/>
                <w:color w:val="FFFFFF" w:themeColor="background1"/>
                <w:sz w:val="18"/>
                <w:szCs w:val="18"/>
                <w:lang w:eastAsia="hr-HR"/>
              </w:rPr>
              <w:lastRenderedPageBreak/>
              <w:t>20.</w:t>
            </w:r>
          </w:p>
        </w:tc>
        <w:tc>
          <w:tcPr>
            <w:tcW w:w="6778" w:type="dxa"/>
            <w:shd w:val="clear" w:color="auto" w:fill="auto"/>
            <w:vAlign w:val="center"/>
          </w:tcPr>
          <w:p w14:paraId="2E38A7F9"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Ciljevi, mjere (politike), pokazatelji postizanja cilja, aktivnosti te njihove nositelje, rokove provedbe te planirane iznose i izvore financiranja i</w:t>
            </w:r>
          </w:p>
        </w:tc>
        <w:tc>
          <w:tcPr>
            <w:tcW w:w="6723" w:type="dxa"/>
            <w:shd w:val="clear" w:color="auto" w:fill="auto"/>
            <w:vAlign w:val="center"/>
          </w:tcPr>
          <w:p w14:paraId="4E90BB25"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Poglavlje 4. Ciljevi gospodarenja otpadom</w:t>
            </w:r>
          </w:p>
          <w:p w14:paraId="2168636B"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Poglavlje 12. Mjere za provedbu plana</w:t>
            </w:r>
          </w:p>
          <w:p w14:paraId="3CBAC5B4"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Poglavlje 13. Financijska sredstva za provedbu mjera Plana</w:t>
            </w:r>
          </w:p>
          <w:p w14:paraId="643F6F51"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Program sprječavanja nastanka otpada</w:t>
            </w:r>
          </w:p>
        </w:tc>
      </w:tr>
      <w:tr w:rsidR="00134062" w:rsidRPr="00AA79C4" w14:paraId="1E262BAC" w14:textId="77777777" w:rsidTr="00134062">
        <w:trPr>
          <w:trHeight w:val="20"/>
        </w:trPr>
        <w:tc>
          <w:tcPr>
            <w:tcW w:w="0" w:type="auto"/>
            <w:shd w:val="clear" w:color="auto" w:fill="002060"/>
            <w:noWrap/>
            <w:vAlign w:val="center"/>
            <w:hideMark/>
          </w:tcPr>
          <w:p w14:paraId="08540605"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2</w:t>
            </w:r>
            <w:r w:rsidRPr="00AA79C4">
              <w:rPr>
                <w:rFonts w:ascii="Calibri" w:eastAsia="Times New Roman" w:hAnsi="Calibri" w:cs="Calibri"/>
                <w:b/>
                <w:bCs/>
                <w:color w:val="FFFFFF" w:themeColor="background1"/>
                <w:sz w:val="18"/>
                <w:szCs w:val="18"/>
                <w:lang w:eastAsia="hr-HR"/>
              </w:rPr>
              <w:t>1</w:t>
            </w:r>
            <w:r w:rsidRPr="00F44FB4">
              <w:rPr>
                <w:rFonts w:ascii="Calibri" w:eastAsia="Times New Roman" w:hAnsi="Calibri" w:cs="Calibri"/>
                <w:b/>
                <w:bCs/>
                <w:color w:val="FFFFFF" w:themeColor="background1"/>
                <w:sz w:val="18"/>
                <w:szCs w:val="18"/>
                <w:lang w:eastAsia="hr-HR"/>
              </w:rPr>
              <w:t>.</w:t>
            </w:r>
          </w:p>
        </w:tc>
        <w:tc>
          <w:tcPr>
            <w:tcW w:w="6778" w:type="dxa"/>
            <w:shd w:val="clear" w:color="auto" w:fill="auto"/>
            <w:vAlign w:val="center"/>
            <w:hideMark/>
          </w:tcPr>
          <w:p w14:paraId="1A77A6D7"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Popis centara za gospodarenje otpadom s pridruženim jedinicama lokalne samouprave</w:t>
            </w:r>
          </w:p>
        </w:tc>
        <w:tc>
          <w:tcPr>
            <w:tcW w:w="6723" w:type="dxa"/>
            <w:shd w:val="clear" w:color="auto" w:fill="auto"/>
            <w:vAlign w:val="center"/>
            <w:hideMark/>
          </w:tcPr>
          <w:p w14:paraId="7B484258"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Poglavlje 2. Stanje gospodarenja otpadom u RH,</w:t>
            </w:r>
            <w:r w:rsidRPr="00F44FB4">
              <w:rPr>
                <w:rFonts w:ascii="Calibri" w:eastAsia="Times New Roman" w:hAnsi="Calibri" w:cs="Calibri"/>
                <w:i/>
                <w:iCs/>
                <w:color w:val="000000"/>
                <w:sz w:val="18"/>
                <w:szCs w:val="18"/>
                <w:lang w:eastAsia="hr-HR"/>
              </w:rPr>
              <w:t xml:space="preserve"> </w:t>
            </w:r>
            <w:proofErr w:type="spellStart"/>
            <w:r w:rsidRPr="00F44FB4">
              <w:rPr>
                <w:rFonts w:ascii="Calibri" w:eastAsia="Times New Roman" w:hAnsi="Calibri" w:cs="Calibri"/>
                <w:i/>
                <w:iCs/>
                <w:color w:val="000000"/>
                <w:sz w:val="18"/>
                <w:szCs w:val="18"/>
                <w:lang w:eastAsia="hr-HR"/>
              </w:rPr>
              <w:t>potpoglavlje</w:t>
            </w:r>
            <w:proofErr w:type="spellEnd"/>
            <w:r w:rsidRPr="00F44FB4">
              <w:rPr>
                <w:rFonts w:ascii="Calibri" w:eastAsia="Times New Roman" w:hAnsi="Calibri" w:cs="Calibri"/>
                <w:i/>
                <w:iCs/>
                <w:color w:val="000000"/>
                <w:sz w:val="18"/>
                <w:szCs w:val="18"/>
                <w:lang w:eastAsia="hr-HR"/>
              </w:rPr>
              <w:t xml:space="preserve"> 2.4. Postojeće građevine, uređaji i sustavi za gospodarenje otpadom(točka 2.4.1.5. Centri za gospodarenje otpadom)</w:t>
            </w:r>
          </w:p>
        </w:tc>
      </w:tr>
    </w:tbl>
    <w:p w14:paraId="183623A8" w14:textId="02132985" w:rsidR="00134062" w:rsidRPr="00835847" w:rsidRDefault="00134062" w:rsidP="00134062"/>
    <w:sectPr w:rsidR="00134062" w:rsidRPr="00835847" w:rsidSect="00206CA9">
      <w:pgSz w:w="16840" w:h="11907" w:orient="landscape"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onja Polonijo" w:date="2023-02-28T08:01:00Z" w:initials="SP">
    <w:p w14:paraId="22867837" w14:textId="77777777" w:rsidR="00A065B7" w:rsidRDefault="00A065B7" w:rsidP="00287EAB">
      <w:pPr>
        <w:pStyle w:val="Tekstkomentara"/>
        <w:jc w:val="left"/>
      </w:pPr>
      <w:r>
        <w:rPr>
          <w:rStyle w:val="Referencakomentara"/>
        </w:rPr>
        <w:annotationRef/>
      </w:r>
      <w:r>
        <w:t>U dostupnom materijalu Prijedloga PGO slike nisu vidljive.</w:t>
      </w:r>
    </w:p>
  </w:comment>
  <w:comment w:id="34" w:author="Sonja Polonijo" w:date="2023-02-28T10:32:00Z" w:initials="SP">
    <w:p w14:paraId="65457C4C" w14:textId="77777777" w:rsidR="00E86259" w:rsidRDefault="00E86259" w:rsidP="001511D9">
      <w:pPr>
        <w:pStyle w:val="Tekstkomentara"/>
        <w:jc w:val="left"/>
      </w:pPr>
      <w:r>
        <w:rPr>
          <w:rStyle w:val="Referencakomentara"/>
        </w:rPr>
        <w:annotationRef/>
      </w:r>
      <w:r>
        <w:t>Podatak koji iznenađuje. Nije li ostatak od sortiranja nešto što faktički završi na deponijama?</w:t>
      </w:r>
    </w:p>
  </w:comment>
  <w:comment w:id="36" w:author="Sonja Polonijo" w:date="2023-02-28T10:35:00Z" w:initials="SP">
    <w:p w14:paraId="0E20B168" w14:textId="77777777" w:rsidR="00E86259" w:rsidRDefault="00E86259" w:rsidP="00B92D4D">
      <w:pPr>
        <w:pStyle w:val="Tekstkomentara"/>
        <w:jc w:val="left"/>
      </w:pPr>
      <w:r>
        <w:rPr>
          <w:rStyle w:val="Referencakomentara"/>
        </w:rPr>
        <w:annotationRef/>
      </w:r>
      <w:r>
        <w:t xml:space="preserve">Nažalost, ova zakonska definicija dovela je do nesrazmjernog opterećenja JLS u izračunu poticajne naknade u javnoj usluzi, tako da se uzimaju u omjer korisne frakcije samo iz kućanstava i miješani komunalni otpad iz kućanstava i nekućanstava, što onemogućuje postizanje visokih stopa odvojenog sakupljanja i umjetno povećava iznose poticajne naknade po JLS. </w:t>
      </w:r>
    </w:p>
  </w:comment>
  <w:comment w:id="41" w:author="Sonja Polonijo" w:date="2023-02-28T10:37:00Z" w:initials="SP">
    <w:p w14:paraId="7C9D933C" w14:textId="77777777" w:rsidR="00B74915" w:rsidRDefault="00B74915" w:rsidP="005E084E">
      <w:pPr>
        <w:pStyle w:val="Tekstkomentara"/>
        <w:jc w:val="left"/>
      </w:pPr>
      <w:r>
        <w:rPr>
          <w:rStyle w:val="Referencakomentara"/>
        </w:rPr>
        <w:annotationRef/>
      </w:r>
      <w:r>
        <w:t>Također se ne priznaje u izračunu poticajne naknade.</w:t>
      </w:r>
    </w:p>
  </w:comment>
  <w:comment w:id="44" w:author="Sonja Polonijo" w:date="2023-02-28T10:40:00Z" w:initials="SP">
    <w:p w14:paraId="4B72EB57" w14:textId="77777777" w:rsidR="00B74915" w:rsidRDefault="00B74915" w:rsidP="00573439">
      <w:pPr>
        <w:pStyle w:val="Tekstkomentara"/>
        <w:jc w:val="left"/>
      </w:pPr>
      <w:r>
        <w:rPr>
          <w:rStyle w:val="Referencakomentara"/>
        </w:rPr>
        <w:annotationRef/>
      </w:r>
      <w:r>
        <w:t>I ovo ukazuje na nesrazmjerno opterećenje JLS poticajnom naknadom - u osnovi se sav otpad skupi na području pojedine JLS, a njima se to ne priznaje (ide u korist države).</w:t>
      </w:r>
    </w:p>
  </w:comment>
  <w:comment w:id="48" w:author="Sonja Polonijo" w:date="2023-02-28T10:42:00Z" w:initials="SP">
    <w:p w14:paraId="213E273A" w14:textId="77777777" w:rsidR="00B74915" w:rsidRDefault="00B74915" w:rsidP="00BE3B01">
      <w:pPr>
        <w:pStyle w:val="Tekstkomentara"/>
        <w:jc w:val="left"/>
      </w:pPr>
      <w:r>
        <w:rPr>
          <w:rStyle w:val="Referencakomentara"/>
        </w:rPr>
        <w:annotationRef/>
      </w:r>
      <w:r>
        <w:t>Sastav MKO nije jednak u različitim sredinama (turistička obala, poljoprivredni krajevi, veliki gradovi). Prosjek bi trebalo posebno računati prema karakteristikama regija/županija. Ovakav zbirni podatak je dvojbene praktične vrijednosti.</w:t>
      </w:r>
    </w:p>
  </w:comment>
  <w:comment w:id="57" w:author="Sonja Polonijo" w:date="2023-02-28T10:45:00Z" w:initials="SP">
    <w:p w14:paraId="2699B911" w14:textId="77777777" w:rsidR="0050478A" w:rsidRDefault="00B74915" w:rsidP="00953906">
      <w:pPr>
        <w:pStyle w:val="Tekstkomentara"/>
        <w:jc w:val="left"/>
      </w:pPr>
      <w:r>
        <w:rPr>
          <w:rStyle w:val="Referencakomentara"/>
        </w:rPr>
        <w:annotationRef/>
      </w:r>
      <w:r w:rsidR="0050478A">
        <w:t>Ukoliko Kaštijun i Marišćina pomažu državi u ostvarenju cilja manjeg odlaganja biootpada, ovo bi trebalo vrednovati i JLS-ovima koje na centre odvoze MKO u čijem je sastavu biootpad (i plaćaju obradu daleko skuplje nego što košta deponiranje).</w:t>
      </w:r>
    </w:p>
  </w:comment>
  <w:comment w:id="64" w:author="Sonja Polonijo" w:date="2023-02-28T10:52:00Z" w:initials="SP">
    <w:p w14:paraId="623F6733" w14:textId="1C791321" w:rsidR="006D72C3" w:rsidRDefault="006D72C3" w:rsidP="00186FA1">
      <w:pPr>
        <w:pStyle w:val="Tekstkomentara"/>
        <w:jc w:val="left"/>
      </w:pPr>
      <w:r>
        <w:rPr>
          <w:rStyle w:val="Referencakomentara"/>
        </w:rPr>
        <w:annotationRef/>
      </w:r>
      <w:r>
        <w:t>Zašto se kuhinjski otpad iz ugostiteljstva ne bi mogao kompostirati na komunalnim kompostanama i uračunavati u odvojeno sakupljeni biootpad u okviru javne usluge, ukoliko ga davatelji javne usluge sakupljaju? Ugostitelji su ga sada dužni predavati ovlaštenim sakupljačima koji im naplaćuju ekonomsku cijenu, višestruko veću od varijabilnog dijela cijene javne usluge. Iz tih razloga ugostitelji su više motivirani miješati kuhinjski otpad u miješani komunalni otpad, nego ga odvajati i legalno zbrinjavati. Dapače, komunalni redari nad ugostiteljima po ZGO nemaju ovlasti u ovom dijelu.</w:t>
      </w:r>
    </w:p>
  </w:comment>
  <w:comment w:id="71" w:author="Sonja Polonijo" w:date="2023-02-28T10:55:00Z" w:initials="SP">
    <w:p w14:paraId="07D7DCE7" w14:textId="77777777" w:rsidR="006D72C3" w:rsidRDefault="006D72C3" w:rsidP="00DA4D84">
      <w:pPr>
        <w:pStyle w:val="Tekstkomentara"/>
        <w:jc w:val="left"/>
      </w:pPr>
      <w:r>
        <w:rPr>
          <w:rStyle w:val="Referencakomentara"/>
        </w:rPr>
        <w:annotationRef/>
      </w:r>
      <w:r>
        <w:t>Energetska oporaba mulja unutar Republike Hrvatske?</w:t>
      </w:r>
    </w:p>
  </w:comment>
  <w:comment w:id="94" w:author="Sonja Polonijo" w:date="2023-02-28T11:16:00Z" w:initials="SP">
    <w:p w14:paraId="726E3C39" w14:textId="77777777" w:rsidR="00A7487C" w:rsidRDefault="00A7487C" w:rsidP="000E46A9">
      <w:pPr>
        <w:pStyle w:val="Tekstkomentara"/>
        <w:jc w:val="left"/>
      </w:pPr>
      <w:r>
        <w:rPr>
          <w:rStyle w:val="Referencakomentara"/>
        </w:rPr>
        <w:annotationRef/>
      </w:r>
      <w:r>
        <w:t>Ukoliko proizvođači plaćaju manje naknade, a sakupljači dobivaju veće naknade, tko plaća razliku?</w:t>
      </w:r>
    </w:p>
  </w:comment>
  <w:comment w:id="108" w:author="Sonja Polonijo" w:date="2023-02-28T11:19:00Z" w:initials="SP">
    <w:p w14:paraId="68008FD1" w14:textId="77777777" w:rsidR="005012B9" w:rsidRDefault="005012B9" w:rsidP="002F5AA9">
      <w:pPr>
        <w:pStyle w:val="Tekstkomentara"/>
        <w:jc w:val="left"/>
      </w:pPr>
      <w:r>
        <w:rPr>
          <w:rStyle w:val="Referencakomentara"/>
        </w:rPr>
        <w:annotationRef/>
      </w:r>
      <w:r>
        <w:t>Treba redefinirati ovlasti komunalnih redara u ZGO (čl.136.st.5.).</w:t>
      </w:r>
    </w:p>
  </w:comment>
  <w:comment w:id="111" w:author="Sonja Polonijo" w:date="2023-02-28T11:22:00Z" w:initials="SP">
    <w:p w14:paraId="1249AB22" w14:textId="77777777" w:rsidR="005012B9" w:rsidRDefault="005012B9" w:rsidP="00015DA8">
      <w:pPr>
        <w:pStyle w:val="Tekstkomentara"/>
        <w:jc w:val="left"/>
      </w:pPr>
      <w:r>
        <w:rPr>
          <w:rStyle w:val="Referencakomentara"/>
        </w:rPr>
        <w:annotationRef/>
      </w:r>
      <w:r>
        <w:t>Treba uspostaviti sustav nadzora gradilišta na lokalnom nivou (ovlasti komunalnih redara prilagoditi tome), jer lokalno - azbestni krovovi najčešće završe na divljim deponijama.</w:t>
      </w:r>
    </w:p>
  </w:comment>
  <w:comment w:id="128" w:author="Sonja Polonijo" w:date="2023-02-28T11:27:00Z" w:initials="SP">
    <w:p w14:paraId="2B8D36A3" w14:textId="77777777" w:rsidR="0069713A" w:rsidRDefault="00877A18" w:rsidP="001D5A56">
      <w:pPr>
        <w:pStyle w:val="Tekstkomentara"/>
        <w:jc w:val="left"/>
      </w:pPr>
      <w:r>
        <w:rPr>
          <w:rStyle w:val="Referencakomentara"/>
        </w:rPr>
        <w:annotationRef/>
      </w:r>
      <w:r w:rsidR="0069713A">
        <w:t>U suradnji s lokalnim i regionalnim subjektima treba uspostaviti ekonomski održivi sustav (win - win za sve njegove sastavnice) u kojem bi domaći otpad (tretirano drvo i sl.) zamijenio uvozni. Nađimo način i za rješavanje kvalitete goriva iz otpada s naših centara.</w:t>
      </w:r>
    </w:p>
  </w:comment>
  <w:comment w:id="140" w:author="Sonja Polonijo" w:date="2023-02-28T11:33:00Z" w:initials="SP">
    <w:p w14:paraId="2D902145" w14:textId="77777777" w:rsidR="0069713A" w:rsidRDefault="0069713A" w:rsidP="00D46DF8">
      <w:pPr>
        <w:pStyle w:val="Tekstkomentara"/>
        <w:jc w:val="left"/>
      </w:pPr>
      <w:r>
        <w:rPr>
          <w:rStyle w:val="Referencakomentara"/>
        </w:rPr>
        <w:annotationRef/>
      </w:r>
      <w:r>
        <w:t>Ovo samo po sebi neće riješiti problem. Turistička sezona je razdoblje vrlo intenzivnog rada u kojem građani i gospodarstvenici o otpadu razmišljaju samo rubno, dok ga ne izbace van iz svojih objekata. Onda očekuju da ga davatelj javne usluge sakupi u roku odmah, jer inače generira komunalni nered. Bez povećanih ovlasti komunalnog redarstva (represija u funkciji edukacije i prevencije) broj reciklažnih dvorišta nije od presudnog značaja.</w:t>
      </w:r>
    </w:p>
  </w:comment>
  <w:comment w:id="147" w:author="Sonja Polonijo" w:date="2023-02-28T11:35:00Z" w:initials="SP">
    <w:p w14:paraId="592D83DD" w14:textId="77777777" w:rsidR="0069713A" w:rsidRDefault="0069713A" w:rsidP="001A128F">
      <w:pPr>
        <w:pStyle w:val="Tekstkomentara"/>
        <w:jc w:val="left"/>
      </w:pPr>
      <w:r>
        <w:rPr>
          <w:rStyle w:val="Referencakomentara"/>
        </w:rPr>
        <w:annotationRef/>
      </w:r>
      <w:r>
        <w:t>Bez postrojenja za obradu biootpada na primjerenoj (ne prevelikoj) udaljenosti, njegovo odvojeno sakupljanje nema smisla.</w:t>
      </w:r>
    </w:p>
  </w:comment>
  <w:comment w:id="185" w:author="Sonja Polonijo" w:date="2023-02-28T11:41:00Z" w:initials="SP">
    <w:p w14:paraId="37D56476" w14:textId="77777777" w:rsidR="00834842" w:rsidRDefault="00834842" w:rsidP="00757CE7">
      <w:pPr>
        <w:pStyle w:val="Tekstkomentara"/>
        <w:jc w:val="left"/>
      </w:pPr>
      <w:r>
        <w:rPr>
          <w:rStyle w:val="Referencakomentara"/>
        </w:rPr>
        <w:annotationRef/>
      </w:r>
      <w:r>
        <w:t>Bez postrojenja za odvajanje (mreža sortirnica na primjerenoj udaljenosti) ovo neće biti dovoljno.</w:t>
      </w:r>
    </w:p>
  </w:comment>
  <w:comment w:id="206" w:author="Sonja Polonijo" w:date="2023-02-28T12:19:00Z" w:initials="SP">
    <w:p w14:paraId="63D33534" w14:textId="77777777" w:rsidR="00A93459" w:rsidRDefault="00A93459" w:rsidP="00453CDF">
      <w:pPr>
        <w:pStyle w:val="Tekstkomentara"/>
        <w:jc w:val="left"/>
      </w:pPr>
      <w:r>
        <w:rPr>
          <w:rStyle w:val="Referencakomentara"/>
        </w:rPr>
        <w:annotationRef/>
      </w:r>
      <w:r>
        <w:t>Hoće li se iz MKO i na lokalnom nivou (davatelj javne usluge) dodatno izdvajati korisne frakcije sadržane u njemu? Smije li se MKO sortirati? Iz ovoga se može tako zaključiti.</w:t>
      </w:r>
    </w:p>
  </w:comment>
  <w:comment w:id="240" w:author="Sonja Polonijo" w:date="2023-02-28T12:36:00Z" w:initials="SP">
    <w:p w14:paraId="5E4D7ED4" w14:textId="77777777" w:rsidR="0010715D" w:rsidRDefault="0010715D" w:rsidP="0077326C">
      <w:pPr>
        <w:pStyle w:val="Tekstkomentara"/>
        <w:jc w:val="left"/>
      </w:pPr>
      <w:r>
        <w:rPr>
          <w:rStyle w:val="Referencakomentara"/>
        </w:rPr>
        <w:annotationRef/>
      </w:r>
      <w:r>
        <w:t>Ovaj dio treba doraditi?</w:t>
      </w:r>
    </w:p>
  </w:comment>
  <w:comment w:id="309" w:author="Sonja Polonijo" w:date="2023-02-28T12:45:00Z" w:initials="SP">
    <w:p w14:paraId="5EB5941A" w14:textId="77777777" w:rsidR="00CC17B3" w:rsidRDefault="00CC17B3" w:rsidP="00B647F3">
      <w:pPr>
        <w:pStyle w:val="Tekstkomentara"/>
        <w:jc w:val="left"/>
      </w:pPr>
      <w:r>
        <w:rPr>
          <w:rStyle w:val="Referencakomentara"/>
        </w:rPr>
        <w:annotationRef/>
      </w:r>
      <w:r>
        <w:t>Treba promijeniti obuhvat količina (kućanstva - nekućanstva) ili izmijeniti koeficijent u formuli (povećati ga) da se postigne pravedan i srazmjeran nivo opterećenja JLS.</w:t>
      </w:r>
    </w:p>
  </w:comment>
  <w:comment w:id="326" w:author="Sonja Polonijo" w:date="2023-02-28T12:49:00Z" w:initials="SP">
    <w:p w14:paraId="16F76ECE" w14:textId="77777777" w:rsidR="00542D46" w:rsidRDefault="00542D46" w:rsidP="00F517C2">
      <w:pPr>
        <w:pStyle w:val="Tekstkomentara"/>
        <w:jc w:val="left"/>
      </w:pPr>
      <w:r>
        <w:rPr>
          <w:rStyle w:val="Referencakomentara"/>
        </w:rPr>
        <w:annotationRef/>
      </w:r>
      <w:r>
        <w:t>Isti problem ima i obala. Poseban problem predstavljaju kuće s apartmanima za iznajmljivanje čiji vlasnici nisu dostupni i lokalni nivo ne može uopće doći do njih, a još manje ih educirati.</w:t>
      </w:r>
    </w:p>
  </w:comment>
  <w:comment w:id="334" w:author="Sonja Polonijo" w:date="2023-02-28T12:51:00Z" w:initials="SP">
    <w:p w14:paraId="33E2F0FF" w14:textId="77777777" w:rsidR="00542D46" w:rsidRDefault="00542D46" w:rsidP="00F03912">
      <w:pPr>
        <w:pStyle w:val="Tekstkomentara"/>
        <w:jc w:val="left"/>
      </w:pPr>
      <w:r>
        <w:rPr>
          <w:rStyle w:val="Referencakomentara"/>
        </w:rPr>
        <w:annotationRef/>
      </w:r>
      <w:r>
        <w:t>Ovlasti komunalnih redara?</w:t>
      </w:r>
    </w:p>
  </w:comment>
  <w:comment w:id="345" w:author="Sonja Polonijo" w:date="2023-02-28T12:55:00Z" w:initials="SP">
    <w:p w14:paraId="4D4EED69" w14:textId="77777777" w:rsidR="00542D46" w:rsidRDefault="00542D46" w:rsidP="006D5F09">
      <w:pPr>
        <w:pStyle w:val="Tekstkomentara"/>
        <w:jc w:val="left"/>
      </w:pPr>
      <w:r>
        <w:rPr>
          <w:rStyle w:val="Referencakomentara"/>
        </w:rPr>
        <w:annotationRef/>
      </w:r>
      <w:r>
        <w:t>Ove edukacije ne smiju biti zasnovane samo na teorijskim osnovama, nego osmišljene kao radionice za komunalne redare na kojima će timski detaljno rješavati stvarne probleme iz života.</w:t>
      </w:r>
    </w:p>
  </w:comment>
  <w:comment w:id="359" w:author="Sonja Polonijo" w:date="2023-02-28T13:00:00Z" w:initials="SP">
    <w:p w14:paraId="35834BA0" w14:textId="77777777" w:rsidR="000D2B45" w:rsidRDefault="000D2B45" w:rsidP="007931ED">
      <w:pPr>
        <w:pStyle w:val="Tekstkomentara"/>
        <w:jc w:val="left"/>
      </w:pPr>
      <w:r>
        <w:rPr>
          <w:rStyle w:val="Referencakomentara"/>
        </w:rPr>
        <w:annotationRef/>
      </w:r>
      <w:r>
        <w:t>Često se podcjenjuje, a lakše je intervenirati (i postići rezultate) u to, nego u promjenu ponašanja potrošača (pogotovo ukoliko se radi o siromašnom društvu u kojem cijena igra najvažniju ulogu).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867837" w15:done="0"/>
  <w15:commentEx w15:paraId="65457C4C" w15:done="0"/>
  <w15:commentEx w15:paraId="0E20B168" w15:done="0"/>
  <w15:commentEx w15:paraId="7C9D933C" w15:done="0"/>
  <w15:commentEx w15:paraId="4B72EB57" w15:done="0"/>
  <w15:commentEx w15:paraId="213E273A" w15:done="0"/>
  <w15:commentEx w15:paraId="2699B911" w15:done="0"/>
  <w15:commentEx w15:paraId="623F6733" w15:done="0"/>
  <w15:commentEx w15:paraId="07D7DCE7" w15:done="0"/>
  <w15:commentEx w15:paraId="726E3C39" w15:done="0"/>
  <w15:commentEx w15:paraId="68008FD1" w15:done="0"/>
  <w15:commentEx w15:paraId="1249AB22" w15:done="0"/>
  <w15:commentEx w15:paraId="2B8D36A3" w15:done="0"/>
  <w15:commentEx w15:paraId="2D902145" w15:done="0"/>
  <w15:commentEx w15:paraId="592D83DD" w15:done="0"/>
  <w15:commentEx w15:paraId="37D56476" w15:done="0"/>
  <w15:commentEx w15:paraId="63D33534" w15:done="0"/>
  <w15:commentEx w15:paraId="5E4D7ED4" w15:done="0"/>
  <w15:commentEx w15:paraId="5EB5941A" w15:done="0"/>
  <w15:commentEx w15:paraId="16F76ECE" w15:done="0"/>
  <w15:commentEx w15:paraId="33E2F0FF" w15:done="0"/>
  <w15:commentEx w15:paraId="4D4EED69" w15:done="0"/>
  <w15:commentEx w15:paraId="35834B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8334A" w16cex:dateUtc="2023-02-28T07:01:00Z"/>
  <w16cex:commentExtensible w16cex:durableId="27A856BE" w16cex:dateUtc="2023-02-28T09:32:00Z"/>
  <w16cex:commentExtensible w16cex:durableId="27A8577E" w16cex:dateUtc="2023-02-28T09:35:00Z"/>
  <w16cex:commentExtensible w16cex:durableId="27A85807" w16cex:dateUtc="2023-02-28T09:37:00Z"/>
  <w16cex:commentExtensible w16cex:durableId="27A8588D" w16cex:dateUtc="2023-02-28T09:40:00Z"/>
  <w16cex:commentExtensible w16cex:durableId="27A85921" w16cex:dateUtc="2023-02-28T09:42:00Z"/>
  <w16cex:commentExtensible w16cex:durableId="27A859BC" w16cex:dateUtc="2023-02-28T09:45:00Z"/>
  <w16cex:commentExtensible w16cex:durableId="27A85B71" w16cex:dateUtc="2023-02-28T09:52:00Z"/>
  <w16cex:commentExtensible w16cex:durableId="27A85C32" w16cex:dateUtc="2023-02-28T09:55:00Z"/>
  <w16cex:commentExtensible w16cex:durableId="27A860F9" w16cex:dateUtc="2023-02-28T10:16:00Z"/>
  <w16cex:commentExtensible w16cex:durableId="27A861C4" w16cex:dateUtc="2023-02-28T10:19:00Z"/>
  <w16cex:commentExtensible w16cex:durableId="27A86282" w16cex:dateUtc="2023-02-28T10:22:00Z"/>
  <w16cex:commentExtensible w16cex:durableId="27A8639C" w16cex:dateUtc="2023-02-28T10:27:00Z"/>
  <w16cex:commentExtensible w16cex:durableId="27A8650A" w16cex:dateUtc="2023-02-28T10:33:00Z"/>
  <w16cex:commentExtensible w16cex:durableId="27A8657B" w16cex:dateUtc="2023-02-28T10:35:00Z"/>
  <w16cex:commentExtensible w16cex:durableId="27A86704" w16cex:dateUtc="2023-02-28T10:41:00Z"/>
  <w16cex:commentExtensible w16cex:durableId="27A86FD8" w16cex:dateUtc="2023-02-28T11:19:00Z"/>
  <w16cex:commentExtensible w16cex:durableId="27A873C0" w16cex:dateUtc="2023-02-28T11:36:00Z"/>
  <w16cex:commentExtensible w16cex:durableId="27A875E3" w16cex:dateUtc="2023-02-28T11:45:00Z"/>
  <w16cex:commentExtensible w16cex:durableId="27A876D2" w16cex:dateUtc="2023-02-28T11:49:00Z"/>
  <w16cex:commentExtensible w16cex:durableId="27A8775D" w16cex:dateUtc="2023-02-28T11:51:00Z"/>
  <w16cex:commentExtensible w16cex:durableId="27A87830" w16cex:dateUtc="2023-02-28T11:55:00Z"/>
  <w16cex:commentExtensible w16cex:durableId="27A87984" w16cex:dateUtc="2023-02-28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867837" w16cid:durableId="27A8334A"/>
  <w16cid:commentId w16cid:paraId="65457C4C" w16cid:durableId="27A856BE"/>
  <w16cid:commentId w16cid:paraId="0E20B168" w16cid:durableId="27A8577E"/>
  <w16cid:commentId w16cid:paraId="7C9D933C" w16cid:durableId="27A85807"/>
  <w16cid:commentId w16cid:paraId="4B72EB57" w16cid:durableId="27A8588D"/>
  <w16cid:commentId w16cid:paraId="213E273A" w16cid:durableId="27A85921"/>
  <w16cid:commentId w16cid:paraId="2699B911" w16cid:durableId="27A859BC"/>
  <w16cid:commentId w16cid:paraId="623F6733" w16cid:durableId="27A85B71"/>
  <w16cid:commentId w16cid:paraId="07D7DCE7" w16cid:durableId="27A85C32"/>
  <w16cid:commentId w16cid:paraId="726E3C39" w16cid:durableId="27A860F9"/>
  <w16cid:commentId w16cid:paraId="68008FD1" w16cid:durableId="27A861C4"/>
  <w16cid:commentId w16cid:paraId="1249AB22" w16cid:durableId="27A86282"/>
  <w16cid:commentId w16cid:paraId="2B8D36A3" w16cid:durableId="27A8639C"/>
  <w16cid:commentId w16cid:paraId="2D902145" w16cid:durableId="27A8650A"/>
  <w16cid:commentId w16cid:paraId="592D83DD" w16cid:durableId="27A8657B"/>
  <w16cid:commentId w16cid:paraId="37D56476" w16cid:durableId="27A86704"/>
  <w16cid:commentId w16cid:paraId="63D33534" w16cid:durableId="27A86FD8"/>
  <w16cid:commentId w16cid:paraId="5E4D7ED4" w16cid:durableId="27A873C0"/>
  <w16cid:commentId w16cid:paraId="5EB5941A" w16cid:durableId="27A875E3"/>
  <w16cid:commentId w16cid:paraId="16F76ECE" w16cid:durableId="27A876D2"/>
  <w16cid:commentId w16cid:paraId="33E2F0FF" w16cid:durableId="27A8775D"/>
  <w16cid:commentId w16cid:paraId="4D4EED69" w16cid:durableId="27A87830"/>
  <w16cid:commentId w16cid:paraId="35834BA0" w16cid:durableId="27A879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4ED3E" w14:textId="77777777" w:rsidR="00E81040" w:rsidRDefault="00E81040" w:rsidP="00A4404E">
      <w:pPr>
        <w:spacing w:after="0" w:line="240" w:lineRule="auto"/>
      </w:pPr>
      <w:r>
        <w:separator/>
      </w:r>
    </w:p>
  </w:endnote>
  <w:endnote w:type="continuationSeparator" w:id="0">
    <w:p w14:paraId="79862387" w14:textId="77777777" w:rsidR="00E81040" w:rsidRDefault="00E81040" w:rsidP="00A44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Bahnschrift Light">
    <w:panose1 w:val="020B0502040204020203"/>
    <w:charset w:val="EE"/>
    <w:family w:val="swiss"/>
    <w:pitch w:val="variable"/>
    <w:sig w:usb0="A00002C7"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MT">
    <w:altName w:val="Arial"/>
    <w:charset w:val="00"/>
    <w:family w:val="auto"/>
    <w:pitch w:val="variable"/>
    <w:sig w:usb0="00000287" w:usb1="00000000" w:usb2="00000000" w:usb3="00000000" w:csb0="0000001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1430009949"/>
      <w:docPartObj>
        <w:docPartGallery w:val="Page Numbers (Bottom of Page)"/>
        <w:docPartUnique/>
      </w:docPartObj>
    </w:sdtPr>
    <w:sdtContent>
      <w:p w14:paraId="2C3334F2" w14:textId="5B7BE293" w:rsidR="005D5B78" w:rsidRPr="00E55A31" w:rsidRDefault="005D5B78">
        <w:pPr>
          <w:pStyle w:val="Podnoje"/>
          <w:jc w:val="center"/>
          <w:rPr>
            <w:rFonts w:cstheme="minorHAnsi"/>
          </w:rPr>
        </w:pPr>
        <w:r w:rsidRPr="00E55A31">
          <w:rPr>
            <w:rFonts w:cstheme="minorHAnsi"/>
          </w:rPr>
          <w:fldChar w:fldCharType="begin"/>
        </w:r>
        <w:r w:rsidRPr="00E55A31">
          <w:rPr>
            <w:rFonts w:cstheme="minorHAnsi"/>
          </w:rPr>
          <w:instrText>PAGE   \* MERGEFORMAT</w:instrText>
        </w:r>
        <w:r w:rsidRPr="00E55A31">
          <w:rPr>
            <w:rFonts w:cstheme="minorHAnsi"/>
          </w:rPr>
          <w:fldChar w:fldCharType="separate"/>
        </w:r>
        <w:r w:rsidR="0046719C">
          <w:rPr>
            <w:rFonts w:cstheme="minorHAnsi"/>
            <w:noProof/>
          </w:rPr>
          <w:t>8</w:t>
        </w:r>
        <w:r w:rsidRPr="00E55A31">
          <w:rPr>
            <w:rFonts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DCB54" w14:textId="77777777" w:rsidR="00E81040" w:rsidRDefault="00E81040" w:rsidP="00A4404E">
      <w:pPr>
        <w:spacing w:after="0" w:line="240" w:lineRule="auto"/>
      </w:pPr>
      <w:r>
        <w:separator/>
      </w:r>
    </w:p>
  </w:footnote>
  <w:footnote w:type="continuationSeparator" w:id="0">
    <w:p w14:paraId="6B3A3E1A" w14:textId="77777777" w:rsidR="00E81040" w:rsidRDefault="00E81040" w:rsidP="00A4404E">
      <w:pPr>
        <w:spacing w:after="0" w:line="240" w:lineRule="auto"/>
      </w:pPr>
      <w:r>
        <w:continuationSeparator/>
      </w:r>
    </w:p>
  </w:footnote>
  <w:footnote w:id="1">
    <w:p w14:paraId="6AECFE00" w14:textId="77777777" w:rsidR="005D5B78" w:rsidRPr="007C3BF8" w:rsidRDefault="005D5B78" w:rsidP="00F33A81">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Prikaz podataka dat je za razdoblje od 2016.-2020. godine. Počevši od 2016. godine podaci obuhvaćaju i procjene za određene vrste otpada poput građevnog otpada i mineralnog otpada, a što nije bilo slučaj za razdoblje prije 2016. godine. Posljedično podaci za razdoblje 2016.-2020. godine nisu usporedivi s podacima iz prethodnih godina, te se stoga za prethodne godine ne daje prikaz ukupnih količina otpada. </w:t>
      </w:r>
    </w:p>
  </w:footnote>
  <w:footnote w:id="2">
    <w:p w14:paraId="3CD71943" w14:textId="484A514C" w:rsidR="005D5B78" w:rsidRPr="00907B10" w:rsidRDefault="005D5B78">
      <w:pPr>
        <w:pStyle w:val="Tekstfusnote"/>
        <w:rPr>
          <w:lang w:val="en-GB"/>
        </w:rPr>
      </w:pPr>
      <w:r>
        <w:rPr>
          <w:rStyle w:val="Referencafusnote"/>
        </w:rPr>
        <w:footnoteRef/>
      </w:r>
      <w:r>
        <w:t xml:space="preserve"> </w:t>
      </w:r>
      <w:r w:rsidRPr="00907B10">
        <w:t xml:space="preserve">Sukladno Uredbi o statistikama otpada – Uredba </w:t>
      </w:r>
      <w:bookmarkStart w:id="7" w:name="_Hlk119151247"/>
      <w:r w:rsidRPr="00907B10">
        <w:t>(EZ) br. 2150/2002</w:t>
      </w:r>
      <w:bookmarkEnd w:id="7"/>
      <w:r w:rsidRPr="00907B10">
        <w:t>, podaci se procjenjuju svake dvije godine</w:t>
      </w:r>
      <w:r>
        <w:t xml:space="preserve"> za parnu godinu, </w:t>
      </w:r>
      <w:r w:rsidRPr="00907B10">
        <w:t>te su zadnji raspoloživi podaci za 2020. godinu.</w:t>
      </w:r>
    </w:p>
  </w:footnote>
  <w:footnote w:id="3">
    <w:p w14:paraId="20D93A5E" w14:textId="77777777" w:rsidR="005D5B78" w:rsidRPr="007C3BF8" w:rsidRDefault="005D5B78" w:rsidP="00F33A81">
      <w:pPr>
        <w:pStyle w:val="Tekstfusnote"/>
        <w:jc w:val="left"/>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w:t>
      </w:r>
      <w:r w:rsidRPr="007C3BF8">
        <w:rPr>
          <w:rFonts w:cstheme="minorHAnsi"/>
          <w:sz w:val="18"/>
          <w:szCs w:val="18"/>
        </w:rPr>
        <w:t>https://ec.europa.eu/eurostat/statistics-explained/index.php?title=File:Waste_generation,_2018_(kg_per_capita)-vs_20220729.png#file</w:t>
      </w:r>
    </w:p>
  </w:footnote>
  <w:footnote w:id="4">
    <w:p w14:paraId="6F21FD39" w14:textId="31FA4BB8" w:rsidR="005D5B78" w:rsidRPr="002C73D9" w:rsidRDefault="005D5B78">
      <w:pPr>
        <w:pStyle w:val="Tekstfusnote"/>
        <w:rPr>
          <w:lang w:val="en-GB"/>
        </w:rPr>
      </w:pPr>
      <w:r>
        <w:rPr>
          <w:rStyle w:val="Referencafusnote"/>
        </w:rPr>
        <w:footnoteRef/>
      </w:r>
      <w:r>
        <w:t xml:space="preserve"> </w:t>
      </w:r>
      <w:r w:rsidRPr="002C73D9">
        <w:t>Sekundarni otpad je otpad nastao u procesu koji je poznat kao postupak obrade otpada; uključuje ostatke materijala koji potječu iz postupaka oporabe i zbrinjavanja otpada, kao što su ostaci sortiranja, mineralne frakcije iz mehaničke obrade otpada, ostaci od spaljivanja i dr. (https://ec.europa.eu/eurostat/statistics-explained/index.php?title=Glossary:Secondary_waste)</w:t>
      </w:r>
    </w:p>
  </w:footnote>
  <w:footnote w:id="5">
    <w:p w14:paraId="4312B6CB" w14:textId="58859AAC" w:rsidR="005D5B78" w:rsidRPr="00CA7FB4" w:rsidRDefault="005D5B78">
      <w:pPr>
        <w:pStyle w:val="Tekstfusnote"/>
        <w:rPr>
          <w:lang w:val="en-GB"/>
        </w:rPr>
      </w:pPr>
      <w:r>
        <w:rPr>
          <w:rStyle w:val="Referencafusnote"/>
        </w:rPr>
        <w:footnoteRef/>
      </w:r>
      <w:r>
        <w:t xml:space="preserve"> </w:t>
      </w:r>
      <w:r w:rsidRPr="00CA7FB4">
        <w:t>Primarni otpad je otpad iz kućanstava i otpad nastao iz ekonomskih djelatnosti osim djelatnosti oporabe i zbrinjavanja otpada</w:t>
      </w:r>
      <w:r>
        <w:t xml:space="preserve"> (</w:t>
      </w:r>
      <w:r w:rsidRPr="000100AA">
        <w:t>https://ec.europa.eu/eurostat/cache/metadata/en/env_wasgt_esms.htm</w:t>
      </w:r>
      <w:r>
        <w:t>)</w:t>
      </w:r>
    </w:p>
  </w:footnote>
  <w:footnote w:id="6">
    <w:p w14:paraId="3DBAC556" w14:textId="77777777" w:rsidR="005D5B78" w:rsidRPr="007C3BF8" w:rsidRDefault="005D5B78" w:rsidP="009F01BB">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w:t>
      </w:r>
      <w:r w:rsidRPr="007C3BF8">
        <w:rPr>
          <w:rFonts w:cstheme="minorHAnsi"/>
          <w:sz w:val="18"/>
          <w:szCs w:val="18"/>
        </w:rPr>
        <w:t>Statističke kategorije otpada - Klasifikacija otpada sukladno Uredbi (EZ) br. 2150/2002 Europskog parlamenta i Vijeća od 25. studenoga 2002. o statističkim podacima o otpadu</w:t>
      </w:r>
    </w:p>
  </w:footnote>
  <w:footnote w:id="7">
    <w:p w14:paraId="165FA951" w14:textId="0EE34EF6" w:rsidR="005D5B78" w:rsidRDefault="005D5B78">
      <w:pPr>
        <w:pStyle w:val="Tekstfusnote"/>
      </w:pPr>
      <w:r>
        <w:rPr>
          <w:rStyle w:val="Referencafusnote"/>
        </w:rPr>
        <w:footnoteRef/>
      </w:r>
      <w:r>
        <w:t xml:space="preserve"> </w:t>
      </w:r>
      <w:r>
        <w:t>Postupci obrade otpada: D1- D7, D10, D12; R1-R11</w:t>
      </w:r>
    </w:p>
  </w:footnote>
  <w:footnote w:id="8">
    <w:p w14:paraId="7BF2D055" w14:textId="6FFBB9AF" w:rsidR="005D5B78" w:rsidRDefault="005D5B78" w:rsidP="00E75AB4">
      <w:pPr>
        <w:pStyle w:val="Tekstfusnote"/>
      </w:pPr>
      <w:r>
        <w:rPr>
          <w:rStyle w:val="Referencafusnote"/>
        </w:rPr>
        <w:footnoteRef/>
      </w:r>
      <w:r>
        <w:t xml:space="preserve"> </w:t>
      </w:r>
      <w:r>
        <w:t>D1- D7, D10, D12; R1-R11</w:t>
      </w:r>
    </w:p>
  </w:footnote>
  <w:footnote w:id="9">
    <w:p w14:paraId="4CB007A6" w14:textId="77777777" w:rsidR="005D5B78" w:rsidRPr="007C3BF8" w:rsidRDefault="005D5B78" w:rsidP="004D2A7B">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w:t>
      </w:r>
      <w:r w:rsidRPr="007C3BF8">
        <w:rPr>
          <w:rFonts w:cstheme="minorHAnsi"/>
          <w:sz w:val="18"/>
          <w:szCs w:val="18"/>
        </w:rPr>
        <w:t xml:space="preserve">Otpadna maziva ulja, otpadne baterije i akumulatori, otpadna vozila, otpadna električna i elektronička oprema, građevni otpad koji sadrži azbest (nakon 2016. godine FZOEU više ne sufinancira sustav sakupljanja građevnog otpada od azbesta) </w:t>
      </w:r>
    </w:p>
  </w:footnote>
  <w:footnote w:id="10">
    <w:p w14:paraId="18223B68" w14:textId="77777777" w:rsidR="005D5B78" w:rsidRPr="007C3BF8" w:rsidRDefault="005D5B78" w:rsidP="004D2A7B">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w:t>
      </w:r>
      <w:r w:rsidRPr="007C3BF8">
        <w:rPr>
          <w:rFonts w:cstheme="minorHAnsi"/>
          <w:sz w:val="18"/>
          <w:szCs w:val="18"/>
        </w:rPr>
        <w:t>Statističke kategorije otpada - Klasifikacija otpada sukladno Uredbi (EZ) br. 2150/2002 Europskog parlamenta i Vijeća od 25. studenoga 2002. o statističkim podacima o otpadu</w:t>
      </w:r>
    </w:p>
  </w:footnote>
  <w:footnote w:id="11">
    <w:p w14:paraId="744DBEEC" w14:textId="77777777" w:rsidR="005D5B78" w:rsidRPr="007C3BF8" w:rsidRDefault="005D5B78" w:rsidP="004D2A7B">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w:t>
      </w:r>
      <w:r w:rsidRPr="007C3BF8">
        <w:rPr>
          <w:rFonts w:cstheme="minorHAnsi"/>
          <w:sz w:val="18"/>
          <w:szCs w:val="18"/>
        </w:rPr>
        <w:t>staklo, plastika i drvo koji sadrže ili su onečišćeni opasnim tvarima</w:t>
      </w:r>
    </w:p>
  </w:footnote>
  <w:footnote w:id="12">
    <w:p w14:paraId="4AD81541" w14:textId="77777777" w:rsidR="005D5B78" w:rsidRPr="007C3BF8" w:rsidRDefault="005D5B78" w:rsidP="00BA1411">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w:t>
      </w:r>
      <w:hyperlink r:id="rId1" w:history="1">
        <w:r w:rsidRPr="007C3BF8">
          <w:rPr>
            <w:rStyle w:val="Hiperveza"/>
            <w:rFonts w:cstheme="minorHAnsi"/>
            <w:sz w:val="18"/>
            <w:szCs w:val="18"/>
          </w:rPr>
          <w:t>Registar onečišćavanja okoliša</w:t>
        </w:r>
      </w:hyperlink>
      <w:r w:rsidRPr="007C3BF8">
        <w:rPr>
          <w:rFonts w:cstheme="minorHAnsi"/>
          <w:sz w:val="18"/>
          <w:szCs w:val="18"/>
        </w:rPr>
        <w:t xml:space="preserve">, </w:t>
      </w:r>
      <w:hyperlink r:id="rId2" w:history="1">
        <w:r w:rsidRPr="007C3BF8">
          <w:rPr>
            <w:rStyle w:val="Hiperveza"/>
            <w:rFonts w:cstheme="minorHAnsi"/>
            <w:sz w:val="18"/>
            <w:szCs w:val="18"/>
          </w:rPr>
          <w:t>Odlagališta - obrazac OOO</w:t>
        </w:r>
      </w:hyperlink>
    </w:p>
  </w:footnote>
  <w:footnote w:id="13">
    <w:p w14:paraId="75598ED1" w14:textId="14C47968" w:rsidR="005D5B78" w:rsidRPr="007C3BF8" w:rsidRDefault="005D5B78" w:rsidP="00877B12">
      <w:pPr>
        <w:pStyle w:val="Tekstfusnote"/>
        <w:ind w:hanging="11"/>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w:t>
      </w:r>
      <w:r w:rsidRPr="007C3BF8">
        <w:rPr>
          <w:rFonts w:cstheme="minorHAnsi"/>
          <w:sz w:val="18"/>
          <w:szCs w:val="18"/>
        </w:rPr>
        <w:t>Količine otpada iz turizma utvrđene korištenjem metodologije iz priručnika „</w:t>
      </w:r>
      <w:proofErr w:type="spellStart"/>
      <w:r w:rsidRPr="007C3BF8">
        <w:rPr>
          <w:rFonts w:cstheme="minorHAnsi"/>
          <w:i/>
          <w:iCs/>
          <w:sz w:val="18"/>
          <w:szCs w:val="18"/>
        </w:rPr>
        <w:t>Methodological</w:t>
      </w:r>
      <w:proofErr w:type="spellEnd"/>
      <w:r w:rsidRPr="007C3BF8">
        <w:rPr>
          <w:rFonts w:cstheme="minorHAnsi"/>
          <w:i/>
          <w:iCs/>
          <w:sz w:val="18"/>
          <w:szCs w:val="18"/>
        </w:rPr>
        <w:t xml:space="preserve"> </w:t>
      </w:r>
      <w:proofErr w:type="spellStart"/>
      <w:r w:rsidRPr="007C3BF8">
        <w:rPr>
          <w:rFonts w:cstheme="minorHAnsi"/>
          <w:i/>
          <w:iCs/>
          <w:sz w:val="18"/>
          <w:szCs w:val="18"/>
        </w:rPr>
        <w:t>work</w:t>
      </w:r>
      <w:proofErr w:type="spellEnd"/>
      <w:r w:rsidRPr="007C3BF8">
        <w:rPr>
          <w:rFonts w:cstheme="minorHAnsi"/>
          <w:i/>
          <w:iCs/>
          <w:sz w:val="18"/>
          <w:szCs w:val="18"/>
        </w:rPr>
        <w:t xml:space="preserve"> on </w:t>
      </w:r>
      <w:proofErr w:type="spellStart"/>
      <w:r w:rsidRPr="007C3BF8">
        <w:rPr>
          <w:rFonts w:cstheme="minorHAnsi"/>
          <w:i/>
          <w:iCs/>
          <w:sz w:val="18"/>
          <w:szCs w:val="18"/>
        </w:rPr>
        <w:t>measuring</w:t>
      </w:r>
      <w:proofErr w:type="spellEnd"/>
      <w:r w:rsidRPr="007C3BF8">
        <w:rPr>
          <w:rFonts w:cstheme="minorHAnsi"/>
          <w:i/>
          <w:iCs/>
          <w:sz w:val="18"/>
          <w:szCs w:val="18"/>
        </w:rPr>
        <w:t xml:space="preserve"> </w:t>
      </w:r>
      <w:proofErr w:type="spellStart"/>
      <w:r w:rsidRPr="007C3BF8">
        <w:rPr>
          <w:rFonts w:cstheme="minorHAnsi"/>
          <w:i/>
          <w:iCs/>
          <w:sz w:val="18"/>
          <w:szCs w:val="18"/>
        </w:rPr>
        <w:t>the</w:t>
      </w:r>
      <w:proofErr w:type="spellEnd"/>
      <w:r w:rsidRPr="007C3BF8">
        <w:rPr>
          <w:rFonts w:cstheme="minorHAnsi"/>
          <w:i/>
          <w:iCs/>
          <w:sz w:val="18"/>
          <w:szCs w:val="18"/>
        </w:rPr>
        <w:t xml:space="preserve"> </w:t>
      </w:r>
      <w:proofErr w:type="spellStart"/>
      <w:r w:rsidRPr="007C3BF8">
        <w:rPr>
          <w:rFonts w:cstheme="minorHAnsi"/>
          <w:i/>
          <w:iCs/>
          <w:sz w:val="18"/>
          <w:szCs w:val="18"/>
        </w:rPr>
        <w:t>sustainable</w:t>
      </w:r>
      <w:proofErr w:type="spellEnd"/>
      <w:r w:rsidRPr="007C3BF8">
        <w:rPr>
          <w:rFonts w:cstheme="minorHAnsi"/>
          <w:i/>
          <w:iCs/>
          <w:sz w:val="18"/>
          <w:szCs w:val="18"/>
        </w:rPr>
        <w:t xml:space="preserve"> development </w:t>
      </w:r>
      <w:proofErr w:type="spellStart"/>
      <w:r w:rsidRPr="007C3BF8">
        <w:rPr>
          <w:rFonts w:cstheme="minorHAnsi"/>
          <w:i/>
          <w:iCs/>
          <w:sz w:val="18"/>
          <w:szCs w:val="18"/>
        </w:rPr>
        <w:t>of</w:t>
      </w:r>
      <w:proofErr w:type="spellEnd"/>
      <w:r w:rsidRPr="007C3BF8">
        <w:rPr>
          <w:rFonts w:cstheme="minorHAnsi"/>
          <w:i/>
          <w:iCs/>
          <w:sz w:val="18"/>
          <w:szCs w:val="18"/>
        </w:rPr>
        <w:t xml:space="preserve"> </w:t>
      </w:r>
      <w:proofErr w:type="spellStart"/>
      <w:r w:rsidRPr="007C3BF8">
        <w:rPr>
          <w:rFonts w:cstheme="minorHAnsi"/>
          <w:i/>
          <w:iCs/>
          <w:sz w:val="18"/>
          <w:szCs w:val="18"/>
        </w:rPr>
        <w:t>tourism</w:t>
      </w:r>
      <w:proofErr w:type="spellEnd"/>
      <w:r w:rsidRPr="007C3BF8">
        <w:rPr>
          <w:rFonts w:cstheme="minorHAnsi"/>
          <w:i/>
          <w:iCs/>
          <w:sz w:val="18"/>
          <w:szCs w:val="18"/>
        </w:rPr>
        <w:t xml:space="preserve">, </w:t>
      </w:r>
      <w:proofErr w:type="spellStart"/>
      <w:r w:rsidRPr="007C3BF8">
        <w:rPr>
          <w:rFonts w:cstheme="minorHAnsi"/>
          <w:i/>
          <w:iCs/>
          <w:sz w:val="18"/>
          <w:szCs w:val="18"/>
        </w:rPr>
        <w:t>Part</w:t>
      </w:r>
      <w:proofErr w:type="spellEnd"/>
      <w:r w:rsidRPr="007C3BF8">
        <w:rPr>
          <w:rFonts w:cstheme="minorHAnsi"/>
          <w:i/>
          <w:iCs/>
          <w:sz w:val="18"/>
          <w:szCs w:val="18"/>
        </w:rPr>
        <w:t xml:space="preserve"> 2: Manual on </w:t>
      </w:r>
      <w:proofErr w:type="spellStart"/>
      <w:r w:rsidRPr="007C3BF8">
        <w:rPr>
          <w:rFonts w:cstheme="minorHAnsi"/>
          <w:i/>
          <w:iCs/>
          <w:sz w:val="18"/>
          <w:szCs w:val="18"/>
        </w:rPr>
        <w:t>sustainable</w:t>
      </w:r>
      <w:proofErr w:type="spellEnd"/>
      <w:r w:rsidRPr="007C3BF8">
        <w:rPr>
          <w:rFonts w:cstheme="minorHAnsi"/>
          <w:i/>
          <w:iCs/>
          <w:sz w:val="18"/>
          <w:szCs w:val="18"/>
        </w:rPr>
        <w:t xml:space="preserve"> development </w:t>
      </w:r>
      <w:proofErr w:type="spellStart"/>
      <w:r w:rsidRPr="007C3BF8">
        <w:rPr>
          <w:rFonts w:cstheme="minorHAnsi"/>
          <w:i/>
          <w:iCs/>
          <w:sz w:val="18"/>
          <w:szCs w:val="18"/>
        </w:rPr>
        <w:t>indicators</w:t>
      </w:r>
      <w:proofErr w:type="spellEnd"/>
      <w:r w:rsidRPr="007C3BF8">
        <w:rPr>
          <w:rFonts w:cstheme="minorHAnsi"/>
          <w:i/>
          <w:iCs/>
          <w:sz w:val="18"/>
          <w:szCs w:val="18"/>
        </w:rPr>
        <w:t xml:space="preserve"> </w:t>
      </w:r>
      <w:proofErr w:type="spellStart"/>
      <w:r w:rsidRPr="007C3BF8">
        <w:rPr>
          <w:rFonts w:cstheme="minorHAnsi"/>
          <w:i/>
          <w:iCs/>
          <w:sz w:val="18"/>
          <w:szCs w:val="18"/>
        </w:rPr>
        <w:t>of</w:t>
      </w:r>
      <w:proofErr w:type="spellEnd"/>
      <w:r w:rsidRPr="007C3BF8">
        <w:rPr>
          <w:rFonts w:cstheme="minorHAnsi"/>
          <w:i/>
          <w:iCs/>
          <w:sz w:val="18"/>
          <w:szCs w:val="18"/>
        </w:rPr>
        <w:t xml:space="preserve"> </w:t>
      </w:r>
      <w:proofErr w:type="spellStart"/>
      <w:r w:rsidRPr="007C3BF8">
        <w:rPr>
          <w:rFonts w:cstheme="minorHAnsi"/>
          <w:i/>
          <w:iCs/>
          <w:sz w:val="18"/>
          <w:szCs w:val="18"/>
        </w:rPr>
        <w:t>tourism</w:t>
      </w:r>
      <w:proofErr w:type="spellEnd"/>
      <w:r w:rsidRPr="007C3BF8">
        <w:rPr>
          <w:rFonts w:cstheme="minorHAnsi"/>
          <w:sz w:val="18"/>
          <w:szCs w:val="18"/>
        </w:rPr>
        <w:t xml:space="preserve">“, Europska komisija, 2006. Kao izvor podataka o broju noćenja korišten je sustav </w:t>
      </w:r>
      <w:proofErr w:type="spellStart"/>
      <w:r w:rsidRPr="007C3BF8">
        <w:rPr>
          <w:rFonts w:cstheme="minorHAnsi"/>
          <w:sz w:val="18"/>
          <w:szCs w:val="18"/>
        </w:rPr>
        <w:t>eVisitor</w:t>
      </w:r>
      <w:proofErr w:type="spellEnd"/>
      <w:r w:rsidRPr="007C3BF8">
        <w:rPr>
          <w:rFonts w:cstheme="minorHAnsi"/>
          <w:sz w:val="18"/>
          <w:szCs w:val="18"/>
        </w:rPr>
        <w:t xml:space="preserve"> (Informacijski sustav za prijavu i odjavu turista RH).</w:t>
      </w:r>
    </w:p>
    <w:p w14:paraId="07C8DC71" w14:textId="77777777" w:rsidR="005D5B78" w:rsidRPr="007C3BF8" w:rsidRDefault="005D5B78" w:rsidP="00877B12">
      <w:pPr>
        <w:pStyle w:val="Tekstfusnote"/>
        <w:ind w:hanging="11"/>
        <w:rPr>
          <w:rFonts w:cstheme="minorHAnsi"/>
          <w:sz w:val="18"/>
          <w:szCs w:val="18"/>
        </w:rPr>
      </w:pPr>
    </w:p>
  </w:footnote>
  <w:footnote w:id="14">
    <w:p w14:paraId="3FBD9FE9" w14:textId="77777777" w:rsidR="005D5B78" w:rsidRPr="007C3BF8" w:rsidRDefault="005D5B78" w:rsidP="00877B12">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w:t>
      </w:r>
      <w:r w:rsidRPr="007C3BF8">
        <w:rPr>
          <w:rFonts w:cstheme="minorHAnsi"/>
          <w:sz w:val="18"/>
          <w:szCs w:val="18"/>
        </w:rPr>
        <w:t>Hrvatska agencija za okoliš i prirodu</w:t>
      </w:r>
    </w:p>
  </w:footnote>
  <w:footnote w:id="15">
    <w:p w14:paraId="68AC84B6" w14:textId="77777777" w:rsidR="005D5B78" w:rsidRPr="007C3BF8" w:rsidRDefault="005D5B78" w:rsidP="00877B12">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w:t>
      </w:r>
      <w:r w:rsidRPr="007C3BF8">
        <w:rPr>
          <w:rFonts w:cstheme="minorHAnsi"/>
          <w:sz w:val="18"/>
          <w:szCs w:val="18"/>
        </w:rPr>
        <w:t>Metodologija za određivanje sastava i količina komunalnog odnosno miješanog komunalnog otpada, Agencija za zaštitu okoliša, 2015. godina</w:t>
      </w:r>
    </w:p>
  </w:footnote>
  <w:footnote w:id="16">
    <w:p w14:paraId="3D6C1681" w14:textId="77777777" w:rsidR="005D5B78" w:rsidRPr="007C3BF8" w:rsidRDefault="005D5B78" w:rsidP="00877B12">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w:t>
      </w:r>
      <w:r w:rsidRPr="007C3BF8">
        <w:rPr>
          <w:rFonts w:cstheme="minorHAnsi"/>
          <w:sz w:val="18"/>
          <w:szCs w:val="18"/>
        </w:rPr>
        <w:t>Izvješće o komunalnom otpadu za 2021. godinu, MINGOR</w:t>
      </w:r>
    </w:p>
  </w:footnote>
  <w:footnote w:id="17">
    <w:p w14:paraId="1BD31FEB" w14:textId="763E8C18" w:rsidR="005D5B78" w:rsidRDefault="005D5B78">
      <w:pPr>
        <w:pStyle w:val="Tekstfusnote"/>
      </w:pPr>
      <w:r>
        <w:rPr>
          <w:rStyle w:val="Referencafusnote"/>
        </w:rPr>
        <w:footnoteRef/>
      </w:r>
      <w:r>
        <w:t xml:space="preserve"> </w:t>
      </w:r>
      <w:r w:rsidRPr="002977B2">
        <w:t>Ključni broj otpada: 19 08 05 - muljevi od obrade urbanih otpadnih voda, Kataloga otpada, Dodatak X. Pravilnik o gospodarenju otpadom (NN 106/22))</w:t>
      </w:r>
    </w:p>
  </w:footnote>
  <w:footnote w:id="18">
    <w:p w14:paraId="1DE9C7E1" w14:textId="77777777" w:rsidR="005D5B78" w:rsidRPr="007C3BF8" w:rsidRDefault="005D5B78" w:rsidP="00612DE8">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w:t>
      </w:r>
      <w:r w:rsidRPr="007C3BF8">
        <w:rPr>
          <w:rFonts w:cstheme="minorHAnsi"/>
          <w:sz w:val="18"/>
          <w:szCs w:val="18"/>
        </w:rPr>
        <w:t>Sustavi proširene odgovornosti proizvođača proizvoda počeli su se uvoditi 2005. godine</w:t>
      </w:r>
    </w:p>
  </w:footnote>
  <w:footnote w:id="19">
    <w:p w14:paraId="2CA5D157" w14:textId="77777777" w:rsidR="005D5B78" w:rsidRPr="007C3BF8" w:rsidRDefault="005D5B78" w:rsidP="00612DE8">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w:t>
      </w:r>
      <w:r w:rsidRPr="007C3BF8">
        <w:rPr>
          <w:rFonts w:cstheme="minorHAnsi"/>
          <w:sz w:val="18"/>
          <w:szCs w:val="18"/>
        </w:rPr>
        <w:t>Podaci se temelje na prijavama o odloženom otpadu na kazete za azbest</w:t>
      </w:r>
    </w:p>
  </w:footnote>
  <w:footnote w:id="20">
    <w:p w14:paraId="705CBED5" w14:textId="77777777" w:rsidR="005D5B78" w:rsidRPr="007C3BF8" w:rsidRDefault="005D5B78" w:rsidP="00612DE8">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w:t>
      </w:r>
      <w:r w:rsidRPr="007C3BF8">
        <w:rPr>
          <w:rFonts w:cstheme="minorHAnsi"/>
          <w:sz w:val="18"/>
          <w:szCs w:val="18"/>
        </w:rPr>
        <w:t>Podaci o otpadnom PCB-u odnose se na zbrinutu opremu koja sadrži PCB (kondenzatori i transformatori) te na bilo koji otpadni materijal ili tekućinu koja sadrži ili je onečišćena PCB-om.</w:t>
      </w:r>
    </w:p>
  </w:footnote>
  <w:footnote w:id="21">
    <w:p w14:paraId="45DB0824" w14:textId="406958AD" w:rsidR="005D5B78" w:rsidRDefault="005D5B78" w:rsidP="003D2953">
      <w:pPr>
        <w:pStyle w:val="Tekstfusnote"/>
        <w:jc w:val="left"/>
      </w:pPr>
      <w:r>
        <w:rPr>
          <w:rStyle w:val="Referencafusnote"/>
        </w:rPr>
        <w:footnoteRef/>
      </w:r>
      <w:r>
        <w:t xml:space="preserve"> </w:t>
      </w:r>
      <w:r w:rsidRPr="00CE056C">
        <w:t>Ključni broj otpada iz Katal</w:t>
      </w:r>
      <w:r>
        <w:t>oga otpada (</w:t>
      </w:r>
      <w:hyperlink r:id="rId3" w:history="1">
        <w:r w:rsidRPr="001C536D">
          <w:rPr>
            <w:rStyle w:val="Hiperveza"/>
          </w:rPr>
          <w:t>https://narodne-novine.nn.hr/clanci/sluzbeni/2022_09_106_1552.html</w:t>
        </w:r>
      </w:hyperlink>
      <w:r>
        <w:t xml:space="preserve">  10 i 20 01 11</w:t>
      </w:r>
    </w:p>
  </w:footnote>
  <w:footnote w:id="22">
    <w:p w14:paraId="43D56FB0" w14:textId="247FF54A" w:rsidR="005D5B78" w:rsidRPr="007C3BF8" w:rsidRDefault="005D5B78" w:rsidP="00FB35E6">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w:t>
      </w:r>
      <w:r w:rsidRPr="007C3BF8">
        <w:rPr>
          <w:rFonts w:cstheme="minorHAnsi"/>
          <w:sz w:val="18"/>
          <w:szCs w:val="18"/>
        </w:rPr>
        <w:t>Strategija gospodarenja otpadom Republike Hrvatske (NN 130/05)</w:t>
      </w:r>
    </w:p>
  </w:footnote>
  <w:footnote w:id="23">
    <w:p w14:paraId="4A96096B" w14:textId="77777777" w:rsidR="005D5B78" w:rsidRPr="007C3BF8" w:rsidRDefault="005D5B78" w:rsidP="008C4426">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w:t>
      </w:r>
      <w:r w:rsidRPr="007C3BF8">
        <w:rPr>
          <w:rFonts w:cstheme="minorHAnsi"/>
          <w:sz w:val="18"/>
          <w:szCs w:val="18"/>
        </w:rPr>
        <w:t xml:space="preserve">Obveznici (uvoznici / proizvođači) dostave godišnjih izvješća o prijenosnim baterijama i akumulatorima stavljenima na tržište u FZOEU, određeni dio prijenosnih baterija prijavljivali su pod startere dok su se iste kod sakupljača evidentirale ispravno kao prijenosne baterije. Do pogrešne prijave dolazi uslijed različitog tumačenja Pravilnika odnosno baterije i akumulatori iz mopeda, </w:t>
      </w:r>
      <w:proofErr w:type="spellStart"/>
      <w:r w:rsidRPr="007C3BF8">
        <w:rPr>
          <w:rFonts w:cstheme="minorHAnsi"/>
          <w:sz w:val="18"/>
          <w:szCs w:val="18"/>
        </w:rPr>
        <w:t>quadova</w:t>
      </w:r>
      <w:proofErr w:type="spellEnd"/>
      <w:r w:rsidRPr="007C3BF8">
        <w:rPr>
          <w:rFonts w:cstheme="minorHAnsi"/>
          <w:sz w:val="18"/>
          <w:szCs w:val="18"/>
        </w:rPr>
        <w:t xml:space="preserve"> i sl. potrebno je prijavljivati kao startere, a ne kao prijenosne baterije.</w:t>
      </w:r>
    </w:p>
  </w:footnote>
  <w:footnote w:id="24">
    <w:p w14:paraId="3101C9F2" w14:textId="77777777" w:rsidR="005D5B78" w:rsidRDefault="005D5B78" w:rsidP="00F00704">
      <w:pPr>
        <w:pStyle w:val="Tekstfusnote"/>
      </w:pPr>
      <w:r>
        <w:rPr>
          <w:rStyle w:val="Referencafusnote"/>
        </w:rPr>
        <w:footnoteRef/>
      </w:r>
      <w:r>
        <w:t xml:space="preserve"> </w:t>
      </w:r>
      <w:r w:rsidRPr="001E08FF">
        <w:t>https://eur-lex.europa.eu/legal-content/HR/TXT/HTML/?uri=CELEX:52020DC0098&amp;from=DA</w:t>
      </w:r>
    </w:p>
  </w:footnote>
  <w:footnote w:id="25">
    <w:p w14:paraId="5FCF6442" w14:textId="77777777" w:rsidR="005D5B78" w:rsidRPr="00095E9B" w:rsidRDefault="005D5B78" w:rsidP="00095E9B">
      <w:pPr>
        <w:spacing w:after="0" w:line="240" w:lineRule="auto"/>
        <w:rPr>
          <w:sz w:val="18"/>
          <w:szCs w:val="18"/>
        </w:rPr>
      </w:pPr>
      <w:r>
        <w:rPr>
          <w:rStyle w:val="Referencafusnote"/>
        </w:rPr>
        <w:footnoteRef/>
      </w:r>
      <w:r>
        <w:t xml:space="preserve"> </w:t>
      </w:r>
      <w:r w:rsidRPr="00095E9B">
        <w:rPr>
          <w:sz w:val="18"/>
          <w:szCs w:val="18"/>
        </w:rPr>
        <w:t>Izvršno tijelo jedinice lokalne samouprave odnosno Grada Zagreba dužno je:</w:t>
      </w:r>
    </w:p>
    <w:p w14:paraId="32461FD4" w14:textId="77777777" w:rsidR="005D5B78" w:rsidRPr="00095E9B" w:rsidRDefault="005D5B78" w:rsidP="00095E9B">
      <w:pPr>
        <w:spacing w:after="0" w:line="240" w:lineRule="auto"/>
        <w:rPr>
          <w:sz w:val="18"/>
          <w:szCs w:val="18"/>
        </w:rPr>
      </w:pPr>
      <w:r w:rsidRPr="00095E9B">
        <w:rPr>
          <w:sz w:val="18"/>
          <w:szCs w:val="18"/>
        </w:rPr>
        <w:t xml:space="preserve">- na području jedinice lokalne samouprave u kojoj ima 3000 stanovnika ili manje, a u kojoj se ne nalazi </w:t>
      </w:r>
      <w:proofErr w:type="spellStart"/>
      <w:r w:rsidRPr="00095E9B">
        <w:rPr>
          <w:sz w:val="18"/>
          <w:szCs w:val="18"/>
        </w:rPr>
        <w:t>reciklažno</w:t>
      </w:r>
      <w:proofErr w:type="spellEnd"/>
      <w:r w:rsidRPr="00095E9B">
        <w:rPr>
          <w:sz w:val="18"/>
          <w:szCs w:val="18"/>
        </w:rPr>
        <w:t xml:space="preserve"> dvorište, osigurati dostupnost mobilnog </w:t>
      </w:r>
      <w:proofErr w:type="spellStart"/>
      <w:r w:rsidRPr="00095E9B">
        <w:rPr>
          <w:sz w:val="18"/>
          <w:szCs w:val="18"/>
        </w:rPr>
        <w:t>reciklažnog</w:t>
      </w:r>
      <w:proofErr w:type="spellEnd"/>
      <w:r w:rsidRPr="00095E9B">
        <w:rPr>
          <w:sz w:val="18"/>
          <w:szCs w:val="18"/>
        </w:rPr>
        <w:t xml:space="preserve"> dvorišta</w:t>
      </w:r>
    </w:p>
    <w:p w14:paraId="473FD86A" w14:textId="77777777" w:rsidR="005D5B78" w:rsidRPr="00095E9B" w:rsidRDefault="005D5B78" w:rsidP="00095E9B">
      <w:pPr>
        <w:spacing w:after="0" w:line="240" w:lineRule="auto"/>
        <w:rPr>
          <w:sz w:val="18"/>
          <w:szCs w:val="18"/>
        </w:rPr>
      </w:pPr>
      <w:r w:rsidRPr="00095E9B">
        <w:rPr>
          <w:sz w:val="18"/>
          <w:szCs w:val="18"/>
        </w:rPr>
        <w:t xml:space="preserve">- na području jedinice lokalne samouprave u kojoj ima više od 3000 stanovnika, osigurati najmanje jedno </w:t>
      </w:r>
      <w:proofErr w:type="spellStart"/>
      <w:r w:rsidRPr="00095E9B">
        <w:rPr>
          <w:sz w:val="18"/>
          <w:szCs w:val="18"/>
        </w:rPr>
        <w:t>reciklažno</w:t>
      </w:r>
      <w:proofErr w:type="spellEnd"/>
      <w:r w:rsidRPr="00095E9B">
        <w:rPr>
          <w:sz w:val="18"/>
          <w:szCs w:val="18"/>
        </w:rPr>
        <w:t xml:space="preserve"> dvorište ili mobilno </w:t>
      </w:r>
      <w:proofErr w:type="spellStart"/>
      <w:r w:rsidRPr="00095E9B">
        <w:rPr>
          <w:sz w:val="18"/>
          <w:szCs w:val="18"/>
        </w:rPr>
        <w:t>reciklažno</w:t>
      </w:r>
      <w:proofErr w:type="spellEnd"/>
      <w:r w:rsidRPr="00095E9B">
        <w:rPr>
          <w:sz w:val="18"/>
          <w:szCs w:val="18"/>
        </w:rPr>
        <w:t xml:space="preserve"> dvorište te još po jedno </w:t>
      </w:r>
      <w:proofErr w:type="spellStart"/>
      <w:r w:rsidRPr="00095E9B">
        <w:rPr>
          <w:sz w:val="18"/>
          <w:szCs w:val="18"/>
        </w:rPr>
        <w:t>reciklažno</w:t>
      </w:r>
      <w:proofErr w:type="spellEnd"/>
      <w:r w:rsidRPr="00095E9B">
        <w:rPr>
          <w:sz w:val="18"/>
          <w:szCs w:val="18"/>
        </w:rPr>
        <w:t xml:space="preserve"> dvorište na svakih idućih 25.000 stanovnika</w:t>
      </w:r>
    </w:p>
    <w:p w14:paraId="775E3086" w14:textId="77777777" w:rsidR="005D5B78" w:rsidRPr="00095E9B" w:rsidRDefault="005D5B78" w:rsidP="00095E9B">
      <w:pPr>
        <w:spacing w:after="0" w:line="240" w:lineRule="auto"/>
        <w:rPr>
          <w:sz w:val="18"/>
          <w:szCs w:val="18"/>
        </w:rPr>
      </w:pPr>
      <w:r w:rsidRPr="00095E9B">
        <w:rPr>
          <w:sz w:val="18"/>
          <w:szCs w:val="18"/>
        </w:rPr>
        <w:t xml:space="preserve">- na području jedinice lokalne samouprave u kojoj ima više od 100.000 stanovnika, osigurati najmanje četiri </w:t>
      </w:r>
      <w:proofErr w:type="spellStart"/>
      <w:r w:rsidRPr="00095E9B">
        <w:rPr>
          <w:sz w:val="18"/>
          <w:szCs w:val="18"/>
        </w:rPr>
        <w:t>reciklažna</w:t>
      </w:r>
      <w:proofErr w:type="spellEnd"/>
      <w:r w:rsidRPr="00095E9B">
        <w:rPr>
          <w:sz w:val="18"/>
          <w:szCs w:val="18"/>
        </w:rPr>
        <w:t xml:space="preserve"> dvorišta te još po jedno na svakih idućih 30.000 stanovnika. Iznimno, izvršno tijelo Grada Zagreba dužno je osigurati funkcioniranje barem jednog </w:t>
      </w:r>
      <w:proofErr w:type="spellStart"/>
      <w:r w:rsidRPr="00095E9B">
        <w:rPr>
          <w:sz w:val="18"/>
          <w:szCs w:val="18"/>
        </w:rPr>
        <w:t>reciklažnog</w:t>
      </w:r>
      <w:proofErr w:type="spellEnd"/>
      <w:r w:rsidRPr="00095E9B">
        <w:rPr>
          <w:sz w:val="18"/>
          <w:szCs w:val="18"/>
        </w:rPr>
        <w:t xml:space="preserve"> dvorišta u svakoj gradskoj četvrti</w:t>
      </w:r>
    </w:p>
    <w:p w14:paraId="5CBD0139" w14:textId="12BBAD72" w:rsidR="005D5B78" w:rsidRDefault="005D5B78" w:rsidP="00E11C93">
      <w:pPr>
        <w:spacing w:after="0" w:line="240" w:lineRule="auto"/>
      </w:pPr>
      <w:r w:rsidRPr="00095E9B">
        <w:rPr>
          <w:sz w:val="18"/>
          <w:szCs w:val="18"/>
        </w:rPr>
        <w:t xml:space="preserve">- na području naselja u kojem se ne nalazi </w:t>
      </w:r>
      <w:proofErr w:type="spellStart"/>
      <w:r w:rsidRPr="00095E9B">
        <w:rPr>
          <w:sz w:val="18"/>
          <w:szCs w:val="18"/>
        </w:rPr>
        <w:t>reciklažno</w:t>
      </w:r>
      <w:proofErr w:type="spellEnd"/>
      <w:r w:rsidRPr="00095E9B">
        <w:rPr>
          <w:sz w:val="18"/>
          <w:szCs w:val="18"/>
        </w:rPr>
        <w:t xml:space="preserve"> dvorište i na području svakog mjesnog odbora Grada Zagreba, osigurati dostupnost mobilnog </w:t>
      </w:r>
      <w:proofErr w:type="spellStart"/>
      <w:r w:rsidRPr="00095E9B">
        <w:rPr>
          <w:sz w:val="18"/>
          <w:szCs w:val="18"/>
        </w:rPr>
        <w:t>reciklažnog</w:t>
      </w:r>
      <w:proofErr w:type="spellEnd"/>
      <w:r w:rsidRPr="00095E9B">
        <w:rPr>
          <w:sz w:val="18"/>
          <w:szCs w:val="18"/>
        </w:rPr>
        <w:t xml:space="preserve"> dvorišta najmanje jednom svakih devedeset dana.</w:t>
      </w:r>
    </w:p>
  </w:footnote>
  <w:footnote w:id="26">
    <w:p w14:paraId="6E014299" w14:textId="49C35887" w:rsidR="005D5B78" w:rsidRPr="007C3BF8" w:rsidRDefault="005D5B78" w:rsidP="00762C39">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w:t>
      </w:r>
      <w:r w:rsidRPr="007C3BF8">
        <w:rPr>
          <w:rFonts w:cstheme="minorHAnsi"/>
          <w:sz w:val="18"/>
          <w:szCs w:val="18"/>
        </w:rPr>
        <w:t xml:space="preserve">Stupanjem na snagu Zakona o gospodarenju otpadom (NN 84/21) u srpnju 2021. godine, uspostavlja se Evidencija prijevoznika otpada, posrednika otpadom, trgovaca otpadom i </w:t>
      </w:r>
      <w:proofErr w:type="spellStart"/>
      <w:r w:rsidRPr="007C3BF8">
        <w:rPr>
          <w:rFonts w:cstheme="minorHAnsi"/>
          <w:sz w:val="18"/>
          <w:szCs w:val="18"/>
        </w:rPr>
        <w:t>reciklažnih</w:t>
      </w:r>
      <w:proofErr w:type="spellEnd"/>
      <w:r w:rsidRPr="007C3BF8">
        <w:rPr>
          <w:rFonts w:cstheme="minorHAnsi"/>
          <w:sz w:val="18"/>
          <w:szCs w:val="18"/>
        </w:rPr>
        <w:t xml:space="preserve"> dvorišta te prestaje važiti Očevidnik </w:t>
      </w:r>
      <w:proofErr w:type="spellStart"/>
      <w:r w:rsidRPr="007C3BF8">
        <w:rPr>
          <w:rFonts w:cstheme="minorHAnsi"/>
          <w:sz w:val="18"/>
          <w:szCs w:val="18"/>
        </w:rPr>
        <w:t>reciklažnih</w:t>
      </w:r>
      <w:proofErr w:type="spellEnd"/>
      <w:r w:rsidRPr="007C3BF8">
        <w:rPr>
          <w:rFonts w:cstheme="minorHAnsi"/>
          <w:sz w:val="18"/>
          <w:szCs w:val="18"/>
        </w:rPr>
        <w:t xml:space="preserve"> dvorišta. Mijenja se i nadležnost za upis sa MINGOR-a na nadležno upravno tijelo jedinice područne (regionalne) samouprave odnosno Grada Zagreba.</w:t>
      </w:r>
    </w:p>
  </w:footnote>
  <w:footnote w:id="27">
    <w:p w14:paraId="609388AC" w14:textId="77777777" w:rsidR="005D5B78" w:rsidRPr="007C3BF8" w:rsidRDefault="005D5B78" w:rsidP="005B09E7">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w:t>
      </w:r>
      <w:r w:rsidRPr="007C3BF8">
        <w:rPr>
          <w:rFonts w:cstheme="minorHAnsi"/>
          <w:sz w:val="18"/>
          <w:szCs w:val="18"/>
        </w:rPr>
        <w:t>Status na dan 10.8.2022.</w:t>
      </w:r>
    </w:p>
  </w:footnote>
  <w:footnote w:id="28">
    <w:p w14:paraId="4F9781FE" w14:textId="77777777" w:rsidR="005D5B78" w:rsidRPr="007C3BF8" w:rsidRDefault="005D5B78" w:rsidP="00BC155F">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w:t>
      </w:r>
      <w:r w:rsidRPr="007C3BF8">
        <w:rPr>
          <w:rFonts w:cstheme="minorHAnsi"/>
          <w:sz w:val="18"/>
          <w:szCs w:val="18"/>
        </w:rPr>
        <w:t xml:space="preserve">Podatak za 2021. godinu – status u bazi Registar dozvola i potvrda za gospodarenje otpadom na dan 11.8.2022. </w:t>
      </w:r>
    </w:p>
  </w:footnote>
  <w:footnote w:id="29">
    <w:p w14:paraId="0262D594" w14:textId="77777777" w:rsidR="005D5B78" w:rsidRPr="007C3BF8" w:rsidRDefault="005D5B78" w:rsidP="00BC155F">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w:t>
      </w:r>
      <w:r w:rsidRPr="007C3BF8">
        <w:rPr>
          <w:rFonts w:cstheme="minorHAnsi"/>
          <w:sz w:val="18"/>
          <w:szCs w:val="18"/>
        </w:rPr>
        <w:t xml:space="preserve">1. biljni otpad iz poljoprivrede i šumarstva, 2. biljni otpad nastao u industriji proizvodnje hrane u slučaju kada se koristi proizvedena toplinska energija, 3. vlaknasti biljni otpad nastao proizvodnjom celuloze i papira, ukoliko se energetska oporaba obavlja na mjestu njegove proizvodnje i uz korištenje proizvedene toplinske energije, </w:t>
      </w:r>
    </w:p>
    <w:p w14:paraId="24A83C40" w14:textId="77777777" w:rsidR="005D5B78" w:rsidRPr="007C3BF8" w:rsidRDefault="005D5B78" w:rsidP="00BC155F">
      <w:pPr>
        <w:pStyle w:val="Tekstfusnote"/>
        <w:rPr>
          <w:rFonts w:cstheme="minorHAnsi"/>
          <w:sz w:val="18"/>
          <w:szCs w:val="18"/>
        </w:rPr>
      </w:pPr>
      <w:r w:rsidRPr="007C3BF8">
        <w:rPr>
          <w:rFonts w:cstheme="minorHAnsi"/>
          <w:sz w:val="18"/>
          <w:szCs w:val="18"/>
        </w:rPr>
        <w:t>4. drvni otpad izuzev onog koji može sadržavati halogene organske spojeve ili teške metale kao rezultat obrade sa sredstvima zaštite drveta, premazivanja ili lijepljenja, te drvnog otpada koji potječe od gradnje ili rušenja, 5. otpad od pluta.</w:t>
      </w:r>
    </w:p>
  </w:footnote>
  <w:footnote w:id="30">
    <w:p w14:paraId="6CB66526" w14:textId="77777777" w:rsidR="005D5B78" w:rsidRDefault="005D5B78" w:rsidP="00BD1320">
      <w:pPr>
        <w:pStyle w:val="Tekstfusnote"/>
      </w:pPr>
      <w:r>
        <w:rPr>
          <w:rStyle w:val="Referencafusnote"/>
        </w:rPr>
        <w:footnoteRef/>
      </w:r>
      <w:r>
        <w:t xml:space="preserve"> </w:t>
      </w:r>
      <w:r>
        <w:t>Kod izračuna ostvarenja cilja</w:t>
      </w:r>
      <w:r w:rsidRPr="00FD553F">
        <w:t xml:space="preserve"> odabrana je prva metodologija </w:t>
      </w:r>
      <w:r>
        <w:t>prema kojoj se u obzir uzima masa</w:t>
      </w:r>
      <w:r w:rsidRPr="000E0D31">
        <w:t xml:space="preserve"> električne i elektroničke opreme stavljene na tržište u tri prethodne godine</w:t>
      </w:r>
      <w:r>
        <w:t>.</w:t>
      </w:r>
    </w:p>
  </w:footnote>
  <w:footnote w:id="31">
    <w:p w14:paraId="2FC361EC" w14:textId="77777777" w:rsidR="005D5B78" w:rsidRPr="007C3BF8" w:rsidRDefault="005D5B78" w:rsidP="00307DF3">
      <w:pPr>
        <w:pStyle w:val="Tekstfusnote"/>
        <w:rPr>
          <w:rFonts w:cstheme="minorHAnsi"/>
          <w:lang w:val="en-GB"/>
        </w:rPr>
      </w:pPr>
      <w:r w:rsidRPr="007C3BF8">
        <w:rPr>
          <w:rStyle w:val="Referencafusnote"/>
          <w:rFonts w:cstheme="minorHAnsi"/>
        </w:rPr>
        <w:footnoteRef/>
      </w:r>
      <w:r w:rsidRPr="007C3BF8">
        <w:rPr>
          <w:rFonts w:cstheme="minorHAnsi"/>
        </w:rPr>
        <w:t xml:space="preserve"> </w:t>
      </w:r>
      <w:r w:rsidRPr="007C3BF8">
        <w:rPr>
          <w:rFonts w:cstheme="minorHAnsi"/>
        </w:rPr>
        <w:t>minimalna godišnja stopa propisanu Uredbom koju donosi Vlada RH</w:t>
      </w:r>
    </w:p>
  </w:footnote>
  <w:footnote w:id="32">
    <w:p w14:paraId="4E1298BE" w14:textId="77777777" w:rsidR="005D5B78" w:rsidRPr="007C3BF8" w:rsidRDefault="005D5B78" w:rsidP="00AC5856">
      <w:pPr>
        <w:pStyle w:val="Tekstfusnote"/>
        <w:rPr>
          <w:rFonts w:cstheme="minorHAnsi"/>
        </w:rPr>
      </w:pPr>
      <w:r w:rsidRPr="007C3BF8">
        <w:rPr>
          <w:rStyle w:val="Referencafusnote"/>
          <w:rFonts w:cstheme="minorHAnsi"/>
        </w:rPr>
        <w:footnoteRef/>
      </w:r>
      <w:r w:rsidRPr="007C3BF8">
        <w:rPr>
          <w:rFonts w:cstheme="minorHAnsi"/>
        </w:rPr>
        <w:t xml:space="preserve"> </w:t>
      </w:r>
      <w:r w:rsidRPr="007C3BF8">
        <w:rPr>
          <w:rFonts w:cstheme="minorHAnsi"/>
        </w:rPr>
        <w:t>http://www.rera.hr/upload/stranice/2021/03/2021-03-10/18/nacionalnarazvojnastrategijarhdo2030godine.pdf</w:t>
      </w:r>
    </w:p>
  </w:footnote>
  <w:footnote w:id="33">
    <w:p w14:paraId="3A7A9068" w14:textId="77777777" w:rsidR="005D5B78" w:rsidRPr="007C3BF8" w:rsidRDefault="005D5B78" w:rsidP="00AC5856">
      <w:pPr>
        <w:pStyle w:val="Tekstfusnote"/>
        <w:rPr>
          <w:rFonts w:cstheme="minorHAnsi"/>
        </w:rPr>
      </w:pPr>
      <w:r w:rsidRPr="007C3BF8">
        <w:rPr>
          <w:rStyle w:val="Referencafusnote"/>
          <w:rFonts w:cstheme="minorHAnsi"/>
        </w:rPr>
        <w:footnoteRef/>
      </w:r>
      <w:r w:rsidRPr="007C3BF8">
        <w:rPr>
          <w:rFonts w:cstheme="minorHAnsi"/>
        </w:rPr>
        <w:t xml:space="preserve"> </w:t>
      </w:r>
      <w:r w:rsidRPr="007C3BF8">
        <w:rPr>
          <w:rFonts w:cstheme="minorHAnsi"/>
        </w:rPr>
        <w:t>https://vlada.gov.hr/UserDocsImages/2016/Sjednice/2022/Travanj/115%20sjednica%20VRH/Prezentacija%20Program%20konvergencije%202023-2025.pdf</w:t>
      </w:r>
    </w:p>
  </w:footnote>
  <w:footnote w:id="34">
    <w:p w14:paraId="1B9B9117" w14:textId="66D0DD69" w:rsidR="005D5B78" w:rsidRPr="007C3BF8" w:rsidRDefault="005D5B78">
      <w:pPr>
        <w:pStyle w:val="Tekstfusnote"/>
        <w:rPr>
          <w:rFonts w:cstheme="minorHAnsi"/>
        </w:rPr>
      </w:pPr>
      <w:r w:rsidRPr="007C3BF8">
        <w:rPr>
          <w:rStyle w:val="Referencafusnote"/>
          <w:rFonts w:cstheme="minorHAnsi"/>
        </w:rPr>
        <w:footnoteRef/>
      </w:r>
      <w:r w:rsidRPr="007C3BF8">
        <w:rPr>
          <w:rFonts w:cstheme="minorHAnsi"/>
        </w:rPr>
        <w:t xml:space="preserve"> </w:t>
      </w:r>
      <w:r w:rsidRPr="007C3BF8">
        <w:rPr>
          <w:rFonts w:cstheme="minorHAnsi"/>
        </w:rPr>
        <w:t>Akcijski plan za korištenje mulja iz uređaja za pročišćavanje otpadnih voda na pogodnim površinama (</w:t>
      </w:r>
      <w:r>
        <w:rPr>
          <w:rFonts w:cstheme="minorHAnsi"/>
        </w:rPr>
        <w:t xml:space="preserve">Ministarstvo zaštite okoliša i energetike, </w:t>
      </w:r>
      <w:r w:rsidRPr="007C3BF8">
        <w:rPr>
          <w:rFonts w:cstheme="minorHAnsi"/>
        </w:rPr>
        <w:t>Hrvatske vode, ožujak 2020.)</w:t>
      </w:r>
    </w:p>
  </w:footnote>
  <w:footnote w:id="35">
    <w:p w14:paraId="331E4807" w14:textId="738EE26F" w:rsidR="005D5B78" w:rsidRPr="007C3BF8" w:rsidRDefault="005D5B78" w:rsidP="007C3BF8">
      <w:pPr>
        <w:pStyle w:val="Tekstfusnote"/>
        <w:rPr>
          <w:rFonts w:cstheme="minorHAnsi"/>
          <w:lang w:val="en-GB"/>
        </w:rPr>
      </w:pPr>
      <w:r w:rsidRPr="007C3BF8">
        <w:rPr>
          <w:rStyle w:val="Referencafusnote"/>
          <w:rFonts w:cstheme="minorHAnsi"/>
        </w:rPr>
        <w:footnoteRef/>
      </w:r>
      <w:r w:rsidRPr="007C3BF8">
        <w:rPr>
          <w:rFonts w:cstheme="minorHAnsi"/>
        </w:rPr>
        <w:t xml:space="preserve"> </w:t>
      </w:r>
      <w:r>
        <w:rPr>
          <w:rFonts w:cstheme="minorHAnsi"/>
        </w:rPr>
        <w:t>M</w:t>
      </w:r>
      <w:r w:rsidRPr="007C3BF8">
        <w:rPr>
          <w:rFonts w:cstheme="minorHAnsi"/>
        </w:rPr>
        <w:t>inimalna godišnja stopa propisanu Uredbom koju donosi Vlada RH</w:t>
      </w:r>
    </w:p>
  </w:footnote>
  <w:footnote w:id="36">
    <w:p w14:paraId="4CE02F36" w14:textId="77777777" w:rsidR="005D5B78" w:rsidRDefault="005D5B78" w:rsidP="00AE6341">
      <w:pPr>
        <w:pStyle w:val="Tekstfusnote"/>
        <w:rPr>
          <w:rFonts w:cstheme="minorHAnsi"/>
        </w:rPr>
      </w:pPr>
      <w:r>
        <w:rPr>
          <w:rStyle w:val="Referencafusnote"/>
          <w:rFonts w:cstheme="minorHAnsi"/>
        </w:rPr>
        <w:footnoteRef/>
      </w:r>
      <w:r>
        <w:rPr>
          <w:rFonts w:cstheme="minorHAnsi"/>
        </w:rPr>
        <w:t xml:space="preserve"> </w:t>
      </w:r>
      <w:r>
        <w:rPr>
          <w:rFonts w:cstheme="minorHAnsi"/>
        </w:rPr>
        <w:t>Akcijski plan izrađuje se u sklopu projekta „Tehnička pomoć Ministarstvu gospodarstva i održivog razvoja za održivo gospodarenje otpadom – prijelaz na kružno gospodarstvo“ koji provodi Svjetska banka za obnovu i razvoj u suradnji s MINGOR</w:t>
      </w:r>
    </w:p>
  </w:footnote>
  <w:footnote w:id="37">
    <w:p w14:paraId="4F7FFA91" w14:textId="77777777" w:rsidR="005D5B78" w:rsidRDefault="005D5B78" w:rsidP="00AE6341">
      <w:pPr>
        <w:pStyle w:val="Tekstfusnote"/>
        <w:rPr>
          <w:rFonts w:cstheme="minorHAnsi"/>
        </w:rPr>
      </w:pPr>
      <w:r>
        <w:rPr>
          <w:rStyle w:val="Referencafusnote"/>
          <w:rFonts w:cstheme="minorHAnsi"/>
        </w:rPr>
        <w:footnoteRef/>
      </w:r>
      <w:r>
        <w:rPr>
          <w:rFonts w:cstheme="minorHAnsi"/>
        </w:rPr>
        <w:t xml:space="preserve"> </w:t>
      </w:r>
      <w:r>
        <w:rPr>
          <w:rFonts w:cstheme="minorHAnsi"/>
        </w:rPr>
        <w:t xml:space="preserve">Nacionalni registar proizvoda i usluga sa znakom EU </w:t>
      </w:r>
      <w:proofErr w:type="spellStart"/>
      <w:r>
        <w:rPr>
          <w:rFonts w:cstheme="minorHAnsi"/>
        </w:rPr>
        <w:t>Ecolabel</w:t>
      </w:r>
      <w:proofErr w:type="spellEnd"/>
      <w:r>
        <w:rPr>
          <w:rFonts w:cstheme="minorHAnsi"/>
        </w:rPr>
        <w:t xml:space="preserve"> je javan: </w:t>
      </w:r>
      <w:hyperlink r:id="rId4" w:history="1">
        <w:r>
          <w:rPr>
            <w:rStyle w:val="Hiperveza"/>
            <w:rFonts w:cstheme="minorHAnsi"/>
          </w:rPr>
          <w:t>https://mingor.gov.hr/nacionalni-registar-eu-ecolabel-proizvoda-i-usluga/8145</w:t>
        </w:r>
      </w:hyperlink>
    </w:p>
    <w:p w14:paraId="7BBC5F3E" w14:textId="77777777" w:rsidR="005D5B78" w:rsidRDefault="005D5B78" w:rsidP="00AE6341">
      <w:pPr>
        <w:pStyle w:val="Tekstfusnote"/>
        <w:rPr>
          <w:rFonts w:cstheme="minorHAnsi"/>
        </w:rPr>
      </w:pPr>
    </w:p>
  </w:footnote>
  <w:footnote w:id="38">
    <w:p w14:paraId="049ED42C" w14:textId="77777777" w:rsidR="005D5B78" w:rsidRDefault="005D5B78" w:rsidP="00AE6341">
      <w:pPr>
        <w:pStyle w:val="Tekstfusnote"/>
        <w:rPr>
          <w:rFonts w:cstheme="minorHAnsi"/>
        </w:rPr>
      </w:pPr>
      <w:r>
        <w:rPr>
          <w:rStyle w:val="Referencafusnote"/>
          <w:rFonts w:cstheme="minorHAnsi"/>
        </w:rPr>
        <w:footnoteRef/>
      </w:r>
      <w:r>
        <w:rPr>
          <w:rFonts w:cstheme="minorHAnsi"/>
        </w:rPr>
        <w:t xml:space="preserve"> </w:t>
      </w:r>
      <w:r>
        <w:rPr>
          <w:rFonts w:cstheme="minorHAnsi"/>
        </w:rPr>
        <w:t>Cilj definiran Odlukom o implementaciji Plana gospodarenja otpadom RH za razdoblje 2017.-2022.</w:t>
      </w:r>
    </w:p>
  </w:footnote>
  <w:footnote w:id="39">
    <w:p w14:paraId="5C3E5F32" w14:textId="77777777" w:rsidR="005D5B78" w:rsidRDefault="005D5B78" w:rsidP="00AE6341">
      <w:pPr>
        <w:pStyle w:val="Tekstfusnote"/>
        <w:rPr>
          <w:rFonts w:cstheme="minorHAnsi"/>
        </w:rPr>
      </w:pPr>
      <w:r>
        <w:rPr>
          <w:rStyle w:val="Referencafusnote"/>
          <w:rFonts w:cstheme="minorHAnsi"/>
        </w:rPr>
        <w:footnoteRef/>
      </w:r>
      <w:r>
        <w:rPr>
          <w:rFonts w:cstheme="minorHAnsi"/>
        </w:rPr>
        <w:t xml:space="preserve"> </w:t>
      </w:r>
      <w:hyperlink r:id="rId5" w:history="1">
        <w:r>
          <w:rPr>
            <w:rStyle w:val="Hiperveza"/>
            <w:rFonts w:cstheme="minorHAnsi"/>
          </w:rPr>
          <w:t>http://sprjecavanjeotpada.azo.hr/</w:t>
        </w:r>
      </w:hyperlink>
      <w:r>
        <w:rPr>
          <w:rFonts w:cstheme="minorHAnsi"/>
        </w:rPr>
        <w:t xml:space="preserve"> </w:t>
      </w:r>
    </w:p>
  </w:footnote>
  <w:footnote w:id="40">
    <w:p w14:paraId="5FD6D861" w14:textId="77777777" w:rsidR="005D5B78" w:rsidRDefault="005D5B78" w:rsidP="00AE6341">
      <w:pPr>
        <w:pStyle w:val="Tekstfusnote"/>
        <w:rPr>
          <w:rFonts w:cstheme="minorHAnsi"/>
        </w:rPr>
      </w:pPr>
      <w:r>
        <w:rPr>
          <w:rStyle w:val="Referencafusnote"/>
          <w:rFonts w:cstheme="minorHAnsi"/>
        </w:rPr>
        <w:footnoteRef/>
      </w:r>
      <w:r>
        <w:rPr>
          <w:rFonts w:cstheme="minorHAnsi"/>
        </w:rPr>
        <w:t xml:space="preserve"> </w:t>
      </w:r>
      <w:hyperlink r:id="rId6" w:history="1">
        <w:r>
          <w:rPr>
            <w:rStyle w:val="Hiperveza"/>
            <w:rFonts w:cstheme="minorHAnsi"/>
          </w:rPr>
          <w:t>https://www.hgk.hr/burza-otpada/o-burzi-otpada</w:t>
        </w:r>
      </w:hyperlink>
    </w:p>
  </w:footnote>
  <w:footnote w:id="41">
    <w:p w14:paraId="5037EB90" w14:textId="77777777" w:rsidR="005D5B78" w:rsidRDefault="005D5B78" w:rsidP="00AE6341">
      <w:pPr>
        <w:pStyle w:val="Tekstfusnote"/>
        <w:rPr>
          <w:rFonts w:cstheme="minorHAnsi"/>
        </w:rPr>
      </w:pPr>
      <w:r>
        <w:rPr>
          <w:rStyle w:val="Referencafusnote"/>
          <w:rFonts w:cstheme="minorHAnsi"/>
        </w:rPr>
        <w:footnoteRef/>
      </w:r>
      <w:r>
        <w:rPr>
          <w:rFonts w:cstheme="minorHAnsi"/>
        </w:rPr>
        <w:t xml:space="preserve"> </w:t>
      </w:r>
      <w:r>
        <w:rPr>
          <w:rFonts w:cstheme="minorHAnsi"/>
        </w:rPr>
        <w:t>Delegirana odluka Komisije (EU) 2019/1597 od 3. svibnja 2019., o dopuni Direktive 2008/98/EZ Europskog parlamenta i Vijeća u odnosu na zajedničku metodologiju i minimalne zahtjeve u pogledu kvalitete za ujednačeno mjerenje razine otpada od hrane</w:t>
      </w:r>
    </w:p>
  </w:footnote>
  <w:footnote w:id="42">
    <w:p w14:paraId="0C54C37D" w14:textId="77777777" w:rsidR="005D5B78" w:rsidRDefault="005D5B78" w:rsidP="00AE6341">
      <w:pPr>
        <w:pStyle w:val="Tekstfusnote"/>
        <w:rPr>
          <w:rFonts w:cstheme="minorHAnsi"/>
        </w:rPr>
      </w:pPr>
      <w:r>
        <w:rPr>
          <w:rStyle w:val="Referencafusnote"/>
          <w:rFonts w:cstheme="minorHAnsi"/>
        </w:rPr>
        <w:footnoteRef/>
      </w:r>
      <w:r>
        <w:rPr>
          <w:rFonts w:cstheme="minorHAnsi"/>
        </w:rPr>
        <w:t xml:space="preserve"> </w:t>
      </w:r>
      <w:r>
        <w:rPr>
          <w:rFonts w:cstheme="minorHAnsi"/>
        </w:rPr>
        <w:t xml:space="preserve">Provedbena odluka Komisije (EU) 2019/2000 </w:t>
      </w:r>
      <w:proofErr w:type="spellStart"/>
      <w:r>
        <w:rPr>
          <w:rFonts w:cstheme="minorHAnsi"/>
        </w:rPr>
        <w:t>оd</w:t>
      </w:r>
      <w:proofErr w:type="spellEnd"/>
      <w:r>
        <w:rPr>
          <w:rFonts w:cstheme="minorHAnsi"/>
        </w:rPr>
        <w:t xml:space="preserve"> 28. studenoga 2019. o utvrđivanju formata za dostavu podataka o otpadu od hrane i za podnošenje izvješća o provjeri kvalitete u skladu s Direktivom 2008/98/EZ Europskog parlamenta i Vijeća</w:t>
      </w:r>
    </w:p>
  </w:footnote>
  <w:footnote w:id="43">
    <w:p w14:paraId="2ADC5386" w14:textId="77777777" w:rsidR="005D5B78" w:rsidRDefault="005D5B78" w:rsidP="00AE6341">
      <w:pPr>
        <w:pStyle w:val="Tekstfusnote"/>
        <w:rPr>
          <w:rFonts w:cstheme="minorHAnsi"/>
        </w:rPr>
      </w:pPr>
      <w:r>
        <w:rPr>
          <w:rStyle w:val="Referencafusnote"/>
          <w:rFonts w:cstheme="minorHAnsi"/>
        </w:rPr>
        <w:footnoteRef/>
      </w:r>
      <w:r>
        <w:rPr>
          <w:rFonts w:cstheme="minorHAnsi"/>
        </w:rPr>
        <w:t xml:space="preserve"> </w:t>
      </w:r>
      <w:r>
        <w:rPr>
          <w:rFonts w:cstheme="minorHAnsi"/>
        </w:rPr>
        <w:t xml:space="preserve">Provedbena odluka Komisije (EU) 2019/1004 </w:t>
      </w:r>
      <w:proofErr w:type="spellStart"/>
      <w:r>
        <w:rPr>
          <w:rFonts w:cstheme="minorHAnsi"/>
        </w:rPr>
        <w:t>оd</w:t>
      </w:r>
      <w:proofErr w:type="spellEnd"/>
      <w:r>
        <w:rPr>
          <w:rFonts w:cstheme="minorHAnsi"/>
        </w:rPr>
        <w:t xml:space="preserve"> 7. lipnja 2019. o utvrđivanju pravila za izračun, provjeru i dostavu podataka o otpadu u skladu s Direktivom 2008/98/EZ Europskog parlamenta i Vijeća te o stavljanju izvan snage Provedbene odluke Komisije C(2012) 2384 </w:t>
      </w:r>
    </w:p>
  </w:footnote>
  <w:footnote w:id="44">
    <w:p w14:paraId="617D0F99" w14:textId="77777777" w:rsidR="005D5B78" w:rsidRDefault="005D5B78" w:rsidP="00AE6341">
      <w:pPr>
        <w:pStyle w:val="Tekstfusnote"/>
        <w:rPr>
          <w:rFonts w:cstheme="minorHAnsi"/>
        </w:rPr>
      </w:pPr>
      <w:r>
        <w:rPr>
          <w:rStyle w:val="Referencafusnote"/>
          <w:rFonts w:cstheme="minorHAnsi"/>
        </w:rPr>
        <w:footnoteRef/>
      </w:r>
      <w:r>
        <w:rPr>
          <w:rFonts w:cstheme="minorHAnsi"/>
        </w:rPr>
        <w:t xml:space="preserve"> </w:t>
      </w:r>
      <w:r>
        <w:rPr>
          <w:rFonts w:cstheme="minorHAnsi"/>
        </w:rPr>
        <w:t>Analiza snage, slabosti, šansi i prijetnji (eng</w:t>
      </w:r>
      <w:r>
        <w:rPr>
          <w:rFonts w:cstheme="minorHAnsi"/>
          <w:i/>
          <w:iCs/>
        </w:rPr>
        <w:t xml:space="preserve">. </w:t>
      </w:r>
      <w:proofErr w:type="spellStart"/>
      <w:r>
        <w:rPr>
          <w:rFonts w:cstheme="minorHAnsi"/>
          <w:i/>
          <w:iCs/>
        </w:rPr>
        <w:t>Strengths</w:t>
      </w:r>
      <w:proofErr w:type="spellEnd"/>
      <w:r>
        <w:rPr>
          <w:rFonts w:cstheme="minorHAnsi"/>
          <w:i/>
          <w:iCs/>
        </w:rPr>
        <w:t xml:space="preserve">, </w:t>
      </w:r>
      <w:proofErr w:type="spellStart"/>
      <w:r>
        <w:rPr>
          <w:rFonts w:cstheme="minorHAnsi"/>
          <w:i/>
          <w:iCs/>
        </w:rPr>
        <w:t>Weakness</w:t>
      </w:r>
      <w:proofErr w:type="spellEnd"/>
      <w:r>
        <w:rPr>
          <w:rFonts w:cstheme="minorHAnsi"/>
          <w:i/>
          <w:iCs/>
        </w:rPr>
        <w:t xml:space="preserve">, </w:t>
      </w:r>
      <w:proofErr w:type="spellStart"/>
      <w:r>
        <w:rPr>
          <w:rFonts w:cstheme="minorHAnsi"/>
          <w:i/>
          <w:iCs/>
        </w:rPr>
        <w:t>Opportunities</w:t>
      </w:r>
      <w:proofErr w:type="spellEnd"/>
      <w:r>
        <w:rPr>
          <w:rFonts w:cstheme="minorHAnsi"/>
          <w:i/>
          <w:iCs/>
        </w:rPr>
        <w:t xml:space="preserve"> </w:t>
      </w:r>
      <w:proofErr w:type="spellStart"/>
      <w:r>
        <w:rPr>
          <w:rFonts w:cstheme="minorHAnsi"/>
          <w:i/>
          <w:iCs/>
        </w:rPr>
        <w:t>and</w:t>
      </w:r>
      <w:proofErr w:type="spellEnd"/>
      <w:r>
        <w:rPr>
          <w:rFonts w:cstheme="minorHAnsi"/>
          <w:i/>
          <w:iCs/>
        </w:rPr>
        <w:t xml:space="preserve"> </w:t>
      </w:r>
      <w:proofErr w:type="spellStart"/>
      <w:r>
        <w:rPr>
          <w:rFonts w:cstheme="minorHAnsi"/>
          <w:i/>
          <w:iCs/>
        </w:rPr>
        <w:t>Threaths</w:t>
      </w:r>
      <w:proofErr w:type="spellEnd"/>
      <w:r>
        <w:rPr>
          <w:rFonts w:cstheme="minorHAnsi"/>
        </w:rPr>
        <w:t>)</w:t>
      </w:r>
    </w:p>
  </w:footnote>
  <w:footnote w:id="45">
    <w:p w14:paraId="15CC4B35" w14:textId="77777777" w:rsidR="005D5B78" w:rsidRDefault="005D5B78" w:rsidP="00AE6341">
      <w:pPr>
        <w:pStyle w:val="Tekstfusnote"/>
        <w:rPr>
          <w:rFonts w:cstheme="minorHAnsi"/>
        </w:rPr>
      </w:pPr>
      <w:r>
        <w:rPr>
          <w:rStyle w:val="Referencafusnote"/>
          <w:rFonts w:cstheme="minorHAnsi"/>
        </w:rPr>
        <w:footnoteRef/>
      </w:r>
      <w:r>
        <w:rPr>
          <w:rFonts w:cstheme="minorHAnsi"/>
        </w:rPr>
        <w:t xml:space="preserve"> </w:t>
      </w:r>
      <w:r>
        <w:rPr>
          <w:rFonts w:cstheme="minorHAnsi"/>
        </w:rPr>
        <w:t>Analizom se planiraju obuhvatiti posebne kategorije proizvoda za koje je uspostavljen sustav proširene odgovornosti proizvođača, a ne isključivo one definirane specifičnim ciljem Programa sprječavanja nastanka otpada za razdoblje 2023. – 2028. godine.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1603"/>
    <w:multiLevelType w:val="hybridMultilevel"/>
    <w:tmpl w:val="DBC820E0"/>
    <w:lvl w:ilvl="0" w:tplc="5928B7C0">
      <w:start w:val="13"/>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8BC548C"/>
    <w:multiLevelType w:val="multilevel"/>
    <w:tmpl w:val="FF7E1472"/>
    <w:name w:val="test_list_multilvl63"/>
    <w:styleLink w:val="naslovimultilvl"/>
    <w:lvl w:ilvl="0">
      <w:start w:val="1"/>
      <w:numFmt w:val="decimal"/>
      <w:pStyle w:val="Naslov1"/>
      <w:lvlText w:val="%1."/>
      <w:lvlJc w:val="left"/>
      <w:pPr>
        <w:ind w:left="567" w:hanging="567"/>
      </w:pPr>
      <w:rPr>
        <w:rFonts w:ascii="Segoe UI" w:hAnsi="Segoe UI" w:hint="default"/>
        <w:color w:val="003F71"/>
        <w:sz w:val="40"/>
      </w:rPr>
    </w:lvl>
    <w:lvl w:ilvl="1">
      <w:start w:val="1"/>
      <w:numFmt w:val="decimal"/>
      <w:pStyle w:val="Naslov2"/>
      <w:lvlText w:val="%1.%2."/>
      <w:lvlJc w:val="left"/>
      <w:pPr>
        <w:ind w:left="567" w:hanging="567"/>
      </w:pPr>
      <w:rPr>
        <w:rFonts w:ascii="Segoe UI" w:hAnsi="Segoe UI" w:hint="default"/>
        <w:color w:val="003F71"/>
        <w:sz w:val="28"/>
      </w:rPr>
    </w:lvl>
    <w:lvl w:ilvl="2">
      <w:start w:val="1"/>
      <w:numFmt w:val="decimal"/>
      <w:pStyle w:val="Naslov3"/>
      <w:lvlText w:val="%1.%2.%3."/>
      <w:lvlJc w:val="left"/>
      <w:pPr>
        <w:ind w:left="737" w:hanging="737"/>
      </w:pPr>
      <w:rPr>
        <w:rFonts w:ascii="Segoe UI" w:hAnsi="Segoe UI" w:hint="default"/>
        <w:color w:val="003F71"/>
        <w:sz w:val="24"/>
      </w:rPr>
    </w:lvl>
    <w:lvl w:ilvl="3">
      <w:start w:val="1"/>
      <w:numFmt w:val="decimal"/>
      <w:pStyle w:val="Naslov4"/>
      <w:lvlText w:val="%1.%2.%3.%4."/>
      <w:lvlJc w:val="left"/>
      <w:pPr>
        <w:ind w:left="737" w:hanging="737"/>
      </w:pPr>
      <w:rPr>
        <w:rFonts w:ascii="Segoe UI" w:hAnsi="Segoe UI" w:hint="default"/>
        <w:color w:val="003F71"/>
        <w:sz w:val="20"/>
      </w:rPr>
    </w:lvl>
    <w:lvl w:ilvl="4">
      <w:start w:val="1"/>
      <w:numFmt w:val="decimal"/>
      <w:lvlText w:val="%1.%2.%3.%4.%5."/>
      <w:lvlJc w:val="left"/>
      <w:pPr>
        <w:ind w:left="4394" w:hanging="794"/>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2" w15:restartNumberingAfterBreak="0">
    <w:nsid w:val="0A3824BA"/>
    <w:multiLevelType w:val="hybridMultilevel"/>
    <w:tmpl w:val="474EEF6E"/>
    <w:lvl w:ilvl="0" w:tplc="1880503A">
      <w:start w:val="5"/>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7D33859"/>
    <w:multiLevelType w:val="hybridMultilevel"/>
    <w:tmpl w:val="D026FF86"/>
    <w:lvl w:ilvl="0" w:tplc="FFFFFFFF">
      <w:start w:val="1"/>
      <w:numFmt w:val="upperRoman"/>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 w15:restartNumberingAfterBreak="0">
    <w:nsid w:val="1A044E16"/>
    <w:multiLevelType w:val="hybridMultilevel"/>
    <w:tmpl w:val="F53CB7D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1A155FAB"/>
    <w:multiLevelType w:val="hybridMultilevel"/>
    <w:tmpl w:val="CFC6675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1E2FD6"/>
    <w:multiLevelType w:val="multilevel"/>
    <w:tmpl w:val="B176805C"/>
    <w:lvl w:ilvl="0">
      <w:start w:val="1"/>
      <w:numFmt w:val="decimal"/>
      <w:lvlText w:val="%1."/>
      <w:lvlJc w:val="left"/>
      <w:pPr>
        <w:tabs>
          <w:tab w:val="num" w:pos="720"/>
        </w:tabs>
        <w:ind w:left="720" w:hanging="720"/>
      </w:pPr>
    </w:lvl>
    <w:lvl w:ilvl="1">
      <w:start w:val="1"/>
      <w:numFmt w:val="decimal"/>
      <w:pStyle w:val="Naslov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F506D02"/>
    <w:multiLevelType w:val="multilevel"/>
    <w:tmpl w:val="EEA84FAE"/>
    <w:lvl w:ilvl="0">
      <w:start w:val="1"/>
      <w:numFmt w:val="decimal"/>
      <w:pStyle w:val="SUEZnaslov1"/>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CB5F77"/>
    <w:multiLevelType w:val="hybridMultilevel"/>
    <w:tmpl w:val="57EEC5B4"/>
    <w:lvl w:ilvl="0" w:tplc="A3F20A9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4D24BDA"/>
    <w:multiLevelType w:val="multilevel"/>
    <w:tmpl w:val="FF7E1472"/>
    <w:name w:val="test_list_multilvl6252322"/>
    <w:numStyleLink w:val="naslovimultilvl"/>
  </w:abstractNum>
  <w:abstractNum w:abstractNumId="10" w15:restartNumberingAfterBreak="0">
    <w:nsid w:val="28E80B34"/>
    <w:multiLevelType w:val="hybridMultilevel"/>
    <w:tmpl w:val="0A1AC57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29263E37"/>
    <w:multiLevelType w:val="hybridMultilevel"/>
    <w:tmpl w:val="16D65E22"/>
    <w:lvl w:ilvl="0" w:tplc="5CE65480">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99E5BB9"/>
    <w:multiLevelType w:val="hybridMultilevel"/>
    <w:tmpl w:val="39DAA9B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2E5E08EE"/>
    <w:multiLevelType w:val="hybridMultilevel"/>
    <w:tmpl w:val="9C4476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2132FC8"/>
    <w:multiLevelType w:val="multilevel"/>
    <w:tmpl w:val="899E1A22"/>
    <w:lvl w:ilvl="0">
      <w:start w:val="1"/>
      <w:numFmt w:val="decimal"/>
      <w:pStyle w:val="Naslov10"/>
      <w:lvlText w:val="%1."/>
      <w:lvlJc w:val="left"/>
      <w:pPr>
        <w:tabs>
          <w:tab w:val="num" w:pos="906"/>
        </w:tabs>
        <w:ind w:left="906" w:hanging="48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23F584A"/>
    <w:multiLevelType w:val="hybridMultilevel"/>
    <w:tmpl w:val="A2C257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32DE3D6D"/>
    <w:multiLevelType w:val="hybridMultilevel"/>
    <w:tmpl w:val="A4ACD81C"/>
    <w:lvl w:ilvl="0" w:tplc="5CE65480">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E6E3264"/>
    <w:multiLevelType w:val="hybridMultilevel"/>
    <w:tmpl w:val="BCB6101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41082199"/>
    <w:multiLevelType w:val="hybridMultilevel"/>
    <w:tmpl w:val="2CE6F708"/>
    <w:lvl w:ilvl="0" w:tplc="A3F20A9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427539BB"/>
    <w:multiLevelType w:val="hybridMultilevel"/>
    <w:tmpl w:val="14FEA32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4C44D7B"/>
    <w:multiLevelType w:val="multilevel"/>
    <w:tmpl w:val="933607E6"/>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pStyle w:val="IRNaslov4"/>
      <w:lvlText w:val="%1.%2.%3.%4."/>
      <w:lvlJc w:val="left"/>
      <w:pPr>
        <w:ind w:left="2073" w:hanging="1080"/>
      </w:pPr>
      <w:rPr>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IRNaslov5"/>
      <w:lvlText w:val="%1.%2.%3.%4.%5."/>
      <w:lvlJc w:val="left"/>
      <w:pPr>
        <w:ind w:left="3916" w:hanging="1080"/>
      </w:pPr>
      <w:rPr>
        <w:rFonts w:hint="default"/>
        <w:sz w:val="22"/>
        <w:szCs w:val="22"/>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4D42CCF"/>
    <w:multiLevelType w:val="hybridMultilevel"/>
    <w:tmpl w:val="6DFA73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7804AD8"/>
    <w:multiLevelType w:val="hybridMultilevel"/>
    <w:tmpl w:val="14F098EC"/>
    <w:lvl w:ilvl="0" w:tplc="041A0001">
      <w:start w:val="1"/>
      <w:numFmt w:val="bullet"/>
      <w:lvlText w:val=""/>
      <w:lvlJc w:val="left"/>
      <w:pPr>
        <w:ind w:left="752" w:hanging="360"/>
      </w:pPr>
      <w:rPr>
        <w:rFonts w:ascii="Symbol" w:hAnsi="Symbol" w:hint="default"/>
      </w:rPr>
    </w:lvl>
    <w:lvl w:ilvl="1" w:tplc="041A0003">
      <w:start w:val="1"/>
      <w:numFmt w:val="bullet"/>
      <w:lvlText w:val="o"/>
      <w:lvlJc w:val="left"/>
      <w:pPr>
        <w:ind w:left="1472" w:hanging="360"/>
      </w:pPr>
      <w:rPr>
        <w:rFonts w:ascii="Courier New" w:hAnsi="Courier New" w:cs="Courier New" w:hint="default"/>
      </w:rPr>
    </w:lvl>
    <w:lvl w:ilvl="2" w:tplc="041A0005">
      <w:start w:val="1"/>
      <w:numFmt w:val="bullet"/>
      <w:lvlText w:val=""/>
      <w:lvlJc w:val="left"/>
      <w:pPr>
        <w:ind w:left="2192" w:hanging="360"/>
      </w:pPr>
      <w:rPr>
        <w:rFonts w:ascii="Wingdings" w:hAnsi="Wingdings" w:hint="default"/>
      </w:rPr>
    </w:lvl>
    <w:lvl w:ilvl="3" w:tplc="041A0001">
      <w:start w:val="1"/>
      <w:numFmt w:val="bullet"/>
      <w:lvlText w:val=""/>
      <w:lvlJc w:val="left"/>
      <w:pPr>
        <w:ind w:left="2912" w:hanging="360"/>
      </w:pPr>
      <w:rPr>
        <w:rFonts w:ascii="Symbol" w:hAnsi="Symbol" w:hint="default"/>
      </w:rPr>
    </w:lvl>
    <w:lvl w:ilvl="4" w:tplc="041A0003">
      <w:start w:val="1"/>
      <w:numFmt w:val="bullet"/>
      <w:lvlText w:val="o"/>
      <w:lvlJc w:val="left"/>
      <w:pPr>
        <w:ind w:left="3632" w:hanging="360"/>
      </w:pPr>
      <w:rPr>
        <w:rFonts w:ascii="Courier New" w:hAnsi="Courier New" w:cs="Courier New" w:hint="default"/>
      </w:rPr>
    </w:lvl>
    <w:lvl w:ilvl="5" w:tplc="041A0005">
      <w:start w:val="1"/>
      <w:numFmt w:val="bullet"/>
      <w:lvlText w:val=""/>
      <w:lvlJc w:val="left"/>
      <w:pPr>
        <w:ind w:left="4352" w:hanging="360"/>
      </w:pPr>
      <w:rPr>
        <w:rFonts w:ascii="Wingdings" w:hAnsi="Wingdings" w:hint="default"/>
      </w:rPr>
    </w:lvl>
    <w:lvl w:ilvl="6" w:tplc="041A0001">
      <w:start w:val="1"/>
      <w:numFmt w:val="bullet"/>
      <w:lvlText w:val=""/>
      <w:lvlJc w:val="left"/>
      <w:pPr>
        <w:ind w:left="5072" w:hanging="360"/>
      </w:pPr>
      <w:rPr>
        <w:rFonts w:ascii="Symbol" w:hAnsi="Symbol" w:hint="default"/>
      </w:rPr>
    </w:lvl>
    <w:lvl w:ilvl="7" w:tplc="041A0003">
      <w:start w:val="1"/>
      <w:numFmt w:val="bullet"/>
      <w:lvlText w:val="o"/>
      <w:lvlJc w:val="left"/>
      <w:pPr>
        <w:ind w:left="5792" w:hanging="360"/>
      </w:pPr>
      <w:rPr>
        <w:rFonts w:ascii="Courier New" w:hAnsi="Courier New" w:cs="Courier New" w:hint="default"/>
      </w:rPr>
    </w:lvl>
    <w:lvl w:ilvl="8" w:tplc="041A0005">
      <w:start w:val="1"/>
      <w:numFmt w:val="bullet"/>
      <w:lvlText w:val=""/>
      <w:lvlJc w:val="left"/>
      <w:pPr>
        <w:ind w:left="6512" w:hanging="360"/>
      </w:pPr>
      <w:rPr>
        <w:rFonts w:ascii="Wingdings" w:hAnsi="Wingdings" w:hint="default"/>
      </w:rPr>
    </w:lvl>
  </w:abstractNum>
  <w:abstractNum w:abstractNumId="23" w15:restartNumberingAfterBreak="0">
    <w:nsid w:val="4B9D199A"/>
    <w:multiLevelType w:val="multilevel"/>
    <w:tmpl w:val="584005DE"/>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sz w:val="22"/>
        <w:szCs w:val="22"/>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4ED80679"/>
    <w:multiLevelType w:val="hybridMultilevel"/>
    <w:tmpl w:val="02747D48"/>
    <w:lvl w:ilvl="0" w:tplc="A3F20A9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548A6982"/>
    <w:multiLevelType w:val="hybridMultilevel"/>
    <w:tmpl w:val="DC02C15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551F4F3F"/>
    <w:multiLevelType w:val="hybridMultilevel"/>
    <w:tmpl w:val="B1A0D0B8"/>
    <w:lvl w:ilvl="0" w:tplc="C77EA65C">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55724D03"/>
    <w:multiLevelType w:val="hybridMultilevel"/>
    <w:tmpl w:val="4CB2C52E"/>
    <w:lvl w:ilvl="0" w:tplc="A3F20A9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578E36C2"/>
    <w:multiLevelType w:val="multilevel"/>
    <w:tmpl w:val="FE2EF5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87A0DB8"/>
    <w:multiLevelType w:val="multilevel"/>
    <w:tmpl w:val="7F9C2A56"/>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9236D65"/>
    <w:multiLevelType w:val="hybridMultilevel"/>
    <w:tmpl w:val="D026FF86"/>
    <w:lvl w:ilvl="0" w:tplc="2A58E73C">
      <w:start w:val="1"/>
      <w:numFmt w:val="upperRoman"/>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1" w15:restartNumberingAfterBreak="0">
    <w:nsid w:val="5C033AAD"/>
    <w:multiLevelType w:val="hybridMultilevel"/>
    <w:tmpl w:val="599E66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C305B06"/>
    <w:multiLevelType w:val="hybridMultilevel"/>
    <w:tmpl w:val="AABC67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EA94C3A"/>
    <w:multiLevelType w:val="hybridMultilevel"/>
    <w:tmpl w:val="C1043322"/>
    <w:lvl w:ilvl="0" w:tplc="34005218">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5194F76"/>
    <w:multiLevelType w:val="hybridMultilevel"/>
    <w:tmpl w:val="70CA914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6755780F"/>
    <w:multiLevelType w:val="hybridMultilevel"/>
    <w:tmpl w:val="709EC9F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6A6455CE"/>
    <w:multiLevelType w:val="hybridMultilevel"/>
    <w:tmpl w:val="1E7CD47E"/>
    <w:lvl w:ilvl="0" w:tplc="5CE65480">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1FE7034"/>
    <w:multiLevelType w:val="hybridMultilevel"/>
    <w:tmpl w:val="86DE5518"/>
    <w:lvl w:ilvl="0" w:tplc="A3F20A9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8" w15:restartNumberingAfterBreak="0">
    <w:nsid w:val="76597A79"/>
    <w:multiLevelType w:val="hybridMultilevel"/>
    <w:tmpl w:val="EDDE0BA2"/>
    <w:lvl w:ilvl="0" w:tplc="041A0009">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9" w15:restartNumberingAfterBreak="0">
    <w:nsid w:val="76E50084"/>
    <w:multiLevelType w:val="multilevel"/>
    <w:tmpl w:val="7F9C2A56"/>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7DD1981"/>
    <w:multiLevelType w:val="hybridMultilevel"/>
    <w:tmpl w:val="6250F59A"/>
    <w:lvl w:ilvl="0" w:tplc="A3F20A9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BC10169"/>
    <w:multiLevelType w:val="hybridMultilevel"/>
    <w:tmpl w:val="F99A46D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2" w15:restartNumberingAfterBreak="0">
    <w:nsid w:val="7C8F52B1"/>
    <w:multiLevelType w:val="hybridMultilevel"/>
    <w:tmpl w:val="B8926B32"/>
    <w:lvl w:ilvl="0" w:tplc="041A0009">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3" w15:restartNumberingAfterBreak="0">
    <w:nsid w:val="7DE81352"/>
    <w:multiLevelType w:val="hybridMultilevel"/>
    <w:tmpl w:val="0978B432"/>
    <w:lvl w:ilvl="0" w:tplc="5CE65480">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E4A2824"/>
    <w:multiLevelType w:val="hybridMultilevel"/>
    <w:tmpl w:val="3104AF2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742940990">
    <w:abstractNumId w:val="7"/>
  </w:num>
  <w:num w:numId="2" w16cid:durableId="685594392">
    <w:abstractNumId w:val="14"/>
  </w:num>
  <w:num w:numId="3" w16cid:durableId="1053164859">
    <w:abstractNumId w:val="6"/>
  </w:num>
  <w:num w:numId="4" w16cid:durableId="1599747924">
    <w:abstractNumId w:val="29"/>
  </w:num>
  <w:num w:numId="5" w16cid:durableId="1666206398">
    <w:abstractNumId w:val="39"/>
  </w:num>
  <w:num w:numId="6" w16cid:durableId="1361082422">
    <w:abstractNumId w:val="0"/>
  </w:num>
  <w:num w:numId="7" w16cid:durableId="1290477899">
    <w:abstractNumId w:val="15"/>
  </w:num>
  <w:num w:numId="8" w16cid:durableId="147327209">
    <w:abstractNumId w:val="38"/>
  </w:num>
  <w:num w:numId="9" w16cid:durableId="2107723584">
    <w:abstractNumId w:val="10"/>
  </w:num>
  <w:num w:numId="10" w16cid:durableId="102846385">
    <w:abstractNumId w:val="42"/>
  </w:num>
  <w:num w:numId="11" w16cid:durableId="2044743178">
    <w:abstractNumId w:val="34"/>
  </w:num>
  <w:num w:numId="12" w16cid:durableId="1796749994">
    <w:abstractNumId w:val="12"/>
  </w:num>
  <w:num w:numId="13" w16cid:durableId="1940019002">
    <w:abstractNumId w:val="35"/>
  </w:num>
  <w:num w:numId="14" w16cid:durableId="956564216">
    <w:abstractNumId w:val="44"/>
  </w:num>
  <w:num w:numId="15" w16cid:durableId="1608734910">
    <w:abstractNumId w:val="41"/>
  </w:num>
  <w:num w:numId="16" w16cid:durableId="207375603">
    <w:abstractNumId w:val="22"/>
  </w:num>
  <w:num w:numId="17" w16cid:durableId="2073237949">
    <w:abstractNumId w:val="2"/>
  </w:num>
  <w:num w:numId="18" w16cid:durableId="1217207400">
    <w:abstractNumId w:val="8"/>
  </w:num>
  <w:num w:numId="19" w16cid:durableId="274486272">
    <w:abstractNumId w:val="31"/>
  </w:num>
  <w:num w:numId="20" w16cid:durableId="29495466">
    <w:abstractNumId w:val="37"/>
  </w:num>
  <w:num w:numId="21" w16cid:durableId="1643608895">
    <w:abstractNumId w:val="24"/>
  </w:num>
  <w:num w:numId="22" w16cid:durableId="872420300">
    <w:abstractNumId w:val="20"/>
  </w:num>
  <w:num w:numId="23" w16cid:durableId="1658537189">
    <w:abstractNumId w:val="43"/>
  </w:num>
  <w:num w:numId="24" w16cid:durableId="869614069">
    <w:abstractNumId w:val="11"/>
  </w:num>
  <w:num w:numId="25" w16cid:durableId="1442339704">
    <w:abstractNumId w:val="36"/>
  </w:num>
  <w:num w:numId="26" w16cid:durableId="1659453290">
    <w:abstractNumId w:val="16"/>
  </w:num>
  <w:num w:numId="27" w16cid:durableId="258755452">
    <w:abstractNumId w:val="5"/>
  </w:num>
  <w:num w:numId="28" w16cid:durableId="2004702055">
    <w:abstractNumId w:val="13"/>
  </w:num>
  <w:num w:numId="29" w16cid:durableId="219944835">
    <w:abstractNumId w:val="15"/>
  </w:num>
  <w:num w:numId="30" w16cid:durableId="468208688">
    <w:abstractNumId w:val="38"/>
  </w:num>
  <w:num w:numId="31" w16cid:durableId="2317736">
    <w:abstractNumId w:val="10"/>
  </w:num>
  <w:num w:numId="32" w16cid:durableId="1089353968">
    <w:abstractNumId w:val="42"/>
  </w:num>
  <w:num w:numId="33" w16cid:durableId="1537231698">
    <w:abstractNumId w:val="34"/>
  </w:num>
  <w:num w:numId="34" w16cid:durableId="827095036">
    <w:abstractNumId w:val="12"/>
  </w:num>
  <w:num w:numId="35" w16cid:durableId="1475949811">
    <w:abstractNumId w:val="35"/>
  </w:num>
  <w:num w:numId="36" w16cid:durableId="1980762869">
    <w:abstractNumId w:val="44"/>
  </w:num>
  <w:num w:numId="37" w16cid:durableId="1711564211">
    <w:abstractNumId w:val="41"/>
  </w:num>
  <w:num w:numId="38" w16cid:durableId="18205405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90698630">
    <w:abstractNumId w:val="22"/>
  </w:num>
  <w:num w:numId="40" w16cid:durableId="270817772">
    <w:abstractNumId w:val="2"/>
  </w:num>
  <w:num w:numId="41" w16cid:durableId="531111517">
    <w:abstractNumId w:val="18"/>
  </w:num>
  <w:num w:numId="42" w16cid:durableId="1887251932">
    <w:abstractNumId w:val="23"/>
  </w:num>
  <w:num w:numId="43" w16cid:durableId="2057047443">
    <w:abstractNumId w:val="19"/>
  </w:num>
  <w:num w:numId="44" w16cid:durableId="639500976">
    <w:abstractNumId w:val="1"/>
  </w:num>
  <w:num w:numId="45" w16cid:durableId="21516972">
    <w:abstractNumId w:val="9"/>
    <w:lvlOverride w:ilvl="0">
      <w:lvl w:ilvl="0">
        <w:start w:val="1"/>
        <w:numFmt w:val="decimal"/>
        <w:pStyle w:val="Naslov1"/>
        <w:lvlText w:val="%1."/>
        <w:lvlJc w:val="left"/>
        <w:pPr>
          <w:ind w:left="567" w:hanging="567"/>
        </w:pPr>
        <w:rPr>
          <w:rFonts w:ascii="Times New Roman" w:hAnsi="Times New Roman" w:cs="Times New Roman" w:hint="default"/>
          <w:color w:val="auto"/>
          <w:sz w:val="40"/>
        </w:rPr>
      </w:lvl>
    </w:lvlOverride>
    <w:lvlOverride w:ilvl="1">
      <w:lvl w:ilvl="1">
        <w:start w:val="1"/>
        <w:numFmt w:val="decimal"/>
        <w:pStyle w:val="Naslov2"/>
        <w:lvlText w:val="%1.%2."/>
        <w:lvlJc w:val="left"/>
        <w:pPr>
          <w:ind w:left="851" w:hanging="567"/>
        </w:pPr>
        <w:rPr>
          <w:rFonts w:ascii="Times New Roman" w:hAnsi="Times New Roman" w:cs="Times New Roman" w:hint="default"/>
          <w:color w:val="auto"/>
          <w:sz w:val="28"/>
        </w:rPr>
      </w:lvl>
    </w:lvlOverride>
    <w:lvlOverride w:ilvl="2">
      <w:lvl w:ilvl="2">
        <w:start w:val="1"/>
        <w:numFmt w:val="decimal"/>
        <w:pStyle w:val="Naslov3"/>
        <w:lvlText w:val="%1.%2.%3."/>
        <w:lvlJc w:val="left"/>
        <w:pPr>
          <w:ind w:left="737" w:hanging="737"/>
        </w:pPr>
        <w:rPr>
          <w:rFonts w:ascii="Times New Roman" w:hAnsi="Times New Roman" w:cs="Times New Roman" w:hint="default"/>
          <w:color w:val="auto"/>
          <w:sz w:val="24"/>
        </w:rPr>
      </w:lvl>
    </w:lvlOverride>
  </w:num>
  <w:num w:numId="46" w16cid:durableId="279730550">
    <w:abstractNumId w:val="33"/>
  </w:num>
  <w:num w:numId="47" w16cid:durableId="661083228">
    <w:abstractNumId w:val="30"/>
  </w:num>
  <w:num w:numId="48" w16cid:durableId="1329551790">
    <w:abstractNumId w:val="3"/>
  </w:num>
  <w:num w:numId="49" w16cid:durableId="1676691321">
    <w:abstractNumId w:val="17"/>
  </w:num>
  <w:num w:numId="50" w16cid:durableId="776294651">
    <w:abstractNumId w:val="25"/>
  </w:num>
  <w:num w:numId="51" w16cid:durableId="974220210">
    <w:abstractNumId w:val="27"/>
  </w:num>
  <w:num w:numId="52" w16cid:durableId="1267806047">
    <w:abstractNumId w:val="4"/>
  </w:num>
  <w:num w:numId="53" w16cid:durableId="1903321277">
    <w:abstractNumId w:val="28"/>
  </w:num>
  <w:num w:numId="54" w16cid:durableId="189010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512060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81257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003721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199759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561839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79623930">
    <w:abstractNumId w:val="40"/>
  </w:num>
  <w:num w:numId="61" w16cid:durableId="2070758989">
    <w:abstractNumId w:val="21"/>
  </w:num>
  <w:num w:numId="62" w16cid:durableId="735007383">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nja Polonijo">
    <w15:presenceInfo w15:providerId="Windows Live" w15:userId="5ac440e8013f49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F8"/>
    <w:rsid w:val="00001905"/>
    <w:rsid w:val="00003017"/>
    <w:rsid w:val="00003048"/>
    <w:rsid w:val="00003C5E"/>
    <w:rsid w:val="00004EC1"/>
    <w:rsid w:val="000061DF"/>
    <w:rsid w:val="000100AA"/>
    <w:rsid w:val="000106D3"/>
    <w:rsid w:val="00010942"/>
    <w:rsid w:val="00010C87"/>
    <w:rsid w:val="00011688"/>
    <w:rsid w:val="00012929"/>
    <w:rsid w:val="00012CDC"/>
    <w:rsid w:val="00013C85"/>
    <w:rsid w:val="00023C19"/>
    <w:rsid w:val="000254FA"/>
    <w:rsid w:val="00025552"/>
    <w:rsid w:val="00027B68"/>
    <w:rsid w:val="00030119"/>
    <w:rsid w:val="00030A03"/>
    <w:rsid w:val="0003226A"/>
    <w:rsid w:val="000328BD"/>
    <w:rsid w:val="00032C04"/>
    <w:rsid w:val="0003353B"/>
    <w:rsid w:val="000358BB"/>
    <w:rsid w:val="000373B6"/>
    <w:rsid w:val="000405AA"/>
    <w:rsid w:val="0004270E"/>
    <w:rsid w:val="00044080"/>
    <w:rsid w:val="000440F6"/>
    <w:rsid w:val="000444C4"/>
    <w:rsid w:val="00045752"/>
    <w:rsid w:val="000458B6"/>
    <w:rsid w:val="00047796"/>
    <w:rsid w:val="00047A14"/>
    <w:rsid w:val="00047DDA"/>
    <w:rsid w:val="0005151B"/>
    <w:rsid w:val="00051866"/>
    <w:rsid w:val="000552E4"/>
    <w:rsid w:val="00055983"/>
    <w:rsid w:val="00055EB8"/>
    <w:rsid w:val="00056EF0"/>
    <w:rsid w:val="00057E06"/>
    <w:rsid w:val="00057F96"/>
    <w:rsid w:val="00060B03"/>
    <w:rsid w:val="00061E17"/>
    <w:rsid w:val="00063459"/>
    <w:rsid w:val="000648DB"/>
    <w:rsid w:val="000735CA"/>
    <w:rsid w:val="0007399E"/>
    <w:rsid w:val="00074E8B"/>
    <w:rsid w:val="0008118A"/>
    <w:rsid w:val="00083826"/>
    <w:rsid w:val="0008540A"/>
    <w:rsid w:val="00086FBB"/>
    <w:rsid w:val="00090ACB"/>
    <w:rsid w:val="00090FFD"/>
    <w:rsid w:val="0009309A"/>
    <w:rsid w:val="000937D7"/>
    <w:rsid w:val="00093E0E"/>
    <w:rsid w:val="00095E9B"/>
    <w:rsid w:val="000A2891"/>
    <w:rsid w:val="000A30CC"/>
    <w:rsid w:val="000A3164"/>
    <w:rsid w:val="000A7D94"/>
    <w:rsid w:val="000B02E8"/>
    <w:rsid w:val="000B02E9"/>
    <w:rsid w:val="000B0F7F"/>
    <w:rsid w:val="000B0FC1"/>
    <w:rsid w:val="000B180F"/>
    <w:rsid w:val="000B4103"/>
    <w:rsid w:val="000B5DBE"/>
    <w:rsid w:val="000C1EE8"/>
    <w:rsid w:val="000C26D2"/>
    <w:rsid w:val="000C3166"/>
    <w:rsid w:val="000C42FA"/>
    <w:rsid w:val="000C573A"/>
    <w:rsid w:val="000C629C"/>
    <w:rsid w:val="000D04FF"/>
    <w:rsid w:val="000D054F"/>
    <w:rsid w:val="000D07E8"/>
    <w:rsid w:val="000D2B45"/>
    <w:rsid w:val="000E0C3C"/>
    <w:rsid w:val="000E0F98"/>
    <w:rsid w:val="000E10DF"/>
    <w:rsid w:val="000E236B"/>
    <w:rsid w:val="000E4479"/>
    <w:rsid w:val="000E457E"/>
    <w:rsid w:val="000E6BC6"/>
    <w:rsid w:val="000E7E81"/>
    <w:rsid w:val="000F10D6"/>
    <w:rsid w:val="000F46A9"/>
    <w:rsid w:val="000F5628"/>
    <w:rsid w:val="000F662A"/>
    <w:rsid w:val="0010161F"/>
    <w:rsid w:val="0010715D"/>
    <w:rsid w:val="001147E5"/>
    <w:rsid w:val="00114AAE"/>
    <w:rsid w:val="00114AAF"/>
    <w:rsid w:val="00122AD2"/>
    <w:rsid w:val="00122AEE"/>
    <w:rsid w:val="00123271"/>
    <w:rsid w:val="00123C18"/>
    <w:rsid w:val="00126848"/>
    <w:rsid w:val="00130086"/>
    <w:rsid w:val="001306FE"/>
    <w:rsid w:val="001308EB"/>
    <w:rsid w:val="001314B4"/>
    <w:rsid w:val="00132FE4"/>
    <w:rsid w:val="00134062"/>
    <w:rsid w:val="001342FF"/>
    <w:rsid w:val="001346F3"/>
    <w:rsid w:val="00141FD4"/>
    <w:rsid w:val="00143080"/>
    <w:rsid w:val="00143B57"/>
    <w:rsid w:val="00146322"/>
    <w:rsid w:val="001543C9"/>
    <w:rsid w:val="00154E38"/>
    <w:rsid w:val="00155CE5"/>
    <w:rsid w:val="001567FF"/>
    <w:rsid w:val="00156878"/>
    <w:rsid w:val="001574A7"/>
    <w:rsid w:val="001575CA"/>
    <w:rsid w:val="00157C2E"/>
    <w:rsid w:val="001636FD"/>
    <w:rsid w:val="001641A6"/>
    <w:rsid w:val="001649D4"/>
    <w:rsid w:val="0016691A"/>
    <w:rsid w:val="00170AB2"/>
    <w:rsid w:val="001721E2"/>
    <w:rsid w:val="00175ED5"/>
    <w:rsid w:val="00180ECE"/>
    <w:rsid w:val="00182052"/>
    <w:rsid w:val="00182D25"/>
    <w:rsid w:val="0018393A"/>
    <w:rsid w:val="001839B6"/>
    <w:rsid w:val="0018450E"/>
    <w:rsid w:val="001875DB"/>
    <w:rsid w:val="00187A1C"/>
    <w:rsid w:val="001901F6"/>
    <w:rsid w:val="0019120B"/>
    <w:rsid w:val="00192B3B"/>
    <w:rsid w:val="001933CD"/>
    <w:rsid w:val="0019459A"/>
    <w:rsid w:val="00194DA5"/>
    <w:rsid w:val="00194DBF"/>
    <w:rsid w:val="00195292"/>
    <w:rsid w:val="00196753"/>
    <w:rsid w:val="00196E33"/>
    <w:rsid w:val="00197065"/>
    <w:rsid w:val="00197EB4"/>
    <w:rsid w:val="001A0090"/>
    <w:rsid w:val="001A1409"/>
    <w:rsid w:val="001A1A8C"/>
    <w:rsid w:val="001A6F69"/>
    <w:rsid w:val="001B3E44"/>
    <w:rsid w:val="001B491E"/>
    <w:rsid w:val="001B4B00"/>
    <w:rsid w:val="001B566B"/>
    <w:rsid w:val="001B7C99"/>
    <w:rsid w:val="001C2A0C"/>
    <w:rsid w:val="001C38FA"/>
    <w:rsid w:val="001C4626"/>
    <w:rsid w:val="001C670D"/>
    <w:rsid w:val="001C7057"/>
    <w:rsid w:val="001D1CF1"/>
    <w:rsid w:val="001D30A5"/>
    <w:rsid w:val="001D493F"/>
    <w:rsid w:val="001E0A92"/>
    <w:rsid w:val="001E1A1E"/>
    <w:rsid w:val="001E5F4B"/>
    <w:rsid w:val="001E6189"/>
    <w:rsid w:val="001F0B5B"/>
    <w:rsid w:val="001F0D07"/>
    <w:rsid w:val="001F0EBD"/>
    <w:rsid w:val="001F122E"/>
    <w:rsid w:val="001F3A30"/>
    <w:rsid w:val="001F3CAD"/>
    <w:rsid w:val="001F5FE7"/>
    <w:rsid w:val="001F62D6"/>
    <w:rsid w:val="001F6547"/>
    <w:rsid w:val="001F7C77"/>
    <w:rsid w:val="00200999"/>
    <w:rsid w:val="00202782"/>
    <w:rsid w:val="00203F8A"/>
    <w:rsid w:val="00205E74"/>
    <w:rsid w:val="00206BF2"/>
    <w:rsid w:val="00206CA9"/>
    <w:rsid w:val="00210652"/>
    <w:rsid w:val="002109B0"/>
    <w:rsid w:val="00210C14"/>
    <w:rsid w:val="002111B9"/>
    <w:rsid w:val="002136D4"/>
    <w:rsid w:val="00213955"/>
    <w:rsid w:val="00214770"/>
    <w:rsid w:val="002156D8"/>
    <w:rsid w:val="002157D2"/>
    <w:rsid w:val="00215939"/>
    <w:rsid w:val="002160F2"/>
    <w:rsid w:val="00221C46"/>
    <w:rsid w:val="00221E74"/>
    <w:rsid w:val="0022347A"/>
    <w:rsid w:val="002243D9"/>
    <w:rsid w:val="00224904"/>
    <w:rsid w:val="00224916"/>
    <w:rsid w:val="002252F5"/>
    <w:rsid w:val="002307FD"/>
    <w:rsid w:val="00230CC4"/>
    <w:rsid w:val="0023246C"/>
    <w:rsid w:val="00234C43"/>
    <w:rsid w:val="00234F78"/>
    <w:rsid w:val="00235AB9"/>
    <w:rsid w:val="0023785A"/>
    <w:rsid w:val="00240217"/>
    <w:rsid w:val="00240BFC"/>
    <w:rsid w:val="00240DF8"/>
    <w:rsid w:val="00241658"/>
    <w:rsid w:val="00241B76"/>
    <w:rsid w:val="002460A5"/>
    <w:rsid w:val="00250044"/>
    <w:rsid w:val="002519DD"/>
    <w:rsid w:val="0025274E"/>
    <w:rsid w:val="0025309C"/>
    <w:rsid w:val="0025474A"/>
    <w:rsid w:val="0025509C"/>
    <w:rsid w:val="002559F7"/>
    <w:rsid w:val="002608D7"/>
    <w:rsid w:val="00260C2B"/>
    <w:rsid w:val="002647FF"/>
    <w:rsid w:val="00265843"/>
    <w:rsid w:val="00267AFC"/>
    <w:rsid w:val="00267D2B"/>
    <w:rsid w:val="00272E97"/>
    <w:rsid w:val="00273BE9"/>
    <w:rsid w:val="00276F83"/>
    <w:rsid w:val="00280EDD"/>
    <w:rsid w:val="0028147C"/>
    <w:rsid w:val="00281508"/>
    <w:rsid w:val="00283CB7"/>
    <w:rsid w:val="00285DE1"/>
    <w:rsid w:val="00286C5B"/>
    <w:rsid w:val="00287064"/>
    <w:rsid w:val="00287D15"/>
    <w:rsid w:val="00292402"/>
    <w:rsid w:val="00293900"/>
    <w:rsid w:val="00294492"/>
    <w:rsid w:val="00294D00"/>
    <w:rsid w:val="00294FB7"/>
    <w:rsid w:val="002977B2"/>
    <w:rsid w:val="00297CDC"/>
    <w:rsid w:val="002A139A"/>
    <w:rsid w:val="002A2837"/>
    <w:rsid w:val="002A291F"/>
    <w:rsid w:val="002A78F6"/>
    <w:rsid w:val="002B0577"/>
    <w:rsid w:val="002B0726"/>
    <w:rsid w:val="002B2203"/>
    <w:rsid w:val="002B66E9"/>
    <w:rsid w:val="002B6978"/>
    <w:rsid w:val="002B7B5D"/>
    <w:rsid w:val="002C1C73"/>
    <w:rsid w:val="002C4AD8"/>
    <w:rsid w:val="002C61A4"/>
    <w:rsid w:val="002C685C"/>
    <w:rsid w:val="002C73D9"/>
    <w:rsid w:val="002D0ECC"/>
    <w:rsid w:val="002D1E64"/>
    <w:rsid w:val="002D1EDD"/>
    <w:rsid w:val="002D7B6F"/>
    <w:rsid w:val="002E32C6"/>
    <w:rsid w:val="002E36DB"/>
    <w:rsid w:val="002E699C"/>
    <w:rsid w:val="002F09B5"/>
    <w:rsid w:val="002F2E13"/>
    <w:rsid w:val="002F4DA9"/>
    <w:rsid w:val="002F4F6A"/>
    <w:rsid w:val="00301158"/>
    <w:rsid w:val="003011C8"/>
    <w:rsid w:val="003040D5"/>
    <w:rsid w:val="00307DF3"/>
    <w:rsid w:val="003107D5"/>
    <w:rsid w:val="0031655B"/>
    <w:rsid w:val="003200E4"/>
    <w:rsid w:val="00321293"/>
    <w:rsid w:val="0032153A"/>
    <w:rsid w:val="00324BD7"/>
    <w:rsid w:val="00326281"/>
    <w:rsid w:val="00327FE9"/>
    <w:rsid w:val="0033090D"/>
    <w:rsid w:val="00330F97"/>
    <w:rsid w:val="00331665"/>
    <w:rsid w:val="0033243F"/>
    <w:rsid w:val="003331DA"/>
    <w:rsid w:val="00335EDC"/>
    <w:rsid w:val="003366CE"/>
    <w:rsid w:val="00337133"/>
    <w:rsid w:val="00337986"/>
    <w:rsid w:val="003429B8"/>
    <w:rsid w:val="00342A3A"/>
    <w:rsid w:val="00344A35"/>
    <w:rsid w:val="003469F7"/>
    <w:rsid w:val="00351C00"/>
    <w:rsid w:val="0035380E"/>
    <w:rsid w:val="00355444"/>
    <w:rsid w:val="0035600D"/>
    <w:rsid w:val="003633E3"/>
    <w:rsid w:val="00363A27"/>
    <w:rsid w:val="00365C90"/>
    <w:rsid w:val="00367BAF"/>
    <w:rsid w:val="00370051"/>
    <w:rsid w:val="00371D3D"/>
    <w:rsid w:val="003734A6"/>
    <w:rsid w:val="0037413C"/>
    <w:rsid w:val="003743D6"/>
    <w:rsid w:val="0038033A"/>
    <w:rsid w:val="00381EE4"/>
    <w:rsid w:val="00384E38"/>
    <w:rsid w:val="0038568F"/>
    <w:rsid w:val="0038571B"/>
    <w:rsid w:val="00386EA8"/>
    <w:rsid w:val="00387FE3"/>
    <w:rsid w:val="00394DAF"/>
    <w:rsid w:val="003A0179"/>
    <w:rsid w:val="003A173B"/>
    <w:rsid w:val="003A225A"/>
    <w:rsid w:val="003A26D9"/>
    <w:rsid w:val="003A4EDE"/>
    <w:rsid w:val="003A5B70"/>
    <w:rsid w:val="003A6D7D"/>
    <w:rsid w:val="003A7B58"/>
    <w:rsid w:val="003B1CC9"/>
    <w:rsid w:val="003B2D5C"/>
    <w:rsid w:val="003B5BEB"/>
    <w:rsid w:val="003B5EA2"/>
    <w:rsid w:val="003C0DC3"/>
    <w:rsid w:val="003C173F"/>
    <w:rsid w:val="003C1D44"/>
    <w:rsid w:val="003C2727"/>
    <w:rsid w:val="003D042B"/>
    <w:rsid w:val="003D0E85"/>
    <w:rsid w:val="003D214B"/>
    <w:rsid w:val="003D2953"/>
    <w:rsid w:val="003D507A"/>
    <w:rsid w:val="003D5766"/>
    <w:rsid w:val="003D676C"/>
    <w:rsid w:val="003E797C"/>
    <w:rsid w:val="003F1A3C"/>
    <w:rsid w:val="003F6798"/>
    <w:rsid w:val="00404F6E"/>
    <w:rsid w:val="004050EA"/>
    <w:rsid w:val="00405CCD"/>
    <w:rsid w:val="00406926"/>
    <w:rsid w:val="00411045"/>
    <w:rsid w:val="004125D5"/>
    <w:rsid w:val="00415462"/>
    <w:rsid w:val="00415A98"/>
    <w:rsid w:val="00416620"/>
    <w:rsid w:val="00421871"/>
    <w:rsid w:val="00422AEE"/>
    <w:rsid w:val="00425A50"/>
    <w:rsid w:val="00426C12"/>
    <w:rsid w:val="004348AA"/>
    <w:rsid w:val="00440250"/>
    <w:rsid w:val="00440E29"/>
    <w:rsid w:val="004428F2"/>
    <w:rsid w:val="004433B8"/>
    <w:rsid w:val="00443E52"/>
    <w:rsid w:val="0044474C"/>
    <w:rsid w:val="00451570"/>
    <w:rsid w:val="0045369B"/>
    <w:rsid w:val="00460193"/>
    <w:rsid w:val="0046344C"/>
    <w:rsid w:val="004635F3"/>
    <w:rsid w:val="00464AC5"/>
    <w:rsid w:val="0046719C"/>
    <w:rsid w:val="00467469"/>
    <w:rsid w:val="0046757B"/>
    <w:rsid w:val="004708B9"/>
    <w:rsid w:val="00470BAA"/>
    <w:rsid w:val="00471A0C"/>
    <w:rsid w:val="00474DBA"/>
    <w:rsid w:val="0047584B"/>
    <w:rsid w:val="00477694"/>
    <w:rsid w:val="00477D04"/>
    <w:rsid w:val="004803DD"/>
    <w:rsid w:val="004810E3"/>
    <w:rsid w:val="00481261"/>
    <w:rsid w:val="004845D8"/>
    <w:rsid w:val="004924AE"/>
    <w:rsid w:val="004936D0"/>
    <w:rsid w:val="00493F19"/>
    <w:rsid w:val="00496244"/>
    <w:rsid w:val="00496B4D"/>
    <w:rsid w:val="00497290"/>
    <w:rsid w:val="004A2626"/>
    <w:rsid w:val="004A31B2"/>
    <w:rsid w:val="004A3ED7"/>
    <w:rsid w:val="004A4ACD"/>
    <w:rsid w:val="004B40E0"/>
    <w:rsid w:val="004B4A81"/>
    <w:rsid w:val="004B5D52"/>
    <w:rsid w:val="004B7A1E"/>
    <w:rsid w:val="004B7B6D"/>
    <w:rsid w:val="004C172B"/>
    <w:rsid w:val="004C3386"/>
    <w:rsid w:val="004C4007"/>
    <w:rsid w:val="004C4B7E"/>
    <w:rsid w:val="004C7049"/>
    <w:rsid w:val="004C775C"/>
    <w:rsid w:val="004D0B3D"/>
    <w:rsid w:val="004D2A7B"/>
    <w:rsid w:val="004D3F1E"/>
    <w:rsid w:val="004D5E2A"/>
    <w:rsid w:val="004D6525"/>
    <w:rsid w:val="004D652F"/>
    <w:rsid w:val="004E05BA"/>
    <w:rsid w:val="004E3472"/>
    <w:rsid w:val="004E4333"/>
    <w:rsid w:val="004E4ED2"/>
    <w:rsid w:val="004E5995"/>
    <w:rsid w:val="004E657D"/>
    <w:rsid w:val="004E7910"/>
    <w:rsid w:val="004F4738"/>
    <w:rsid w:val="004F7A6A"/>
    <w:rsid w:val="00500A87"/>
    <w:rsid w:val="005012B9"/>
    <w:rsid w:val="0050217C"/>
    <w:rsid w:val="00503ADD"/>
    <w:rsid w:val="0050478A"/>
    <w:rsid w:val="00510248"/>
    <w:rsid w:val="00513CB4"/>
    <w:rsid w:val="00523687"/>
    <w:rsid w:val="00523E8E"/>
    <w:rsid w:val="00524B1B"/>
    <w:rsid w:val="00525114"/>
    <w:rsid w:val="0054153F"/>
    <w:rsid w:val="00542D46"/>
    <w:rsid w:val="00542E82"/>
    <w:rsid w:val="005432C0"/>
    <w:rsid w:val="00546405"/>
    <w:rsid w:val="005468A2"/>
    <w:rsid w:val="00550A7B"/>
    <w:rsid w:val="00551151"/>
    <w:rsid w:val="005538BD"/>
    <w:rsid w:val="0055793F"/>
    <w:rsid w:val="005639D7"/>
    <w:rsid w:val="00563C46"/>
    <w:rsid w:val="0056410F"/>
    <w:rsid w:val="00564A48"/>
    <w:rsid w:val="0056659B"/>
    <w:rsid w:val="00566DF8"/>
    <w:rsid w:val="00567B75"/>
    <w:rsid w:val="00572AF1"/>
    <w:rsid w:val="00572BD9"/>
    <w:rsid w:val="00575191"/>
    <w:rsid w:val="0057661C"/>
    <w:rsid w:val="00580742"/>
    <w:rsid w:val="00584916"/>
    <w:rsid w:val="005859E7"/>
    <w:rsid w:val="0059069B"/>
    <w:rsid w:val="0059117D"/>
    <w:rsid w:val="00594531"/>
    <w:rsid w:val="00594BA1"/>
    <w:rsid w:val="005958A3"/>
    <w:rsid w:val="005964BB"/>
    <w:rsid w:val="00596ABF"/>
    <w:rsid w:val="00597C97"/>
    <w:rsid w:val="00597E1F"/>
    <w:rsid w:val="005A1644"/>
    <w:rsid w:val="005A1951"/>
    <w:rsid w:val="005A2534"/>
    <w:rsid w:val="005A35C6"/>
    <w:rsid w:val="005A368E"/>
    <w:rsid w:val="005A3E5D"/>
    <w:rsid w:val="005A64B9"/>
    <w:rsid w:val="005A64EC"/>
    <w:rsid w:val="005A6F49"/>
    <w:rsid w:val="005B09E7"/>
    <w:rsid w:val="005B3721"/>
    <w:rsid w:val="005B59F1"/>
    <w:rsid w:val="005B6EBF"/>
    <w:rsid w:val="005B6ED7"/>
    <w:rsid w:val="005C164B"/>
    <w:rsid w:val="005C4422"/>
    <w:rsid w:val="005C5E60"/>
    <w:rsid w:val="005C65F8"/>
    <w:rsid w:val="005C7004"/>
    <w:rsid w:val="005D3E57"/>
    <w:rsid w:val="005D4437"/>
    <w:rsid w:val="005D52A0"/>
    <w:rsid w:val="005D5B78"/>
    <w:rsid w:val="005D61F7"/>
    <w:rsid w:val="005E345A"/>
    <w:rsid w:val="005E34EF"/>
    <w:rsid w:val="005E45E8"/>
    <w:rsid w:val="005E6257"/>
    <w:rsid w:val="005F1050"/>
    <w:rsid w:val="005F1B1C"/>
    <w:rsid w:val="005F2AD3"/>
    <w:rsid w:val="005F33B4"/>
    <w:rsid w:val="005F3425"/>
    <w:rsid w:val="00600957"/>
    <w:rsid w:val="006032E2"/>
    <w:rsid w:val="00603727"/>
    <w:rsid w:val="006054AE"/>
    <w:rsid w:val="006061BC"/>
    <w:rsid w:val="00606514"/>
    <w:rsid w:val="00606E60"/>
    <w:rsid w:val="00606FCC"/>
    <w:rsid w:val="00607B2A"/>
    <w:rsid w:val="00612DE8"/>
    <w:rsid w:val="00614330"/>
    <w:rsid w:val="0061563C"/>
    <w:rsid w:val="00616F15"/>
    <w:rsid w:val="00617427"/>
    <w:rsid w:val="006204A9"/>
    <w:rsid w:val="00623382"/>
    <w:rsid w:val="00623C76"/>
    <w:rsid w:val="0062581D"/>
    <w:rsid w:val="0062696C"/>
    <w:rsid w:val="00626A80"/>
    <w:rsid w:val="00631932"/>
    <w:rsid w:val="00637C7C"/>
    <w:rsid w:val="00637F4A"/>
    <w:rsid w:val="0064005B"/>
    <w:rsid w:val="006405AF"/>
    <w:rsid w:val="00640659"/>
    <w:rsid w:val="006422E7"/>
    <w:rsid w:val="0064291F"/>
    <w:rsid w:val="00644BA4"/>
    <w:rsid w:val="00644DE2"/>
    <w:rsid w:val="00646235"/>
    <w:rsid w:val="006473E7"/>
    <w:rsid w:val="00654152"/>
    <w:rsid w:val="0065429F"/>
    <w:rsid w:val="00654BDC"/>
    <w:rsid w:val="0065555D"/>
    <w:rsid w:val="00657F0A"/>
    <w:rsid w:val="0066023C"/>
    <w:rsid w:val="00661859"/>
    <w:rsid w:val="006634F5"/>
    <w:rsid w:val="006653B2"/>
    <w:rsid w:val="006659D6"/>
    <w:rsid w:val="00665C24"/>
    <w:rsid w:val="00666157"/>
    <w:rsid w:val="006667D5"/>
    <w:rsid w:val="0067513B"/>
    <w:rsid w:val="00675B8E"/>
    <w:rsid w:val="00676B0A"/>
    <w:rsid w:val="00681EC2"/>
    <w:rsid w:val="00682AC1"/>
    <w:rsid w:val="00682DCC"/>
    <w:rsid w:val="006843A4"/>
    <w:rsid w:val="00684540"/>
    <w:rsid w:val="0068477A"/>
    <w:rsid w:val="0068591C"/>
    <w:rsid w:val="00687E85"/>
    <w:rsid w:val="0069198A"/>
    <w:rsid w:val="0069517A"/>
    <w:rsid w:val="00695F58"/>
    <w:rsid w:val="0069713A"/>
    <w:rsid w:val="006A00F2"/>
    <w:rsid w:val="006A0AE9"/>
    <w:rsid w:val="006A0CB9"/>
    <w:rsid w:val="006A1C58"/>
    <w:rsid w:val="006A3B25"/>
    <w:rsid w:val="006A4823"/>
    <w:rsid w:val="006A5775"/>
    <w:rsid w:val="006A6448"/>
    <w:rsid w:val="006B18FA"/>
    <w:rsid w:val="006B208F"/>
    <w:rsid w:val="006B2BF6"/>
    <w:rsid w:val="006B516D"/>
    <w:rsid w:val="006B69F6"/>
    <w:rsid w:val="006B6FC7"/>
    <w:rsid w:val="006C0E00"/>
    <w:rsid w:val="006C37C9"/>
    <w:rsid w:val="006C3A48"/>
    <w:rsid w:val="006C4636"/>
    <w:rsid w:val="006C5AEB"/>
    <w:rsid w:val="006D15CD"/>
    <w:rsid w:val="006D1B5D"/>
    <w:rsid w:val="006D2664"/>
    <w:rsid w:val="006D43F9"/>
    <w:rsid w:val="006D72C3"/>
    <w:rsid w:val="006D740E"/>
    <w:rsid w:val="006E1D47"/>
    <w:rsid w:val="006E3290"/>
    <w:rsid w:val="006E3E79"/>
    <w:rsid w:val="006E3FFA"/>
    <w:rsid w:val="006E5239"/>
    <w:rsid w:val="006E5F89"/>
    <w:rsid w:val="006E5FA5"/>
    <w:rsid w:val="006E6C45"/>
    <w:rsid w:val="006F0EA3"/>
    <w:rsid w:val="006F1602"/>
    <w:rsid w:val="006F1CEF"/>
    <w:rsid w:val="006F226C"/>
    <w:rsid w:val="006F2F27"/>
    <w:rsid w:val="006F5FDB"/>
    <w:rsid w:val="006F70C8"/>
    <w:rsid w:val="006F7908"/>
    <w:rsid w:val="00700671"/>
    <w:rsid w:val="00701867"/>
    <w:rsid w:val="00704333"/>
    <w:rsid w:val="0070458A"/>
    <w:rsid w:val="007074FF"/>
    <w:rsid w:val="007101B4"/>
    <w:rsid w:val="007117D5"/>
    <w:rsid w:val="00711DD9"/>
    <w:rsid w:val="00713167"/>
    <w:rsid w:val="00716095"/>
    <w:rsid w:val="007169AD"/>
    <w:rsid w:val="007222ED"/>
    <w:rsid w:val="007239E3"/>
    <w:rsid w:val="007245EC"/>
    <w:rsid w:val="0072740D"/>
    <w:rsid w:val="00730D8A"/>
    <w:rsid w:val="00733D2E"/>
    <w:rsid w:val="00740EAD"/>
    <w:rsid w:val="00742F5D"/>
    <w:rsid w:val="00746AB7"/>
    <w:rsid w:val="00747866"/>
    <w:rsid w:val="00747CFD"/>
    <w:rsid w:val="00750575"/>
    <w:rsid w:val="00750C12"/>
    <w:rsid w:val="00751A64"/>
    <w:rsid w:val="007546C5"/>
    <w:rsid w:val="00755E8A"/>
    <w:rsid w:val="00756255"/>
    <w:rsid w:val="00760181"/>
    <w:rsid w:val="00760BC0"/>
    <w:rsid w:val="007617CF"/>
    <w:rsid w:val="0076295B"/>
    <w:rsid w:val="00762AB4"/>
    <w:rsid w:val="00762C39"/>
    <w:rsid w:val="00763072"/>
    <w:rsid w:val="00771B62"/>
    <w:rsid w:val="00771E50"/>
    <w:rsid w:val="007722A5"/>
    <w:rsid w:val="00773FCC"/>
    <w:rsid w:val="00776655"/>
    <w:rsid w:val="00777A34"/>
    <w:rsid w:val="00780BBB"/>
    <w:rsid w:val="00780DC9"/>
    <w:rsid w:val="00781DFB"/>
    <w:rsid w:val="00783C62"/>
    <w:rsid w:val="00784BF5"/>
    <w:rsid w:val="007853C8"/>
    <w:rsid w:val="007855E6"/>
    <w:rsid w:val="00790F88"/>
    <w:rsid w:val="0079127A"/>
    <w:rsid w:val="007926F1"/>
    <w:rsid w:val="00792962"/>
    <w:rsid w:val="00793950"/>
    <w:rsid w:val="0079570B"/>
    <w:rsid w:val="00795D67"/>
    <w:rsid w:val="007971BE"/>
    <w:rsid w:val="00797FE8"/>
    <w:rsid w:val="007A0053"/>
    <w:rsid w:val="007A352F"/>
    <w:rsid w:val="007A3BF2"/>
    <w:rsid w:val="007A51AC"/>
    <w:rsid w:val="007A6D0F"/>
    <w:rsid w:val="007A7D00"/>
    <w:rsid w:val="007B08F3"/>
    <w:rsid w:val="007B1605"/>
    <w:rsid w:val="007B4137"/>
    <w:rsid w:val="007B5BA6"/>
    <w:rsid w:val="007B70B2"/>
    <w:rsid w:val="007B7274"/>
    <w:rsid w:val="007C3822"/>
    <w:rsid w:val="007C3BF8"/>
    <w:rsid w:val="007C6A0B"/>
    <w:rsid w:val="007C706E"/>
    <w:rsid w:val="007C72BB"/>
    <w:rsid w:val="007D3113"/>
    <w:rsid w:val="007D607C"/>
    <w:rsid w:val="007E0AAC"/>
    <w:rsid w:val="007E1B85"/>
    <w:rsid w:val="007E3868"/>
    <w:rsid w:val="007E4671"/>
    <w:rsid w:val="007E4E6D"/>
    <w:rsid w:val="007E7AAE"/>
    <w:rsid w:val="007E7BBC"/>
    <w:rsid w:val="007E7DE5"/>
    <w:rsid w:val="007F0C5E"/>
    <w:rsid w:val="007F4A3A"/>
    <w:rsid w:val="00801827"/>
    <w:rsid w:val="00801A53"/>
    <w:rsid w:val="00802BCA"/>
    <w:rsid w:val="0080611C"/>
    <w:rsid w:val="008123A9"/>
    <w:rsid w:val="008140DD"/>
    <w:rsid w:val="00816642"/>
    <w:rsid w:val="0082040B"/>
    <w:rsid w:val="00821C0B"/>
    <w:rsid w:val="00821FB1"/>
    <w:rsid w:val="008240CD"/>
    <w:rsid w:val="008248AD"/>
    <w:rsid w:val="008250F0"/>
    <w:rsid w:val="00827D6B"/>
    <w:rsid w:val="008310D9"/>
    <w:rsid w:val="00831337"/>
    <w:rsid w:val="00834842"/>
    <w:rsid w:val="00834878"/>
    <w:rsid w:val="00835045"/>
    <w:rsid w:val="00835847"/>
    <w:rsid w:val="00836A9C"/>
    <w:rsid w:val="0084496F"/>
    <w:rsid w:val="008510E8"/>
    <w:rsid w:val="00851C81"/>
    <w:rsid w:val="008528C1"/>
    <w:rsid w:val="00857A73"/>
    <w:rsid w:val="00860262"/>
    <w:rsid w:val="00860538"/>
    <w:rsid w:val="0086363E"/>
    <w:rsid w:val="00864039"/>
    <w:rsid w:val="00864B30"/>
    <w:rsid w:val="00867877"/>
    <w:rsid w:val="008704E1"/>
    <w:rsid w:val="00871D6B"/>
    <w:rsid w:val="008757DF"/>
    <w:rsid w:val="0087705F"/>
    <w:rsid w:val="00877A18"/>
    <w:rsid w:val="00877B12"/>
    <w:rsid w:val="00883E50"/>
    <w:rsid w:val="008840E7"/>
    <w:rsid w:val="0088612F"/>
    <w:rsid w:val="0088782C"/>
    <w:rsid w:val="00891EC4"/>
    <w:rsid w:val="0089357B"/>
    <w:rsid w:val="008939B7"/>
    <w:rsid w:val="0089652B"/>
    <w:rsid w:val="00897E3F"/>
    <w:rsid w:val="008A0DE8"/>
    <w:rsid w:val="008A2DEA"/>
    <w:rsid w:val="008A3A57"/>
    <w:rsid w:val="008A4098"/>
    <w:rsid w:val="008A4B6C"/>
    <w:rsid w:val="008B0754"/>
    <w:rsid w:val="008B146A"/>
    <w:rsid w:val="008B583D"/>
    <w:rsid w:val="008B5AC0"/>
    <w:rsid w:val="008B5DAB"/>
    <w:rsid w:val="008B6312"/>
    <w:rsid w:val="008B6994"/>
    <w:rsid w:val="008B79D8"/>
    <w:rsid w:val="008B7D0A"/>
    <w:rsid w:val="008B7ED2"/>
    <w:rsid w:val="008C088D"/>
    <w:rsid w:val="008C174F"/>
    <w:rsid w:val="008C1808"/>
    <w:rsid w:val="008C41CE"/>
    <w:rsid w:val="008C4426"/>
    <w:rsid w:val="008C5FC0"/>
    <w:rsid w:val="008C78C6"/>
    <w:rsid w:val="008D0ECA"/>
    <w:rsid w:val="008D2880"/>
    <w:rsid w:val="008D3B70"/>
    <w:rsid w:val="008D4161"/>
    <w:rsid w:val="008D50B9"/>
    <w:rsid w:val="008D68CF"/>
    <w:rsid w:val="008D6E1F"/>
    <w:rsid w:val="008D7C56"/>
    <w:rsid w:val="008E0003"/>
    <w:rsid w:val="008E041D"/>
    <w:rsid w:val="008E4814"/>
    <w:rsid w:val="008E504A"/>
    <w:rsid w:val="008E5CC5"/>
    <w:rsid w:val="008E74F7"/>
    <w:rsid w:val="008F091B"/>
    <w:rsid w:val="008F0CF7"/>
    <w:rsid w:val="008F1F18"/>
    <w:rsid w:val="008F31A2"/>
    <w:rsid w:val="008F3C69"/>
    <w:rsid w:val="008F5909"/>
    <w:rsid w:val="009006BB"/>
    <w:rsid w:val="009008E5"/>
    <w:rsid w:val="00901F20"/>
    <w:rsid w:val="009031B5"/>
    <w:rsid w:val="009034AA"/>
    <w:rsid w:val="00904F56"/>
    <w:rsid w:val="00906E7F"/>
    <w:rsid w:val="00907B10"/>
    <w:rsid w:val="009105C7"/>
    <w:rsid w:val="0091060F"/>
    <w:rsid w:val="00910700"/>
    <w:rsid w:val="00910F29"/>
    <w:rsid w:val="00913AA3"/>
    <w:rsid w:val="009140FA"/>
    <w:rsid w:val="009156F8"/>
    <w:rsid w:val="00916512"/>
    <w:rsid w:val="009173E5"/>
    <w:rsid w:val="00921860"/>
    <w:rsid w:val="0092216D"/>
    <w:rsid w:val="0092292F"/>
    <w:rsid w:val="00924345"/>
    <w:rsid w:val="00932836"/>
    <w:rsid w:val="00932F27"/>
    <w:rsid w:val="0093334D"/>
    <w:rsid w:val="00934B32"/>
    <w:rsid w:val="00935FB0"/>
    <w:rsid w:val="00937BA1"/>
    <w:rsid w:val="009401D7"/>
    <w:rsid w:val="00945297"/>
    <w:rsid w:val="009454AE"/>
    <w:rsid w:val="00945857"/>
    <w:rsid w:val="00945ED1"/>
    <w:rsid w:val="00947C35"/>
    <w:rsid w:val="009508B5"/>
    <w:rsid w:val="00952572"/>
    <w:rsid w:val="009538A6"/>
    <w:rsid w:val="009547B8"/>
    <w:rsid w:val="00955075"/>
    <w:rsid w:val="00960117"/>
    <w:rsid w:val="00963D7B"/>
    <w:rsid w:val="00964006"/>
    <w:rsid w:val="00965CCB"/>
    <w:rsid w:val="00967B8D"/>
    <w:rsid w:val="009725D3"/>
    <w:rsid w:val="009732FB"/>
    <w:rsid w:val="00976E97"/>
    <w:rsid w:val="00984C54"/>
    <w:rsid w:val="0098641B"/>
    <w:rsid w:val="00993F15"/>
    <w:rsid w:val="00994039"/>
    <w:rsid w:val="00994996"/>
    <w:rsid w:val="00995BF3"/>
    <w:rsid w:val="009A060C"/>
    <w:rsid w:val="009A1AD3"/>
    <w:rsid w:val="009A402B"/>
    <w:rsid w:val="009A49B5"/>
    <w:rsid w:val="009A4A79"/>
    <w:rsid w:val="009A4A7C"/>
    <w:rsid w:val="009A5E07"/>
    <w:rsid w:val="009B299E"/>
    <w:rsid w:val="009B306E"/>
    <w:rsid w:val="009B61DD"/>
    <w:rsid w:val="009B7C3A"/>
    <w:rsid w:val="009C0112"/>
    <w:rsid w:val="009C172F"/>
    <w:rsid w:val="009C1EC4"/>
    <w:rsid w:val="009C2F2C"/>
    <w:rsid w:val="009C347E"/>
    <w:rsid w:val="009C3C11"/>
    <w:rsid w:val="009D0020"/>
    <w:rsid w:val="009D4070"/>
    <w:rsid w:val="009E16E6"/>
    <w:rsid w:val="009E233E"/>
    <w:rsid w:val="009F01BB"/>
    <w:rsid w:val="009F03A8"/>
    <w:rsid w:val="009F05F7"/>
    <w:rsid w:val="009F4DEA"/>
    <w:rsid w:val="009F5705"/>
    <w:rsid w:val="009F75D6"/>
    <w:rsid w:val="009F7A2F"/>
    <w:rsid w:val="00A0113B"/>
    <w:rsid w:val="00A01A07"/>
    <w:rsid w:val="00A022C1"/>
    <w:rsid w:val="00A02454"/>
    <w:rsid w:val="00A02E56"/>
    <w:rsid w:val="00A035FB"/>
    <w:rsid w:val="00A05B46"/>
    <w:rsid w:val="00A065B7"/>
    <w:rsid w:val="00A079AF"/>
    <w:rsid w:val="00A1152A"/>
    <w:rsid w:val="00A124AB"/>
    <w:rsid w:val="00A14A27"/>
    <w:rsid w:val="00A16DDE"/>
    <w:rsid w:val="00A22739"/>
    <w:rsid w:val="00A23664"/>
    <w:rsid w:val="00A242AE"/>
    <w:rsid w:val="00A24AF0"/>
    <w:rsid w:val="00A2681C"/>
    <w:rsid w:val="00A300BB"/>
    <w:rsid w:val="00A31645"/>
    <w:rsid w:val="00A31B65"/>
    <w:rsid w:val="00A32499"/>
    <w:rsid w:val="00A32753"/>
    <w:rsid w:val="00A35B37"/>
    <w:rsid w:val="00A41D37"/>
    <w:rsid w:val="00A43521"/>
    <w:rsid w:val="00A43C47"/>
    <w:rsid w:val="00A4404E"/>
    <w:rsid w:val="00A4657E"/>
    <w:rsid w:val="00A46F61"/>
    <w:rsid w:val="00A47CDC"/>
    <w:rsid w:val="00A50836"/>
    <w:rsid w:val="00A52DE5"/>
    <w:rsid w:val="00A52EB6"/>
    <w:rsid w:val="00A5396E"/>
    <w:rsid w:val="00A541C0"/>
    <w:rsid w:val="00A56792"/>
    <w:rsid w:val="00A57FA0"/>
    <w:rsid w:val="00A60F7A"/>
    <w:rsid w:val="00A61CE5"/>
    <w:rsid w:val="00A61E51"/>
    <w:rsid w:val="00A66594"/>
    <w:rsid w:val="00A67963"/>
    <w:rsid w:val="00A67C75"/>
    <w:rsid w:val="00A7229F"/>
    <w:rsid w:val="00A728B5"/>
    <w:rsid w:val="00A72D43"/>
    <w:rsid w:val="00A7487C"/>
    <w:rsid w:val="00A750E0"/>
    <w:rsid w:val="00A75FFC"/>
    <w:rsid w:val="00A82100"/>
    <w:rsid w:val="00A83846"/>
    <w:rsid w:val="00A843FA"/>
    <w:rsid w:val="00A85029"/>
    <w:rsid w:val="00A85B00"/>
    <w:rsid w:val="00A874F7"/>
    <w:rsid w:val="00A90B4B"/>
    <w:rsid w:val="00A913FE"/>
    <w:rsid w:val="00A91959"/>
    <w:rsid w:val="00A919BD"/>
    <w:rsid w:val="00A91F0C"/>
    <w:rsid w:val="00A92BAC"/>
    <w:rsid w:val="00A93459"/>
    <w:rsid w:val="00A93CD4"/>
    <w:rsid w:val="00A945C7"/>
    <w:rsid w:val="00A953E0"/>
    <w:rsid w:val="00A953F4"/>
    <w:rsid w:val="00A9766E"/>
    <w:rsid w:val="00AA347C"/>
    <w:rsid w:val="00AB238A"/>
    <w:rsid w:val="00AB442A"/>
    <w:rsid w:val="00AB5FF8"/>
    <w:rsid w:val="00AC04AC"/>
    <w:rsid w:val="00AC2F83"/>
    <w:rsid w:val="00AC5856"/>
    <w:rsid w:val="00AC59EC"/>
    <w:rsid w:val="00AC6DFC"/>
    <w:rsid w:val="00AC70E5"/>
    <w:rsid w:val="00AD0869"/>
    <w:rsid w:val="00AD09CC"/>
    <w:rsid w:val="00AD0AF2"/>
    <w:rsid w:val="00AD133D"/>
    <w:rsid w:val="00AD3373"/>
    <w:rsid w:val="00AD537D"/>
    <w:rsid w:val="00AD60B8"/>
    <w:rsid w:val="00AD6AD3"/>
    <w:rsid w:val="00AD71CF"/>
    <w:rsid w:val="00AE0ECA"/>
    <w:rsid w:val="00AE23A7"/>
    <w:rsid w:val="00AE312C"/>
    <w:rsid w:val="00AE32CB"/>
    <w:rsid w:val="00AE40A6"/>
    <w:rsid w:val="00AE4E4B"/>
    <w:rsid w:val="00AE6341"/>
    <w:rsid w:val="00AE638F"/>
    <w:rsid w:val="00AE7927"/>
    <w:rsid w:val="00AF00B9"/>
    <w:rsid w:val="00AF0942"/>
    <w:rsid w:val="00AF2D2D"/>
    <w:rsid w:val="00AF2F89"/>
    <w:rsid w:val="00B00065"/>
    <w:rsid w:val="00B00709"/>
    <w:rsid w:val="00B03AE3"/>
    <w:rsid w:val="00B050CF"/>
    <w:rsid w:val="00B05453"/>
    <w:rsid w:val="00B06923"/>
    <w:rsid w:val="00B107FC"/>
    <w:rsid w:val="00B1199C"/>
    <w:rsid w:val="00B1226A"/>
    <w:rsid w:val="00B13E16"/>
    <w:rsid w:val="00B14A97"/>
    <w:rsid w:val="00B16CB7"/>
    <w:rsid w:val="00B22CD9"/>
    <w:rsid w:val="00B23508"/>
    <w:rsid w:val="00B23656"/>
    <w:rsid w:val="00B23B97"/>
    <w:rsid w:val="00B25FB3"/>
    <w:rsid w:val="00B300B5"/>
    <w:rsid w:val="00B307DA"/>
    <w:rsid w:val="00B30B78"/>
    <w:rsid w:val="00B31C72"/>
    <w:rsid w:val="00B336F5"/>
    <w:rsid w:val="00B41835"/>
    <w:rsid w:val="00B41E75"/>
    <w:rsid w:val="00B43DAA"/>
    <w:rsid w:val="00B46B99"/>
    <w:rsid w:val="00B46FFB"/>
    <w:rsid w:val="00B50706"/>
    <w:rsid w:val="00B53BE5"/>
    <w:rsid w:val="00B56A27"/>
    <w:rsid w:val="00B6051A"/>
    <w:rsid w:val="00B61789"/>
    <w:rsid w:val="00B6209C"/>
    <w:rsid w:val="00B637AD"/>
    <w:rsid w:val="00B63A84"/>
    <w:rsid w:val="00B67E0F"/>
    <w:rsid w:val="00B72305"/>
    <w:rsid w:val="00B73C9A"/>
    <w:rsid w:val="00B74915"/>
    <w:rsid w:val="00B75408"/>
    <w:rsid w:val="00B757DA"/>
    <w:rsid w:val="00B759BE"/>
    <w:rsid w:val="00B75D5C"/>
    <w:rsid w:val="00B80780"/>
    <w:rsid w:val="00B81AF8"/>
    <w:rsid w:val="00B81DF2"/>
    <w:rsid w:val="00B83C2F"/>
    <w:rsid w:val="00B8433F"/>
    <w:rsid w:val="00B86CCA"/>
    <w:rsid w:val="00B87966"/>
    <w:rsid w:val="00B87FF5"/>
    <w:rsid w:val="00B90DE8"/>
    <w:rsid w:val="00B929A5"/>
    <w:rsid w:val="00B93837"/>
    <w:rsid w:val="00B94021"/>
    <w:rsid w:val="00B961C6"/>
    <w:rsid w:val="00B962C8"/>
    <w:rsid w:val="00B97B8D"/>
    <w:rsid w:val="00BA06DB"/>
    <w:rsid w:val="00BA0853"/>
    <w:rsid w:val="00BA1411"/>
    <w:rsid w:val="00BA6E87"/>
    <w:rsid w:val="00BB0FCA"/>
    <w:rsid w:val="00BB238D"/>
    <w:rsid w:val="00BB2706"/>
    <w:rsid w:val="00BB40E4"/>
    <w:rsid w:val="00BB4B49"/>
    <w:rsid w:val="00BB4BBE"/>
    <w:rsid w:val="00BB6A94"/>
    <w:rsid w:val="00BB6E69"/>
    <w:rsid w:val="00BC0DD3"/>
    <w:rsid w:val="00BC1476"/>
    <w:rsid w:val="00BC155F"/>
    <w:rsid w:val="00BC189A"/>
    <w:rsid w:val="00BC2A3F"/>
    <w:rsid w:val="00BC3B6A"/>
    <w:rsid w:val="00BC4281"/>
    <w:rsid w:val="00BC4990"/>
    <w:rsid w:val="00BC4E37"/>
    <w:rsid w:val="00BC69FB"/>
    <w:rsid w:val="00BC7361"/>
    <w:rsid w:val="00BD03AA"/>
    <w:rsid w:val="00BD0FBB"/>
    <w:rsid w:val="00BD1320"/>
    <w:rsid w:val="00BD1D63"/>
    <w:rsid w:val="00BD2DEA"/>
    <w:rsid w:val="00BD4C4B"/>
    <w:rsid w:val="00BD6939"/>
    <w:rsid w:val="00BD7E7D"/>
    <w:rsid w:val="00BE1BE1"/>
    <w:rsid w:val="00BE2C26"/>
    <w:rsid w:val="00BE4320"/>
    <w:rsid w:val="00BE4334"/>
    <w:rsid w:val="00BE49F8"/>
    <w:rsid w:val="00BE67A8"/>
    <w:rsid w:val="00BE690B"/>
    <w:rsid w:val="00BE7362"/>
    <w:rsid w:val="00BF03E5"/>
    <w:rsid w:val="00BF051A"/>
    <w:rsid w:val="00BF0CD0"/>
    <w:rsid w:val="00BF1605"/>
    <w:rsid w:val="00BF4160"/>
    <w:rsid w:val="00BF4A40"/>
    <w:rsid w:val="00BF6618"/>
    <w:rsid w:val="00BF66B6"/>
    <w:rsid w:val="00C01538"/>
    <w:rsid w:val="00C01B61"/>
    <w:rsid w:val="00C043BE"/>
    <w:rsid w:val="00C049AE"/>
    <w:rsid w:val="00C072FC"/>
    <w:rsid w:val="00C10146"/>
    <w:rsid w:val="00C125EF"/>
    <w:rsid w:val="00C13111"/>
    <w:rsid w:val="00C13B10"/>
    <w:rsid w:val="00C1610A"/>
    <w:rsid w:val="00C2063D"/>
    <w:rsid w:val="00C20966"/>
    <w:rsid w:val="00C2487B"/>
    <w:rsid w:val="00C248CC"/>
    <w:rsid w:val="00C259A4"/>
    <w:rsid w:val="00C25B50"/>
    <w:rsid w:val="00C262BD"/>
    <w:rsid w:val="00C2699A"/>
    <w:rsid w:val="00C279BB"/>
    <w:rsid w:val="00C30389"/>
    <w:rsid w:val="00C30C99"/>
    <w:rsid w:val="00C357A0"/>
    <w:rsid w:val="00C3750F"/>
    <w:rsid w:val="00C40964"/>
    <w:rsid w:val="00C42287"/>
    <w:rsid w:val="00C42401"/>
    <w:rsid w:val="00C42AA1"/>
    <w:rsid w:val="00C442D2"/>
    <w:rsid w:val="00C44EA3"/>
    <w:rsid w:val="00C459F9"/>
    <w:rsid w:val="00C51AF7"/>
    <w:rsid w:val="00C52078"/>
    <w:rsid w:val="00C52BDE"/>
    <w:rsid w:val="00C531E1"/>
    <w:rsid w:val="00C547D1"/>
    <w:rsid w:val="00C60580"/>
    <w:rsid w:val="00C63642"/>
    <w:rsid w:val="00C6612D"/>
    <w:rsid w:val="00C67BA3"/>
    <w:rsid w:val="00C71DFF"/>
    <w:rsid w:val="00C724B3"/>
    <w:rsid w:val="00C72F2C"/>
    <w:rsid w:val="00C74915"/>
    <w:rsid w:val="00C74E02"/>
    <w:rsid w:val="00C77062"/>
    <w:rsid w:val="00C77206"/>
    <w:rsid w:val="00C82F00"/>
    <w:rsid w:val="00C83A8F"/>
    <w:rsid w:val="00C85289"/>
    <w:rsid w:val="00C86228"/>
    <w:rsid w:val="00C93910"/>
    <w:rsid w:val="00C97A5C"/>
    <w:rsid w:val="00C97E27"/>
    <w:rsid w:val="00CA13B5"/>
    <w:rsid w:val="00CA24C2"/>
    <w:rsid w:val="00CA35F5"/>
    <w:rsid w:val="00CA38FF"/>
    <w:rsid w:val="00CA3C5C"/>
    <w:rsid w:val="00CA44F7"/>
    <w:rsid w:val="00CA46D7"/>
    <w:rsid w:val="00CA7FB4"/>
    <w:rsid w:val="00CB035F"/>
    <w:rsid w:val="00CB0C3D"/>
    <w:rsid w:val="00CB1B68"/>
    <w:rsid w:val="00CB2928"/>
    <w:rsid w:val="00CB511D"/>
    <w:rsid w:val="00CB5898"/>
    <w:rsid w:val="00CB5E4F"/>
    <w:rsid w:val="00CB6CEB"/>
    <w:rsid w:val="00CC0EE5"/>
    <w:rsid w:val="00CC17B3"/>
    <w:rsid w:val="00CC41BC"/>
    <w:rsid w:val="00CC745D"/>
    <w:rsid w:val="00CD02BB"/>
    <w:rsid w:val="00CD3F36"/>
    <w:rsid w:val="00CD4146"/>
    <w:rsid w:val="00CD705B"/>
    <w:rsid w:val="00CE014B"/>
    <w:rsid w:val="00CE09E3"/>
    <w:rsid w:val="00CE37FF"/>
    <w:rsid w:val="00CE423E"/>
    <w:rsid w:val="00CE7BF7"/>
    <w:rsid w:val="00CF00B9"/>
    <w:rsid w:val="00CF0D76"/>
    <w:rsid w:val="00CF1314"/>
    <w:rsid w:val="00CF16ED"/>
    <w:rsid w:val="00CF1B43"/>
    <w:rsid w:val="00CF2DF0"/>
    <w:rsid w:val="00CF361D"/>
    <w:rsid w:val="00CF4123"/>
    <w:rsid w:val="00D01502"/>
    <w:rsid w:val="00D01D12"/>
    <w:rsid w:val="00D02F11"/>
    <w:rsid w:val="00D0421B"/>
    <w:rsid w:val="00D058ED"/>
    <w:rsid w:val="00D10607"/>
    <w:rsid w:val="00D10FEA"/>
    <w:rsid w:val="00D13DC2"/>
    <w:rsid w:val="00D14F8D"/>
    <w:rsid w:val="00D167F5"/>
    <w:rsid w:val="00D16C19"/>
    <w:rsid w:val="00D172F2"/>
    <w:rsid w:val="00D202A7"/>
    <w:rsid w:val="00D222B3"/>
    <w:rsid w:val="00D22EAE"/>
    <w:rsid w:val="00D23965"/>
    <w:rsid w:val="00D243D1"/>
    <w:rsid w:val="00D26AD6"/>
    <w:rsid w:val="00D26CCE"/>
    <w:rsid w:val="00D27D2E"/>
    <w:rsid w:val="00D36286"/>
    <w:rsid w:val="00D419C4"/>
    <w:rsid w:val="00D422CE"/>
    <w:rsid w:val="00D442C2"/>
    <w:rsid w:val="00D46705"/>
    <w:rsid w:val="00D46771"/>
    <w:rsid w:val="00D46BBF"/>
    <w:rsid w:val="00D51A3C"/>
    <w:rsid w:val="00D52AD6"/>
    <w:rsid w:val="00D53D9A"/>
    <w:rsid w:val="00D54E0B"/>
    <w:rsid w:val="00D55A1F"/>
    <w:rsid w:val="00D57DA2"/>
    <w:rsid w:val="00D60A60"/>
    <w:rsid w:val="00D61087"/>
    <w:rsid w:val="00D61338"/>
    <w:rsid w:val="00D624BA"/>
    <w:rsid w:val="00D6570A"/>
    <w:rsid w:val="00D6636D"/>
    <w:rsid w:val="00D676E2"/>
    <w:rsid w:val="00D72176"/>
    <w:rsid w:val="00D72B2B"/>
    <w:rsid w:val="00D73675"/>
    <w:rsid w:val="00D7571F"/>
    <w:rsid w:val="00D758C7"/>
    <w:rsid w:val="00D75E1A"/>
    <w:rsid w:val="00D76920"/>
    <w:rsid w:val="00D80867"/>
    <w:rsid w:val="00D81286"/>
    <w:rsid w:val="00D8206B"/>
    <w:rsid w:val="00D821C7"/>
    <w:rsid w:val="00D837E1"/>
    <w:rsid w:val="00D8399B"/>
    <w:rsid w:val="00D85FCC"/>
    <w:rsid w:val="00D86FB2"/>
    <w:rsid w:val="00D87F07"/>
    <w:rsid w:val="00D911D5"/>
    <w:rsid w:val="00D91FCA"/>
    <w:rsid w:val="00D975B0"/>
    <w:rsid w:val="00DA111C"/>
    <w:rsid w:val="00DA38E4"/>
    <w:rsid w:val="00DA5349"/>
    <w:rsid w:val="00DA5431"/>
    <w:rsid w:val="00DA5707"/>
    <w:rsid w:val="00DA6F56"/>
    <w:rsid w:val="00DB139C"/>
    <w:rsid w:val="00DB3682"/>
    <w:rsid w:val="00DB5529"/>
    <w:rsid w:val="00DB5FFB"/>
    <w:rsid w:val="00DB7B8A"/>
    <w:rsid w:val="00DC0A95"/>
    <w:rsid w:val="00DC0BB9"/>
    <w:rsid w:val="00DC3036"/>
    <w:rsid w:val="00DC3C6A"/>
    <w:rsid w:val="00DC49F8"/>
    <w:rsid w:val="00DC4EC8"/>
    <w:rsid w:val="00DC5F23"/>
    <w:rsid w:val="00DC6D69"/>
    <w:rsid w:val="00DD1C08"/>
    <w:rsid w:val="00DD23D3"/>
    <w:rsid w:val="00DD3A6B"/>
    <w:rsid w:val="00DD3BC4"/>
    <w:rsid w:val="00DD4861"/>
    <w:rsid w:val="00DD4D4C"/>
    <w:rsid w:val="00DD63BC"/>
    <w:rsid w:val="00DE0C9C"/>
    <w:rsid w:val="00DE1952"/>
    <w:rsid w:val="00DE1B14"/>
    <w:rsid w:val="00DE1D1B"/>
    <w:rsid w:val="00DE2094"/>
    <w:rsid w:val="00DE2AB4"/>
    <w:rsid w:val="00DE6925"/>
    <w:rsid w:val="00DE77E2"/>
    <w:rsid w:val="00DF07C9"/>
    <w:rsid w:val="00DF0952"/>
    <w:rsid w:val="00DF2400"/>
    <w:rsid w:val="00DF247C"/>
    <w:rsid w:val="00DF554E"/>
    <w:rsid w:val="00DF68F3"/>
    <w:rsid w:val="00E02C0D"/>
    <w:rsid w:val="00E03950"/>
    <w:rsid w:val="00E04486"/>
    <w:rsid w:val="00E05BB2"/>
    <w:rsid w:val="00E06818"/>
    <w:rsid w:val="00E11819"/>
    <w:rsid w:val="00E11C93"/>
    <w:rsid w:val="00E13079"/>
    <w:rsid w:val="00E15139"/>
    <w:rsid w:val="00E17034"/>
    <w:rsid w:val="00E22782"/>
    <w:rsid w:val="00E23D14"/>
    <w:rsid w:val="00E24240"/>
    <w:rsid w:val="00E25425"/>
    <w:rsid w:val="00E2720F"/>
    <w:rsid w:val="00E27A8D"/>
    <w:rsid w:val="00E30A0A"/>
    <w:rsid w:val="00E30AAB"/>
    <w:rsid w:val="00E33714"/>
    <w:rsid w:val="00E34B48"/>
    <w:rsid w:val="00E35485"/>
    <w:rsid w:val="00E359B7"/>
    <w:rsid w:val="00E364D5"/>
    <w:rsid w:val="00E36979"/>
    <w:rsid w:val="00E36E9E"/>
    <w:rsid w:val="00E36F17"/>
    <w:rsid w:val="00E43048"/>
    <w:rsid w:val="00E4418A"/>
    <w:rsid w:val="00E510D1"/>
    <w:rsid w:val="00E54322"/>
    <w:rsid w:val="00E55A31"/>
    <w:rsid w:val="00E567D5"/>
    <w:rsid w:val="00E615C7"/>
    <w:rsid w:val="00E62ECA"/>
    <w:rsid w:val="00E64A83"/>
    <w:rsid w:val="00E66F1D"/>
    <w:rsid w:val="00E66FAB"/>
    <w:rsid w:val="00E6704D"/>
    <w:rsid w:val="00E6742A"/>
    <w:rsid w:val="00E679E5"/>
    <w:rsid w:val="00E733DD"/>
    <w:rsid w:val="00E7384D"/>
    <w:rsid w:val="00E7386D"/>
    <w:rsid w:val="00E73B3B"/>
    <w:rsid w:val="00E746B4"/>
    <w:rsid w:val="00E7514A"/>
    <w:rsid w:val="00E75AB4"/>
    <w:rsid w:val="00E81040"/>
    <w:rsid w:val="00E82B43"/>
    <w:rsid w:val="00E843D6"/>
    <w:rsid w:val="00E8509A"/>
    <w:rsid w:val="00E85909"/>
    <w:rsid w:val="00E86259"/>
    <w:rsid w:val="00E864B9"/>
    <w:rsid w:val="00E871D6"/>
    <w:rsid w:val="00E875EC"/>
    <w:rsid w:val="00E924B1"/>
    <w:rsid w:val="00E932DE"/>
    <w:rsid w:val="00E96FA2"/>
    <w:rsid w:val="00EA297F"/>
    <w:rsid w:val="00EB1DCB"/>
    <w:rsid w:val="00EB6134"/>
    <w:rsid w:val="00EB6E5A"/>
    <w:rsid w:val="00EC11A6"/>
    <w:rsid w:val="00EC14C1"/>
    <w:rsid w:val="00EC2B33"/>
    <w:rsid w:val="00EC5AC6"/>
    <w:rsid w:val="00EC718B"/>
    <w:rsid w:val="00ED0D90"/>
    <w:rsid w:val="00ED1F0D"/>
    <w:rsid w:val="00ED2A5E"/>
    <w:rsid w:val="00ED35CB"/>
    <w:rsid w:val="00ED4EE3"/>
    <w:rsid w:val="00ED6D2E"/>
    <w:rsid w:val="00ED7307"/>
    <w:rsid w:val="00EE2FDC"/>
    <w:rsid w:val="00EE5527"/>
    <w:rsid w:val="00EE574A"/>
    <w:rsid w:val="00EE6636"/>
    <w:rsid w:val="00EF0F2F"/>
    <w:rsid w:val="00EF13C9"/>
    <w:rsid w:val="00EF47FF"/>
    <w:rsid w:val="00EF6841"/>
    <w:rsid w:val="00F00704"/>
    <w:rsid w:val="00F02B65"/>
    <w:rsid w:val="00F02D14"/>
    <w:rsid w:val="00F04C37"/>
    <w:rsid w:val="00F060CE"/>
    <w:rsid w:val="00F063C9"/>
    <w:rsid w:val="00F06B20"/>
    <w:rsid w:val="00F1011C"/>
    <w:rsid w:val="00F10EE6"/>
    <w:rsid w:val="00F135C4"/>
    <w:rsid w:val="00F13ACB"/>
    <w:rsid w:val="00F1563B"/>
    <w:rsid w:val="00F23AC2"/>
    <w:rsid w:val="00F2472E"/>
    <w:rsid w:val="00F3115E"/>
    <w:rsid w:val="00F32A2C"/>
    <w:rsid w:val="00F33732"/>
    <w:rsid w:val="00F33910"/>
    <w:rsid w:val="00F33A81"/>
    <w:rsid w:val="00F35509"/>
    <w:rsid w:val="00F35780"/>
    <w:rsid w:val="00F36A86"/>
    <w:rsid w:val="00F36AD2"/>
    <w:rsid w:val="00F37B62"/>
    <w:rsid w:val="00F37D60"/>
    <w:rsid w:val="00F414D9"/>
    <w:rsid w:val="00F42B7C"/>
    <w:rsid w:val="00F42D34"/>
    <w:rsid w:val="00F42D39"/>
    <w:rsid w:val="00F44138"/>
    <w:rsid w:val="00F444EC"/>
    <w:rsid w:val="00F4492B"/>
    <w:rsid w:val="00F44D3B"/>
    <w:rsid w:val="00F47E6A"/>
    <w:rsid w:val="00F50AC4"/>
    <w:rsid w:val="00F50AE4"/>
    <w:rsid w:val="00F5120B"/>
    <w:rsid w:val="00F533EC"/>
    <w:rsid w:val="00F535C1"/>
    <w:rsid w:val="00F549FD"/>
    <w:rsid w:val="00F555DB"/>
    <w:rsid w:val="00F55C2A"/>
    <w:rsid w:val="00F55E28"/>
    <w:rsid w:val="00F5700A"/>
    <w:rsid w:val="00F63907"/>
    <w:rsid w:val="00F63E49"/>
    <w:rsid w:val="00F64809"/>
    <w:rsid w:val="00F64B1A"/>
    <w:rsid w:val="00F65CB7"/>
    <w:rsid w:val="00F669E5"/>
    <w:rsid w:val="00F67060"/>
    <w:rsid w:val="00F72B72"/>
    <w:rsid w:val="00F75157"/>
    <w:rsid w:val="00F825B1"/>
    <w:rsid w:val="00F84910"/>
    <w:rsid w:val="00F85184"/>
    <w:rsid w:val="00F85237"/>
    <w:rsid w:val="00F85ECA"/>
    <w:rsid w:val="00F864F6"/>
    <w:rsid w:val="00F872C2"/>
    <w:rsid w:val="00F91948"/>
    <w:rsid w:val="00F92159"/>
    <w:rsid w:val="00F9285C"/>
    <w:rsid w:val="00F93BCF"/>
    <w:rsid w:val="00F9684C"/>
    <w:rsid w:val="00F977AA"/>
    <w:rsid w:val="00F97898"/>
    <w:rsid w:val="00FA268B"/>
    <w:rsid w:val="00FA285A"/>
    <w:rsid w:val="00FA2A7E"/>
    <w:rsid w:val="00FA2D4E"/>
    <w:rsid w:val="00FA309F"/>
    <w:rsid w:val="00FA3F95"/>
    <w:rsid w:val="00FA708C"/>
    <w:rsid w:val="00FA7ADB"/>
    <w:rsid w:val="00FB1B46"/>
    <w:rsid w:val="00FB1E03"/>
    <w:rsid w:val="00FB3226"/>
    <w:rsid w:val="00FB35E6"/>
    <w:rsid w:val="00FC14C8"/>
    <w:rsid w:val="00FC253D"/>
    <w:rsid w:val="00FC25A7"/>
    <w:rsid w:val="00FC4169"/>
    <w:rsid w:val="00FC5FE1"/>
    <w:rsid w:val="00FC63A9"/>
    <w:rsid w:val="00FC6740"/>
    <w:rsid w:val="00FC740D"/>
    <w:rsid w:val="00FD0458"/>
    <w:rsid w:val="00FD1EF0"/>
    <w:rsid w:val="00FD2977"/>
    <w:rsid w:val="00FD38E2"/>
    <w:rsid w:val="00FD481D"/>
    <w:rsid w:val="00FD4DF8"/>
    <w:rsid w:val="00FD7CF9"/>
    <w:rsid w:val="00FE032F"/>
    <w:rsid w:val="00FE144B"/>
    <w:rsid w:val="00FE1BB4"/>
    <w:rsid w:val="00FE2375"/>
    <w:rsid w:val="00FE2B01"/>
    <w:rsid w:val="00FE334A"/>
    <w:rsid w:val="00FE33B9"/>
    <w:rsid w:val="00FE6796"/>
    <w:rsid w:val="00FE787F"/>
    <w:rsid w:val="00FF0343"/>
    <w:rsid w:val="00FF0377"/>
    <w:rsid w:val="00FF0881"/>
    <w:rsid w:val="00FF2E5E"/>
    <w:rsid w:val="00FF311D"/>
    <w:rsid w:val="00FF488F"/>
    <w:rsid w:val="00FF525A"/>
    <w:rsid w:val="00FF7D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65A98"/>
  <w15:chartTrackingRefBased/>
  <w15:docId w15:val="{B9C9AB4C-46A5-4336-A54E-35CD09EB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437"/>
    <w:pPr>
      <w:jc w:val="both"/>
    </w:pPr>
  </w:style>
  <w:style w:type="paragraph" w:styleId="Naslov10">
    <w:name w:val="heading 1"/>
    <w:basedOn w:val="Normal"/>
    <w:next w:val="Normal"/>
    <w:link w:val="Naslov1Char"/>
    <w:uiPriority w:val="9"/>
    <w:qFormat/>
    <w:rsid w:val="0008118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slov20">
    <w:name w:val="heading 2"/>
    <w:basedOn w:val="Normal"/>
    <w:next w:val="Normal"/>
    <w:link w:val="Naslov2Char"/>
    <w:autoRedefine/>
    <w:uiPriority w:val="9"/>
    <w:unhideWhenUsed/>
    <w:qFormat/>
    <w:rsid w:val="0008118A"/>
    <w:pPr>
      <w:keepNext/>
      <w:keepLines/>
      <w:numPr>
        <w:ilvl w:val="1"/>
        <w:numId w:val="3"/>
      </w:numPr>
      <w:tabs>
        <w:tab w:val="num" w:pos="1200"/>
      </w:tabs>
      <w:spacing w:before="40" w:after="0" w:line="276" w:lineRule="auto"/>
      <w:ind w:left="1200"/>
      <w:outlineLvl w:val="1"/>
    </w:pPr>
    <w:rPr>
      <w:rFonts w:asciiTheme="majorHAnsi" w:eastAsiaTheme="majorEastAsia" w:hAnsiTheme="majorHAnsi" w:cstheme="majorBidi"/>
      <w:color w:val="2F5496" w:themeColor="accent1" w:themeShade="BF"/>
      <w:sz w:val="26"/>
      <w:szCs w:val="26"/>
    </w:rPr>
  </w:style>
  <w:style w:type="paragraph" w:styleId="Naslov30">
    <w:name w:val="heading 3"/>
    <w:basedOn w:val="Normal"/>
    <w:next w:val="Normal"/>
    <w:link w:val="Naslov3Char"/>
    <w:uiPriority w:val="9"/>
    <w:semiHidden/>
    <w:unhideWhenUsed/>
    <w:qFormat/>
    <w:rsid w:val="000811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0">
    <w:name w:val="heading 4"/>
    <w:basedOn w:val="Normal"/>
    <w:next w:val="Normal"/>
    <w:link w:val="Naslov4Char"/>
    <w:uiPriority w:val="9"/>
    <w:semiHidden/>
    <w:unhideWhenUsed/>
    <w:qFormat/>
    <w:rsid w:val="00877B1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A2273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UEZnaslov1">
    <w:name w:val="SUEZ naslov 1"/>
    <w:basedOn w:val="Naslov10"/>
    <w:link w:val="SUEZnaslov1Char"/>
    <w:autoRedefine/>
    <w:qFormat/>
    <w:rsid w:val="0008118A"/>
    <w:pPr>
      <w:pageBreakBefore/>
      <w:numPr>
        <w:numId w:val="1"/>
      </w:numPr>
      <w:ind w:left="576" w:hanging="576"/>
    </w:pPr>
    <w:rPr>
      <w:rFonts w:ascii="Segoe UI Semibold" w:eastAsia="Calibri Light" w:hAnsi="Segoe UI Semibold" w:cs="Times New Roman"/>
      <w:b/>
      <w:color w:val="ED7D31" w:themeColor="accent2"/>
      <w:sz w:val="44"/>
      <w:szCs w:val="40"/>
    </w:rPr>
  </w:style>
  <w:style w:type="character" w:customStyle="1" w:styleId="SUEZnaslov1Char">
    <w:name w:val="SUEZ naslov 1 Char"/>
    <w:basedOn w:val="Zadanifontodlomka"/>
    <w:link w:val="SUEZnaslov1"/>
    <w:rsid w:val="0008118A"/>
    <w:rPr>
      <w:rFonts w:ascii="Segoe UI Semibold" w:eastAsia="Calibri Light" w:hAnsi="Segoe UI Semibold" w:cs="Times New Roman"/>
      <w:b/>
      <w:color w:val="ED7D31" w:themeColor="accent2"/>
      <w:sz w:val="44"/>
      <w:szCs w:val="40"/>
    </w:rPr>
  </w:style>
  <w:style w:type="character" w:customStyle="1" w:styleId="Naslov1Char">
    <w:name w:val="Naslov 1 Char"/>
    <w:basedOn w:val="Zadanifontodlomka"/>
    <w:link w:val="Naslov10"/>
    <w:uiPriority w:val="9"/>
    <w:rsid w:val="0008118A"/>
    <w:rPr>
      <w:rFonts w:asciiTheme="majorHAnsi" w:eastAsiaTheme="majorEastAsia" w:hAnsiTheme="majorHAnsi" w:cstheme="majorBidi"/>
      <w:color w:val="2F5496" w:themeColor="accent1" w:themeShade="BF"/>
      <w:sz w:val="32"/>
      <w:szCs w:val="32"/>
    </w:rPr>
  </w:style>
  <w:style w:type="paragraph" w:customStyle="1" w:styleId="SUEZnaslov2">
    <w:name w:val="SUEZ naslov 2"/>
    <w:basedOn w:val="Naslov20"/>
    <w:link w:val="SUEZnaslov2Char"/>
    <w:qFormat/>
    <w:rsid w:val="0008118A"/>
    <w:pPr>
      <w:spacing w:before="360"/>
      <w:mirrorIndents/>
    </w:pPr>
    <w:rPr>
      <w:rFonts w:ascii="Segoe UI Semibold" w:eastAsia="Calibri Light" w:hAnsi="Segoe UI Semibold" w:cs="Times New Roman"/>
      <w:b/>
      <w:caps/>
      <w:color w:val="FFC000" w:themeColor="accent4"/>
      <w:sz w:val="24"/>
      <w:szCs w:val="24"/>
    </w:rPr>
  </w:style>
  <w:style w:type="character" w:customStyle="1" w:styleId="SUEZnaslov2Char">
    <w:name w:val="SUEZ naslov 2 Char"/>
    <w:basedOn w:val="Zadanifontodlomka"/>
    <w:link w:val="SUEZnaslov2"/>
    <w:rsid w:val="0008118A"/>
    <w:rPr>
      <w:rFonts w:ascii="Segoe UI Semibold" w:eastAsia="Calibri Light" w:hAnsi="Segoe UI Semibold" w:cs="Times New Roman"/>
      <w:b/>
      <w:caps/>
      <w:color w:val="FFC000" w:themeColor="accent4"/>
      <w:sz w:val="24"/>
      <w:szCs w:val="24"/>
    </w:rPr>
  </w:style>
  <w:style w:type="character" w:customStyle="1" w:styleId="Naslov2Char">
    <w:name w:val="Naslov 2 Char"/>
    <w:basedOn w:val="Zadanifontodlomka"/>
    <w:link w:val="Naslov20"/>
    <w:uiPriority w:val="9"/>
    <w:rsid w:val="0008118A"/>
    <w:rPr>
      <w:rFonts w:asciiTheme="majorHAnsi" w:eastAsiaTheme="majorEastAsia" w:hAnsiTheme="majorHAnsi" w:cstheme="majorBidi"/>
      <w:color w:val="2F5496" w:themeColor="accent1" w:themeShade="BF"/>
      <w:sz w:val="26"/>
      <w:szCs w:val="26"/>
    </w:rPr>
  </w:style>
  <w:style w:type="paragraph" w:customStyle="1" w:styleId="SUEZnaslov3">
    <w:name w:val="SUEZ naslov 3"/>
    <w:basedOn w:val="Naslov30"/>
    <w:link w:val="SUEZnaslov3Char"/>
    <w:qFormat/>
    <w:rsid w:val="0008118A"/>
    <w:pPr>
      <w:spacing w:line="240" w:lineRule="auto"/>
      <w:mirrorIndents/>
    </w:pPr>
    <w:rPr>
      <w:rFonts w:ascii="Segoe UI Semibold" w:eastAsia="Calibri Light" w:hAnsi="Segoe UI Semibold" w:cs="Times New Roman"/>
      <w:b/>
      <w:szCs w:val="20"/>
    </w:rPr>
  </w:style>
  <w:style w:type="character" w:customStyle="1" w:styleId="SUEZnaslov3Char">
    <w:name w:val="SUEZ naslov 3 Char"/>
    <w:basedOn w:val="Zadanifontodlomka"/>
    <w:link w:val="SUEZnaslov3"/>
    <w:rsid w:val="0008118A"/>
    <w:rPr>
      <w:rFonts w:ascii="Segoe UI Semibold" w:eastAsia="Calibri Light" w:hAnsi="Segoe UI Semibold" w:cs="Times New Roman"/>
      <w:b/>
      <w:color w:val="1F3763" w:themeColor="accent1" w:themeShade="7F"/>
      <w:sz w:val="24"/>
      <w:szCs w:val="20"/>
    </w:rPr>
  </w:style>
  <w:style w:type="character" w:customStyle="1" w:styleId="Naslov3Char">
    <w:name w:val="Naslov 3 Char"/>
    <w:basedOn w:val="Zadanifontodlomka"/>
    <w:link w:val="Naslov30"/>
    <w:uiPriority w:val="9"/>
    <w:semiHidden/>
    <w:rsid w:val="0008118A"/>
    <w:rPr>
      <w:rFonts w:asciiTheme="majorHAnsi" w:eastAsiaTheme="majorEastAsia" w:hAnsiTheme="majorHAnsi" w:cstheme="majorBidi"/>
      <w:color w:val="1F3763" w:themeColor="accent1" w:themeShade="7F"/>
      <w:sz w:val="24"/>
      <w:szCs w:val="24"/>
    </w:rPr>
  </w:style>
  <w:style w:type="paragraph" w:customStyle="1" w:styleId="SUEZnaslov4">
    <w:name w:val="SUEZ naslov 4"/>
    <w:basedOn w:val="SUEZnaslov3"/>
    <w:link w:val="SUEZnaslov4Char"/>
    <w:qFormat/>
    <w:rsid w:val="0008118A"/>
    <w:pPr>
      <w:keepLines w:val="0"/>
      <w:spacing w:before="120" w:after="240"/>
      <w:outlineLvl w:val="9"/>
    </w:pPr>
    <w:rPr>
      <w:rFonts w:asciiTheme="majorHAnsi" w:hAnsiTheme="majorHAnsi"/>
      <w:b w:val="0"/>
      <w:i/>
    </w:rPr>
  </w:style>
  <w:style w:type="character" w:customStyle="1" w:styleId="SUEZnaslov4Char">
    <w:name w:val="SUEZ naslov 4 Char"/>
    <w:basedOn w:val="SUEZnaslov3Char"/>
    <w:link w:val="SUEZnaslov4"/>
    <w:rsid w:val="0008118A"/>
    <w:rPr>
      <w:rFonts w:asciiTheme="majorHAnsi" w:eastAsia="Calibri Light" w:hAnsiTheme="majorHAnsi" w:cs="Times New Roman"/>
      <w:b w:val="0"/>
      <w:i/>
      <w:color w:val="1F3763" w:themeColor="accent1" w:themeShade="7F"/>
      <w:sz w:val="24"/>
      <w:szCs w:val="20"/>
    </w:rPr>
  </w:style>
  <w:style w:type="paragraph" w:customStyle="1" w:styleId="SUEZsadraj">
    <w:name w:val="SUEZ sadržaj"/>
    <w:basedOn w:val="Naslov20"/>
    <w:link w:val="SUEZsadrajChar"/>
    <w:qFormat/>
    <w:rsid w:val="0008118A"/>
    <w:pPr>
      <w:pageBreakBefore/>
      <w:spacing w:before="80" w:after="360" w:line="240" w:lineRule="auto"/>
    </w:pPr>
    <w:rPr>
      <w:b/>
      <w:color w:val="030F40"/>
      <w:sz w:val="28"/>
      <w:szCs w:val="28"/>
    </w:rPr>
  </w:style>
  <w:style w:type="character" w:customStyle="1" w:styleId="SUEZsadrajChar">
    <w:name w:val="SUEZ sadržaj Char"/>
    <w:basedOn w:val="Naslov2Char"/>
    <w:link w:val="SUEZsadraj"/>
    <w:rsid w:val="0008118A"/>
    <w:rPr>
      <w:rFonts w:asciiTheme="majorHAnsi" w:eastAsiaTheme="majorEastAsia" w:hAnsiTheme="majorHAnsi" w:cstheme="majorBidi"/>
      <w:b/>
      <w:color w:val="030F40"/>
      <w:sz w:val="28"/>
      <w:szCs w:val="28"/>
    </w:rPr>
  </w:style>
  <w:style w:type="paragraph" w:customStyle="1" w:styleId="box469392">
    <w:name w:val="box_469392"/>
    <w:basedOn w:val="Normal"/>
    <w:rsid w:val="00FD4DF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fusnote">
    <w:name w:val="footnote text"/>
    <w:aliases w:val="Footnote,Footnote Char Char,Footnote Char,Footnote Text1,footer,Sprotna opomba-besedilo,Char Char Char Char,Sprotna opomba - besedilo Znak1,Sprotna opomba - besedilo Znak Znak2,Footnote1,Footnote text,Reference,Fußnote,o,fn,Fußn,stile 1"/>
    <w:basedOn w:val="Normal"/>
    <w:link w:val="TekstfusnoteChar"/>
    <w:uiPriority w:val="99"/>
    <w:unhideWhenUsed/>
    <w:qFormat/>
    <w:rsid w:val="00A4404E"/>
    <w:pPr>
      <w:spacing w:after="0" w:line="240" w:lineRule="auto"/>
    </w:pPr>
    <w:rPr>
      <w:sz w:val="20"/>
      <w:szCs w:val="20"/>
    </w:rPr>
  </w:style>
  <w:style w:type="character" w:customStyle="1" w:styleId="TekstfusnoteChar">
    <w:name w:val="Tekst fusnote Char"/>
    <w:aliases w:val="Footnote Char1,Footnote Char Char Char,Footnote Char Char1,Footnote Text1 Char,footer Char,Sprotna opomba-besedilo Char,Char Char Char Char Char,Sprotna opomba - besedilo Znak1 Char,Sprotna opomba - besedilo Znak Znak2 Char,o Char"/>
    <w:basedOn w:val="Zadanifontodlomka"/>
    <w:link w:val="Tekstfusnote"/>
    <w:uiPriority w:val="99"/>
    <w:qFormat/>
    <w:rsid w:val="00A4404E"/>
    <w:rPr>
      <w:sz w:val="20"/>
      <w:szCs w:val="20"/>
    </w:rPr>
  </w:style>
  <w:style w:type="character" w:styleId="Referencafusnote">
    <w:name w:val="footnote reference"/>
    <w:aliases w:val="Footnote symbol,Fussnota,Footnote reference number,note TESI,SUPERS,EN Footnote Reference,-E Fußnotenzeichen,ESPON Footnote No,number,Times 10 Point,Exposant 3 Point,Footnote Reference_LVL6,Footnote Reference_LVL61,BVI fnr,stylish,Ref"/>
    <w:basedOn w:val="Zadanifontodlomka"/>
    <w:link w:val="SUPERSCharCharCharCharCharCharCharChar"/>
    <w:uiPriority w:val="99"/>
    <w:unhideWhenUsed/>
    <w:qFormat/>
    <w:rsid w:val="00A4404E"/>
    <w:rPr>
      <w:vertAlign w:val="superscript"/>
    </w:rPr>
  </w:style>
  <w:style w:type="table" w:styleId="Reetkatablice">
    <w:name w:val="Table Grid"/>
    <w:aliases w:val="TABLICA_HAOP"/>
    <w:basedOn w:val="Obinatablica"/>
    <w:uiPriority w:val="39"/>
    <w:rsid w:val="00166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33243F"/>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33243F"/>
  </w:style>
  <w:style w:type="paragraph" w:styleId="Podnoje">
    <w:name w:val="footer"/>
    <w:basedOn w:val="Normal"/>
    <w:link w:val="PodnojeChar"/>
    <w:uiPriority w:val="99"/>
    <w:unhideWhenUsed/>
    <w:rsid w:val="0033243F"/>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33243F"/>
  </w:style>
  <w:style w:type="character" w:styleId="Hiperveza">
    <w:name w:val="Hyperlink"/>
    <w:basedOn w:val="Zadanifontodlomka"/>
    <w:uiPriority w:val="99"/>
    <w:unhideWhenUsed/>
    <w:rsid w:val="001B491E"/>
    <w:rPr>
      <w:color w:val="0563C1"/>
      <w:u w:val="single"/>
    </w:rPr>
  </w:style>
  <w:style w:type="table" w:customStyle="1" w:styleId="TABLICAHAOP1">
    <w:name w:val="TABLICA_HAOP1"/>
    <w:basedOn w:val="Obinatablica"/>
    <w:uiPriority w:val="39"/>
    <w:rsid w:val="001B491E"/>
    <w:pPr>
      <w:tabs>
        <w:tab w:val="left" w:pos="1701"/>
      </w:tabs>
      <w:spacing w:after="0" w:line="240" w:lineRule="auto"/>
    </w:pPr>
    <w:rPr>
      <w:rFonts w:ascii="Segoe UI" w:eastAsia="Calibri" w:hAnsi="Segoe UI" w:cs="Times New Roman"/>
      <w:sz w:val="18"/>
      <w:szCs w:val="20"/>
    </w:rPr>
    <w:tblPr>
      <w:tblStyleRowBandSize w:val="1"/>
      <w:tblStyleColBandSize w:val="1"/>
      <w:tblBorders>
        <w:top w:val="single" w:sz="4" w:space="0" w:color="003C71"/>
        <w:left w:val="single" w:sz="4" w:space="0" w:color="003C71"/>
        <w:bottom w:val="single" w:sz="4" w:space="0" w:color="003C71"/>
        <w:right w:val="single" w:sz="4" w:space="0" w:color="003C71"/>
        <w:insideH w:val="single" w:sz="4" w:space="0" w:color="003C71"/>
        <w:insideV w:val="single" w:sz="4" w:space="0" w:color="003C71"/>
      </w:tblBorders>
    </w:tblPr>
    <w:tblStylePr w:type="firstRow">
      <w:pPr>
        <w:jc w:val="center"/>
      </w:pPr>
      <w:rPr>
        <w:rFonts w:ascii="Bahnschrift Light" w:hAnsi="Bahnschrift Light"/>
        <w:sz w:val="18"/>
      </w:rPr>
      <w:tblPr/>
      <w:tcPr>
        <w:tcBorders>
          <w:insideV w:val="single" w:sz="4" w:space="0" w:color="FFFFFF"/>
        </w:tcBorders>
        <w:shd w:val="clear" w:color="auto" w:fill="003C71"/>
        <w:vAlign w:val="center"/>
      </w:tcPr>
    </w:tblStylePr>
    <w:tblStylePr w:type="lastRow">
      <w:rPr>
        <w:b w:val="0"/>
      </w:rPr>
    </w:tblStylePr>
    <w:tblStylePr w:type="firstCol">
      <w:rPr>
        <w:rFonts w:ascii="Bahnschrift Light" w:hAnsi="Bahnschrift Light"/>
        <w:sz w:val="18"/>
      </w:rPr>
    </w:tblStylePr>
    <w:tblStylePr w:type="band1Horz">
      <w:tblPr/>
      <w:tcPr>
        <w:shd w:val="clear" w:color="auto" w:fill="D9E2F3"/>
      </w:tcPr>
    </w:tblStylePr>
  </w:style>
  <w:style w:type="character" w:customStyle="1" w:styleId="Nerijeenospominjanje1">
    <w:name w:val="Neriješeno spominjanje1"/>
    <w:basedOn w:val="Zadanifontodlomka"/>
    <w:uiPriority w:val="99"/>
    <w:semiHidden/>
    <w:unhideWhenUsed/>
    <w:rsid w:val="00A242AE"/>
    <w:rPr>
      <w:color w:val="605E5C"/>
      <w:shd w:val="clear" w:color="auto" w:fill="E1DFDD"/>
    </w:rPr>
  </w:style>
  <w:style w:type="paragraph" w:styleId="Opisslike">
    <w:name w:val="caption"/>
    <w:basedOn w:val="Normal"/>
    <w:next w:val="Normal"/>
    <w:uiPriority w:val="35"/>
    <w:unhideWhenUsed/>
    <w:qFormat/>
    <w:rsid w:val="00750575"/>
    <w:pPr>
      <w:spacing w:after="200" w:line="240" w:lineRule="auto"/>
    </w:pPr>
    <w:rPr>
      <w:i/>
      <w:iCs/>
      <w:color w:val="44546A" w:themeColor="text2"/>
      <w:sz w:val="18"/>
      <w:szCs w:val="18"/>
    </w:rPr>
  </w:style>
  <w:style w:type="table" w:customStyle="1" w:styleId="TABLICAHAOP11">
    <w:name w:val="TABLICA_HAOP11"/>
    <w:basedOn w:val="Obinatablica"/>
    <w:uiPriority w:val="39"/>
    <w:rsid w:val="00623382"/>
    <w:pPr>
      <w:tabs>
        <w:tab w:val="left" w:pos="1701"/>
      </w:tabs>
      <w:spacing w:after="0" w:line="240" w:lineRule="auto"/>
    </w:pPr>
    <w:rPr>
      <w:rFonts w:ascii="Segoe UI" w:eastAsia="Calibri" w:hAnsi="Segoe UI" w:cs="Times New Roman"/>
      <w:sz w:val="18"/>
      <w:szCs w:val="20"/>
    </w:rPr>
    <w:tblPr>
      <w:tblStyleRowBandSize w:val="1"/>
      <w:tblStyleColBandSize w:val="1"/>
      <w:tblBorders>
        <w:top w:val="single" w:sz="4" w:space="0" w:color="003C71"/>
        <w:left w:val="single" w:sz="4" w:space="0" w:color="003C71"/>
        <w:bottom w:val="single" w:sz="4" w:space="0" w:color="003C71"/>
        <w:right w:val="single" w:sz="4" w:space="0" w:color="003C71"/>
        <w:insideH w:val="single" w:sz="4" w:space="0" w:color="003C71"/>
        <w:insideV w:val="single" w:sz="4" w:space="0" w:color="003C71"/>
      </w:tblBorders>
    </w:tblPr>
    <w:tblStylePr w:type="firstRow">
      <w:pPr>
        <w:jc w:val="center"/>
      </w:pPr>
      <w:rPr>
        <w:rFonts w:ascii="Bahnschrift Light" w:hAnsi="Bahnschrift Light" w:hint="default"/>
        <w:sz w:val="18"/>
        <w:szCs w:val="18"/>
      </w:rPr>
      <w:tblPr/>
      <w:tcPr>
        <w:tcBorders>
          <w:insideV w:val="single" w:sz="4" w:space="0" w:color="FFFFFF"/>
        </w:tcBorders>
        <w:shd w:val="clear" w:color="auto" w:fill="003C71"/>
        <w:vAlign w:val="center"/>
      </w:tcPr>
    </w:tblStylePr>
    <w:tblStylePr w:type="lastRow">
      <w:rPr>
        <w:b w:val="0"/>
      </w:rPr>
    </w:tblStylePr>
    <w:tblStylePr w:type="firstCol">
      <w:rPr>
        <w:rFonts w:ascii="Bahnschrift Light" w:hAnsi="Bahnschrift Light" w:hint="default"/>
        <w:sz w:val="18"/>
        <w:szCs w:val="18"/>
      </w:rPr>
    </w:tblStylePr>
    <w:tblStylePr w:type="band1Horz">
      <w:tblPr/>
      <w:tcPr>
        <w:shd w:val="clear" w:color="auto" w:fill="D9E2F3"/>
      </w:tcPr>
    </w:tblStylePr>
  </w:style>
  <w:style w:type="paragraph" w:styleId="Odlomakpopisa">
    <w:name w:val="List Paragraph"/>
    <w:aliases w:val="REPORT Bullet,Nabrajanje,Tocka,KiF bullets,UNIZG_ALU_bullet,Lettre d'introduction,FM,Akapit z listą BS,Bullet1,References,List Paragraph (numbered (a)),List_Paragraph,Multilevel para_II,Yellow Bullet,Normal bullet 2,Dot pt,Indicator Text"/>
    <w:basedOn w:val="Normal"/>
    <w:link w:val="OdlomakpopisaChar"/>
    <w:uiPriority w:val="34"/>
    <w:qFormat/>
    <w:rsid w:val="00D53D9A"/>
    <w:pPr>
      <w:ind w:left="720"/>
      <w:contextualSpacing/>
    </w:pPr>
  </w:style>
  <w:style w:type="paragraph" w:customStyle="1" w:styleId="normal-000025">
    <w:name w:val="normal-000025"/>
    <w:basedOn w:val="Normal"/>
    <w:rsid w:val="00477694"/>
    <w:pPr>
      <w:spacing w:after="105" w:line="240" w:lineRule="auto"/>
    </w:pPr>
    <w:rPr>
      <w:rFonts w:ascii="Times New Roman" w:eastAsiaTheme="minorEastAsia" w:hAnsi="Times New Roman" w:cs="Times New Roman"/>
      <w:sz w:val="24"/>
      <w:szCs w:val="24"/>
      <w:lang w:eastAsia="hr-HR"/>
    </w:rPr>
  </w:style>
  <w:style w:type="paragraph" w:customStyle="1" w:styleId="normal-000666">
    <w:name w:val="normal-000666"/>
    <w:basedOn w:val="Normal"/>
    <w:rsid w:val="00477694"/>
    <w:pPr>
      <w:spacing w:after="105" w:line="240" w:lineRule="auto"/>
      <w:jc w:val="center"/>
    </w:pPr>
    <w:rPr>
      <w:rFonts w:ascii="Times New Roman" w:eastAsiaTheme="minorEastAsia" w:hAnsi="Times New Roman" w:cs="Times New Roman"/>
      <w:sz w:val="24"/>
      <w:szCs w:val="24"/>
      <w:lang w:eastAsia="hr-HR"/>
    </w:rPr>
  </w:style>
  <w:style w:type="character" w:customStyle="1" w:styleId="000002">
    <w:name w:val="000002"/>
    <w:basedOn w:val="Zadanifontodlomka"/>
    <w:rsid w:val="00477694"/>
    <w:rPr>
      <w:b w:val="0"/>
      <w:bCs w:val="0"/>
      <w:sz w:val="24"/>
      <w:szCs w:val="24"/>
    </w:rPr>
  </w:style>
  <w:style w:type="character" w:customStyle="1" w:styleId="zadanifontodlomka-000008">
    <w:name w:val="zadanifontodlomka-000008"/>
    <w:basedOn w:val="Zadanifontodlomka"/>
    <w:rsid w:val="00477694"/>
    <w:rPr>
      <w:rFonts w:ascii="Times New Roman" w:hAnsi="Times New Roman" w:cs="Times New Roman" w:hint="default"/>
      <w:b w:val="0"/>
      <w:bCs w:val="0"/>
      <w:sz w:val="24"/>
      <w:szCs w:val="24"/>
    </w:rPr>
  </w:style>
  <w:style w:type="character" w:customStyle="1" w:styleId="zadanifontodlomka-000023">
    <w:name w:val="zadanifontodlomka-000023"/>
    <w:basedOn w:val="Zadanifontodlomka"/>
    <w:rsid w:val="00477694"/>
    <w:rPr>
      <w:rFonts w:ascii="Times New Roman" w:hAnsi="Times New Roman" w:cs="Times New Roman" w:hint="default"/>
      <w:b w:val="0"/>
      <w:bCs w:val="0"/>
      <w:color w:val="000000"/>
      <w:sz w:val="24"/>
      <w:szCs w:val="24"/>
    </w:rPr>
  </w:style>
  <w:style w:type="character" w:customStyle="1" w:styleId="zadanifontodlomka-000024">
    <w:name w:val="zadanifontodlomka-000024"/>
    <w:basedOn w:val="Zadanifontodlomka"/>
    <w:rsid w:val="00477694"/>
    <w:rPr>
      <w:rFonts w:ascii="Times New Roman" w:hAnsi="Times New Roman" w:cs="Times New Roman" w:hint="default"/>
      <w:b w:val="0"/>
      <w:bCs w:val="0"/>
      <w:i/>
      <w:iCs/>
      <w:color w:val="000000"/>
      <w:sz w:val="24"/>
      <w:szCs w:val="24"/>
    </w:rPr>
  </w:style>
  <w:style w:type="character" w:customStyle="1" w:styleId="zadanifontodlomka-000671">
    <w:name w:val="zadanifontodlomka-000671"/>
    <w:basedOn w:val="Zadanifontodlomka"/>
    <w:rsid w:val="00477694"/>
    <w:rPr>
      <w:rFonts w:ascii="Calibri" w:hAnsi="Calibri" w:hint="default"/>
      <w:b w:val="0"/>
      <w:bCs w:val="0"/>
      <w:sz w:val="18"/>
      <w:szCs w:val="18"/>
    </w:rPr>
  </w:style>
  <w:style w:type="character" w:styleId="Referencakomentara">
    <w:name w:val="annotation reference"/>
    <w:basedOn w:val="Zadanifontodlomka"/>
    <w:uiPriority w:val="99"/>
    <w:semiHidden/>
    <w:unhideWhenUsed/>
    <w:rsid w:val="002F09B5"/>
    <w:rPr>
      <w:sz w:val="16"/>
      <w:szCs w:val="16"/>
    </w:rPr>
  </w:style>
  <w:style w:type="paragraph" w:styleId="Tekstkomentara">
    <w:name w:val="annotation text"/>
    <w:basedOn w:val="Normal"/>
    <w:link w:val="TekstkomentaraChar"/>
    <w:uiPriority w:val="99"/>
    <w:unhideWhenUsed/>
    <w:rsid w:val="002F09B5"/>
    <w:pPr>
      <w:spacing w:line="240" w:lineRule="auto"/>
    </w:pPr>
    <w:rPr>
      <w:sz w:val="20"/>
      <w:szCs w:val="20"/>
    </w:rPr>
  </w:style>
  <w:style w:type="character" w:customStyle="1" w:styleId="TekstkomentaraChar">
    <w:name w:val="Tekst komentara Char"/>
    <w:basedOn w:val="Zadanifontodlomka"/>
    <w:link w:val="Tekstkomentara"/>
    <w:uiPriority w:val="99"/>
    <w:rsid w:val="002F09B5"/>
    <w:rPr>
      <w:sz w:val="20"/>
      <w:szCs w:val="20"/>
    </w:rPr>
  </w:style>
  <w:style w:type="paragraph" w:styleId="Predmetkomentara">
    <w:name w:val="annotation subject"/>
    <w:basedOn w:val="Tekstkomentara"/>
    <w:next w:val="Tekstkomentara"/>
    <w:link w:val="PredmetkomentaraChar"/>
    <w:uiPriority w:val="99"/>
    <w:semiHidden/>
    <w:unhideWhenUsed/>
    <w:rsid w:val="002F09B5"/>
    <w:rPr>
      <w:b/>
      <w:bCs/>
    </w:rPr>
  </w:style>
  <w:style w:type="character" w:customStyle="1" w:styleId="PredmetkomentaraChar">
    <w:name w:val="Predmet komentara Char"/>
    <w:basedOn w:val="TekstkomentaraChar"/>
    <w:link w:val="Predmetkomentara"/>
    <w:uiPriority w:val="99"/>
    <w:semiHidden/>
    <w:rsid w:val="002F09B5"/>
    <w:rPr>
      <w:b/>
      <w:bCs/>
      <w:sz w:val="20"/>
      <w:szCs w:val="20"/>
    </w:rPr>
  </w:style>
  <w:style w:type="character" w:customStyle="1" w:styleId="markedcontent">
    <w:name w:val="markedcontent"/>
    <w:basedOn w:val="Zadanifontodlomka"/>
    <w:rsid w:val="00DA5431"/>
  </w:style>
  <w:style w:type="paragraph" w:styleId="HTMLunaprijedoblikovano">
    <w:name w:val="HTML Preformatted"/>
    <w:basedOn w:val="Normal"/>
    <w:link w:val="HTMLunaprijedoblikovanoChar"/>
    <w:uiPriority w:val="99"/>
    <w:semiHidden/>
    <w:unhideWhenUsed/>
    <w:rsid w:val="00241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semiHidden/>
    <w:rsid w:val="00241B76"/>
    <w:rPr>
      <w:rFonts w:ascii="Courier New" w:eastAsia="Times New Roman" w:hAnsi="Courier New" w:cs="Courier New"/>
      <w:sz w:val="20"/>
      <w:szCs w:val="20"/>
      <w:lang w:eastAsia="hr-HR"/>
    </w:rPr>
  </w:style>
  <w:style w:type="character" w:customStyle="1" w:styleId="y2iqfc">
    <w:name w:val="y2iqfc"/>
    <w:basedOn w:val="Zadanifontodlomka"/>
    <w:rsid w:val="00241B76"/>
  </w:style>
  <w:style w:type="character" w:customStyle="1" w:styleId="target-language">
    <w:name w:val="target-language"/>
    <w:basedOn w:val="Zadanifontodlomka"/>
    <w:rsid w:val="00055EB8"/>
  </w:style>
  <w:style w:type="paragraph" w:styleId="Revizija">
    <w:name w:val="Revision"/>
    <w:hidden/>
    <w:uiPriority w:val="99"/>
    <w:semiHidden/>
    <w:rsid w:val="00224916"/>
    <w:pPr>
      <w:spacing w:after="0" w:line="240" w:lineRule="auto"/>
    </w:pPr>
  </w:style>
  <w:style w:type="paragraph" w:customStyle="1" w:styleId="IRNaslov1">
    <w:name w:val="IR Naslov 1"/>
    <w:basedOn w:val="Odlomakpopisa"/>
    <w:link w:val="IRNaslov1Char"/>
    <w:qFormat/>
    <w:rsid w:val="00A843FA"/>
    <w:pPr>
      <w:pageBreakBefore/>
      <w:spacing w:after="240" w:line="240" w:lineRule="auto"/>
      <w:ind w:left="357" w:hanging="357"/>
      <w:outlineLvl w:val="0"/>
    </w:pPr>
    <w:rPr>
      <w:rFonts w:ascii="Cambria" w:eastAsia="Times New Roman" w:hAnsi="Cambria" w:cs="Times New Roman"/>
      <w:b/>
      <w:bCs/>
      <w:caps/>
      <w:spacing w:val="-3"/>
      <w:sz w:val="30"/>
      <w:szCs w:val="30"/>
    </w:rPr>
  </w:style>
  <w:style w:type="character" w:customStyle="1" w:styleId="IRNaslov1Char">
    <w:name w:val="IR Naslov 1 Char"/>
    <w:basedOn w:val="Zadanifontodlomka"/>
    <w:link w:val="IRNaslov1"/>
    <w:rsid w:val="00A843FA"/>
    <w:rPr>
      <w:rFonts w:ascii="Cambria" w:eastAsia="Times New Roman" w:hAnsi="Cambria" w:cs="Times New Roman"/>
      <w:b/>
      <w:bCs/>
      <w:caps/>
      <w:spacing w:val="-3"/>
      <w:sz w:val="30"/>
      <w:szCs w:val="30"/>
    </w:rPr>
  </w:style>
  <w:style w:type="paragraph" w:customStyle="1" w:styleId="IRNaslov2">
    <w:name w:val="IR Naslov 2"/>
    <w:basedOn w:val="Odlomakpopisa"/>
    <w:link w:val="IRNaslov2Char"/>
    <w:qFormat/>
    <w:rsid w:val="008B5DAB"/>
    <w:pPr>
      <w:keepNext/>
      <w:spacing w:before="360" w:after="240" w:line="240" w:lineRule="auto"/>
      <w:ind w:left="431" w:hanging="431"/>
      <w:outlineLvl w:val="1"/>
    </w:pPr>
    <w:rPr>
      <w:rFonts w:eastAsia="Times New Roman" w:cs="Times New Roman"/>
      <w:b/>
      <w:bCs/>
      <w:spacing w:val="-3"/>
      <w:sz w:val="28"/>
      <w:szCs w:val="28"/>
    </w:rPr>
  </w:style>
  <w:style w:type="character" w:customStyle="1" w:styleId="IRNaslov2Char">
    <w:name w:val="IR Naslov 2 Char"/>
    <w:basedOn w:val="Zadanifontodlomka"/>
    <w:link w:val="IRNaslov2"/>
    <w:rsid w:val="008B5DAB"/>
    <w:rPr>
      <w:rFonts w:eastAsia="Times New Roman" w:cs="Times New Roman"/>
      <w:b/>
      <w:bCs/>
      <w:spacing w:val="-3"/>
      <w:sz w:val="28"/>
      <w:szCs w:val="28"/>
    </w:rPr>
  </w:style>
  <w:style w:type="paragraph" w:customStyle="1" w:styleId="IRNaslov3">
    <w:name w:val="IR Naslov 3"/>
    <w:basedOn w:val="Odlomakpopisa"/>
    <w:link w:val="IRNaslov3Char"/>
    <w:qFormat/>
    <w:rsid w:val="005E34EF"/>
    <w:pPr>
      <w:keepNext/>
      <w:spacing w:before="360" w:after="240" w:line="240" w:lineRule="auto"/>
      <w:ind w:left="505" w:hanging="505"/>
      <w:outlineLvl w:val="2"/>
    </w:pPr>
    <w:rPr>
      <w:rFonts w:eastAsia="Times New Roman" w:cs="Times New Roman"/>
      <w:b/>
      <w:bCs/>
      <w:spacing w:val="-3"/>
      <w:sz w:val="24"/>
      <w:szCs w:val="26"/>
    </w:rPr>
  </w:style>
  <w:style w:type="character" w:customStyle="1" w:styleId="IRNaslov3Char">
    <w:name w:val="IR Naslov 3 Char"/>
    <w:basedOn w:val="Zadanifontodlomka"/>
    <w:link w:val="IRNaslov3"/>
    <w:rsid w:val="005E34EF"/>
    <w:rPr>
      <w:rFonts w:eastAsia="Times New Roman" w:cs="Times New Roman"/>
      <w:b/>
      <w:bCs/>
      <w:spacing w:val="-3"/>
      <w:sz w:val="24"/>
      <w:szCs w:val="26"/>
    </w:rPr>
  </w:style>
  <w:style w:type="paragraph" w:styleId="Tekstbalonia">
    <w:name w:val="Balloon Text"/>
    <w:basedOn w:val="Normal"/>
    <w:link w:val="TekstbaloniaChar"/>
    <w:uiPriority w:val="99"/>
    <w:semiHidden/>
    <w:unhideWhenUsed/>
    <w:rsid w:val="00FF034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F0343"/>
    <w:rPr>
      <w:rFonts w:ascii="Segoe UI" w:hAnsi="Segoe UI" w:cs="Segoe UI"/>
      <w:sz w:val="18"/>
      <w:szCs w:val="18"/>
    </w:rPr>
  </w:style>
  <w:style w:type="paragraph" w:styleId="Bezproreda">
    <w:name w:val="No Spacing"/>
    <w:link w:val="BezproredaChar"/>
    <w:uiPriority w:val="1"/>
    <w:qFormat/>
    <w:rsid w:val="008F0CF7"/>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8F0CF7"/>
    <w:rPr>
      <w:rFonts w:eastAsiaTheme="minorEastAsia"/>
      <w:lang w:eastAsia="hr-HR"/>
    </w:rPr>
  </w:style>
  <w:style w:type="paragraph" w:customStyle="1" w:styleId="Slika">
    <w:name w:val="Slika"/>
    <w:basedOn w:val="Normal"/>
    <w:link w:val="SlikaChar"/>
    <w:qFormat/>
    <w:rsid w:val="00A843FA"/>
    <w:pPr>
      <w:tabs>
        <w:tab w:val="left" w:pos="851"/>
      </w:tabs>
      <w:spacing w:after="240" w:line="276" w:lineRule="auto"/>
      <w:jc w:val="center"/>
    </w:pPr>
    <w:rPr>
      <w:rFonts w:eastAsia="Calibri" w:cstheme="minorHAnsi"/>
      <w:b/>
      <w:i/>
      <w:iCs/>
      <w:sz w:val="20"/>
    </w:rPr>
  </w:style>
  <w:style w:type="paragraph" w:customStyle="1" w:styleId="Tablica">
    <w:name w:val="Tablica"/>
    <w:basedOn w:val="Normal"/>
    <w:link w:val="TablicaChar"/>
    <w:qFormat/>
    <w:rsid w:val="00612DE8"/>
    <w:pPr>
      <w:keepNext/>
      <w:tabs>
        <w:tab w:val="left" w:pos="851"/>
      </w:tabs>
      <w:spacing w:before="240" w:after="0" w:line="276" w:lineRule="auto"/>
    </w:pPr>
    <w:rPr>
      <w:rFonts w:eastAsia="Calibri" w:cstheme="minorHAnsi"/>
      <w:b/>
      <w:i/>
      <w:iCs/>
      <w:sz w:val="20"/>
    </w:rPr>
  </w:style>
  <w:style w:type="character" w:customStyle="1" w:styleId="SlikaChar">
    <w:name w:val="Slika Char"/>
    <w:basedOn w:val="Zadanifontodlomka"/>
    <w:link w:val="Slika"/>
    <w:rsid w:val="00A843FA"/>
    <w:rPr>
      <w:rFonts w:eastAsia="Calibri" w:cstheme="minorHAnsi"/>
      <w:b/>
      <w:i/>
      <w:iCs/>
      <w:sz w:val="20"/>
    </w:rPr>
  </w:style>
  <w:style w:type="character" w:customStyle="1" w:styleId="TablicaChar">
    <w:name w:val="Tablica Char"/>
    <w:basedOn w:val="Zadanifontodlomka"/>
    <w:link w:val="Tablica"/>
    <w:rsid w:val="00612DE8"/>
    <w:rPr>
      <w:rFonts w:eastAsia="Calibri" w:cstheme="minorHAnsi"/>
      <w:b/>
      <w:i/>
      <w:iCs/>
      <w:sz w:val="20"/>
    </w:rPr>
  </w:style>
  <w:style w:type="paragraph" w:styleId="Sadraj1">
    <w:name w:val="toc 1"/>
    <w:basedOn w:val="Normal"/>
    <w:next w:val="Normal"/>
    <w:autoRedefine/>
    <w:uiPriority w:val="39"/>
    <w:unhideWhenUsed/>
    <w:rsid w:val="00A66594"/>
    <w:pPr>
      <w:tabs>
        <w:tab w:val="left" w:pos="440"/>
        <w:tab w:val="right" w:leader="dot" w:pos="9016"/>
      </w:tabs>
      <w:spacing w:after="100"/>
      <w:jc w:val="left"/>
    </w:pPr>
    <w:rPr>
      <w:caps/>
    </w:rPr>
  </w:style>
  <w:style w:type="paragraph" w:styleId="Sadraj2">
    <w:name w:val="toc 2"/>
    <w:basedOn w:val="Normal"/>
    <w:next w:val="Normal"/>
    <w:autoRedefine/>
    <w:uiPriority w:val="39"/>
    <w:unhideWhenUsed/>
    <w:rsid w:val="00F32A2C"/>
    <w:pPr>
      <w:tabs>
        <w:tab w:val="right" w:leader="dot" w:pos="9040"/>
      </w:tabs>
      <w:spacing w:after="100"/>
      <w:ind w:left="220"/>
      <w:jc w:val="left"/>
    </w:pPr>
  </w:style>
  <w:style w:type="paragraph" w:styleId="Sadraj3">
    <w:name w:val="toc 3"/>
    <w:basedOn w:val="Normal"/>
    <w:next w:val="Normal"/>
    <w:autoRedefine/>
    <w:uiPriority w:val="39"/>
    <w:unhideWhenUsed/>
    <w:rsid w:val="00C01538"/>
    <w:pPr>
      <w:tabs>
        <w:tab w:val="left" w:pos="1320"/>
        <w:tab w:val="right" w:leader="dot" w:pos="9040"/>
      </w:tabs>
      <w:spacing w:after="100"/>
      <w:ind w:left="440"/>
      <w:jc w:val="left"/>
    </w:pPr>
    <w:rPr>
      <w:i/>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Referencafusnote"/>
    <w:uiPriority w:val="99"/>
    <w:rsid w:val="00F33A81"/>
    <w:pPr>
      <w:spacing w:line="240" w:lineRule="exact"/>
    </w:pPr>
    <w:rPr>
      <w:vertAlign w:val="superscript"/>
    </w:rPr>
  </w:style>
  <w:style w:type="character" w:customStyle="1" w:styleId="Naslov4Char">
    <w:name w:val="Naslov 4 Char"/>
    <w:basedOn w:val="Zadanifontodlomka"/>
    <w:link w:val="Naslov40"/>
    <w:uiPriority w:val="9"/>
    <w:semiHidden/>
    <w:rsid w:val="00877B12"/>
    <w:rPr>
      <w:rFonts w:asciiTheme="majorHAnsi" w:eastAsiaTheme="majorEastAsia" w:hAnsiTheme="majorHAnsi" w:cstheme="majorBidi"/>
      <w:i/>
      <w:iCs/>
      <w:color w:val="2F5496" w:themeColor="accent1" w:themeShade="BF"/>
    </w:rPr>
  </w:style>
  <w:style w:type="table" w:styleId="Svijetlareetkatablice">
    <w:name w:val="Grid Table Light"/>
    <w:basedOn w:val="Obinatablica"/>
    <w:uiPriority w:val="40"/>
    <w:rsid w:val="00877B12"/>
    <w:pPr>
      <w:spacing w:after="0" w:line="240" w:lineRule="auto"/>
    </w:pPr>
    <w:rPr>
      <w:rFonts w:ascii="Segoe UI" w:hAnsi="Segoe UI"/>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dlomakpopisaChar">
    <w:name w:val="Odlomak popisa Char"/>
    <w:aliases w:val="REPORT Bullet Char,Nabrajanje Char,Tocka Char,KiF bullets Char,UNIZG_ALU_bullet Char,Lettre d'introduction Char,FM Char,Akapit z listą BS Char,Bullet1 Char,References Char,List Paragraph (numbered (a)) Char,List_Paragraph Char"/>
    <w:basedOn w:val="Zadanifontodlomka"/>
    <w:link w:val="Odlomakpopisa"/>
    <w:uiPriority w:val="34"/>
    <w:qFormat/>
    <w:rsid w:val="00612DE8"/>
  </w:style>
  <w:style w:type="paragraph" w:customStyle="1" w:styleId="normal-000111">
    <w:name w:val="normal-000111"/>
    <w:basedOn w:val="Normal"/>
    <w:rsid w:val="00612DE8"/>
    <w:pPr>
      <w:spacing w:after="135" w:line="240" w:lineRule="auto"/>
      <w:jc w:val="right"/>
    </w:pPr>
    <w:rPr>
      <w:rFonts w:ascii="Times New Roman" w:eastAsiaTheme="minorEastAsia" w:hAnsi="Times New Roman" w:cs="Times New Roman"/>
      <w:lang w:eastAsia="hr-HR"/>
    </w:rPr>
  </w:style>
  <w:style w:type="character" w:customStyle="1" w:styleId="zadanifontodlomka-000010">
    <w:name w:val="zadanifontodlomka-000010"/>
    <w:basedOn w:val="Zadanifontodlomka"/>
    <w:rsid w:val="00612DE8"/>
    <w:rPr>
      <w:rFonts w:ascii="Times New Roman" w:hAnsi="Times New Roman" w:cs="Times New Roman" w:hint="default"/>
      <w:b w:val="0"/>
      <w:bCs w:val="0"/>
      <w:sz w:val="22"/>
      <w:szCs w:val="22"/>
    </w:rPr>
  </w:style>
  <w:style w:type="character" w:customStyle="1" w:styleId="zadanifontodlomka-000015">
    <w:name w:val="zadanifontodlomka-000015"/>
    <w:basedOn w:val="Zadanifontodlomka"/>
    <w:rsid w:val="00612DE8"/>
    <w:rPr>
      <w:rFonts w:ascii="Times New Roman" w:hAnsi="Times New Roman" w:cs="Times New Roman" w:hint="default"/>
      <w:b w:val="0"/>
      <w:bCs w:val="0"/>
      <w:color w:val="000000"/>
      <w:sz w:val="20"/>
      <w:szCs w:val="20"/>
    </w:rPr>
  </w:style>
  <w:style w:type="paragraph" w:customStyle="1" w:styleId="htmlunaprijedoblikovano-000262">
    <w:name w:val="htmlunaprijedoblikovano-000262"/>
    <w:basedOn w:val="Normal"/>
    <w:rsid w:val="00307DF3"/>
    <w:pPr>
      <w:spacing w:after="0" w:line="240" w:lineRule="auto"/>
      <w:jc w:val="left"/>
    </w:pPr>
    <w:rPr>
      <w:rFonts w:ascii="Times New Roman" w:eastAsiaTheme="minorEastAsia" w:hAnsi="Times New Roman" w:cs="Times New Roman"/>
      <w:sz w:val="20"/>
      <w:szCs w:val="20"/>
      <w:lang w:eastAsia="hr-HR"/>
    </w:rPr>
  </w:style>
  <w:style w:type="paragraph" w:customStyle="1" w:styleId="normal-000301">
    <w:name w:val="normal-000301"/>
    <w:basedOn w:val="Normal"/>
    <w:rsid w:val="00307DF3"/>
    <w:pPr>
      <w:spacing w:after="0" w:line="240" w:lineRule="auto"/>
      <w:jc w:val="left"/>
    </w:pPr>
    <w:rPr>
      <w:rFonts w:ascii="Times New Roman" w:eastAsiaTheme="minorEastAsia" w:hAnsi="Times New Roman" w:cs="Times New Roman"/>
      <w:sz w:val="18"/>
      <w:szCs w:val="18"/>
      <w:lang w:eastAsia="hr-HR"/>
    </w:rPr>
  </w:style>
  <w:style w:type="character" w:customStyle="1" w:styleId="zadanifontodlomka-000315">
    <w:name w:val="zadanifontodlomka-000315"/>
    <w:basedOn w:val="Zadanifontodlomka"/>
    <w:rsid w:val="00307DF3"/>
    <w:rPr>
      <w:rFonts w:ascii="Times New Roman" w:hAnsi="Times New Roman" w:cs="Times New Roman" w:hint="default"/>
      <w:b/>
      <w:bCs/>
      <w:color w:val="000000"/>
      <w:sz w:val="20"/>
      <w:szCs w:val="20"/>
    </w:rPr>
  </w:style>
  <w:style w:type="character" w:customStyle="1" w:styleId="zadanifontodlomka-000112">
    <w:name w:val="zadanifontodlomka-000112"/>
    <w:basedOn w:val="Zadanifontodlomka"/>
    <w:rsid w:val="00307DF3"/>
    <w:rPr>
      <w:rFonts w:ascii="Times New Roman" w:hAnsi="Times New Roman" w:cs="Times New Roman" w:hint="default"/>
      <w:b w:val="0"/>
      <w:bCs w:val="0"/>
      <w:sz w:val="18"/>
      <w:szCs w:val="18"/>
    </w:rPr>
  </w:style>
  <w:style w:type="paragraph" w:customStyle="1" w:styleId="msonormal0">
    <w:name w:val="msonormal"/>
    <w:basedOn w:val="Normal"/>
    <w:rsid w:val="001649D4"/>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Default">
    <w:name w:val="Default"/>
    <w:rsid w:val="00A52DE5"/>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Zadanifontodlomka"/>
    <w:rsid w:val="008A3A57"/>
    <w:rPr>
      <w:rFonts w:ascii="ArialMT" w:hAnsi="ArialMT" w:hint="default"/>
      <w:b w:val="0"/>
      <w:bCs w:val="0"/>
      <w:i w:val="0"/>
      <w:iCs w:val="0"/>
      <w:color w:val="231F20"/>
      <w:sz w:val="22"/>
      <w:szCs w:val="22"/>
    </w:rPr>
  </w:style>
  <w:style w:type="character" w:customStyle="1" w:styleId="kurziv">
    <w:name w:val="kurziv"/>
    <w:basedOn w:val="Zadanifontodlomka"/>
    <w:rsid w:val="008A3A57"/>
  </w:style>
  <w:style w:type="paragraph" w:customStyle="1" w:styleId="box468252">
    <w:name w:val="box_468252"/>
    <w:basedOn w:val="Normal"/>
    <w:rsid w:val="008A3A57"/>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table" w:customStyle="1" w:styleId="TableGrid1">
    <w:name w:val="Table Grid1"/>
    <w:basedOn w:val="Obinatablica"/>
    <w:uiPriority w:val="39"/>
    <w:rsid w:val="006B2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uiPriority w:val="39"/>
    <w:rsid w:val="00791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uiPriority w:val="39"/>
    <w:rsid w:val="00791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Obinatablica"/>
    <w:uiPriority w:val="39"/>
    <w:rsid w:val="00791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A7229F"/>
    <w:rPr>
      <w:color w:val="605E5C"/>
      <w:shd w:val="clear" w:color="auto" w:fill="E1DFDD"/>
    </w:rPr>
  </w:style>
  <w:style w:type="character" w:customStyle="1" w:styleId="footnote-holder">
    <w:name w:val="footnote-holder"/>
    <w:basedOn w:val="Zadanifontodlomka"/>
    <w:rsid w:val="00503ADD"/>
  </w:style>
  <w:style w:type="character" w:customStyle="1" w:styleId="Nerijeenospominjanje2">
    <w:name w:val="Neriješeno spominjanje2"/>
    <w:basedOn w:val="Zadanifontodlomka"/>
    <w:uiPriority w:val="99"/>
    <w:semiHidden/>
    <w:unhideWhenUsed/>
    <w:rsid w:val="000F662A"/>
    <w:rPr>
      <w:color w:val="605E5C"/>
      <w:shd w:val="clear" w:color="auto" w:fill="E1DFDD"/>
    </w:rPr>
  </w:style>
  <w:style w:type="paragraph" w:customStyle="1" w:styleId="Naslov1">
    <w:name w:val="Naslov_1"/>
    <w:basedOn w:val="Odlomakpopisa"/>
    <w:autoRedefine/>
    <w:qFormat/>
    <w:rsid w:val="005B3721"/>
    <w:pPr>
      <w:numPr>
        <w:numId w:val="45"/>
      </w:numPr>
      <w:tabs>
        <w:tab w:val="num" w:pos="360"/>
      </w:tabs>
      <w:spacing w:before="120" w:line="276" w:lineRule="auto"/>
      <w:ind w:left="720" w:firstLine="0"/>
      <w:contextualSpacing w:val="0"/>
      <w:outlineLvl w:val="0"/>
    </w:pPr>
    <w:rPr>
      <w:rFonts w:ascii="Times New Roman" w:hAnsi="Times New Roman" w:cs="Times New Roman"/>
      <w:sz w:val="40"/>
      <w:szCs w:val="20"/>
    </w:rPr>
  </w:style>
  <w:style w:type="paragraph" w:customStyle="1" w:styleId="Naslov2">
    <w:name w:val="Naslov_2"/>
    <w:basedOn w:val="Odlomakpopisa"/>
    <w:autoRedefine/>
    <w:qFormat/>
    <w:rsid w:val="00093E0E"/>
    <w:pPr>
      <w:numPr>
        <w:ilvl w:val="1"/>
        <w:numId w:val="45"/>
      </w:numPr>
      <w:tabs>
        <w:tab w:val="num" w:pos="360"/>
      </w:tabs>
      <w:spacing w:before="120" w:line="276" w:lineRule="auto"/>
      <w:ind w:left="709" w:hanging="709"/>
      <w:contextualSpacing w:val="0"/>
      <w:outlineLvl w:val="1"/>
    </w:pPr>
    <w:rPr>
      <w:rFonts w:ascii="Times New Roman" w:hAnsi="Times New Roman" w:cs="Times New Roman"/>
      <w:sz w:val="28"/>
      <w:szCs w:val="28"/>
    </w:rPr>
  </w:style>
  <w:style w:type="paragraph" w:customStyle="1" w:styleId="Naslov3">
    <w:name w:val="Naslov_3"/>
    <w:basedOn w:val="Odlomakpopisa"/>
    <w:autoRedefine/>
    <w:qFormat/>
    <w:rsid w:val="005B3721"/>
    <w:pPr>
      <w:numPr>
        <w:ilvl w:val="2"/>
        <w:numId w:val="45"/>
      </w:numPr>
      <w:tabs>
        <w:tab w:val="num" w:pos="360"/>
      </w:tabs>
      <w:spacing w:before="120" w:line="276" w:lineRule="auto"/>
      <w:ind w:left="720" w:firstLine="0"/>
      <w:contextualSpacing w:val="0"/>
      <w:outlineLvl w:val="2"/>
    </w:pPr>
    <w:rPr>
      <w:rFonts w:ascii="Times New Roman" w:hAnsi="Times New Roman" w:cs="Times New Roman"/>
      <w:sz w:val="24"/>
      <w:szCs w:val="20"/>
    </w:rPr>
  </w:style>
  <w:style w:type="paragraph" w:customStyle="1" w:styleId="Naslov4">
    <w:name w:val="Naslov_4"/>
    <w:basedOn w:val="Odlomakpopisa"/>
    <w:autoRedefine/>
    <w:qFormat/>
    <w:rsid w:val="005B3721"/>
    <w:pPr>
      <w:numPr>
        <w:ilvl w:val="3"/>
        <w:numId w:val="45"/>
      </w:numPr>
      <w:tabs>
        <w:tab w:val="num" w:pos="360"/>
      </w:tabs>
      <w:spacing w:before="120" w:line="276" w:lineRule="auto"/>
      <w:ind w:left="720" w:firstLine="0"/>
      <w:contextualSpacing w:val="0"/>
      <w:outlineLvl w:val="3"/>
    </w:pPr>
    <w:rPr>
      <w:rFonts w:ascii="Times New Roman" w:hAnsi="Times New Roman"/>
      <w:color w:val="003C71"/>
      <w:sz w:val="24"/>
      <w:szCs w:val="20"/>
    </w:rPr>
  </w:style>
  <w:style w:type="numbering" w:customStyle="1" w:styleId="naslovimultilvl">
    <w:name w:val="naslovi_multilvl"/>
    <w:uiPriority w:val="99"/>
    <w:rsid w:val="005B3721"/>
    <w:pPr>
      <w:numPr>
        <w:numId w:val="44"/>
      </w:numPr>
    </w:pPr>
  </w:style>
  <w:style w:type="table" w:styleId="Tablicareetke2-isticanje5">
    <w:name w:val="Grid Table 2 Accent 5"/>
    <w:basedOn w:val="Obinatablica"/>
    <w:uiPriority w:val="47"/>
    <w:rsid w:val="00BD1320"/>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black">
    <w:name w:val="black"/>
    <w:basedOn w:val="Zadanifontodlomka"/>
    <w:rsid w:val="00E875EC"/>
  </w:style>
  <w:style w:type="paragraph" w:customStyle="1" w:styleId="IRNaslov4">
    <w:name w:val="IR Naslov 4"/>
    <w:basedOn w:val="Naslov40"/>
    <w:link w:val="IRNaslov4Char"/>
    <w:qFormat/>
    <w:rsid w:val="00A22739"/>
    <w:pPr>
      <w:numPr>
        <w:ilvl w:val="3"/>
        <w:numId w:val="22"/>
      </w:numPr>
      <w:spacing w:before="360" w:after="240"/>
      <w:ind w:left="1644" w:hanging="1077"/>
    </w:pPr>
    <w:rPr>
      <w:rFonts w:asciiTheme="minorHAnsi" w:hAnsiTheme="minorHAnsi"/>
      <w:b/>
      <w:i w:val="0"/>
      <w:color w:val="auto"/>
      <w:szCs w:val="24"/>
    </w:rPr>
  </w:style>
  <w:style w:type="character" w:customStyle="1" w:styleId="IRNaslov4Char">
    <w:name w:val="IR Naslov 4 Char"/>
    <w:basedOn w:val="OdlomakpopisaChar"/>
    <w:link w:val="IRNaslov4"/>
    <w:rsid w:val="00A22739"/>
    <w:rPr>
      <w:rFonts w:eastAsiaTheme="majorEastAsia" w:cstheme="majorBidi"/>
      <w:b/>
      <w:iCs/>
      <w:szCs w:val="24"/>
    </w:rPr>
  </w:style>
  <w:style w:type="character" w:customStyle="1" w:styleId="UnresolvedMention2">
    <w:name w:val="Unresolved Mention2"/>
    <w:basedOn w:val="Zadanifontodlomka"/>
    <w:uiPriority w:val="99"/>
    <w:semiHidden/>
    <w:unhideWhenUsed/>
    <w:rsid w:val="00EC718B"/>
    <w:rPr>
      <w:color w:val="605E5C"/>
      <w:shd w:val="clear" w:color="auto" w:fill="E1DFDD"/>
    </w:rPr>
  </w:style>
  <w:style w:type="paragraph" w:customStyle="1" w:styleId="box453352">
    <w:name w:val="box_453352"/>
    <w:basedOn w:val="Normal"/>
    <w:rsid w:val="00945857"/>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E36E9E"/>
    <w:rPr>
      <w:b/>
      <w:bCs/>
    </w:rPr>
  </w:style>
  <w:style w:type="table" w:styleId="Tablicareetke4-isticanje1">
    <w:name w:val="Grid Table 4 Accent 1"/>
    <w:basedOn w:val="Obinatablica"/>
    <w:uiPriority w:val="49"/>
    <w:rsid w:val="00524B1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SlijeenaHiperveza">
    <w:name w:val="FollowedHyperlink"/>
    <w:basedOn w:val="Zadanifontodlomka"/>
    <w:uiPriority w:val="99"/>
    <w:semiHidden/>
    <w:unhideWhenUsed/>
    <w:rsid w:val="00AE6341"/>
    <w:rPr>
      <w:color w:val="954F72" w:themeColor="followedHyperlink"/>
      <w:u w:val="single"/>
    </w:rPr>
  </w:style>
  <w:style w:type="paragraph" w:styleId="Sadraj4">
    <w:name w:val="toc 4"/>
    <w:basedOn w:val="Normal"/>
    <w:next w:val="Normal"/>
    <w:autoRedefine/>
    <w:uiPriority w:val="39"/>
    <w:unhideWhenUsed/>
    <w:rsid w:val="00086FBB"/>
    <w:pPr>
      <w:spacing w:after="100"/>
      <w:ind w:left="660"/>
      <w:jc w:val="left"/>
    </w:pPr>
    <w:rPr>
      <w:rFonts w:eastAsiaTheme="minorEastAsia"/>
      <w:lang w:eastAsia="hr-HR"/>
    </w:rPr>
  </w:style>
  <w:style w:type="paragraph" w:styleId="Sadraj5">
    <w:name w:val="toc 5"/>
    <w:basedOn w:val="Normal"/>
    <w:next w:val="Normal"/>
    <w:autoRedefine/>
    <w:uiPriority w:val="39"/>
    <w:unhideWhenUsed/>
    <w:rsid w:val="00086FBB"/>
    <w:pPr>
      <w:spacing w:after="100"/>
      <w:ind w:left="880"/>
      <w:jc w:val="left"/>
    </w:pPr>
    <w:rPr>
      <w:rFonts w:eastAsiaTheme="minorEastAsia"/>
      <w:lang w:eastAsia="hr-HR"/>
    </w:rPr>
  </w:style>
  <w:style w:type="paragraph" w:styleId="Sadraj6">
    <w:name w:val="toc 6"/>
    <w:basedOn w:val="Normal"/>
    <w:next w:val="Normal"/>
    <w:autoRedefine/>
    <w:uiPriority w:val="39"/>
    <w:unhideWhenUsed/>
    <w:rsid w:val="00086FBB"/>
    <w:pPr>
      <w:spacing w:after="100"/>
      <w:ind w:left="1100"/>
      <w:jc w:val="left"/>
    </w:pPr>
    <w:rPr>
      <w:rFonts w:eastAsiaTheme="minorEastAsia"/>
      <w:lang w:eastAsia="hr-HR"/>
    </w:rPr>
  </w:style>
  <w:style w:type="paragraph" w:styleId="Sadraj7">
    <w:name w:val="toc 7"/>
    <w:basedOn w:val="Normal"/>
    <w:next w:val="Normal"/>
    <w:autoRedefine/>
    <w:uiPriority w:val="39"/>
    <w:unhideWhenUsed/>
    <w:rsid w:val="00086FBB"/>
    <w:pPr>
      <w:spacing w:after="100"/>
      <w:ind w:left="1320"/>
      <w:jc w:val="left"/>
    </w:pPr>
    <w:rPr>
      <w:rFonts w:eastAsiaTheme="minorEastAsia"/>
      <w:lang w:eastAsia="hr-HR"/>
    </w:rPr>
  </w:style>
  <w:style w:type="paragraph" w:styleId="Sadraj8">
    <w:name w:val="toc 8"/>
    <w:basedOn w:val="Normal"/>
    <w:next w:val="Normal"/>
    <w:autoRedefine/>
    <w:uiPriority w:val="39"/>
    <w:unhideWhenUsed/>
    <w:rsid w:val="00086FBB"/>
    <w:pPr>
      <w:spacing w:after="100"/>
      <w:ind w:left="1540"/>
      <w:jc w:val="left"/>
    </w:pPr>
    <w:rPr>
      <w:rFonts w:eastAsiaTheme="minorEastAsia"/>
      <w:lang w:eastAsia="hr-HR"/>
    </w:rPr>
  </w:style>
  <w:style w:type="paragraph" w:styleId="Sadraj9">
    <w:name w:val="toc 9"/>
    <w:basedOn w:val="Normal"/>
    <w:next w:val="Normal"/>
    <w:autoRedefine/>
    <w:uiPriority w:val="39"/>
    <w:unhideWhenUsed/>
    <w:rsid w:val="00086FBB"/>
    <w:pPr>
      <w:spacing w:after="100"/>
      <w:ind w:left="1760"/>
      <w:jc w:val="left"/>
    </w:pPr>
    <w:rPr>
      <w:rFonts w:eastAsiaTheme="minorEastAsia"/>
      <w:lang w:eastAsia="hr-HR"/>
    </w:rPr>
  </w:style>
  <w:style w:type="character" w:customStyle="1" w:styleId="Nerijeenospominjanje3">
    <w:name w:val="Neriješeno spominjanje3"/>
    <w:basedOn w:val="Zadanifontodlomka"/>
    <w:uiPriority w:val="99"/>
    <w:semiHidden/>
    <w:unhideWhenUsed/>
    <w:rsid w:val="00086FBB"/>
    <w:rPr>
      <w:color w:val="605E5C"/>
      <w:shd w:val="clear" w:color="auto" w:fill="E1DFDD"/>
    </w:rPr>
  </w:style>
  <w:style w:type="paragraph" w:customStyle="1" w:styleId="IRNaslov5">
    <w:name w:val="IR Naslov 5"/>
    <w:basedOn w:val="Naslov5"/>
    <w:link w:val="IRNaslov5Char"/>
    <w:qFormat/>
    <w:rsid w:val="00A22739"/>
    <w:pPr>
      <w:numPr>
        <w:ilvl w:val="4"/>
        <w:numId w:val="22"/>
      </w:numPr>
      <w:spacing w:after="120"/>
      <w:ind w:left="2126" w:hanging="1077"/>
    </w:pPr>
    <w:rPr>
      <w:rFonts w:cstheme="minorHAnsi"/>
      <w:b/>
      <w:color w:val="auto"/>
    </w:rPr>
  </w:style>
  <w:style w:type="character" w:customStyle="1" w:styleId="IRNaslov5Char">
    <w:name w:val="IR Naslov 5 Char"/>
    <w:basedOn w:val="OdlomakpopisaChar"/>
    <w:link w:val="IRNaslov5"/>
    <w:rsid w:val="00A22739"/>
    <w:rPr>
      <w:rFonts w:asciiTheme="majorHAnsi" w:eastAsiaTheme="majorEastAsia" w:hAnsiTheme="majorHAnsi" w:cstheme="minorHAnsi"/>
      <w:b/>
    </w:rPr>
  </w:style>
  <w:style w:type="character" w:customStyle="1" w:styleId="Naslov5Char">
    <w:name w:val="Naslov 5 Char"/>
    <w:basedOn w:val="Zadanifontodlomka"/>
    <w:link w:val="Naslov5"/>
    <w:uiPriority w:val="9"/>
    <w:semiHidden/>
    <w:rsid w:val="00A22739"/>
    <w:rPr>
      <w:rFonts w:asciiTheme="majorHAnsi" w:eastAsiaTheme="majorEastAsia" w:hAnsiTheme="majorHAnsi" w:cstheme="majorBidi"/>
      <w:color w:val="2F5496" w:themeColor="accent1" w:themeShade="BF"/>
    </w:rPr>
  </w:style>
  <w:style w:type="character" w:customStyle="1" w:styleId="Nerijeenospominjanje4">
    <w:name w:val="Neriješeno spominjanje4"/>
    <w:basedOn w:val="Zadanifontodlomka"/>
    <w:uiPriority w:val="99"/>
    <w:semiHidden/>
    <w:unhideWhenUsed/>
    <w:rsid w:val="00A12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4417">
      <w:bodyDiv w:val="1"/>
      <w:marLeft w:val="0"/>
      <w:marRight w:val="0"/>
      <w:marTop w:val="0"/>
      <w:marBottom w:val="0"/>
      <w:divBdr>
        <w:top w:val="none" w:sz="0" w:space="0" w:color="auto"/>
        <w:left w:val="none" w:sz="0" w:space="0" w:color="auto"/>
        <w:bottom w:val="none" w:sz="0" w:space="0" w:color="auto"/>
        <w:right w:val="none" w:sz="0" w:space="0" w:color="auto"/>
      </w:divBdr>
      <w:divsChild>
        <w:div w:id="1051613917">
          <w:marLeft w:val="0"/>
          <w:marRight w:val="0"/>
          <w:marTop w:val="0"/>
          <w:marBottom w:val="0"/>
          <w:divBdr>
            <w:top w:val="none" w:sz="0" w:space="0" w:color="auto"/>
            <w:left w:val="none" w:sz="0" w:space="0" w:color="auto"/>
            <w:bottom w:val="none" w:sz="0" w:space="0" w:color="auto"/>
            <w:right w:val="none" w:sz="0" w:space="0" w:color="auto"/>
          </w:divBdr>
        </w:div>
      </w:divsChild>
    </w:div>
    <w:div w:id="53889699">
      <w:bodyDiv w:val="1"/>
      <w:marLeft w:val="0"/>
      <w:marRight w:val="0"/>
      <w:marTop w:val="0"/>
      <w:marBottom w:val="0"/>
      <w:divBdr>
        <w:top w:val="none" w:sz="0" w:space="0" w:color="auto"/>
        <w:left w:val="none" w:sz="0" w:space="0" w:color="auto"/>
        <w:bottom w:val="none" w:sz="0" w:space="0" w:color="auto"/>
        <w:right w:val="none" w:sz="0" w:space="0" w:color="auto"/>
      </w:divBdr>
    </w:div>
    <w:div w:id="70126592">
      <w:bodyDiv w:val="1"/>
      <w:marLeft w:val="0"/>
      <w:marRight w:val="0"/>
      <w:marTop w:val="0"/>
      <w:marBottom w:val="0"/>
      <w:divBdr>
        <w:top w:val="none" w:sz="0" w:space="0" w:color="auto"/>
        <w:left w:val="none" w:sz="0" w:space="0" w:color="auto"/>
        <w:bottom w:val="none" w:sz="0" w:space="0" w:color="auto"/>
        <w:right w:val="none" w:sz="0" w:space="0" w:color="auto"/>
      </w:divBdr>
    </w:div>
    <w:div w:id="161504794">
      <w:bodyDiv w:val="1"/>
      <w:marLeft w:val="0"/>
      <w:marRight w:val="0"/>
      <w:marTop w:val="0"/>
      <w:marBottom w:val="0"/>
      <w:divBdr>
        <w:top w:val="none" w:sz="0" w:space="0" w:color="auto"/>
        <w:left w:val="none" w:sz="0" w:space="0" w:color="auto"/>
        <w:bottom w:val="none" w:sz="0" w:space="0" w:color="auto"/>
        <w:right w:val="none" w:sz="0" w:space="0" w:color="auto"/>
      </w:divBdr>
    </w:div>
    <w:div w:id="186407194">
      <w:bodyDiv w:val="1"/>
      <w:marLeft w:val="0"/>
      <w:marRight w:val="0"/>
      <w:marTop w:val="0"/>
      <w:marBottom w:val="0"/>
      <w:divBdr>
        <w:top w:val="none" w:sz="0" w:space="0" w:color="auto"/>
        <w:left w:val="none" w:sz="0" w:space="0" w:color="auto"/>
        <w:bottom w:val="none" w:sz="0" w:space="0" w:color="auto"/>
        <w:right w:val="none" w:sz="0" w:space="0" w:color="auto"/>
      </w:divBdr>
    </w:div>
    <w:div w:id="187565576">
      <w:bodyDiv w:val="1"/>
      <w:marLeft w:val="0"/>
      <w:marRight w:val="0"/>
      <w:marTop w:val="0"/>
      <w:marBottom w:val="0"/>
      <w:divBdr>
        <w:top w:val="none" w:sz="0" w:space="0" w:color="auto"/>
        <w:left w:val="none" w:sz="0" w:space="0" w:color="auto"/>
        <w:bottom w:val="none" w:sz="0" w:space="0" w:color="auto"/>
        <w:right w:val="none" w:sz="0" w:space="0" w:color="auto"/>
      </w:divBdr>
    </w:div>
    <w:div w:id="192619318">
      <w:bodyDiv w:val="1"/>
      <w:marLeft w:val="0"/>
      <w:marRight w:val="0"/>
      <w:marTop w:val="0"/>
      <w:marBottom w:val="0"/>
      <w:divBdr>
        <w:top w:val="none" w:sz="0" w:space="0" w:color="auto"/>
        <w:left w:val="none" w:sz="0" w:space="0" w:color="auto"/>
        <w:bottom w:val="none" w:sz="0" w:space="0" w:color="auto"/>
        <w:right w:val="none" w:sz="0" w:space="0" w:color="auto"/>
      </w:divBdr>
    </w:div>
    <w:div w:id="197931674">
      <w:bodyDiv w:val="1"/>
      <w:marLeft w:val="0"/>
      <w:marRight w:val="0"/>
      <w:marTop w:val="0"/>
      <w:marBottom w:val="0"/>
      <w:divBdr>
        <w:top w:val="none" w:sz="0" w:space="0" w:color="auto"/>
        <w:left w:val="none" w:sz="0" w:space="0" w:color="auto"/>
        <w:bottom w:val="none" w:sz="0" w:space="0" w:color="auto"/>
        <w:right w:val="none" w:sz="0" w:space="0" w:color="auto"/>
      </w:divBdr>
    </w:div>
    <w:div w:id="209615624">
      <w:bodyDiv w:val="1"/>
      <w:marLeft w:val="0"/>
      <w:marRight w:val="0"/>
      <w:marTop w:val="0"/>
      <w:marBottom w:val="0"/>
      <w:divBdr>
        <w:top w:val="none" w:sz="0" w:space="0" w:color="auto"/>
        <w:left w:val="none" w:sz="0" w:space="0" w:color="auto"/>
        <w:bottom w:val="none" w:sz="0" w:space="0" w:color="auto"/>
        <w:right w:val="none" w:sz="0" w:space="0" w:color="auto"/>
      </w:divBdr>
    </w:div>
    <w:div w:id="315375765">
      <w:bodyDiv w:val="1"/>
      <w:marLeft w:val="0"/>
      <w:marRight w:val="0"/>
      <w:marTop w:val="0"/>
      <w:marBottom w:val="0"/>
      <w:divBdr>
        <w:top w:val="none" w:sz="0" w:space="0" w:color="auto"/>
        <w:left w:val="none" w:sz="0" w:space="0" w:color="auto"/>
        <w:bottom w:val="none" w:sz="0" w:space="0" w:color="auto"/>
        <w:right w:val="none" w:sz="0" w:space="0" w:color="auto"/>
      </w:divBdr>
    </w:div>
    <w:div w:id="332071659">
      <w:bodyDiv w:val="1"/>
      <w:marLeft w:val="0"/>
      <w:marRight w:val="0"/>
      <w:marTop w:val="0"/>
      <w:marBottom w:val="0"/>
      <w:divBdr>
        <w:top w:val="none" w:sz="0" w:space="0" w:color="auto"/>
        <w:left w:val="none" w:sz="0" w:space="0" w:color="auto"/>
        <w:bottom w:val="none" w:sz="0" w:space="0" w:color="auto"/>
        <w:right w:val="none" w:sz="0" w:space="0" w:color="auto"/>
      </w:divBdr>
    </w:div>
    <w:div w:id="353113108">
      <w:bodyDiv w:val="1"/>
      <w:marLeft w:val="0"/>
      <w:marRight w:val="0"/>
      <w:marTop w:val="0"/>
      <w:marBottom w:val="0"/>
      <w:divBdr>
        <w:top w:val="none" w:sz="0" w:space="0" w:color="auto"/>
        <w:left w:val="none" w:sz="0" w:space="0" w:color="auto"/>
        <w:bottom w:val="none" w:sz="0" w:space="0" w:color="auto"/>
        <w:right w:val="none" w:sz="0" w:space="0" w:color="auto"/>
      </w:divBdr>
    </w:div>
    <w:div w:id="365719528">
      <w:bodyDiv w:val="1"/>
      <w:marLeft w:val="0"/>
      <w:marRight w:val="0"/>
      <w:marTop w:val="0"/>
      <w:marBottom w:val="0"/>
      <w:divBdr>
        <w:top w:val="none" w:sz="0" w:space="0" w:color="auto"/>
        <w:left w:val="none" w:sz="0" w:space="0" w:color="auto"/>
        <w:bottom w:val="none" w:sz="0" w:space="0" w:color="auto"/>
        <w:right w:val="none" w:sz="0" w:space="0" w:color="auto"/>
      </w:divBdr>
    </w:div>
    <w:div w:id="384566015">
      <w:bodyDiv w:val="1"/>
      <w:marLeft w:val="0"/>
      <w:marRight w:val="0"/>
      <w:marTop w:val="0"/>
      <w:marBottom w:val="0"/>
      <w:divBdr>
        <w:top w:val="none" w:sz="0" w:space="0" w:color="auto"/>
        <w:left w:val="none" w:sz="0" w:space="0" w:color="auto"/>
        <w:bottom w:val="none" w:sz="0" w:space="0" w:color="auto"/>
        <w:right w:val="none" w:sz="0" w:space="0" w:color="auto"/>
      </w:divBdr>
    </w:div>
    <w:div w:id="415635762">
      <w:bodyDiv w:val="1"/>
      <w:marLeft w:val="0"/>
      <w:marRight w:val="0"/>
      <w:marTop w:val="0"/>
      <w:marBottom w:val="0"/>
      <w:divBdr>
        <w:top w:val="none" w:sz="0" w:space="0" w:color="auto"/>
        <w:left w:val="none" w:sz="0" w:space="0" w:color="auto"/>
        <w:bottom w:val="none" w:sz="0" w:space="0" w:color="auto"/>
        <w:right w:val="none" w:sz="0" w:space="0" w:color="auto"/>
      </w:divBdr>
    </w:div>
    <w:div w:id="449516050">
      <w:bodyDiv w:val="1"/>
      <w:marLeft w:val="0"/>
      <w:marRight w:val="0"/>
      <w:marTop w:val="0"/>
      <w:marBottom w:val="0"/>
      <w:divBdr>
        <w:top w:val="none" w:sz="0" w:space="0" w:color="auto"/>
        <w:left w:val="none" w:sz="0" w:space="0" w:color="auto"/>
        <w:bottom w:val="none" w:sz="0" w:space="0" w:color="auto"/>
        <w:right w:val="none" w:sz="0" w:space="0" w:color="auto"/>
      </w:divBdr>
    </w:div>
    <w:div w:id="488055494">
      <w:bodyDiv w:val="1"/>
      <w:marLeft w:val="0"/>
      <w:marRight w:val="0"/>
      <w:marTop w:val="0"/>
      <w:marBottom w:val="0"/>
      <w:divBdr>
        <w:top w:val="none" w:sz="0" w:space="0" w:color="auto"/>
        <w:left w:val="none" w:sz="0" w:space="0" w:color="auto"/>
        <w:bottom w:val="none" w:sz="0" w:space="0" w:color="auto"/>
        <w:right w:val="none" w:sz="0" w:space="0" w:color="auto"/>
      </w:divBdr>
    </w:div>
    <w:div w:id="490296675">
      <w:bodyDiv w:val="1"/>
      <w:marLeft w:val="0"/>
      <w:marRight w:val="0"/>
      <w:marTop w:val="0"/>
      <w:marBottom w:val="0"/>
      <w:divBdr>
        <w:top w:val="none" w:sz="0" w:space="0" w:color="auto"/>
        <w:left w:val="none" w:sz="0" w:space="0" w:color="auto"/>
        <w:bottom w:val="none" w:sz="0" w:space="0" w:color="auto"/>
        <w:right w:val="none" w:sz="0" w:space="0" w:color="auto"/>
      </w:divBdr>
    </w:div>
    <w:div w:id="503476601">
      <w:bodyDiv w:val="1"/>
      <w:marLeft w:val="0"/>
      <w:marRight w:val="0"/>
      <w:marTop w:val="0"/>
      <w:marBottom w:val="0"/>
      <w:divBdr>
        <w:top w:val="none" w:sz="0" w:space="0" w:color="auto"/>
        <w:left w:val="none" w:sz="0" w:space="0" w:color="auto"/>
        <w:bottom w:val="none" w:sz="0" w:space="0" w:color="auto"/>
        <w:right w:val="none" w:sz="0" w:space="0" w:color="auto"/>
      </w:divBdr>
    </w:div>
    <w:div w:id="536815385">
      <w:bodyDiv w:val="1"/>
      <w:marLeft w:val="0"/>
      <w:marRight w:val="0"/>
      <w:marTop w:val="0"/>
      <w:marBottom w:val="0"/>
      <w:divBdr>
        <w:top w:val="none" w:sz="0" w:space="0" w:color="auto"/>
        <w:left w:val="none" w:sz="0" w:space="0" w:color="auto"/>
        <w:bottom w:val="none" w:sz="0" w:space="0" w:color="auto"/>
        <w:right w:val="none" w:sz="0" w:space="0" w:color="auto"/>
      </w:divBdr>
    </w:div>
    <w:div w:id="539443421">
      <w:bodyDiv w:val="1"/>
      <w:marLeft w:val="0"/>
      <w:marRight w:val="0"/>
      <w:marTop w:val="0"/>
      <w:marBottom w:val="0"/>
      <w:divBdr>
        <w:top w:val="none" w:sz="0" w:space="0" w:color="auto"/>
        <w:left w:val="none" w:sz="0" w:space="0" w:color="auto"/>
        <w:bottom w:val="none" w:sz="0" w:space="0" w:color="auto"/>
        <w:right w:val="none" w:sz="0" w:space="0" w:color="auto"/>
      </w:divBdr>
    </w:div>
    <w:div w:id="579369618">
      <w:bodyDiv w:val="1"/>
      <w:marLeft w:val="0"/>
      <w:marRight w:val="0"/>
      <w:marTop w:val="0"/>
      <w:marBottom w:val="0"/>
      <w:divBdr>
        <w:top w:val="none" w:sz="0" w:space="0" w:color="auto"/>
        <w:left w:val="none" w:sz="0" w:space="0" w:color="auto"/>
        <w:bottom w:val="none" w:sz="0" w:space="0" w:color="auto"/>
        <w:right w:val="none" w:sz="0" w:space="0" w:color="auto"/>
      </w:divBdr>
    </w:div>
    <w:div w:id="620232781">
      <w:bodyDiv w:val="1"/>
      <w:marLeft w:val="0"/>
      <w:marRight w:val="0"/>
      <w:marTop w:val="0"/>
      <w:marBottom w:val="0"/>
      <w:divBdr>
        <w:top w:val="none" w:sz="0" w:space="0" w:color="auto"/>
        <w:left w:val="none" w:sz="0" w:space="0" w:color="auto"/>
        <w:bottom w:val="none" w:sz="0" w:space="0" w:color="auto"/>
        <w:right w:val="none" w:sz="0" w:space="0" w:color="auto"/>
      </w:divBdr>
    </w:div>
    <w:div w:id="620379926">
      <w:bodyDiv w:val="1"/>
      <w:marLeft w:val="0"/>
      <w:marRight w:val="0"/>
      <w:marTop w:val="0"/>
      <w:marBottom w:val="0"/>
      <w:divBdr>
        <w:top w:val="none" w:sz="0" w:space="0" w:color="auto"/>
        <w:left w:val="none" w:sz="0" w:space="0" w:color="auto"/>
        <w:bottom w:val="none" w:sz="0" w:space="0" w:color="auto"/>
        <w:right w:val="none" w:sz="0" w:space="0" w:color="auto"/>
      </w:divBdr>
    </w:div>
    <w:div w:id="657267170">
      <w:bodyDiv w:val="1"/>
      <w:marLeft w:val="0"/>
      <w:marRight w:val="0"/>
      <w:marTop w:val="0"/>
      <w:marBottom w:val="0"/>
      <w:divBdr>
        <w:top w:val="none" w:sz="0" w:space="0" w:color="auto"/>
        <w:left w:val="none" w:sz="0" w:space="0" w:color="auto"/>
        <w:bottom w:val="none" w:sz="0" w:space="0" w:color="auto"/>
        <w:right w:val="none" w:sz="0" w:space="0" w:color="auto"/>
      </w:divBdr>
    </w:div>
    <w:div w:id="659230790">
      <w:bodyDiv w:val="1"/>
      <w:marLeft w:val="0"/>
      <w:marRight w:val="0"/>
      <w:marTop w:val="0"/>
      <w:marBottom w:val="0"/>
      <w:divBdr>
        <w:top w:val="none" w:sz="0" w:space="0" w:color="auto"/>
        <w:left w:val="none" w:sz="0" w:space="0" w:color="auto"/>
        <w:bottom w:val="none" w:sz="0" w:space="0" w:color="auto"/>
        <w:right w:val="none" w:sz="0" w:space="0" w:color="auto"/>
      </w:divBdr>
    </w:div>
    <w:div w:id="683167704">
      <w:bodyDiv w:val="1"/>
      <w:marLeft w:val="0"/>
      <w:marRight w:val="0"/>
      <w:marTop w:val="0"/>
      <w:marBottom w:val="0"/>
      <w:divBdr>
        <w:top w:val="none" w:sz="0" w:space="0" w:color="auto"/>
        <w:left w:val="none" w:sz="0" w:space="0" w:color="auto"/>
        <w:bottom w:val="none" w:sz="0" w:space="0" w:color="auto"/>
        <w:right w:val="none" w:sz="0" w:space="0" w:color="auto"/>
      </w:divBdr>
    </w:div>
    <w:div w:id="710346442">
      <w:bodyDiv w:val="1"/>
      <w:marLeft w:val="0"/>
      <w:marRight w:val="0"/>
      <w:marTop w:val="0"/>
      <w:marBottom w:val="0"/>
      <w:divBdr>
        <w:top w:val="none" w:sz="0" w:space="0" w:color="auto"/>
        <w:left w:val="none" w:sz="0" w:space="0" w:color="auto"/>
        <w:bottom w:val="none" w:sz="0" w:space="0" w:color="auto"/>
        <w:right w:val="none" w:sz="0" w:space="0" w:color="auto"/>
      </w:divBdr>
    </w:div>
    <w:div w:id="716510360">
      <w:bodyDiv w:val="1"/>
      <w:marLeft w:val="0"/>
      <w:marRight w:val="0"/>
      <w:marTop w:val="0"/>
      <w:marBottom w:val="0"/>
      <w:divBdr>
        <w:top w:val="none" w:sz="0" w:space="0" w:color="auto"/>
        <w:left w:val="none" w:sz="0" w:space="0" w:color="auto"/>
        <w:bottom w:val="none" w:sz="0" w:space="0" w:color="auto"/>
        <w:right w:val="none" w:sz="0" w:space="0" w:color="auto"/>
      </w:divBdr>
    </w:div>
    <w:div w:id="734206717">
      <w:bodyDiv w:val="1"/>
      <w:marLeft w:val="0"/>
      <w:marRight w:val="0"/>
      <w:marTop w:val="0"/>
      <w:marBottom w:val="0"/>
      <w:divBdr>
        <w:top w:val="none" w:sz="0" w:space="0" w:color="auto"/>
        <w:left w:val="none" w:sz="0" w:space="0" w:color="auto"/>
        <w:bottom w:val="none" w:sz="0" w:space="0" w:color="auto"/>
        <w:right w:val="none" w:sz="0" w:space="0" w:color="auto"/>
      </w:divBdr>
    </w:div>
    <w:div w:id="752045985">
      <w:bodyDiv w:val="1"/>
      <w:marLeft w:val="0"/>
      <w:marRight w:val="0"/>
      <w:marTop w:val="0"/>
      <w:marBottom w:val="0"/>
      <w:divBdr>
        <w:top w:val="none" w:sz="0" w:space="0" w:color="auto"/>
        <w:left w:val="none" w:sz="0" w:space="0" w:color="auto"/>
        <w:bottom w:val="none" w:sz="0" w:space="0" w:color="auto"/>
        <w:right w:val="none" w:sz="0" w:space="0" w:color="auto"/>
      </w:divBdr>
    </w:div>
    <w:div w:id="819267261">
      <w:bodyDiv w:val="1"/>
      <w:marLeft w:val="0"/>
      <w:marRight w:val="0"/>
      <w:marTop w:val="0"/>
      <w:marBottom w:val="0"/>
      <w:divBdr>
        <w:top w:val="none" w:sz="0" w:space="0" w:color="auto"/>
        <w:left w:val="none" w:sz="0" w:space="0" w:color="auto"/>
        <w:bottom w:val="none" w:sz="0" w:space="0" w:color="auto"/>
        <w:right w:val="none" w:sz="0" w:space="0" w:color="auto"/>
      </w:divBdr>
    </w:div>
    <w:div w:id="820999775">
      <w:bodyDiv w:val="1"/>
      <w:marLeft w:val="0"/>
      <w:marRight w:val="0"/>
      <w:marTop w:val="0"/>
      <w:marBottom w:val="0"/>
      <w:divBdr>
        <w:top w:val="none" w:sz="0" w:space="0" w:color="auto"/>
        <w:left w:val="none" w:sz="0" w:space="0" w:color="auto"/>
        <w:bottom w:val="none" w:sz="0" w:space="0" w:color="auto"/>
        <w:right w:val="none" w:sz="0" w:space="0" w:color="auto"/>
      </w:divBdr>
    </w:div>
    <w:div w:id="844629401">
      <w:bodyDiv w:val="1"/>
      <w:marLeft w:val="0"/>
      <w:marRight w:val="0"/>
      <w:marTop w:val="0"/>
      <w:marBottom w:val="0"/>
      <w:divBdr>
        <w:top w:val="none" w:sz="0" w:space="0" w:color="auto"/>
        <w:left w:val="none" w:sz="0" w:space="0" w:color="auto"/>
        <w:bottom w:val="none" w:sz="0" w:space="0" w:color="auto"/>
        <w:right w:val="none" w:sz="0" w:space="0" w:color="auto"/>
      </w:divBdr>
    </w:div>
    <w:div w:id="873269941">
      <w:bodyDiv w:val="1"/>
      <w:marLeft w:val="0"/>
      <w:marRight w:val="0"/>
      <w:marTop w:val="0"/>
      <w:marBottom w:val="0"/>
      <w:divBdr>
        <w:top w:val="none" w:sz="0" w:space="0" w:color="auto"/>
        <w:left w:val="none" w:sz="0" w:space="0" w:color="auto"/>
        <w:bottom w:val="none" w:sz="0" w:space="0" w:color="auto"/>
        <w:right w:val="none" w:sz="0" w:space="0" w:color="auto"/>
      </w:divBdr>
    </w:div>
    <w:div w:id="907032336">
      <w:bodyDiv w:val="1"/>
      <w:marLeft w:val="0"/>
      <w:marRight w:val="0"/>
      <w:marTop w:val="0"/>
      <w:marBottom w:val="0"/>
      <w:divBdr>
        <w:top w:val="none" w:sz="0" w:space="0" w:color="auto"/>
        <w:left w:val="none" w:sz="0" w:space="0" w:color="auto"/>
        <w:bottom w:val="none" w:sz="0" w:space="0" w:color="auto"/>
        <w:right w:val="none" w:sz="0" w:space="0" w:color="auto"/>
      </w:divBdr>
    </w:div>
    <w:div w:id="913006666">
      <w:bodyDiv w:val="1"/>
      <w:marLeft w:val="0"/>
      <w:marRight w:val="0"/>
      <w:marTop w:val="0"/>
      <w:marBottom w:val="0"/>
      <w:divBdr>
        <w:top w:val="none" w:sz="0" w:space="0" w:color="auto"/>
        <w:left w:val="none" w:sz="0" w:space="0" w:color="auto"/>
        <w:bottom w:val="none" w:sz="0" w:space="0" w:color="auto"/>
        <w:right w:val="none" w:sz="0" w:space="0" w:color="auto"/>
      </w:divBdr>
    </w:div>
    <w:div w:id="942767192">
      <w:bodyDiv w:val="1"/>
      <w:marLeft w:val="0"/>
      <w:marRight w:val="0"/>
      <w:marTop w:val="0"/>
      <w:marBottom w:val="0"/>
      <w:divBdr>
        <w:top w:val="none" w:sz="0" w:space="0" w:color="auto"/>
        <w:left w:val="none" w:sz="0" w:space="0" w:color="auto"/>
        <w:bottom w:val="none" w:sz="0" w:space="0" w:color="auto"/>
        <w:right w:val="none" w:sz="0" w:space="0" w:color="auto"/>
      </w:divBdr>
    </w:div>
    <w:div w:id="949555833">
      <w:bodyDiv w:val="1"/>
      <w:marLeft w:val="0"/>
      <w:marRight w:val="0"/>
      <w:marTop w:val="0"/>
      <w:marBottom w:val="0"/>
      <w:divBdr>
        <w:top w:val="none" w:sz="0" w:space="0" w:color="auto"/>
        <w:left w:val="none" w:sz="0" w:space="0" w:color="auto"/>
        <w:bottom w:val="none" w:sz="0" w:space="0" w:color="auto"/>
        <w:right w:val="none" w:sz="0" w:space="0" w:color="auto"/>
      </w:divBdr>
    </w:div>
    <w:div w:id="949629261">
      <w:bodyDiv w:val="1"/>
      <w:marLeft w:val="0"/>
      <w:marRight w:val="0"/>
      <w:marTop w:val="0"/>
      <w:marBottom w:val="0"/>
      <w:divBdr>
        <w:top w:val="none" w:sz="0" w:space="0" w:color="auto"/>
        <w:left w:val="none" w:sz="0" w:space="0" w:color="auto"/>
        <w:bottom w:val="none" w:sz="0" w:space="0" w:color="auto"/>
        <w:right w:val="none" w:sz="0" w:space="0" w:color="auto"/>
      </w:divBdr>
    </w:div>
    <w:div w:id="996808595">
      <w:bodyDiv w:val="1"/>
      <w:marLeft w:val="0"/>
      <w:marRight w:val="0"/>
      <w:marTop w:val="0"/>
      <w:marBottom w:val="0"/>
      <w:divBdr>
        <w:top w:val="none" w:sz="0" w:space="0" w:color="auto"/>
        <w:left w:val="none" w:sz="0" w:space="0" w:color="auto"/>
        <w:bottom w:val="none" w:sz="0" w:space="0" w:color="auto"/>
        <w:right w:val="none" w:sz="0" w:space="0" w:color="auto"/>
      </w:divBdr>
    </w:div>
    <w:div w:id="1020932369">
      <w:bodyDiv w:val="1"/>
      <w:marLeft w:val="0"/>
      <w:marRight w:val="0"/>
      <w:marTop w:val="0"/>
      <w:marBottom w:val="0"/>
      <w:divBdr>
        <w:top w:val="none" w:sz="0" w:space="0" w:color="auto"/>
        <w:left w:val="none" w:sz="0" w:space="0" w:color="auto"/>
        <w:bottom w:val="none" w:sz="0" w:space="0" w:color="auto"/>
        <w:right w:val="none" w:sz="0" w:space="0" w:color="auto"/>
      </w:divBdr>
    </w:div>
    <w:div w:id="1058942303">
      <w:bodyDiv w:val="1"/>
      <w:marLeft w:val="0"/>
      <w:marRight w:val="0"/>
      <w:marTop w:val="0"/>
      <w:marBottom w:val="0"/>
      <w:divBdr>
        <w:top w:val="none" w:sz="0" w:space="0" w:color="auto"/>
        <w:left w:val="none" w:sz="0" w:space="0" w:color="auto"/>
        <w:bottom w:val="none" w:sz="0" w:space="0" w:color="auto"/>
        <w:right w:val="none" w:sz="0" w:space="0" w:color="auto"/>
      </w:divBdr>
    </w:div>
    <w:div w:id="1073116424">
      <w:bodyDiv w:val="1"/>
      <w:marLeft w:val="0"/>
      <w:marRight w:val="0"/>
      <w:marTop w:val="0"/>
      <w:marBottom w:val="0"/>
      <w:divBdr>
        <w:top w:val="none" w:sz="0" w:space="0" w:color="auto"/>
        <w:left w:val="none" w:sz="0" w:space="0" w:color="auto"/>
        <w:bottom w:val="none" w:sz="0" w:space="0" w:color="auto"/>
        <w:right w:val="none" w:sz="0" w:space="0" w:color="auto"/>
      </w:divBdr>
    </w:div>
    <w:div w:id="1080836615">
      <w:bodyDiv w:val="1"/>
      <w:marLeft w:val="0"/>
      <w:marRight w:val="0"/>
      <w:marTop w:val="0"/>
      <w:marBottom w:val="0"/>
      <w:divBdr>
        <w:top w:val="none" w:sz="0" w:space="0" w:color="auto"/>
        <w:left w:val="none" w:sz="0" w:space="0" w:color="auto"/>
        <w:bottom w:val="none" w:sz="0" w:space="0" w:color="auto"/>
        <w:right w:val="none" w:sz="0" w:space="0" w:color="auto"/>
      </w:divBdr>
    </w:div>
    <w:div w:id="1109004782">
      <w:bodyDiv w:val="1"/>
      <w:marLeft w:val="0"/>
      <w:marRight w:val="0"/>
      <w:marTop w:val="0"/>
      <w:marBottom w:val="0"/>
      <w:divBdr>
        <w:top w:val="none" w:sz="0" w:space="0" w:color="auto"/>
        <w:left w:val="none" w:sz="0" w:space="0" w:color="auto"/>
        <w:bottom w:val="none" w:sz="0" w:space="0" w:color="auto"/>
        <w:right w:val="none" w:sz="0" w:space="0" w:color="auto"/>
      </w:divBdr>
      <w:divsChild>
        <w:div w:id="1816794736">
          <w:marLeft w:val="0"/>
          <w:marRight w:val="0"/>
          <w:marTop w:val="0"/>
          <w:marBottom w:val="0"/>
          <w:divBdr>
            <w:top w:val="none" w:sz="0" w:space="0" w:color="auto"/>
            <w:left w:val="none" w:sz="0" w:space="0" w:color="auto"/>
            <w:bottom w:val="none" w:sz="0" w:space="0" w:color="auto"/>
            <w:right w:val="none" w:sz="0" w:space="0" w:color="auto"/>
          </w:divBdr>
        </w:div>
      </w:divsChild>
    </w:div>
    <w:div w:id="1130898633">
      <w:bodyDiv w:val="1"/>
      <w:marLeft w:val="0"/>
      <w:marRight w:val="0"/>
      <w:marTop w:val="0"/>
      <w:marBottom w:val="0"/>
      <w:divBdr>
        <w:top w:val="none" w:sz="0" w:space="0" w:color="auto"/>
        <w:left w:val="none" w:sz="0" w:space="0" w:color="auto"/>
        <w:bottom w:val="none" w:sz="0" w:space="0" w:color="auto"/>
        <w:right w:val="none" w:sz="0" w:space="0" w:color="auto"/>
      </w:divBdr>
    </w:div>
    <w:div w:id="1136990817">
      <w:bodyDiv w:val="1"/>
      <w:marLeft w:val="0"/>
      <w:marRight w:val="0"/>
      <w:marTop w:val="0"/>
      <w:marBottom w:val="0"/>
      <w:divBdr>
        <w:top w:val="none" w:sz="0" w:space="0" w:color="auto"/>
        <w:left w:val="none" w:sz="0" w:space="0" w:color="auto"/>
        <w:bottom w:val="none" w:sz="0" w:space="0" w:color="auto"/>
        <w:right w:val="none" w:sz="0" w:space="0" w:color="auto"/>
      </w:divBdr>
    </w:div>
    <w:div w:id="1220287921">
      <w:bodyDiv w:val="1"/>
      <w:marLeft w:val="0"/>
      <w:marRight w:val="0"/>
      <w:marTop w:val="0"/>
      <w:marBottom w:val="0"/>
      <w:divBdr>
        <w:top w:val="none" w:sz="0" w:space="0" w:color="auto"/>
        <w:left w:val="none" w:sz="0" w:space="0" w:color="auto"/>
        <w:bottom w:val="none" w:sz="0" w:space="0" w:color="auto"/>
        <w:right w:val="none" w:sz="0" w:space="0" w:color="auto"/>
      </w:divBdr>
    </w:div>
    <w:div w:id="1258443463">
      <w:bodyDiv w:val="1"/>
      <w:marLeft w:val="0"/>
      <w:marRight w:val="0"/>
      <w:marTop w:val="0"/>
      <w:marBottom w:val="0"/>
      <w:divBdr>
        <w:top w:val="none" w:sz="0" w:space="0" w:color="auto"/>
        <w:left w:val="none" w:sz="0" w:space="0" w:color="auto"/>
        <w:bottom w:val="none" w:sz="0" w:space="0" w:color="auto"/>
        <w:right w:val="none" w:sz="0" w:space="0" w:color="auto"/>
      </w:divBdr>
      <w:divsChild>
        <w:div w:id="2142847336">
          <w:marLeft w:val="0"/>
          <w:marRight w:val="0"/>
          <w:marTop w:val="0"/>
          <w:marBottom w:val="0"/>
          <w:divBdr>
            <w:top w:val="none" w:sz="0" w:space="0" w:color="auto"/>
            <w:left w:val="none" w:sz="0" w:space="0" w:color="auto"/>
            <w:bottom w:val="none" w:sz="0" w:space="0" w:color="auto"/>
            <w:right w:val="none" w:sz="0" w:space="0" w:color="auto"/>
          </w:divBdr>
        </w:div>
      </w:divsChild>
    </w:div>
    <w:div w:id="1269005875">
      <w:bodyDiv w:val="1"/>
      <w:marLeft w:val="0"/>
      <w:marRight w:val="0"/>
      <w:marTop w:val="0"/>
      <w:marBottom w:val="0"/>
      <w:divBdr>
        <w:top w:val="none" w:sz="0" w:space="0" w:color="auto"/>
        <w:left w:val="none" w:sz="0" w:space="0" w:color="auto"/>
        <w:bottom w:val="none" w:sz="0" w:space="0" w:color="auto"/>
        <w:right w:val="none" w:sz="0" w:space="0" w:color="auto"/>
      </w:divBdr>
    </w:div>
    <w:div w:id="1291520615">
      <w:bodyDiv w:val="1"/>
      <w:marLeft w:val="0"/>
      <w:marRight w:val="0"/>
      <w:marTop w:val="0"/>
      <w:marBottom w:val="0"/>
      <w:divBdr>
        <w:top w:val="none" w:sz="0" w:space="0" w:color="auto"/>
        <w:left w:val="none" w:sz="0" w:space="0" w:color="auto"/>
        <w:bottom w:val="none" w:sz="0" w:space="0" w:color="auto"/>
        <w:right w:val="none" w:sz="0" w:space="0" w:color="auto"/>
      </w:divBdr>
    </w:div>
    <w:div w:id="1299650749">
      <w:bodyDiv w:val="1"/>
      <w:marLeft w:val="0"/>
      <w:marRight w:val="0"/>
      <w:marTop w:val="0"/>
      <w:marBottom w:val="0"/>
      <w:divBdr>
        <w:top w:val="none" w:sz="0" w:space="0" w:color="auto"/>
        <w:left w:val="none" w:sz="0" w:space="0" w:color="auto"/>
        <w:bottom w:val="none" w:sz="0" w:space="0" w:color="auto"/>
        <w:right w:val="none" w:sz="0" w:space="0" w:color="auto"/>
      </w:divBdr>
      <w:divsChild>
        <w:div w:id="701518319">
          <w:marLeft w:val="0"/>
          <w:marRight w:val="0"/>
          <w:marTop w:val="0"/>
          <w:marBottom w:val="0"/>
          <w:divBdr>
            <w:top w:val="none" w:sz="0" w:space="0" w:color="auto"/>
            <w:left w:val="none" w:sz="0" w:space="0" w:color="auto"/>
            <w:bottom w:val="none" w:sz="0" w:space="0" w:color="auto"/>
            <w:right w:val="none" w:sz="0" w:space="0" w:color="auto"/>
          </w:divBdr>
        </w:div>
      </w:divsChild>
    </w:div>
    <w:div w:id="1315525430">
      <w:bodyDiv w:val="1"/>
      <w:marLeft w:val="0"/>
      <w:marRight w:val="0"/>
      <w:marTop w:val="0"/>
      <w:marBottom w:val="0"/>
      <w:divBdr>
        <w:top w:val="none" w:sz="0" w:space="0" w:color="auto"/>
        <w:left w:val="none" w:sz="0" w:space="0" w:color="auto"/>
        <w:bottom w:val="none" w:sz="0" w:space="0" w:color="auto"/>
        <w:right w:val="none" w:sz="0" w:space="0" w:color="auto"/>
      </w:divBdr>
    </w:div>
    <w:div w:id="1343699370">
      <w:bodyDiv w:val="1"/>
      <w:marLeft w:val="0"/>
      <w:marRight w:val="0"/>
      <w:marTop w:val="0"/>
      <w:marBottom w:val="0"/>
      <w:divBdr>
        <w:top w:val="none" w:sz="0" w:space="0" w:color="auto"/>
        <w:left w:val="none" w:sz="0" w:space="0" w:color="auto"/>
        <w:bottom w:val="none" w:sz="0" w:space="0" w:color="auto"/>
        <w:right w:val="none" w:sz="0" w:space="0" w:color="auto"/>
      </w:divBdr>
    </w:div>
    <w:div w:id="1344094413">
      <w:bodyDiv w:val="1"/>
      <w:marLeft w:val="0"/>
      <w:marRight w:val="0"/>
      <w:marTop w:val="0"/>
      <w:marBottom w:val="0"/>
      <w:divBdr>
        <w:top w:val="none" w:sz="0" w:space="0" w:color="auto"/>
        <w:left w:val="none" w:sz="0" w:space="0" w:color="auto"/>
        <w:bottom w:val="none" w:sz="0" w:space="0" w:color="auto"/>
        <w:right w:val="none" w:sz="0" w:space="0" w:color="auto"/>
      </w:divBdr>
    </w:div>
    <w:div w:id="1349529791">
      <w:bodyDiv w:val="1"/>
      <w:marLeft w:val="0"/>
      <w:marRight w:val="0"/>
      <w:marTop w:val="0"/>
      <w:marBottom w:val="0"/>
      <w:divBdr>
        <w:top w:val="none" w:sz="0" w:space="0" w:color="auto"/>
        <w:left w:val="none" w:sz="0" w:space="0" w:color="auto"/>
        <w:bottom w:val="none" w:sz="0" w:space="0" w:color="auto"/>
        <w:right w:val="none" w:sz="0" w:space="0" w:color="auto"/>
      </w:divBdr>
    </w:div>
    <w:div w:id="1368140716">
      <w:bodyDiv w:val="1"/>
      <w:marLeft w:val="0"/>
      <w:marRight w:val="0"/>
      <w:marTop w:val="0"/>
      <w:marBottom w:val="0"/>
      <w:divBdr>
        <w:top w:val="none" w:sz="0" w:space="0" w:color="auto"/>
        <w:left w:val="none" w:sz="0" w:space="0" w:color="auto"/>
        <w:bottom w:val="none" w:sz="0" w:space="0" w:color="auto"/>
        <w:right w:val="none" w:sz="0" w:space="0" w:color="auto"/>
      </w:divBdr>
    </w:div>
    <w:div w:id="1427579473">
      <w:bodyDiv w:val="1"/>
      <w:marLeft w:val="0"/>
      <w:marRight w:val="0"/>
      <w:marTop w:val="0"/>
      <w:marBottom w:val="0"/>
      <w:divBdr>
        <w:top w:val="none" w:sz="0" w:space="0" w:color="auto"/>
        <w:left w:val="none" w:sz="0" w:space="0" w:color="auto"/>
        <w:bottom w:val="none" w:sz="0" w:space="0" w:color="auto"/>
        <w:right w:val="none" w:sz="0" w:space="0" w:color="auto"/>
      </w:divBdr>
    </w:div>
    <w:div w:id="1432119703">
      <w:bodyDiv w:val="1"/>
      <w:marLeft w:val="0"/>
      <w:marRight w:val="0"/>
      <w:marTop w:val="0"/>
      <w:marBottom w:val="0"/>
      <w:divBdr>
        <w:top w:val="none" w:sz="0" w:space="0" w:color="auto"/>
        <w:left w:val="none" w:sz="0" w:space="0" w:color="auto"/>
        <w:bottom w:val="none" w:sz="0" w:space="0" w:color="auto"/>
        <w:right w:val="none" w:sz="0" w:space="0" w:color="auto"/>
      </w:divBdr>
    </w:div>
    <w:div w:id="1442920173">
      <w:bodyDiv w:val="1"/>
      <w:marLeft w:val="0"/>
      <w:marRight w:val="0"/>
      <w:marTop w:val="0"/>
      <w:marBottom w:val="0"/>
      <w:divBdr>
        <w:top w:val="none" w:sz="0" w:space="0" w:color="auto"/>
        <w:left w:val="none" w:sz="0" w:space="0" w:color="auto"/>
        <w:bottom w:val="none" w:sz="0" w:space="0" w:color="auto"/>
        <w:right w:val="none" w:sz="0" w:space="0" w:color="auto"/>
      </w:divBdr>
    </w:div>
    <w:div w:id="1463500839">
      <w:bodyDiv w:val="1"/>
      <w:marLeft w:val="0"/>
      <w:marRight w:val="0"/>
      <w:marTop w:val="0"/>
      <w:marBottom w:val="0"/>
      <w:divBdr>
        <w:top w:val="none" w:sz="0" w:space="0" w:color="auto"/>
        <w:left w:val="none" w:sz="0" w:space="0" w:color="auto"/>
        <w:bottom w:val="none" w:sz="0" w:space="0" w:color="auto"/>
        <w:right w:val="none" w:sz="0" w:space="0" w:color="auto"/>
      </w:divBdr>
    </w:div>
    <w:div w:id="1486125780">
      <w:bodyDiv w:val="1"/>
      <w:marLeft w:val="0"/>
      <w:marRight w:val="0"/>
      <w:marTop w:val="0"/>
      <w:marBottom w:val="0"/>
      <w:divBdr>
        <w:top w:val="none" w:sz="0" w:space="0" w:color="auto"/>
        <w:left w:val="none" w:sz="0" w:space="0" w:color="auto"/>
        <w:bottom w:val="none" w:sz="0" w:space="0" w:color="auto"/>
        <w:right w:val="none" w:sz="0" w:space="0" w:color="auto"/>
      </w:divBdr>
    </w:div>
    <w:div w:id="1508984707">
      <w:bodyDiv w:val="1"/>
      <w:marLeft w:val="0"/>
      <w:marRight w:val="0"/>
      <w:marTop w:val="0"/>
      <w:marBottom w:val="0"/>
      <w:divBdr>
        <w:top w:val="none" w:sz="0" w:space="0" w:color="auto"/>
        <w:left w:val="none" w:sz="0" w:space="0" w:color="auto"/>
        <w:bottom w:val="none" w:sz="0" w:space="0" w:color="auto"/>
        <w:right w:val="none" w:sz="0" w:space="0" w:color="auto"/>
      </w:divBdr>
    </w:div>
    <w:div w:id="1534685745">
      <w:bodyDiv w:val="1"/>
      <w:marLeft w:val="0"/>
      <w:marRight w:val="0"/>
      <w:marTop w:val="0"/>
      <w:marBottom w:val="0"/>
      <w:divBdr>
        <w:top w:val="none" w:sz="0" w:space="0" w:color="auto"/>
        <w:left w:val="none" w:sz="0" w:space="0" w:color="auto"/>
        <w:bottom w:val="none" w:sz="0" w:space="0" w:color="auto"/>
        <w:right w:val="none" w:sz="0" w:space="0" w:color="auto"/>
      </w:divBdr>
    </w:div>
    <w:div w:id="1546599217">
      <w:bodyDiv w:val="1"/>
      <w:marLeft w:val="0"/>
      <w:marRight w:val="0"/>
      <w:marTop w:val="0"/>
      <w:marBottom w:val="0"/>
      <w:divBdr>
        <w:top w:val="none" w:sz="0" w:space="0" w:color="auto"/>
        <w:left w:val="none" w:sz="0" w:space="0" w:color="auto"/>
        <w:bottom w:val="none" w:sz="0" w:space="0" w:color="auto"/>
        <w:right w:val="none" w:sz="0" w:space="0" w:color="auto"/>
      </w:divBdr>
    </w:div>
    <w:div w:id="1581139457">
      <w:bodyDiv w:val="1"/>
      <w:marLeft w:val="0"/>
      <w:marRight w:val="0"/>
      <w:marTop w:val="0"/>
      <w:marBottom w:val="0"/>
      <w:divBdr>
        <w:top w:val="none" w:sz="0" w:space="0" w:color="auto"/>
        <w:left w:val="none" w:sz="0" w:space="0" w:color="auto"/>
        <w:bottom w:val="none" w:sz="0" w:space="0" w:color="auto"/>
        <w:right w:val="none" w:sz="0" w:space="0" w:color="auto"/>
      </w:divBdr>
    </w:div>
    <w:div w:id="1646080523">
      <w:bodyDiv w:val="1"/>
      <w:marLeft w:val="0"/>
      <w:marRight w:val="0"/>
      <w:marTop w:val="0"/>
      <w:marBottom w:val="0"/>
      <w:divBdr>
        <w:top w:val="none" w:sz="0" w:space="0" w:color="auto"/>
        <w:left w:val="none" w:sz="0" w:space="0" w:color="auto"/>
        <w:bottom w:val="none" w:sz="0" w:space="0" w:color="auto"/>
        <w:right w:val="none" w:sz="0" w:space="0" w:color="auto"/>
      </w:divBdr>
    </w:div>
    <w:div w:id="1681271277">
      <w:bodyDiv w:val="1"/>
      <w:marLeft w:val="0"/>
      <w:marRight w:val="0"/>
      <w:marTop w:val="0"/>
      <w:marBottom w:val="0"/>
      <w:divBdr>
        <w:top w:val="none" w:sz="0" w:space="0" w:color="auto"/>
        <w:left w:val="none" w:sz="0" w:space="0" w:color="auto"/>
        <w:bottom w:val="none" w:sz="0" w:space="0" w:color="auto"/>
        <w:right w:val="none" w:sz="0" w:space="0" w:color="auto"/>
      </w:divBdr>
    </w:div>
    <w:div w:id="1693872297">
      <w:bodyDiv w:val="1"/>
      <w:marLeft w:val="0"/>
      <w:marRight w:val="0"/>
      <w:marTop w:val="0"/>
      <w:marBottom w:val="0"/>
      <w:divBdr>
        <w:top w:val="none" w:sz="0" w:space="0" w:color="auto"/>
        <w:left w:val="none" w:sz="0" w:space="0" w:color="auto"/>
        <w:bottom w:val="none" w:sz="0" w:space="0" w:color="auto"/>
        <w:right w:val="none" w:sz="0" w:space="0" w:color="auto"/>
      </w:divBdr>
    </w:div>
    <w:div w:id="1694721316">
      <w:bodyDiv w:val="1"/>
      <w:marLeft w:val="0"/>
      <w:marRight w:val="0"/>
      <w:marTop w:val="0"/>
      <w:marBottom w:val="0"/>
      <w:divBdr>
        <w:top w:val="none" w:sz="0" w:space="0" w:color="auto"/>
        <w:left w:val="none" w:sz="0" w:space="0" w:color="auto"/>
        <w:bottom w:val="none" w:sz="0" w:space="0" w:color="auto"/>
        <w:right w:val="none" w:sz="0" w:space="0" w:color="auto"/>
      </w:divBdr>
    </w:div>
    <w:div w:id="1698702607">
      <w:bodyDiv w:val="1"/>
      <w:marLeft w:val="0"/>
      <w:marRight w:val="0"/>
      <w:marTop w:val="0"/>
      <w:marBottom w:val="0"/>
      <w:divBdr>
        <w:top w:val="none" w:sz="0" w:space="0" w:color="auto"/>
        <w:left w:val="none" w:sz="0" w:space="0" w:color="auto"/>
        <w:bottom w:val="none" w:sz="0" w:space="0" w:color="auto"/>
        <w:right w:val="none" w:sz="0" w:space="0" w:color="auto"/>
      </w:divBdr>
    </w:div>
    <w:div w:id="1708724249">
      <w:bodyDiv w:val="1"/>
      <w:marLeft w:val="0"/>
      <w:marRight w:val="0"/>
      <w:marTop w:val="0"/>
      <w:marBottom w:val="0"/>
      <w:divBdr>
        <w:top w:val="none" w:sz="0" w:space="0" w:color="auto"/>
        <w:left w:val="none" w:sz="0" w:space="0" w:color="auto"/>
        <w:bottom w:val="none" w:sz="0" w:space="0" w:color="auto"/>
        <w:right w:val="none" w:sz="0" w:space="0" w:color="auto"/>
      </w:divBdr>
    </w:div>
    <w:div w:id="1721318241">
      <w:bodyDiv w:val="1"/>
      <w:marLeft w:val="0"/>
      <w:marRight w:val="0"/>
      <w:marTop w:val="0"/>
      <w:marBottom w:val="0"/>
      <w:divBdr>
        <w:top w:val="none" w:sz="0" w:space="0" w:color="auto"/>
        <w:left w:val="none" w:sz="0" w:space="0" w:color="auto"/>
        <w:bottom w:val="none" w:sz="0" w:space="0" w:color="auto"/>
        <w:right w:val="none" w:sz="0" w:space="0" w:color="auto"/>
      </w:divBdr>
      <w:divsChild>
        <w:div w:id="887380894">
          <w:marLeft w:val="0"/>
          <w:marRight w:val="0"/>
          <w:marTop w:val="0"/>
          <w:marBottom w:val="0"/>
          <w:divBdr>
            <w:top w:val="none" w:sz="0" w:space="0" w:color="auto"/>
            <w:left w:val="none" w:sz="0" w:space="0" w:color="auto"/>
            <w:bottom w:val="none" w:sz="0" w:space="0" w:color="auto"/>
            <w:right w:val="none" w:sz="0" w:space="0" w:color="auto"/>
          </w:divBdr>
        </w:div>
      </w:divsChild>
    </w:div>
    <w:div w:id="1725105650">
      <w:bodyDiv w:val="1"/>
      <w:marLeft w:val="0"/>
      <w:marRight w:val="0"/>
      <w:marTop w:val="0"/>
      <w:marBottom w:val="0"/>
      <w:divBdr>
        <w:top w:val="none" w:sz="0" w:space="0" w:color="auto"/>
        <w:left w:val="none" w:sz="0" w:space="0" w:color="auto"/>
        <w:bottom w:val="none" w:sz="0" w:space="0" w:color="auto"/>
        <w:right w:val="none" w:sz="0" w:space="0" w:color="auto"/>
      </w:divBdr>
    </w:div>
    <w:div w:id="1735469548">
      <w:bodyDiv w:val="1"/>
      <w:marLeft w:val="0"/>
      <w:marRight w:val="0"/>
      <w:marTop w:val="0"/>
      <w:marBottom w:val="0"/>
      <w:divBdr>
        <w:top w:val="none" w:sz="0" w:space="0" w:color="auto"/>
        <w:left w:val="none" w:sz="0" w:space="0" w:color="auto"/>
        <w:bottom w:val="none" w:sz="0" w:space="0" w:color="auto"/>
        <w:right w:val="none" w:sz="0" w:space="0" w:color="auto"/>
      </w:divBdr>
    </w:div>
    <w:div w:id="1748261693">
      <w:bodyDiv w:val="1"/>
      <w:marLeft w:val="0"/>
      <w:marRight w:val="0"/>
      <w:marTop w:val="0"/>
      <w:marBottom w:val="0"/>
      <w:divBdr>
        <w:top w:val="none" w:sz="0" w:space="0" w:color="auto"/>
        <w:left w:val="none" w:sz="0" w:space="0" w:color="auto"/>
        <w:bottom w:val="none" w:sz="0" w:space="0" w:color="auto"/>
        <w:right w:val="none" w:sz="0" w:space="0" w:color="auto"/>
      </w:divBdr>
    </w:div>
    <w:div w:id="1759056926">
      <w:bodyDiv w:val="1"/>
      <w:marLeft w:val="0"/>
      <w:marRight w:val="0"/>
      <w:marTop w:val="0"/>
      <w:marBottom w:val="0"/>
      <w:divBdr>
        <w:top w:val="none" w:sz="0" w:space="0" w:color="auto"/>
        <w:left w:val="none" w:sz="0" w:space="0" w:color="auto"/>
        <w:bottom w:val="none" w:sz="0" w:space="0" w:color="auto"/>
        <w:right w:val="none" w:sz="0" w:space="0" w:color="auto"/>
      </w:divBdr>
    </w:div>
    <w:div w:id="1780372855">
      <w:bodyDiv w:val="1"/>
      <w:marLeft w:val="0"/>
      <w:marRight w:val="0"/>
      <w:marTop w:val="0"/>
      <w:marBottom w:val="0"/>
      <w:divBdr>
        <w:top w:val="none" w:sz="0" w:space="0" w:color="auto"/>
        <w:left w:val="none" w:sz="0" w:space="0" w:color="auto"/>
        <w:bottom w:val="none" w:sz="0" w:space="0" w:color="auto"/>
        <w:right w:val="none" w:sz="0" w:space="0" w:color="auto"/>
      </w:divBdr>
    </w:div>
    <w:div w:id="1795521230">
      <w:bodyDiv w:val="1"/>
      <w:marLeft w:val="0"/>
      <w:marRight w:val="0"/>
      <w:marTop w:val="0"/>
      <w:marBottom w:val="0"/>
      <w:divBdr>
        <w:top w:val="none" w:sz="0" w:space="0" w:color="auto"/>
        <w:left w:val="none" w:sz="0" w:space="0" w:color="auto"/>
        <w:bottom w:val="none" w:sz="0" w:space="0" w:color="auto"/>
        <w:right w:val="none" w:sz="0" w:space="0" w:color="auto"/>
      </w:divBdr>
    </w:div>
    <w:div w:id="1852376843">
      <w:bodyDiv w:val="1"/>
      <w:marLeft w:val="0"/>
      <w:marRight w:val="0"/>
      <w:marTop w:val="0"/>
      <w:marBottom w:val="0"/>
      <w:divBdr>
        <w:top w:val="none" w:sz="0" w:space="0" w:color="auto"/>
        <w:left w:val="none" w:sz="0" w:space="0" w:color="auto"/>
        <w:bottom w:val="none" w:sz="0" w:space="0" w:color="auto"/>
        <w:right w:val="none" w:sz="0" w:space="0" w:color="auto"/>
      </w:divBdr>
    </w:div>
    <w:div w:id="1863547242">
      <w:bodyDiv w:val="1"/>
      <w:marLeft w:val="0"/>
      <w:marRight w:val="0"/>
      <w:marTop w:val="0"/>
      <w:marBottom w:val="0"/>
      <w:divBdr>
        <w:top w:val="none" w:sz="0" w:space="0" w:color="auto"/>
        <w:left w:val="none" w:sz="0" w:space="0" w:color="auto"/>
        <w:bottom w:val="none" w:sz="0" w:space="0" w:color="auto"/>
        <w:right w:val="none" w:sz="0" w:space="0" w:color="auto"/>
      </w:divBdr>
    </w:div>
    <w:div w:id="1887401615">
      <w:bodyDiv w:val="1"/>
      <w:marLeft w:val="0"/>
      <w:marRight w:val="0"/>
      <w:marTop w:val="0"/>
      <w:marBottom w:val="0"/>
      <w:divBdr>
        <w:top w:val="none" w:sz="0" w:space="0" w:color="auto"/>
        <w:left w:val="none" w:sz="0" w:space="0" w:color="auto"/>
        <w:bottom w:val="none" w:sz="0" w:space="0" w:color="auto"/>
        <w:right w:val="none" w:sz="0" w:space="0" w:color="auto"/>
      </w:divBdr>
    </w:div>
    <w:div w:id="1929847222">
      <w:bodyDiv w:val="1"/>
      <w:marLeft w:val="0"/>
      <w:marRight w:val="0"/>
      <w:marTop w:val="0"/>
      <w:marBottom w:val="0"/>
      <w:divBdr>
        <w:top w:val="none" w:sz="0" w:space="0" w:color="auto"/>
        <w:left w:val="none" w:sz="0" w:space="0" w:color="auto"/>
        <w:bottom w:val="none" w:sz="0" w:space="0" w:color="auto"/>
        <w:right w:val="none" w:sz="0" w:space="0" w:color="auto"/>
      </w:divBdr>
    </w:div>
    <w:div w:id="1932543004">
      <w:bodyDiv w:val="1"/>
      <w:marLeft w:val="0"/>
      <w:marRight w:val="0"/>
      <w:marTop w:val="0"/>
      <w:marBottom w:val="0"/>
      <w:divBdr>
        <w:top w:val="none" w:sz="0" w:space="0" w:color="auto"/>
        <w:left w:val="none" w:sz="0" w:space="0" w:color="auto"/>
        <w:bottom w:val="none" w:sz="0" w:space="0" w:color="auto"/>
        <w:right w:val="none" w:sz="0" w:space="0" w:color="auto"/>
      </w:divBdr>
    </w:div>
    <w:div w:id="1948543739">
      <w:bodyDiv w:val="1"/>
      <w:marLeft w:val="0"/>
      <w:marRight w:val="0"/>
      <w:marTop w:val="0"/>
      <w:marBottom w:val="0"/>
      <w:divBdr>
        <w:top w:val="none" w:sz="0" w:space="0" w:color="auto"/>
        <w:left w:val="none" w:sz="0" w:space="0" w:color="auto"/>
        <w:bottom w:val="none" w:sz="0" w:space="0" w:color="auto"/>
        <w:right w:val="none" w:sz="0" w:space="0" w:color="auto"/>
      </w:divBdr>
      <w:divsChild>
        <w:div w:id="2067100510">
          <w:marLeft w:val="0"/>
          <w:marRight w:val="0"/>
          <w:marTop w:val="0"/>
          <w:marBottom w:val="0"/>
          <w:divBdr>
            <w:top w:val="none" w:sz="0" w:space="0" w:color="auto"/>
            <w:left w:val="none" w:sz="0" w:space="0" w:color="auto"/>
            <w:bottom w:val="none" w:sz="0" w:space="0" w:color="auto"/>
            <w:right w:val="none" w:sz="0" w:space="0" w:color="auto"/>
          </w:divBdr>
          <w:divsChild>
            <w:div w:id="318314708">
              <w:marLeft w:val="0"/>
              <w:marRight w:val="0"/>
              <w:marTop w:val="0"/>
              <w:marBottom w:val="0"/>
              <w:divBdr>
                <w:top w:val="none" w:sz="0" w:space="0" w:color="auto"/>
                <w:left w:val="none" w:sz="0" w:space="0" w:color="auto"/>
                <w:bottom w:val="none" w:sz="0" w:space="0" w:color="auto"/>
                <w:right w:val="none" w:sz="0" w:space="0" w:color="auto"/>
              </w:divBdr>
              <w:divsChild>
                <w:div w:id="16093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58074">
          <w:marLeft w:val="0"/>
          <w:marRight w:val="0"/>
          <w:marTop w:val="0"/>
          <w:marBottom w:val="0"/>
          <w:divBdr>
            <w:top w:val="none" w:sz="0" w:space="0" w:color="auto"/>
            <w:left w:val="none" w:sz="0" w:space="0" w:color="auto"/>
            <w:bottom w:val="none" w:sz="0" w:space="0" w:color="auto"/>
            <w:right w:val="none" w:sz="0" w:space="0" w:color="auto"/>
          </w:divBdr>
          <w:divsChild>
            <w:div w:id="2061510833">
              <w:marLeft w:val="0"/>
              <w:marRight w:val="0"/>
              <w:marTop w:val="0"/>
              <w:marBottom w:val="0"/>
              <w:divBdr>
                <w:top w:val="none" w:sz="0" w:space="0" w:color="auto"/>
                <w:left w:val="none" w:sz="0" w:space="0" w:color="auto"/>
                <w:bottom w:val="none" w:sz="0" w:space="0" w:color="auto"/>
                <w:right w:val="none" w:sz="0" w:space="0" w:color="auto"/>
              </w:divBdr>
              <w:divsChild>
                <w:div w:id="1842696438">
                  <w:marLeft w:val="0"/>
                  <w:marRight w:val="0"/>
                  <w:marTop w:val="0"/>
                  <w:marBottom w:val="0"/>
                  <w:divBdr>
                    <w:top w:val="none" w:sz="0" w:space="0" w:color="auto"/>
                    <w:left w:val="none" w:sz="0" w:space="0" w:color="auto"/>
                    <w:bottom w:val="none" w:sz="0" w:space="0" w:color="auto"/>
                    <w:right w:val="none" w:sz="0" w:space="0" w:color="auto"/>
                  </w:divBdr>
                  <w:divsChild>
                    <w:div w:id="10658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20715">
      <w:bodyDiv w:val="1"/>
      <w:marLeft w:val="0"/>
      <w:marRight w:val="0"/>
      <w:marTop w:val="0"/>
      <w:marBottom w:val="0"/>
      <w:divBdr>
        <w:top w:val="none" w:sz="0" w:space="0" w:color="auto"/>
        <w:left w:val="none" w:sz="0" w:space="0" w:color="auto"/>
        <w:bottom w:val="none" w:sz="0" w:space="0" w:color="auto"/>
        <w:right w:val="none" w:sz="0" w:space="0" w:color="auto"/>
      </w:divBdr>
    </w:div>
    <w:div w:id="1973753520">
      <w:bodyDiv w:val="1"/>
      <w:marLeft w:val="0"/>
      <w:marRight w:val="0"/>
      <w:marTop w:val="0"/>
      <w:marBottom w:val="0"/>
      <w:divBdr>
        <w:top w:val="none" w:sz="0" w:space="0" w:color="auto"/>
        <w:left w:val="none" w:sz="0" w:space="0" w:color="auto"/>
        <w:bottom w:val="none" w:sz="0" w:space="0" w:color="auto"/>
        <w:right w:val="none" w:sz="0" w:space="0" w:color="auto"/>
      </w:divBdr>
    </w:div>
    <w:div w:id="1978143094">
      <w:bodyDiv w:val="1"/>
      <w:marLeft w:val="0"/>
      <w:marRight w:val="0"/>
      <w:marTop w:val="0"/>
      <w:marBottom w:val="0"/>
      <w:divBdr>
        <w:top w:val="none" w:sz="0" w:space="0" w:color="auto"/>
        <w:left w:val="none" w:sz="0" w:space="0" w:color="auto"/>
        <w:bottom w:val="none" w:sz="0" w:space="0" w:color="auto"/>
        <w:right w:val="none" w:sz="0" w:space="0" w:color="auto"/>
      </w:divBdr>
    </w:div>
    <w:div w:id="2026056946">
      <w:bodyDiv w:val="1"/>
      <w:marLeft w:val="0"/>
      <w:marRight w:val="0"/>
      <w:marTop w:val="0"/>
      <w:marBottom w:val="0"/>
      <w:divBdr>
        <w:top w:val="none" w:sz="0" w:space="0" w:color="auto"/>
        <w:left w:val="none" w:sz="0" w:space="0" w:color="auto"/>
        <w:bottom w:val="none" w:sz="0" w:space="0" w:color="auto"/>
        <w:right w:val="none" w:sz="0" w:space="0" w:color="auto"/>
      </w:divBdr>
    </w:div>
    <w:div w:id="2037920215">
      <w:bodyDiv w:val="1"/>
      <w:marLeft w:val="0"/>
      <w:marRight w:val="0"/>
      <w:marTop w:val="0"/>
      <w:marBottom w:val="0"/>
      <w:divBdr>
        <w:top w:val="none" w:sz="0" w:space="0" w:color="auto"/>
        <w:left w:val="none" w:sz="0" w:space="0" w:color="auto"/>
        <w:bottom w:val="none" w:sz="0" w:space="0" w:color="auto"/>
        <w:right w:val="none" w:sz="0" w:space="0" w:color="auto"/>
      </w:divBdr>
    </w:div>
    <w:div w:id="2060669206">
      <w:bodyDiv w:val="1"/>
      <w:marLeft w:val="0"/>
      <w:marRight w:val="0"/>
      <w:marTop w:val="0"/>
      <w:marBottom w:val="0"/>
      <w:divBdr>
        <w:top w:val="none" w:sz="0" w:space="0" w:color="auto"/>
        <w:left w:val="none" w:sz="0" w:space="0" w:color="auto"/>
        <w:bottom w:val="none" w:sz="0" w:space="0" w:color="auto"/>
        <w:right w:val="none" w:sz="0" w:space="0" w:color="auto"/>
      </w:divBdr>
    </w:div>
    <w:div w:id="2062632480">
      <w:bodyDiv w:val="1"/>
      <w:marLeft w:val="0"/>
      <w:marRight w:val="0"/>
      <w:marTop w:val="0"/>
      <w:marBottom w:val="0"/>
      <w:divBdr>
        <w:top w:val="none" w:sz="0" w:space="0" w:color="auto"/>
        <w:left w:val="none" w:sz="0" w:space="0" w:color="auto"/>
        <w:bottom w:val="none" w:sz="0" w:space="0" w:color="auto"/>
        <w:right w:val="none" w:sz="0" w:space="0" w:color="auto"/>
      </w:divBdr>
    </w:div>
    <w:div w:id="2129155749">
      <w:bodyDiv w:val="1"/>
      <w:marLeft w:val="0"/>
      <w:marRight w:val="0"/>
      <w:marTop w:val="0"/>
      <w:marBottom w:val="0"/>
      <w:divBdr>
        <w:top w:val="none" w:sz="0" w:space="0" w:color="auto"/>
        <w:left w:val="none" w:sz="0" w:space="0" w:color="auto"/>
        <w:bottom w:val="none" w:sz="0" w:space="0" w:color="auto"/>
        <w:right w:val="none" w:sz="0" w:space="0" w:color="auto"/>
      </w:divBdr>
      <w:divsChild>
        <w:div w:id="1802185764">
          <w:marLeft w:val="0"/>
          <w:marRight w:val="0"/>
          <w:marTop w:val="0"/>
          <w:marBottom w:val="0"/>
          <w:divBdr>
            <w:top w:val="none" w:sz="0" w:space="0" w:color="auto"/>
            <w:left w:val="none" w:sz="0" w:space="0" w:color="auto"/>
            <w:bottom w:val="none" w:sz="0" w:space="0" w:color="auto"/>
            <w:right w:val="none" w:sz="0" w:space="0" w:color="auto"/>
          </w:divBdr>
        </w:div>
      </w:divsChild>
    </w:div>
    <w:div w:id="2131820728">
      <w:bodyDiv w:val="1"/>
      <w:marLeft w:val="0"/>
      <w:marRight w:val="0"/>
      <w:marTop w:val="0"/>
      <w:marBottom w:val="0"/>
      <w:divBdr>
        <w:top w:val="none" w:sz="0" w:space="0" w:color="auto"/>
        <w:left w:val="none" w:sz="0" w:space="0" w:color="auto"/>
        <w:bottom w:val="none" w:sz="0" w:space="0" w:color="auto"/>
        <w:right w:val="none" w:sz="0" w:space="0" w:color="auto"/>
      </w:divBdr>
    </w:div>
    <w:div w:id="2143302700">
      <w:bodyDiv w:val="1"/>
      <w:marLeft w:val="0"/>
      <w:marRight w:val="0"/>
      <w:marTop w:val="0"/>
      <w:marBottom w:val="0"/>
      <w:divBdr>
        <w:top w:val="none" w:sz="0" w:space="0" w:color="auto"/>
        <w:left w:val="none" w:sz="0" w:space="0" w:color="auto"/>
        <w:bottom w:val="none" w:sz="0" w:space="0" w:color="auto"/>
        <w:right w:val="none" w:sz="0" w:space="0" w:color="auto"/>
      </w:divBdr>
    </w:div>
    <w:div w:id="214423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oda.hr/sites/default/files/2022-04/visegodisnji_program_gradnje_komunalnih_vodnih_gradevina_za_razdoblje_do_2030._godine.pdf" TargetMode="External"/><Relationship Id="rId18" Type="http://schemas.openxmlformats.org/officeDocument/2006/relationships/hyperlink" Target="https://narodne-novine.nn.hr/clanci/sluzbeni/full/2018_01_5_152.html" TargetMode="External"/><Relationship Id="rId3" Type="http://schemas.openxmlformats.org/officeDocument/2006/relationships/styles" Target="styles.xml"/><Relationship Id="rId21" Type="http://schemas.openxmlformats.org/officeDocument/2006/relationships/hyperlink" Target="mailto:eko-oznake@mingor.hr" TargetMode="External"/><Relationship Id="rId7" Type="http://schemas.openxmlformats.org/officeDocument/2006/relationships/endnotes" Target="endnotes.xml"/><Relationship Id="rId12" Type="http://schemas.openxmlformats.org/officeDocument/2006/relationships/hyperlink" Target="http://regdoz.azo.hr/" TargetMode="External"/><Relationship Id="rId17" Type="http://schemas.openxmlformats.org/officeDocument/2006/relationships/hyperlink" Target="http://narodne-novine.nn.hr/clanci/sluzbeni/2014_01_8_119.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arodne-novine.nn.hr/clanci/sluzbeni/2017_01_3_118.html" TargetMode="External"/><Relationship Id="rId20" Type="http://schemas.openxmlformats.org/officeDocument/2006/relationships/hyperlink" Target="https://sdg12hub.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narodne-novine.nn.hr/clanci/sluzbeni/2014_05_61_1138.html"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narodne-novine.nn.hr/clanci/sluzbeni/2017_01_3_120.html" TargetMode="External"/><Relationship Id="rId22" Type="http://schemas.openxmlformats.org/officeDocument/2006/relationships/hyperlink" Target="https://zelenanabava.h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narodne-novine.nn.hr/clanci/sluzbeni/2022_09_106_1552.html" TargetMode="External"/><Relationship Id="rId2" Type="http://schemas.openxmlformats.org/officeDocument/2006/relationships/hyperlink" Target="https://www.haop.hr/hr/baze-i-portali/odlagalista-obrazac-ooo" TargetMode="External"/><Relationship Id="rId1" Type="http://schemas.openxmlformats.org/officeDocument/2006/relationships/hyperlink" Target="https://www.haop.hr/hr/baze-i-portali/registar-oneciscavanja-okolisa-roo" TargetMode="External"/><Relationship Id="rId6" Type="http://schemas.openxmlformats.org/officeDocument/2006/relationships/hyperlink" Target="https://www.hgk.hr/burza-otpada/o-burzi-otpada" TargetMode="External"/><Relationship Id="rId5" Type="http://schemas.openxmlformats.org/officeDocument/2006/relationships/hyperlink" Target="http://sprjecavanjeotpada.azo.hr/" TargetMode="External"/><Relationship Id="rId4" Type="http://schemas.openxmlformats.org/officeDocument/2006/relationships/hyperlink" Target="https://mingor.gov.hr/nacionalni-registar-eu-ecolabel-proizvoda-i-usluga/8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503F3-0185-4453-8B3D-8A9DD9F88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200</Pages>
  <Words>86623</Words>
  <Characters>493756</Characters>
  <Application>Microsoft Office Word</Application>
  <DocSecurity>0</DocSecurity>
  <Lines>4114</Lines>
  <Paragraphs>1158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Stručne podloge za Plan gospodarenja otpadom</vt:lpstr>
      <vt:lpstr>Stručne podloge za Plan gospodarenja otpadom</vt:lpstr>
    </vt:vector>
  </TitlesOfParts>
  <Company>Ugovor o pružanju usluge „Izrada stručnih podloga za Plan gospodarenja otpadom RH 2023-2028 i Program sprječavanja nastanka otpada“</Company>
  <LinksUpToDate>false</LinksUpToDate>
  <CharactersWithSpaces>579221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Stručne podloge za Plan gospodarenja otpadom</dc:title>
  <dc:subject>prosinac 2022.</dc:subject>
  <dc:creator>Natalija</dc:creator>
  <cp:keywords/>
  <dc:description/>
  <cp:lastModifiedBy>Sonja Polonijo</cp:lastModifiedBy>
  <cp:revision>8</cp:revision>
  <cp:lastPrinted>2023-02-24T08:19:00Z</cp:lastPrinted>
  <dcterms:created xsi:type="dcterms:W3CDTF">2023-02-28T06:18:00Z</dcterms:created>
  <dcterms:modified xsi:type="dcterms:W3CDTF">2023-02-28T12:10:00Z</dcterms:modified>
</cp:coreProperties>
</file>