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56E" w:rsidRPr="003E71F7" w:rsidRDefault="003E71F7" w:rsidP="001F2F95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Posljednji ogledan primjerak Statuta grada objavljen je na mrežnim stranicama Udruge gradova u Republici Hrvatskoj  2021. godine. Od tada se nije mijenjao Zakon o lokalnoj i područnoj (regionalnoj) samoupravi, ali su donesene posebni zakoni i izmjene i dopune pojedinih zakona kojima su jedinice lokalne samouprave dobile nove poslove u okviru postojećeg samoupravnom djelokrugu odnosno promijenjena je nadležnost u obavljanju poslova (Zakon o predškolskom odgoju i obrazovanju, Zakon o knjižnicama i </w:t>
      </w:r>
      <w:proofErr w:type="spellStart"/>
      <w:r>
        <w:rPr>
          <w:rFonts w:ascii="Times New Roman" w:hAnsi="Times New Roman" w:cs="Times New Roman"/>
          <w:sz w:val="24"/>
          <w:szCs w:val="24"/>
          <w:lang w:val="hr-HR"/>
        </w:rPr>
        <w:t>knjižničkoj</w:t>
      </w:r>
      <w:proofErr w:type="spellEnd"/>
      <w:r>
        <w:rPr>
          <w:rFonts w:ascii="Times New Roman" w:hAnsi="Times New Roman" w:cs="Times New Roman"/>
          <w:sz w:val="24"/>
          <w:szCs w:val="24"/>
          <w:lang w:val="hr-HR"/>
        </w:rPr>
        <w:t xml:space="preserve"> djelatnosti, Zakon o izmjenama i dopunama Zakona o službenicima i namještenicima u jedinicama lokalne i područne (regionalne) samouprave, Zakon o izmjenama i dopunama Zakona o lokalnim porezima, Zakon o izmjenama i dopunama Zakona o sustav</w:t>
      </w:r>
      <w:r w:rsidR="001A6FAB">
        <w:rPr>
          <w:rFonts w:ascii="Times New Roman" w:hAnsi="Times New Roman" w:cs="Times New Roman"/>
          <w:sz w:val="24"/>
          <w:szCs w:val="24"/>
          <w:lang w:val="hr-HR"/>
        </w:rPr>
        <w:t>u strateškog planiranja i uprav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ljanja razvojem Republike Hrvatske, </w:t>
      </w:r>
      <w:r w:rsidR="001A6FAB">
        <w:rPr>
          <w:rFonts w:ascii="Times New Roman" w:hAnsi="Times New Roman" w:cs="Times New Roman"/>
          <w:sz w:val="24"/>
          <w:szCs w:val="24"/>
          <w:lang w:val="hr-HR"/>
        </w:rPr>
        <w:t xml:space="preserve">Zakon o pomorskom dobru i morskim lukama, </w:t>
      </w:r>
      <w:r>
        <w:rPr>
          <w:rFonts w:ascii="Times New Roman" w:hAnsi="Times New Roman" w:cs="Times New Roman"/>
          <w:sz w:val="24"/>
          <w:szCs w:val="24"/>
          <w:lang w:val="hr-HR"/>
        </w:rPr>
        <w:t>Zakon o turizmu</w:t>
      </w:r>
      <w:r w:rsidR="001A6FAB">
        <w:rPr>
          <w:rFonts w:ascii="Times New Roman" w:hAnsi="Times New Roman" w:cs="Times New Roman"/>
          <w:sz w:val="24"/>
          <w:szCs w:val="24"/>
          <w:lang w:val="hr-HR"/>
        </w:rPr>
        <w:t xml:space="preserve"> i drugi). U oglednom primjerku statuta odredbe statuta su usklađene s navedenim promjenama. U danim alternativama pojedinih članaka ukazano je na mogućnost drugačijeg uređenja pojedinih odredaba na nač</w:t>
      </w:r>
      <w:r w:rsidR="001F2F95">
        <w:rPr>
          <w:rFonts w:ascii="Times New Roman" w:hAnsi="Times New Roman" w:cs="Times New Roman"/>
          <w:sz w:val="24"/>
          <w:szCs w:val="24"/>
          <w:lang w:val="hr-HR"/>
        </w:rPr>
        <w:t xml:space="preserve">in da se propiše da je navedeno pitanje uređeno posebnim zakonom, a u bilješkama uz članke sudska praksa Visokog upravnog suda Republike Hrvatske i mišljenja Ministarstva pravosuđa, uprave i digitalne transformacije. </w:t>
      </w:r>
      <w:r w:rsidR="001A6FA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Start w:id="0" w:name="_GoBack"/>
      <w:bookmarkEnd w:id="0"/>
    </w:p>
    <w:sectPr w:rsidR="00A8656E" w:rsidRPr="003E71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F7"/>
    <w:rsid w:val="001A6FAB"/>
    <w:rsid w:val="001F2F95"/>
    <w:rsid w:val="003E71F7"/>
    <w:rsid w:val="00A069EB"/>
    <w:rsid w:val="00A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FE8A8"/>
  <w15:chartTrackingRefBased/>
  <w15:docId w15:val="{71915411-EBB3-489F-B37D-68BD772C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2025-07-13T18:27:00Z</dcterms:created>
  <dcterms:modified xsi:type="dcterms:W3CDTF">2025-07-13T18:27:00Z</dcterms:modified>
</cp:coreProperties>
</file>